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31F387BC" w:rsidP="004030B4" w:rsidRDefault="002125BD" w14:paraId="0DD30CB5" w14:textId="7662C673">
      <w:pPr>
        <w:pStyle w:val="Heading2"/>
        <w:numPr>
          <w:ilvl w:val="0"/>
          <w:numId w:val="0"/>
        </w:numPr>
      </w:pPr>
      <w:r>
        <w:t>A</w:t>
      </w:r>
      <w:r w:rsidRPr="4EF8719D" w:rsidR="04A97AAD">
        <w:t>bbreviations</w:t>
      </w:r>
      <w:r w:rsidRPr="4EF8719D" w:rsidR="1DF810C4">
        <w:t xml:space="preserve"> list</w:t>
      </w:r>
    </w:p>
    <w:p w:rsidRPr="00772FF4" w:rsidR="5C68AC54" w:rsidP="00772FF4" w:rsidRDefault="5C68AC54" w14:paraId="192DC781" w14:textId="3CD3E818">
      <w:pPr>
        <w:spacing w:line="276" w:lineRule="auto"/>
        <w:rPr>
          <w:lang w:val="en-US"/>
        </w:rPr>
      </w:pPr>
      <w:r w:rsidRPr="00772FF4">
        <w:rPr>
          <w:lang w:val="en-US"/>
        </w:rPr>
        <w:t>A</w:t>
      </w:r>
      <w:r w:rsidRPr="00772FF4">
        <w:rPr>
          <w:rFonts w:eastAsiaTheme="minorEastAsia"/>
          <w:lang w:val="en-US"/>
        </w:rPr>
        <w:t>IC: Akaike’s information criterion</w:t>
      </w:r>
    </w:p>
    <w:p w:rsidRPr="00772FF4" w:rsidR="5C68AC54" w:rsidP="00772FF4" w:rsidRDefault="5C68AC54" w14:paraId="3FB03A1A" w14:textId="57B2C012">
      <w:pPr>
        <w:spacing w:line="276" w:lineRule="auto"/>
        <w:rPr>
          <w:lang w:val="en-US"/>
        </w:rPr>
      </w:pPr>
      <w:r w:rsidRPr="00772FF4">
        <w:rPr>
          <w:lang w:val="en-US"/>
        </w:rPr>
        <w:t>BIC: Bayesian information criterion</w:t>
      </w:r>
    </w:p>
    <w:p w:rsidRPr="00772FF4" w:rsidR="73509797" w:rsidP="00772FF4" w:rsidRDefault="73509797" w14:paraId="67E226DA" w14:textId="39E97F64">
      <w:pPr>
        <w:spacing w:line="276" w:lineRule="auto"/>
        <w:rPr>
          <w:lang w:val="en-US"/>
        </w:rPr>
      </w:pPr>
      <w:r w:rsidRPr="00772FF4">
        <w:rPr>
          <w:lang w:val="en-US"/>
        </w:rPr>
        <w:t>BMI: body mass index</w:t>
      </w:r>
    </w:p>
    <w:p w:rsidR="57F9C56F" w:rsidP="00772FF4" w:rsidRDefault="57F9C56F" w14:paraId="35FBCBE0" w14:textId="11C669F6">
      <w:pPr>
        <w:spacing w:line="276" w:lineRule="auto"/>
        <w:rPr>
          <w:rFonts w:ascii="Calibri" w:hAnsi="Calibri" w:eastAsia="Calibri" w:cs="Calibri"/>
          <w:color w:val="000000" w:themeColor="text1"/>
        </w:rPr>
      </w:pPr>
      <w:r w:rsidRPr="00772FF4">
        <w:rPr>
          <w:rFonts w:ascii="Calibri" w:hAnsi="Calibri" w:eastAsia="Calibri" w:cs="Calibri"/>
          <w:color w:val="000000" w:themeColor="text1"/>
        </w:rPr>
        <w:t xml:space="preserve">BPI-SF: </w:t>
      </w:r>
      <w:r w:rsidRPr="00772FF4" w:rsidR="1379DFEA">
        <w:rPr>
          <w:rFonts w:ascii="Calibri" w:hAnsi="Calibri" w:eastAsia="Calibri" w:cs="Calibri"/>
          <w:color w:val="000000" w:themeColor="text1"/>
        </w:rPr>
        <w:t>b</w:t>
      </w:r>
      <w:r w:rsidRPr="00772FF4">
        <w:rPr>
          <w:rFonts w:ascii="Calibri" w:hAnsi="Calibri" w:eastAsia="Calibri" w:cs="Calibri"/>
          <w:color w:val="000000" w:themeColor="text1"/>
        </w:rPr>
        <w:t>rief pain inventory – short form</w:t>
      </w:r>
    </w:p>
    <w:p w:rsidRPr="00772FF4" w:rsidR="00AD264C" w:rsidP="00772FF4" w:rsidRDefault="00AD264C" w14:paraId="3F94DA9E" w14:textId="2BE497A6">
      <w:pPr>
        <w:spacing w:line="276" w:lineRule="auto"/>
        <w:rPr>
          <w:rFonts w:ascii="Calibri" w:hAnsi="Calibri" w:eastAsia="Calibri" w:cs="Calibri"/>
          <w:color w:val="000000" w:themeColor="text1"/>
        </w:rPr>
      </w:pPr>
      <w:r>
        <w:rPr>
          <w:rFonts w:ascii="Calibri" w:hAnsi="Calibri" w:eastAsia="Calibri" w:cs="Calibri"/>
          <w:color w:val="000000" w:themeColor="text1"/>
        </w:rPr>
        <w:t>BRD: body representation disturbance</w:t>
      </w:r>
    </w:p>
    <w:p w:rsidRPr="00772FF4" w:rsidR="00772FF4" w:rsidP="00772FF4" w:rsidRDefault="00772FF4" w14:paraId="6BAE0818" w14:textId="3BF287A5">
      <w:pPr>
        <w:spacing w:line="276" w:lineRule="auto"/>
      </w:pPr>
      <w:r w:rsidRPr="00772FF4">
        <w:t xml:space="preserve">CDT: </w:t>
      </w:r>
      <w:r w:rsidR="009803D3">
        <w:t>c</w:t>
      </w:r>
      <w:r w:rsidRPr="00772FF4">
        <w:t xml:space="preserve">old </w:t>
      </w:r>
      <w:r w:rsidR="009803D3">
        <w:t>d</w:t>
      </w:r>
      <w:r w:rsidRPr="00772FF4">
        <w:t xml:space="preserve">etection </w:t>
      </w:r>
      <w:r w:rsidR="009803D3">
        <w:t>t</w:t>
      </w:r>
      <w:r w:rsidRPr="00772FF4">
        <w:t>hreshold</w:t>
      </w:r>
    </w:p>
    <w:p w:rsidRPr="00204547" w:rsidR="00772FF4" w:rsidP="00772FF4" w:rsidRDefault="00772FF4" w14:paraId="4C4D5786" w14:textId="6F5A6B95">
      <w:pPr>
        <w:spacing w:line="276" w:lineRule="auto"/>
        <w:rPr>
          <w:lang w:val="en-US"/>
        </w:rPr>
      </w:pPr>
      <w:r w:rsidRPr="00772FF4">
        <w:t xml:space="preserve">CPT: </w:t>
      </w:r>
      <w:r w:rsidR="009803D3">
        <w:t>c</w:t>
      </w:r>
      <w:r w:rsidRPr="00772FF4">
        <w:t xml:space="preserve">old </w:t>
      </w:r>
      <w:r w:rsidR="009803D3">
        <w:t>p</w:t>
      </w:r>
      <w:r w:rsidRPr="00772FF4">
        <w:t xml:space="preserve">ain </w:t>
      </w:r>
      <w:r w:rsidR="009803D3">
        <w:t>t</w:t>
      </w:r>
      <w:r w:rsidRPr="00772FF4">
        <w:t>hreshold</w:t>
      </w:r>
    </w:p>
    <w:p w:rsidRPr="00EB6672" w:rsidR="31F387BC" w:rsidP="00772FF4" w:rsidRDefault="31F387BC" w14:paraId="00EC3A26" w14:textId="56E019AE">
      <w:pPr>
        <w:spacing w:line="276" w:lineRule="auto"/>
      </w:pPr>
      <w:r w:rsidRPr="00EB6672">
        <w:t>CRPS: complex regional pain syndrome</w:t>
      </w:r>
    </w:p>
    <w:p w:rsidRPr="00EB6672" w:rsidR="67747C7D" w:rsidP="00772FF4" w:rsidRDefault="67747C7D" w14:paraId="73701B13" w14:textId="4CCE1529">
      <w:pPr>
        <w:spacing w:line="276" w:lineRule="auto"/>
      </w:pPr>
      <w:r w:rsidRPr="00EB6672">
        <w:t>CSQ: coping strategies questionnaire</w:t>
      </w:r>
    </w:p>
    <w:p w:rsidRPr="00772FF4" w:rsidR="1B42FCEC" w:rsidP="00772FF4" w:rsidRDefault="1B42FCEC" w14:paraId="1E382241" w14:textId="1F38473B">
      <w:pPr>
        <w:spacing w:line="276" w:lineRule="auto"/>
      </w:pPr>
      <w:r w:rsidRPr="00772FF4">
        <w:t>CSS: CRPS severity score</w:t>
      </w:r>
    </w:p>
    <w:p w:rsidRPr="00772FF4" w:rsidR="3DE733FF" w:rsidP="00772FF4" w:rsidRDefault="3DE733FF" w14:paraId="01FA9275" w14:textId="2104DADA">
      <w:pPr>
        <w:spacing w:line="276" w:lineRule="auto"/>
      </w:pPr>
      <w:r w:rsidRPr="00772FF4">
        <w:t>DFNS: German Research Network on Neuropathic Pain</w:t>
      </w:r>
    </w:p>
    <w:p w:rsidRPr="00772FF4" w:rsidR="00772FF4" w:rsidP="00772FF4" w:rsidRDefault="00772FF4" w14:paraId="7A1A8A5C" w14:textId="7514C913">
      <w:pPr>
        <w:spacing w:line="276" w:lineRule="auto"/>
      </w:pPr>
      <w:r w:rsidRPr="00772FF4">
        <w:t xml:space="preserve">DMA: </w:t>
      </w:r>
      <w:r w:rsidR="009803D3">
        <w:t>d</w:t>
      </w:r>
      <w:r w:rsidRPr="00772FF4">
        <w:t xml:space="preserve">ynamic </w:t>
      </w:r>
      <w:r w:rsidR="009803D3">
        <w:t>m</w:t>
      </w:r>
      <w:r w:rsidRPr="00772FF4">
        <w:t xml:space="preserve">echanical </w:t>
      </w:r>
      <w:r w:rsidR="009803D3">
        <w:t>a</w:t>
      </w:r>
      <w:r w:rsidRPr="00772FF4">
        <w:t>llodynia</w:t>
      </w:r>
    </w:p>
    <w:p w:rsidRPr="003811BD" w:rsidR="4AC5BF47" w:rsidP="00772FF4" w:rsidRDefault="4AC5BF47" w14:paraId="27A010D9" w14:textId="0B100E55">
      <w:pPr>
        <w:spacing w:line="276" w:lineRule="auto"/>
      </w:pPr>
      <w:r w:rsidRPr="003811BD">
        <w:t xml:space="preserve">EQ: </w:t>
      </w:r>
      <w:proofErr w:type="spellStart"/>
      <w:r w:rsidRPr="003811BD">
        <w:t>EuroQol</w:t>
      </w:r>
      <w:proofErr w:type="spellEnd"/>
    </w:p>
    <w:p w:rsidRPr="00772FF4" w:rsidR="73FB674C" w:rsidP="00772FF4" w:rsidRDefault="73FB674C" w14:paraId="4F2EE7A7" w14:textId="51A1257F">
      <w:pPr>
        <w:spacing w:line="276" w:lineRule="auto"/>
        <w:rPr>
          <w:lang w:val="fr-FR"/>
        </w:rPr>
      </w:pPr>
      <w:r w:rsidRPr="00772FF4">
        <w:rPr>
          <w:lang w:val="fr-FR"/>
        </w:rPr>
        <w:t>EQ-5D-5</w:t>
      </w:r>
      <w:proofErr w:type="gramStart"/>
      <w:r w:rsidRPr="00772FF4">
        <w:rPr>
          <w:lang w:val="fr-FR"/>
        </w:rPr>
        <w:t>L:</w:t>
      </w:r>
      <w:proofErr w:type="gramEnd"/>
      <w:r w:rsidRPr="00772FF4">
        <w:rPr>
          <w:lang w:val="fr-FR"/>
        </w:rPr>
        <w:t xml:space="preserve"> </w:t>
      </w:r>
      <w:proofErr w:type="spellStart"/>
      <w:r w:rsidRPr="00772FF4">
        <w:rPr>
          <w:lang w:val="fr-FR"/>
        </w:rPr>
        <w:t>EuroQol</w:t>
      </w:r>
      <w:proofErr w:type="spellEnd"/>
      <w:r w:rsidR="00810889">
        <w:rPr>
          <w:lang w:val="fr-FR"/>
        </w:rPr>
        <w:t xml:space="preserve"> </w:t>
      </w:r>
      <w:r w:rsidRPr="00772FF4" w:rsidR="00810889">
        <w:rPr>
          <w:lang w:val="fr-FR"/>
        </w:rPr>
        <w:t>–</w:t>
      </w:r>
      <w:r w:rsidR="00810889">
        <w:rPr>
          <w:lang w:val="fr-FR"/>
        </w:rPr>
        <w:t xml:space="preserve"> </w:t>
      </w:r>
      <w:r w:rsidRPr="00772FF4">
        <w:rPr>
          <w:lang w:val="fr-FR"/>
        </w:rPr>
        <w:t xml:space="preserve">5 dimensions – 5 </w:t>
      </w:r>
      <w:proofErr w:type="spellStart"/>
      <w:r w:rsidRPr="00772FF4">
        <w:rPr>
          <w:lang w:val="fr-FR"/>
        </w:rPr>
        <w:t>levels</w:t>
      </w:r>
      <w:proofErr w:type="spellEnd"/>
    </w:p>
    <w:p w:rsidRPr="00772FF4" w:rsidR="4A3ABA62" w:rsidP="00772FF4" w:rsidRDefault="4A3ABA62" w14:paraId="5EE07324" w14:textId="402C84D5">
      <w:pPr>
        <w:spacing w:line="276" w:lineRule="auto"/>
        <w:rPr>
          <w:rFonts w:ascii="Calibri" w:hAnsi="Calibri" w:eastAsia="Calibri" w:cs="Calibri"/>
        </w:rPr>
      </w:pPr>
      <w:proofErr w:type="spellStart"/>
      <w:r w:rsidRPr="00772FF4">
        <w:rPr>
          <w:rFonts w:ascii="Calibri" w:hAnsi="Calibri" w:eastAsia="Calibri" w:cs="Calibri"/>
        </w:rPr>
        <w:t>GSRH</w:t>
      </w:r>
      <w:proofErr w:type="spellEnd"/>
      <w:r w:rsidRPr="00772FF4">
        <w:rPr>
          <w:rFonts w:ascii="Calibri" w:hAnsi="Calibri" w:eastAsia="Calibri" w:cs="Calibri"/>
        </w:rPr>
        <w:t>: general self-rated health</w:t>
      </w:r>
    </w:p>
    <w:p w:rsidRPr="00772FF4" w:rsidR="3A998619" w:rsidP="00772FF4" w:rsidRDefault="3A998619" w14:paraId="0728F856" w14:textId="60011831">
      <w:pPr>
        <w:spacing w:line="276" w:lineRule="auto"/>
      </w:pPr>
      <w:proofErr w:type="spellStart"/>
      <w:r w:rsidRPr="00772FF4">
        <w:t>HADS</w:t>
      </w:r>
      <w:proofErr w:type="spellEnd"/>
      <w:r w:rsidRPr="00772FF4">
        <w:t>: hospital anxiety depression scale</w:t>
      </w:r>
    </w:p>
    <w:p w:rsidRPr="00772FF4" w:rsidR="00772FF4" w:rsidP="00772FF4" w:rsidRDefault="00772FF4" w14:paraId="462FED67" w14:textId="0279DC8B">
      <w:pPr>
        <w:spacing w:line="276" w:lineRule="auto"/>
      </w:pPr>
      <w:r w:rsidRPr="00772FF4">
        <w:t xml:space="preserve">HPT: </w:t>
      </w:r>
      <w:r w:rsidR="009803D3">
        <w:t>h</w:t>
      </w:r>
      <w:r w:rsidRPr="00772FF4">
        <w:t xml:space="preserve">eat </w:t>
      </w:r>
      <w:r w:rsidR="009803D3">
        <w:t>p</w:t>
      </w:r>
      <w:r w:rsidRPr="00772FF4">
        <w:t xml:space="preserve">ain </w:t>
      </w:r>
      <w:r w:rsidR="009803D3">
        <w:t>t</w:t>
      </w:r>
      <w:r w:rsidRPr="00772FF4">
        <w:t>hreshold</w:t>
      </w:r>
    </w:p>
    <w:p w:rsidRPr="00772FF4" w:rsidR="00B53FCA" w:rsidP="00772FF4" w:rsidRDefault="00B53FCA" w14:paraId="4602AD97" w14:textId="4E6EBECF">
      <w:pPr>
        <w:spacing w:line="276" w:lineRule="auto"/>
      </w:pPr>
      <w:proofErr w:type="spellStart"/>
      <w:r w:rsidRPr="00772FF4">
        <w:t>LCA</w:t>
      </w:r>
      <w:proofErr w:type="spellEnd"/>
      <w:r w:rsidRPr="00772FF4">
        <w:t>: latent class analysis</w:t>
      </w:r>
    </w:p>
    <w:p w:rsidRPr="00772FF4" w:rsidR="31F387BC" w:rsidP="00772FF4" w:rsidRDefault="31F387BC" w14:paraId="36BCA57D" w14:textId="1625DFAD">
      <w:pPr>
        <w:spacing w:line="276" w:lineRule="auto"/>
      </w:pPr>
      <w:r w:rsidRPr="00772FF4">
        <w:t>LE: lower extremity</w:t>
      </w:r>
    </w:p>
    <w:p w:rsidRPr="00772FF4" w:rsidR="044D8B96" w:rsidP="00772FF4" w:rsidRDefault="044D8B96" w14:paraId="6F5134D9" w14:textId="7F9A9113">
      <w:pPr>
        <w:spacing w:line="276" w:lineRule="auto"/>
      </w:pPr>
      <w:proofErr w:type="spellStart"/>
      <w:r w:rsidRPr="00772FF4">
        <w:t>LEFS</w:t>
      </w:r>
      <w:proofErr w:type="spellEnd"/>
      <w:r w:rsidRPr="00772FF4">
        <w:t xml:space="preserve">: </w:t>
      </w:r>
      <w:r w:rsidR="009803D3">
        <w:t>l</w:t>
      </w:r>
      <w:r w:rsidRPr="00772FF4">
        <w:t xml:space="preserve">ower </w:t>
      </w:r>
      <w:r w:rsidR="009803D3">
        <w:t>e</w:t>
      </w:r>
      <w:r w:rsidRPr="00772FF4">
        <w:t>xtremity functional scale</w:t>
      </w:r>
    </w:p>
    <w:p w:rsidRPr="00772FF4" w:rsidR="00772FF4" w:rsidP="00772FF4" w:rsidRDefault="00772FF4" w14:paraId="038420A2" w14:textId="77BD62CA">
      <w:pPr>
        <w:spacing w:line="276" w:lineRule="auto"/>
      </w:pPr>
      <w:r w:rsidRPr="00772FF4">
        <w:t xml:space="preserve">MDT: </w:t>
      </w:r>
      <w:r w:rsidR="009803D3">
        <w:t>m</w:t>
      </w:r>
      <w:r w:rsidRPr="00772FF4">
        <w:t xml:space="preserve">echanical </w:t>
      </w:r>
      <w:r w:rsidR="009803D3">
        <w:t>d</w:t>
      </w:r>
      <w:r w:rsidRPr="00772FF4">
        <w:t xml:space="preserve">etection </w:t>
      </w:r>
      <w:r w:rsidR="009803D3">
        <w:t>t</w:t>
      </w:r>
      <w:r w:rsidRPr="00772FF4">
        <w:t>hreshold</w:t>
      </w:r>
    </w:p>
    <w:p w:rsidRPr="00772FF4" w:rsidR="00772FF4" w:rsidP="00772FF4" w:rsidRDefault="00772FF4" w14:paraId="5CA3F6D4" w14:textId="0FB3F66B">
      <w:pPr>
        <w:spacing w:line="276" w:lineRule="auto"/>
      </w:pPr>
      <w:r w:rsidRPr="00772FF4">
        <w:t xml:space="preserve">MPS: </w:t>
      </w:r>
      <w:r w:rsidR="009803D3">
        <w:t>m</w:t>
      </w:r>
      <w:r w:rsidRPr="00772FF4">
        <w:t xml:space="preserve">echanical </w:t>
      </w:r>
      <w:r w:rsidR="009803D3">
        <w:t>p</w:t>
      </w:r>
      <w:r w:rsidRPr="00772FF4">
        <w:t xml:space="preserve">ain </w:t>
      </w:r>
      <w:r w:rsidR="009803D3">
        <w:t>s</w:t>
      </w:r>
      <w:r w:rsidRPr="00772FF4">
        <w:t>ensitivity</w:t>
      </w:r>
    </w:p>
    <w:p w:rsidRPr="00772FF4" w:rsidR="00772FF4" w:rsidP="00772FF4" w:rsidRDefault="00772FF4" w14:paraId="518C1AB5" w14:textId="1CF4A742">
      <w:pPr>
        <w:spacing w:line="276" w:lineRule="auto"/>
      </w:pPr>
      <w:r w:rsidRPr="00772FF4">
        <w:t xml:space="preserve"> MPT: </w:t>
      </w:r>
      <w:r w:rsidR="009803D3">
        <w:t>m</w:t>
      </w:r>
      <w:r w:rsidRPr="00772FF4">
        <w:t xml:space="preserve">echanical </w:t>
      </w:r>
      <w:r w:rsidR="009803D3">
        <w:t>p</w:t>
      </w:r>
      <w:r w:rsidRPr="00772FF4">
        <w:t xml:space="preserve">ain </w:t>
      </w:r>
      <w:r w:rsidR="009803D3">
        <w:t>t</w:t>
      </w:r>
      <w:r w:rsidRPr="00772FF4">
        <w:t>hreshold</w:t>
      </w:r>
    </w:p>
    <w:p w:rsidRPr="00772FF4" w:rsidR="7F52552C" w:rsidP="00772FF4" w:rsidRDefault="2C53BA40" w14:paraId="753EC594" w14:textId="29394C82">
      <w:pPr>
        <w:spacing w:line="276" w:lineRule="auto"/>
      </w:pPr>
      <w:r w:rsidRPr="00772FF4">
        <w:rPr>
          <w:rFonts w:eastAsiaTheme="minorEastAsia"/>
        </w:rPr>
        <w:t xml:space="preserve">MRC: </w:t>
      </w:r>
      <w:r w:rsidRPr="00772FF4" w:rsidR="5C7C0A3F">
        <w:rPr>
          <w:rFonts w:eastAsiaTheme="minorEastAsia"/>
        </w:rPr>
        <w:t>Medical Research Council</w:t>
      </w:r>
    </w:p>
    <w:p w:rsidRPr="00772FF4" w:rsidR="729035D2" w:rsidP="00772FF4" w:rsidRDefault="729035D2" w14:paraId="321280E6" w14:textId="41A3E1B4">
      <w:pPr>
        <w:spacing w:line="276" w:lineRule="auto"/>
      </w:pPr>
      <w:proofErr w:type="spellStart"/>
      <w:r w:rsidRPr="00772FF4">
        <w:t>OMPSQ</w:t>
      </w:r>
      <w:proofErr w:type="spellEnd"/>
      <w:r w:rsidRPr="00772FF4">
        <w:t>-SF: Orebro musculoskeletal pain questionnaire – short for</w:t>
      </w:r>
      <w:r w:rsidRPr="00772FF4" w:rsidR="2A7B23A5">
        <w:t>m</w:t>
      </w:r>
    </w:p>
    <w:p w:rsidRPr="00772FF4" w:rsidR="00772FF4" w:rsidP="00772FF4" w:rsidRDefault="00772FF4" w14:paraId="5A93344E" w14:textId="51D8364F">
      <w:pPr>
        <w:spacing w:line="276" w:lineRule="auto"/>
      </w:pPr>
      <w:r w:rsidRPr="00772FF4">
        <w:t xml:space="preserve">PHS: </w:t>
      </w:r>
      <w:r w:rsidR="009803D3">
        <w:t>p</w:t>
      </w:r>
      <w:r w:rsidRPr="00772FF4">
        <w:t xml:space="preserve">aradoxical </w:t>
      </w:r>
      <w:r w:rsidR="009803D3">
        <w:t>h</w:t>
      </w:r>
      <w:r w:rsidRPr="00772FF4">
        <w:t xml:space="preserve">eat </w:t>
      </w:r>
      <w:r w:rsidR="009803D3">
        <w:t>s</w:t>
      </w:r>
      <w:r w:rsidRPr="00772FF4">
        <w:t>ensation</w:t>
      </w:r>
    </w:p>
    <w:p w:rsidRPr="00772FF4" w:rsidR="00772FF4" w:rsidP="00772FF4" w:rsidRDefault="00772FF4" w14:paraId="0B34BA3A" w14:textId="7E24DDF7">
      <w:pPr>
        <w:spacing w:line="276" w:lineRule="auto"/>
      </w:pPr>
      <w:r w:rsidRPr="00772FF4">
        <w:t xml:space="preserve">PPT: </w:t>
      </w:r>
      <w:r w:rsidR="009803D3">
        <w:t>p</w:t>
      </w:r>
      <w:r w:rsidRPr="00772FF4">
        <w:t xml:space="preserve">ressure </w:t>
      </w:r>
      <w:r w:rsidR="009803D3">
        <w:t>p</w:t>
      </w:r>
      <w:r w:rsidRPr="00772FF4">
        <w:t xml:space="preserve">ain </w:t>
      </w:r>
      <w:r w:rsidR="009803D3">
        <w:t>t</w:t>
      </w:r>
      <w:r w:rsidRPr="00772FF4">
        <w:t>hreshold</w:t>
      </w:r>
    </w:p>
    <w:p w:rsidRPr="00772FF4" w:rsidR="06B4F91E" w:rsidP="00772FF4" w:rsidRDefault="06B4F91E" w14:paraId="66DC738B" w14:textId="29763CBE">
      <w:pPr>
        <w:spacing w:line="276" w:lineRule="auto"/>
      </w:pPr>
      <w:r w:rsidRPr="00772FF4">
        <w:t>PSS: point of subjective simultaneity</w:t>
      </w:r>
    </w:p>
    <w:p w:rsidRPr="00772FF4" w:rsidR="31F387BC" w:rsidP="00772FF4" w:rsidRDefault="31F387BC" w14:paraId="637E5B53" w14:textId="05161BE9">
      <w:pPr>
        <w:spacing w:line="276" w:lineRule="auto"/>
      </w:pPr>
      <w:r w:rsidRPr="00772FF4">
        <w:t>QST: quantitative sensory testing</w:t>
      </w:r>
    </w:p>
    <w:p w:rsidRPr="00772FF4" w:rsidR="66999F06" w:rsidP="00772FF4" w:rsidRDefault="66999F06" w14:paraId="4A099433" w14:textId="59FEBA24">
      <w:pPr>
        <w:spacing w:line="276" w:lineRule="auto"/>
      </w:pPr>
      <w:r w:rsidRPr="00772FF4">
        <w:t>QoL: quality of life</w:t>
      </w:r>
    </w:p>
    <w:p w:rsidRPr="00772FF4" w:rsidR="31F387BC" w:rsidP="00772FF4" w:rsidRDefault="31F387BC" w14:paraId="35DB64ED" w14:textId="3B03A242">
      <w:pPr>
        <w:spacing w:line="276" w:lineRule="auto"/>
      </w:pPr>
      <w:r w:rsidRPr="00772FF4">
        <w:t>r-B-CRPS-</w:t>
      </w:r>
      <w:proofErr w:type="spellStart"/>
      <w:r w:rsidRPr="00772FF4">
        <w:t>BPDS</w:t>
      </w:r>
      <w:proofErr w:type="spellEnd"/>
      <w:r w:rsidRPr="00772FF4">
        <w:t xml:space="preserve">: </w:t>
      </w:r>
      <w:r w:rsidRPr="00772FF4" w:rsidR="72865F0F">
        <w:t>r</w:t>
      </w:r>
      <w:r w:rsidRPr="00772FF4" w:rsidR="181D485B">
        <w:t>evised-Bath-</w:t>
      </w:r>
      <w:r w:rsidRPr="00772FF4" w:rsidR="3C56F337">
        <w:t>c</w:t>
      </w:r>
      <w:r w:rsidRPr="00772FF4" w:rsidR="181D485B">
        <w:t xml:space="preserve">omplex </w:t>
      </w:r>
      <w:r w:rsidRPr="00772FF4" w:rsidR="4E86C3D4">
        <w:t>r</w:t>
      </w:r>
      <w:r w:rsidRPr="00772FF4" w:rsidR="181D485B">
        <w:t xml:space="preserve">egional </w:t>
      </w:r>
      <w:r w:rsidRPr="00772FF4" w:rsidR="06D2B79D">
        <w:t>p</w:t>
      </w:r>
      <w:r w:rsidRPr="00772FF4" w:rsidR="181D485B">
        <w:t xml:space="preserve">ain </w:t>
      </w:r>
      <w:r w:rsidRPr="00772FF4" w:rsidR="288C3523">
        <w:t>s</w:t>
      </w:r>
      <w:r w:rsidRPr="00772FF4" w:rsidR="181D485B">
        <w:t>yndrome-</w:t>
      </w:r>
      <w:r w:rsidRPr="00772FF4" w:rsidR="3A76EE07">
        <w:t>b</w:t>
      </w:r>
      <w:r w:rsidRPr="00772FF4" w:rsidR="181D485B">
        <w:t xml:space="preserve">ody </w:t>
      </w:r>
      <w:r w:rsidRPr="00772FF4" w:rsidR="63EA3D42">
        <w:t>p</w:t>
      </w:r>
      <w:r w:rsidRPr="00772FF4" w:rsidR="181D485B">
        <w:t xml:space="preserve">erception </w:t>
      </w:r>
      <w:r w:rsidRPr="00772FF4" w:rsidR="57D0E68E">
        <w:t>d</w:t>
      </w:r>
      <w:r w:rsidRPr="00772FF4" w:rsidR="181D485B">
        <w:t xml:space="preserve">isturbance </w:t>
      </w:r>
      <w:r w:rsidRPr="00772FF4" w:rsidR="09110D89">
        <w:t>s</w:t>
      </w:r>
      <w:r w:rsidRPr="00772FF4" w:rsidR="181D485B">
        <w:t>cale</w:t>
      </w:r>
    </w:p>
    <w:p w:rsidRPr="00772FF4" w:rsidR="7AF83DBF" w:rsidP="00772FF4" w:rsidRDefault="7AF83DBF" w14:paraId="676CBA53" w14:textId="3A5E4302">
      <w:pPr>
        <w:spacing w:line="276" w:lineRule="auto"/>
      </w:pPr>
      <w:proofErr w:type="spellStart"/>
      <w:r w:rsidRPr="00772FF4">
        <w:rPr>
          <w:rFonts w:eastAsiaTheme="minorEastAsia"/>
        </w:rPr>
        <w:t>RoM</w:t>
      </w:r>
      <w:proofErr w:type="spellEnd"/>
      <w:r w:rsidRPr="00772FF4">
        <w:rPr>
          <w:rFonts w:eastAsiaTheme="minorEastAsia"/>
        </w:rPr>
        <w:t>: range of motion</w:t>
      </w:r>
    </w:p>
    <w:p w:rsidRPr="00772FF4" w:rsidR="6AC17DBA" w:rsidP="00772FF4" w:rsidRDefault="6AC17DBA" w14:paraId="7EA0AAB7" w14:textId="47D042EC">
      <w:pPr>
        <w:spacing w:line="276" w:lineRule="auto"/>
        <w:rPr>
          <w:lang w:val="en-US"/>
        </w:rPr>
      </w:pPr>
      <w:r w:rsidRPr="00772FF4">
        <w:rPr>
          <w:lang w:val="en-US"/>
        </w:rPr>
        <w:t>SABIC: sample adjusted BIC</w:t>
      </w:r>
    </w:p>
    <w:p w:rsidRPr="00772FF4" w:rsidR="31F387BC" w:rsidP="00772FF4" w:rsidRDefault="31F387BC" w14:paraId="14ED1FF4" w14:textId="58FA7D5F">
      <w:pPr>
        <w:spacing w:line="276" w:lineRule="auto"/>
      </w:pPr>
      <w:r w:rsidRPr="00772FF4">
        <w:t>SD: standard deviation</w:t>
      </w:r>
    </w:p>
    <w:p w:rsidRPr="00772FF4" w:rsidR="5E2FC21C" w:rsidP="00772FF4" w:rsidRDefault="5E2FC21C" w14:paraId="36D7023F" w14:textId="11E48827">
      <w:pPr>
        <w:spacing w:line="276" w:lineRule="auto"/>
      </w:pPr>
      <w:r w:rsidRPr="00772FF4">
        <w:t xml:space="preserve">SSQ6: </w:t>
      </w:r>
      <w:r w:rsidRPr="00772FF4" w:rsidR="569CF531">
        <w:t>s</w:t>
      </w:r>
      <w:r w:rsidRPr="00772FF4">
        <w:t xml:space="preserve">ocial </w:t>
      </w:r>
      <w:r w:rsidRPr="00772FF4" w:rsidR="7E212725">
        <w:t>s</w:t>
      </w:r>
      <w:r w:rsidRPr="00772FF4">
        <w:t xml:space="preserve">upport </w:t>
      </w:r>
      <w:r w:rsidRPr="00772FF4" w:rsidR="52773C21">
        <w:t>questionnaire</w:t>
      </w:r>
      <w:r w:rsidRPr="00772FF4">
        <w:t>-short form</w:t>
      </w:r>
    </w:p>
    <w:p w:rsidRPr="00772FF4" w:rsidR="31F387BC" w:rsidP="00772FF4" w:rsidRDefault="31F387BC" w14:paraId="052CB311" w14:textId="3CCD2429">
      <w:pPr>
        <w:spacing w:line="276" w:lineRule="auto"/>
      </w:pPr>
      <w:r w:rsidRPr="00772FF4">
        <w:t xml:space="preserve">TOJ: </w:t>
      </w:r>
      <w:r w:rsidRPr="00772FF4" w:rsidR="399E1B5F">
        <w:t>t</w:t>
      </w:r>
      <w:r w:rsidRPr="00772FF4">
        <w:t xml:space="preserve">emporal </w:t>
      </w:r>
      <w:r w:rsidRPr="00772FF4" w:rsidR="5B54408E">
        <w:t>o</w:t>
      </w:r>
      <w:r w:rsidRPr="00772FF4">
        <w:t>rder</w:t>
      </w:r>
      <w:r w:rsidRPr="00772FF4" w:rsidR="37DD7793">
        <w:t xml:space="preserve"> j</w:t>
      </w:r>
      <w:r w:rsidRPr="00772FF4">
        <w:t>udgement task</w:t>
      </w:r>
    </w:p>
    <w:p w:rsidRPr="00772FF4" w:rsidR="71BB048D" w:rsidP="00772FF4" w:rsidRDefault="71BB048D" w14:paraId="01DE5BCA" w14:textId="19C8822C">
      <w:pPr>
        <w:spacing w:line="276" w:lineRule="auto"/>
      </w:pPr>
      <w:r w:rsidRPr="00772FF4">
        <w:t xml:space="preserve">TSK-11: </w:t>
      </w:r>
      <w:r w:rsidRPr="00772FF4" w:rsidR="00772FF4">
        <w:t>Tampa</w:t>
      </w:r>
      <w:r w:rsidRPr="00772FF4">
        <w:t xml:space="preserve"> scale for kinesiophobia-11</w:t>
      </w:r>
    </w:p>
    <w:p w:rsidRPr="00772FF4" w:rsidR="00772FF4" w:rsidP="00772FF4" w:rsidRDefault="00772FF4" w14:paraId="0538FD65" w14:textId="179461AD">
      <w:pPr>
        <w:spacing w:line="276" w:lineRule="auto"/>
      </w:pPr>
      <w:proofErr w:type="spellStart"/>
      <w:r w:rsidRPr="00772FF4">
        <w:t>TSL</w:t>
      </w:r>
      <w:proofErr w:type="spellEnd"/>
      <w:r w:rsidRPr="00772FF4">
        <w:t xml:space="preserve">: </w:t>
      </w:r>
      <w:r w:rsidR="009803D3">
        <w:t>t</w:t>
      </w:r>
      <w:r w:rsidRPr="00772FF4">
        <w:t xml:space="preserve">hermal </w:t>
      </w:r>
      <w:r w:rsidR="009803D3">
        <w:t>s</w:t>
      </w:r>
      <w:r w:rsidRPr="00772FF4">
        <w:t xml:space="preserve">ensory </w:t>
      </w:r>
      <w:r w:rsidR="009803D3">
        <w:t>l</w:t>
      </w:r>
      <w:r w:rsidRPr="00772FF4">
        <w:t>imen</w:t>
      </w:r>
    </w:p>
    <w:p w:rsidRPr="00772FF4" w:rsidR="31F387BC" w:rsidP="00772FF4" w:rsidRDefault="31F387BC" w14:paraId="0F9D693E" w14:textId="1C23ABDB">
      <w:pPr>
        <w:spacing w:line="276" w:lineRule="auto"/>
      </w:pPr>
      <w:r w:rsidRPr="00772FF4">
        <w:t>UE: upper extremity</w:t>
      </w:r>
    </w:p>
    <w:p w:rsidRPr="00772FF4" w:rsidR="24FBA8E4" w:rsidP="00772FF4" w:rsidRDefault="24FBA8E4" w14:paraId="2026E873" w14:textId="3273E1AC">
      <w:pPr>
        <w:spacing w:line="276" w:lineRule="auto"/>
      </w:pPr>
      <w:r w:rsidRPr="00772FF4">
        <w:t xml:space="preserve">VAS: visual </w:t>
      </w:r>
      <w:proofErr w:type="spellStart"/>
      <w:r w:rsidR="00CA3C09">
        <w:t>analog</w:t>
      </w:r>
      <w:proofErr w:type="spellEnd"/>
      <w:r w:rsidRPr="00772FF4" w:rsidR="00CA3C09">
        <w:t xml:space="preserve"> </w:t>
      </w:r>
      <w:r w:rsidRPr="00772FF4">
        <w:t>scale</w:t>
      </w:r>
    </w:p>
    <w:p w:rsidRPr="00772FF4" w:rsidR="00772FF4" w:rsidP="00772FF4" w:rsidRDefault="00772FF4" w14:paraId="7D7AA4A1" w14:textId="660C91FB">
      <w:pPr>
        <w:spacing w:line="276" w:lineRule="auto"/>
      </w:pPr>
      <w:r w:rsidRPr="00772FF4">
        <w:t xml:space="preserve">VDT: </w:t>
      </w:r>
      <w:r w:rsidR="009803D3">
        <w:t>v</w:t>
      </w:r>
      <w:r w:rsidRPr="00772FF4">
        <w:t xml:space="preserve">ibration </w:t>
      </w:r>
      <w:r w:rsidR="009803D3">
        <w:t>d</w:t>
      </w:r>
      <w:r w:rsidRPr="00772FF4">
        <w:t xml:space="preserve">etection </w:t>
      </w:r>
      <w:r w:rsidR="009803D3">
        <w:t>t</w:t>
      </w:r>
      <w:r w:rsidRPr="00772FF4">
        <w:t>hreshold</w:t>
      </w:r>
    </w:p>
    <w:p w:rsidRPr="00772FF4" w:rsidR="34C19C07" w:rsidP="00772FF4" w:rsidRDefault="34C19C07" w14:paraId="39501B93" w14:textId="7BC27408">
      <w:pPr>
        <w:spacing w:line="276" w:lineRule="auto"/>
      </w:pPr>
      <w:r w:rsidRPr="00772FF4">
        <w:t xml:space="preserve">VIF: </w:t>
      </w:r>
      <w:r w:rsidRPr="00772FF4" w:rsidR="645BA3B6">
        <w:t>v</w:t>
      </w:r>
      <w:r w:rsidRPr="00772FF4">
        <w:t>ariance</w:t>
      </w:r>
      <w:r w:rsidRPr="00772FF4" w:rsidR="642C8B44">
        <w:t xml:space="preserve"> i</w:t>
      </w:r>
      <w:r w:rsidRPr="00772FF4">
        <w:t xml:space="preserve">nflation </w:t>
      </w:r>
      <w:r w:rsidRPr="00772FF4" w:rsidR="53D74D06">
        <w:t>f</w:t>
      </w:r>
      <w:r w:rsidRPr="00772FF4">
        <w:t>actor</w:t>
      </w:r>
    </w:p>
    <w:p w:rsidRPr="00772FF4" w:rsidR="4E24F089" w:rsidP="00772FF4" w:rsidRDefault="4E24F089" w14:paraId="30D30858" w14:textId="13325746">
      <w:pPr>
        <w:spacing w:line="276" w:lineRule="auto"/>
        <w:rPr>
          <w:lang w:val="en-US"/>
        </w:rPr>
      </w:pPr>
      <w:proofErr w:type="spellStart"/>
      <w:r w:rsidRPr="00772FF4">
        <w:rPr>
          <w:lang w:val="en-US"/>
        </w:rPr>
        <w:t>VLMR</w:t>
      </w:r>
      <w:proofErr w:type="spellEnd"/>
      <w:r w:rsidRPr="00772FF4">
        <w:rPr>
          <w:lang w:val="en-US"/>
        </w:rPr>
        <w:t>-LRT: Vuong-Lo-Mendell-Rubin likelihood-ratio test</w:t>
      </w:r>
    </w:p>
    <w:p w:rsidRPr="00772FF4" w:rsidR="00772FF4" w:rsidP="00772FF4" w:rsidRDefault="00772FF4" w14:paraId="7F0BC3CE" w14:textId="3FC99E4F">
      <w:pPr>
        <w:spacing w:line="276" w:lineRule="auto"/>
        <w:rPr>
          <w:lang w:val="en-US"/>
        </w:rPr>
      </w:pPr>
      <w:proofErr w:type="spellStart"/>
      <w:r w:rsidRPr="00772FF4">
        <w:t>WDT</w:t>
      </w:r>
      <w:proofErr w:type="spellEnd"/>
      <w:r w:rsidRPr="00772FF4">
        <w:t xml:space="preserve">: </w:t>
      </w:r>
      <w:r w:rsidR="009803D3">
        <w:t>w</w:t>
      </w:r>
      <w:r w:rsidRPr="00772FF4">
        <w:t xml:space="preserve">arm </w:t>
      </w:r>
      <w:r w:rsidR="009803D3">
        <w:t>d</w:t>
      </w:r>
      <w:r w:rsidRPr="00772FF4">
        <w:t xml:space="preserve">etection </w:t>
      </w:r>
      <w:r w:rsidR="009803D3">
        <w:t>t</w:t>
      </w:r>
      <w:r w:rsidRPr="00772FF4">
        <w:t>hreshold</w:t>
      </w:r>
    </w:p>
    <w:p w:rsidR="00772FF4" w:rsidRDefault="00772FF4" w14:paraId="79C5A758" w14:textId="77777777">
      <w:pPr>
        <w:sectPr w:rsidR="00772FF4" w:rsidSect="00772FF4">
          <w:footerReference w:type="default" r:id="rId8"/>
          <w:pgSz w:w="11906" w:h="16838" w:orient="portrait"/>
          <w:pgMar w:top="1440" w:right="1440" w:bottom="1440" w:left="1440" w:header="720" w:footer="720" w:gutter="0"/>
          <w:cols w:space="720" w:num="2"/>
          <w:docGrid w:linePitch="360"/>
        </w:sectPr>
      </w:pPr>
    </w:p>
    <w:p w:rsidRPr="00171B6F" w:rsidR="00E12587" w:rsidP="00E12587" w:rsidRDefault="00E12587" w14:paraId="693D6C0D" w14:textId="77777777">
      <w:pPr>
        <w:pStyle w:val="Heading1"/>
        <w:numPr>
          <w:ilvl w:val="0"/>
          <w:numId w:val="0"/>
        </w:numPr>
        <w:rPr>
          <w:sz w:val="24"/>
          <w:szCs w:val="24"/>
        </w:rPr>
      </w:pPr>
      <w:r>
        <w:lastRenderedPageBreak/>
        <w:t>Abstract</w:t>
      </w:r>
    </w:p>
    <w:p w:rsidR="00E12587" w:rsidP="00E12587" w:rsidRDefault="00E12587" w14:paraId="74671C44" w14:textId="65E45F6B">
      <w:pPr>
        <w:spacing w:line="480" w:lineRule="auto"/>
        <w:jc w:val="both"/>
        <w:rPr>
          <w:sz w:val="24"/>
          <w:szCs w:val="24"/>
        </w:rPr>
      </w:pPr>
      <w:r w:rsidRPr="00265FDF">
        <w:rPr>
          <w:b/>
          <w:bCs/>
          <w:sz w:val="24"/>
          <w:szCs w:val="24"/>
        </w:rPr>
        <w:t>Background</w:t>
      </w:r>
      <w:r w:rsidRPr="00265FDF">
        <w:rPr>
          <w:sz w:val="24"/>
          <w:szCs w:val="24"/>
        </w:rPr>
        <w:t xml:space="preserve">: </w:t>
      </w:r>
      <w:r w:rsidRPr="57C973B6">
        <w:rPr>
          <w:sz w:val="24"/>
          <w:szCs w:val="24"/>
        </w:rPr>
        <w:t>Complex regional pain syndrome (CRPS) is a debilitating condition</w:t>
      </w:r>
      <w:r w:rsidR="00AB4F35">
        <w:rPr>
          <w:sz w:val="24"/>
          <w:szCs w:val="24"/>
        </w:rPr>
        <w:t xml:space="preserve"> characterized </w:t>
      </w:r>
      <w:r w:rsidRPr="00AB4F35" w:rsidR="00AB4F35">
        <w:rPr>
          <w:color w:val="FF0000"/>
          <w:sz w:val="24"/>
          <w:szCs w:val="24"/>
        </w:rPr>
        <w:t xml:space="preserve">by significant heterogeneity. </w:t>
      </w:r>
      <w:r w:rsidRPr="00AB4F35">
        <w:rPr>
          <w:color w:val="FF0000"/>
          <w:sz w:val="24"/>
          <w:szCs w:val="24"/>
        </w:rPr>
        <w:t xml:space="preserve"> </w:t>
      </w:r>
      <w:r w:rsidRPr="00AB4F35" w:rsidR="00AB4F35">
        <w:rPr>
          <w:color w:val="FF0000"/>
          <w:sz w:val="24"/>
          <w:szCs w:val="24"/>
        </w:rPr>
        <w:t>Early diagnosis is critical, but limited data exists on the condition's early stages. This study aimed to characterize (very) early CRPS patients and explore potential subgroups to enhance understanding of its mechanisms.</w:t>
      </w:r>
    </w:p>
    <w:p w:rsidR="00E12587" w:rsidP="00E12587" w:rsidRDefault="00E12587" w14:paraId="32B44BF9" w14:textId="3E58102A">
      <w:pPr>
        <w:spacing w:line="480" w:lineRule="auto"/>
        <w:jc w:val="both"/>
        <w:rPr>
          <w:sz w:val="24"/>
          <w:szCs w:val="24"/>
        </w:rPr>
      </w:pPr>
      <w:r w:rsidRPr="00265FDF">
        <w:rPr>
          <w:b/>
          <w:bCs/>
          <w:sz w:val="24"/>
          <w:szCs w:val="24"/>
        </w:rPr>
        <w:t>Methods</w:t>
      </w:r>
      <w:r>
        <w:rPr>
          <w:sz w:val="24"/>
          <w:szCs w:val="24"/>
        </w:rPr>
        <w:t xml:space="preserve">: </w:t>
      </w:r>
      <w:r w:rsidRPr="00AB4F35" w:rsidR="00AB4F35">
        <w:rPr>
          <w:sz w:val="24"/>
          <w:szCs w:val="24"/>
        </w:rPr>
        <w:t>A total of 113 early CRPS patients were recruited, with 89 undergoing physical assessments. Data included demographic information, work-related factors, CRPS history and clinical features, body perception disturbances, quantitative sensory testing (QST), and a visuospatial attention task.</w:t>
      </w:r>
    </w:p>
    <w:p w:rsidR="008C61A6" w:rsidP="00E12587" w:rsidRDefault="00E12587" w14:paraId="25F9688F" w14:textId="4E463732">
      <w:pPr>
        <w:spacing w:line="480" w:lineRule="auto"/>
        <w:jc w:val="both"/>
        <w:rPr>
          <w:rFonts w:ascii="Calibri" w:hAnsi="Calibri" w:eastAsia="Calibri" w:cs="Calibri"/>
          <w:color w:val="FF0000"/>
          <w:sz w:val="24"/>
          <w:szCs w:val="24"/>
        </w:rPr>
      </w:pPr>
      <w:r w:rsidRPr="792AD32B" w:rsidR="00E12587">
        <w:rPr>
          <w:b w:val="1"/>
          <w:bCs w:val="1"/>
          <w:sz w:val="24"/>
          <w:szCs w:val="24"/>
        </w:rPr>
        <w:t>Results</w:t>
      </w:r>
      <w:r w:rsidRPr="792AD32B" w:rsidR="00E12587">
        <w:rPr>
          <w:sz w:val="24"/>
          <w:szCs w:val="24"/>
        </w:rPr>
        <w:t xml:space="preserve">: </w:t>
      </w:r>
      <w:r w:rsidRPr="792AD32B" w:rsidR="00E12587">
        <w:rPr>
          <w:sz w:val="24"/>
          <w:szCs w:val="24"/>
        </w:rPr>
        <w:t xml:space="preserve">QST </w:t>
      </w:r>
      <w:r w:rsidRPr="792AD32B" w:rsidR="00AB4F35">
        <w:rPr>
          <w:sz w:val="24"/>
          <w:szCs w:val="24"/>
        </w:rPr>
        <w:t>identified</w:t>
      </w:r>
      <w:r w:rsidRPr="792AD32B" w:rsidR="00AB4F35">
        <w:rPr>
          <w:sz w:val="24"/>
          <w:szCs w:val="24"/>
        </w:rPr>
        <w:t xml:space="preserve"> deficits in detecting thermal and mechanical stimuli, alongside increased sensitivity to </w:t>
      </w:r>
      <w:r w:rsidRPr="792AD32B" w:rsidR="00AB4F35">
        <w:rPr>
          <w:sz w:val="24"/>
          <w:szCs w:val="24"/>
        </w:rPr>
        <w:t>thermal and blunt pressure painful stimuli</w:t>
      </w:r>
      <w:r w:rsidRPr="792AD32B" w:rsidR="00E12587">
        <w:rPr>
          <w:sz w:val="24"/>
          <w:szCs w:val="24"/>
        </w:rPr>
        <w:t xml:space="preserve">. </w:t>
      </w:r>
      <w:r w:rsidRPr="792AD32B" w:rsidR="008C61A6">
        <w:rPr>
          <w:color w:val="FF0000"/>
          <w:sz w:val="24"/>
          <w:szCs w:val="24"/>
        </w:rPr>
        <w:t xml:space="preserve">Participants reported body </w:t>
      </w:r>
      <w:r w:rsidRPr="792AD32B" w:rsidR="008C61A6">
        <w:rPr>
          <w:color w:val="FF0000"/>
          <w:sz w:val="24"/>
          <w:szCs w:val="24"/>
        </w:rPr>
        <w:t>perception</w:t>
      </w:r>
      <w:r w:rsidRPr="792AD32B" w:rsidR="008C61A6">
        <w:rPr>
          <w:color w:val="FF0000"/>
          <w:sz w:val="24"/>
          <w:szCs w:val="24"/>
        </w:rPr>
        <w:t xml:space="preserve"> disturbances </w:t>
      </w:r>
      <w:r w:rsidRPr="792AD32B" w:rsidR="008C61A6">
        <w:rPr>
          <w:color w:val="FF0000"/>
          <w:sz w:val="24"/>
          <w:szCs w:val="24"/>
        </w:rPr>
        <w:t>similar to</w:t>
      </w:r>
      <w:r w:rsidRPr="792AD32B" w:rsidR="008C61A6">
        <w:rPr>
          <w:color w:val="FF0000"/>
          <w:sz w:val="24"/>
          <w:szCs w:val="24"/>
        </w:rPr>
        <w:t xml:space="preserve"> those of persistent CRPS</w:t>
      </w:r>
      <w:r w:rsidRPr="792AD32B" w:rsidR="008C61A6">
        <w:rPr>
          <w:rFonts w:ascii="Calibri" w:hAnsi="Calibri" w:eastAsia="Calibri" w:cs="Calibri"/>
          <w:color w:val="FF0000"/>
          <w:sz w:val="24"/>
          <w:szCs w:val="24"/>
        </w:rPr>
        <w:t>.</w:t>
      </w:r>
      <w:r w:rsidRPr="792AD32B" w:rsidR="008C61A6">
        <w:rPr>
          <w:rFonts w:ascii="Calibri" w:hAnsi="Calibri" w:eastAsia="Calibri" w:cs="Calibri"/>
          <w:color w:val="FF0000"/>
          <w:sz w:val="24"/>
          <w:szCs w:val="24"/>
        </w:rPr>
        <w:t xml:space="preserve"> </w:t>
      </w:r>
      <w:r w:rsidRPr="792AD32B" w:rsidR="00E12587">
        <w:rPr>
          <w:color w:val="FF0000"/>
          <w:sz w:val="24"/>
          <w:szCs w:val="24"/>
        </w:rPr>
        <w:t xml:space="preserve">Visuospatial biases were </w:t>
      </w:r>
      <w:r w:rsidRPr="792AD32B" w:rsidR="00E12587">
        <w:rPr>
          <w:color w:val="FF0000"/>
          <w:sz w:val="24"/>
          <w:szCs w:val="24"/>
        </w:rPr>
        <w:t>observed</w:t>
      </w:r>
      <w:r w:rsidRPr="792AD32B" w:rsidR="00E12587">
        <w:rPr>
          <w:color w:val="FF0000"/>
          <w:sz w:val="24"/>
          <w:szCs w:val="24"/>
        </w:rPr>
        <w:t xml:space="preserve"> in two subgroups of patients. </w:t>
      </w:r>
      <w:r w:rsidRPr="792AD32B" w:rsidR="008C61A6">
        <w:rPr>
          <w:rFonts w:ascii="Calibri" w:hAnsi="Calibri" w:eastAsia="Calibri" w:cs="Calibri"/>
          <w:color w:val="FF0000"/>
          <w:sz w:val="24"/>
          <w:szCs w:val="24"/>
        </w:rPr>
        <w:t>L</w:t>
      </w:r>
      <w:r w:rsidRPr="792AD32B" w:rsidR="00E12587">
        <w:rPr>
          <w:color w:val="FF0000"/>
          <w:sz w:val="24"/>
          <w:szCs w:val="24"/>
        </w:rPr>
        <w:t>atent class analysis (</w:t>
      </w:r>
      <w:r w:rsidRPr="792AD32B" w:rsidR="00E12587">
        <w:rPr>
          <w:color w:val="FF0000"/>
          <w:sz w:val="24"/>
          <w:szCs w:val="24"/>
        </w:rPr>
        <w:t>LCA</w:t>
      </w:r>
      <w:r w:rsidRPr="792AD32B" w:rsidR="00E12587">
        <w:rPr>
          <w:color w:val="FF0000"/>
          <w:sz w:val="24"/>
          <w:szCs w:val="24"/>
        </w:rPr>
        <w:t>)</w:t>
      </w:r>
      <w:r w:rsidRPr="792AD32B" w:rsidR="008C61A6">
        <w:rPr>
          <w:color w:val="FF0000"/>
          <w:sz w:val="24"/>
          <w:szCs w:val="24"/>
        </w:rPr>
        <w:t xml:space="preserve"> of 85 participants</w:t>
      </w:r>
      <w:r w:rsidRPr="792AD32B" w:rsidR="00E12587">
        <w:rPr>
          <w:color w:val="FF0000"/>
          <w:sz w:val="24"/>
          <w:szCs w:val="24"/>
        </w:rPr>
        <w:t xml:space="preserve">, </w:t>
      </w:r>
      <w:r w:rsidRPr="792AD32B" w:rsidR="00E12587">
        <w:rPr>
          <w:rFonts w:ascii="Calibri" w:hAnsi="Calibri" w:eastAsia="Calibri" w:cs="Calibri"/>
          <w:color w:val="FF0000"/>
          <w:sz w:val="24"/>
          <w:szCs w:val="24"/>
        </w:rPr>
        <w:t xml:space="preserve">based on five clinical parameters, </w:t>
      </w:r>
      <w:r w:rsidRPr="792AD32B" w:rsidR="00E12587">
        <w:rPr>
          <w:rFonts w:ascii="Calibri" w:hAnsi="Calibri" w:eastAsia="Calibri" w:cs="Calibri"/>
          <w:color w:val="FF0000"/>
          <w:sz w:val="24"/>
          <w:szCs w:val="24"/>
        </w:rPr>
        <w:t>identified</w:t>
      </w:r>
      <w:r w:rsidRPr="792AD32B" w:rsidR="00E12587">
        <w:rPr>
          <w:rFonts w:ascii="Calibri" w:hAnsi="Calibri" w:eastAsia="Calibri" w:cs="Calibri"/>
          <w:color w:val="FF0000"/>
          <w:sz w:val="24"/>
          <w:szCs w:val="24"/>
        </w:rPr>
        <w:t xml:space="preserve"> </w:t>
      </w:r>
      <w:r w:rsidRPr="792AD32B" w:rsidR="008C61A6">
        <w:rPr>
          <w:rFonts w:ascii="Calibri" w:hAnsi="Calibri" w:eastAsia="Calibri" w:cs="Calibri"/>
          <w:color w:val="FF0000"/>
          <w:sz w:val="24"/>
          <w:szCs w:val="24"/>
        </w:rPr>
        <w:t xml:space="preserve">four profiles: </w:t>
      </w:r>
      <w:r w:rsidRPr="792AD32B" w:rsidR="008C61A6">
        <w:rPr>
          <w:rFonts w:ascii="Calibri" w:hAnsi="Calibri" w:eastAsia="Calibri" w:cs="Calibri"/>
          <w:i w:val="1"/>
          <w:iCs w:val="1"/>
          <w:color w:val="FF0000"/>
          <w:sz w:val="24"/>
          <w:szCs w:val="24"/>
        </w:rPr>
        <w:t>Mild</w:t>
      </w:r>
      <w:r w:rsidRPr="792AD32B" w:rsidR="008C61A6">
        <w:rPr>
          <w:rFonts w:ascii="Calibri" w:hAnsi="Calibri" w:eastAsia="Calibri" w:cs="Calibri"/>
          <w:color w:val="FF0000"/>
          <w:sz w:val="24"/>
          <w:szCs w:val="24"/>
        </w:rPr>
        <w:t xml:space="preserve">, </w:t>
      </w:r>
      <w:r w:rsidRPr="792AD32B" w:rsidR="008C61A6">
        <w:rPr>
          <w:rFonts w:ascii="Calibri" w:hAnsi="Calibri" w:eastAsia="Calibri" w:cs="Calibri"/>
          <w:i w:val="1"/>
          <w:iCs w:val="1"/>
          <w:color w:val="FF0000"/>
          <w:sz w:val="24"/>
          <w:szCs w:val="24"/>
        </w:rPr>
        <w:t>Moderate</w:t>
      </w:r>
      <w:r w:rsidRPr="792AD32B" w:rsidR="008C61A6">
        <w:rPr>
          <w:rFonts w:ascii="Calibri" w:hAnsi="Calibri" w:eastAsia="Calibri" w:cs="Calibri"/>
          <w:color w:val="FF0000"/>
          <w:sz w:val="24"/>
          <w:szCs w:val="24"/>
        </w:rPr>
        <w:t xml:space="preserve">, </w:t>
      </w:r>
      <w:r w:rsidRPr="792AD32B" w:rsidR="008C61A6">
        <w:rPr>
          <w:rFonts w:ascii="Calibri" w:hAnsi="Calibri" w:eastAsia="Calibri" w:cs="Calibri"/>
          <w:i w:val="1"/>
          <w:iCs w:val="1"/>
          <w:color w:val="FF0000"/>
          <w:sz w:val="24"/>
          <w:szCs w:val="24"/>
        </w:rPr>
        <w:t>Body Representation Disturbance</w:t>
      </w:r>
      <w:r w:rsidRPr="792AD32B" w:rsidR="008C61A6">
        <w:rPr>
          <w:rFonts w:ascii="Calibri" w:hAnsi="Calibri" w:eastAsia="Calibri" w:cs="Calibri"/>
          <w:color w:val="FF0000"/>
          <w:sz w:val="24"/>
          <w:szCs w:val="24"/>
        </w:rPr>
        <w:t xml:space="preserve"> (BRD), and </w:t>
      </w:r>
      <w:r w:rsidRPr="792AD32B" w:rsidR="008C61A6">
        <w:rPr>
          <w:rFonts w:ascii="Calibri" w:hAnsi="Calibri" w:eastAsia="Calibri" w:cs="Calibri"/>
          <w:i w:val="1"/>
          <w:iCs w:val="1"/>
          <w:color w:val="FF0000"/>
          <w:sz w:val="24"/>
          <w:szCs w:val="24"/>
        </w:rPr>
        <w:t>Pressure Allodynia</w:t>
      </w:r>
      <w:r w:rsidRPr="792AD32B" w:rsidR="008C61A6">
        <w:rPr>
          <w:rFonts w:ascii="Calibri" w:hAnsi="Calibri" w:eastAsia="Calibri" w:cs="Calibri"/>
          <w:color w:val="FF0000"/>
          <w:sz w:val="24"/>
          <w:szCs w:val="24"/>
        </w:rPr>
        <w:t xml:space="preserve"> CRPS. The </w:t>
      </w:r>
      <w:r w:rsidRPr="792AD32B" w:rsidR="008C61A6">
        <w:rPr>
          <w:rFonts w:ascii="Calibri" w:hAnsi="Calibri" w:eastAsia="Calibri" w:cs="Calibri"/>
          <w:i w:val="1"/>
          <w:iCs w:val="1"/>
          <w:color w:val="FF0000"/>
          <w:sz w:val="24"/>
          <w:szCs w:val="24"/>
        </w:rPr>
        <w:t>Mild</w:t>
      </w:r>
      <w:r w:rsidRPr="792AD32B" w:rsidR="008C61A6">
        <w:rPr>
          <w:rFonts w:ascii="Calibri" w:hAnsi="Calibri" w:eastAsia="Calibri" w:cs="Calibri"/>
          <w:color w:val="FF0000"/>
          <w:sz w:val="24"/>
          <w:szCs w:val="24"/>
        </w:rPr>
        <w:t xml:space="preserve"> and </w:t>
      </w:r>
      <w:r w:rsidRPr="792AD32B" w:rsidR="008C61A6">
        <w:rPr>
          <w:rFonts w:ascii="Calibri" w:hAnsi="Calibri" w:eastAsia="Calibri" w:cs="Calibri"/>
          <w:i w:val="1"/>
          <w:iCs w:val="1"/>
          <w:color w:val="FF0000"/>
          <w:sz w:val="24"/>
          <w:szCs w:val="24"/>
        </w:rPr>
        <w:t>Moderate</w:t>
      </w:r>
      <w:r w:rsidRPr="792AD32B" w:rsidR="008C61A6">
        <w:rPr>
          <w:rFonts w:ascii="Calibri" w:hAnsi="Calibri" w:eastAsia="Calibri" w:cs="Calibri"/>
          <w:color w:val="FF0000"/>
          <w:sz w:val="24"/>
          <w:szCs w:val="24"/>
        </w:rPr>
        <w:t xml:space="preserve"> profiles were associated with </w:t>
      </w:r>
      <w:r w:rsidRPr="792AD32B" w:rsidR="008C61A6">
        <w:rPr>
          <w:rFonts w:ascii="Calibri" w:hAnsi="Calibri" w:eastAsia="Calibri" w:cs="Calibri"/>
          <w:color w:val="FF0000"/>
          <w:sz w:val="24"/>
          <w:szCs w:val="24"/>
        </w:rPr>
        <w:t>higher-intensity</w:t>
      </w:r>
      <w:r w:rsidRPr="792AD32B" w:rsidR="008C61A6">
        <w:rPr>
          <w:rFonts w:ascii="Calibri" w:hAnsi="Calibri" w:eastAsia="Calibri" w:cs="Calibri"/>
          <w:color w:val="FF0000"/>
          <w:sz w:val="24"/>
          <w:szCs w:val="24"/>
        </w:rPr>
        <w:t xml:space="preserve"> trauma, with the latter showing worse outcomes.</w:t>
      </w:r>
      <w:r w:rsidRPr="792AD32B" w:rsidR="00E12587">
        <w:rPr>
          <w:rFonts w:ascii="Calibri" w:hAnsi="Calibri" w:eastAsia="Calibri" w:cs="Calibri"/>
          <w:color w:val="FF0000"/>
          <w:sz w:val="24"/>
          <w:szCs w:val="24"/>
        </w:rPr>
        <w:t xml:space="preserve"> </w:t>
      </w:r>
      <w:r w:rsidRPr="792AD32B" w:rsidR="008C61A6">
        <w:rPr>
          <w:rFonts w:ascii="Calibri" w:hAnsi="Calibri" w:eastAsia="Calibri" w:cs="Calibri"/>
          <w:i w:val="1"/>
          <w:iCs w:val="1"/>
          <w:color w:val="FF0000"/>
          <w:sz w:val="24"/>
          <w:szCs w:val="24"/>
        </w:rPr>
        <w:t>BRD</w:t>
      </w:r>
      <w:r w:rsidRPr="792AD32B" w:rsidR="008C61A6">
        <w:rPr>
          <w:rFonts w:ascii="Calibri" w:hAnsi="Calibri" w:eastAsia="Calibri" w:cs="Calibri"/>
          <w:color w:val="FF0000"/>
          <w:sz w:val="24"/>
          <w:szCs w:val="24"/>
        </w:rPr>
        <w:t xml:space="preserve"> and </w:t>
      </w:r>
      <w:r w:rsidRPr="792AD32B" w:rsidR="008C61A6">
        <w:rPr>
          <w:rFonts w:ascii="Calibri" w:hAnsi="Calibri" w:eastAsia="Calibri" w:cs="Calibri"/>
          <w:i w:val="1"/>
          <w:iCs w:val="1"/>
          <w:color w:val="FF0000"/>
          <w:sz w:val="24"/>
          <w:szCs w:val="24"/>
        </w:rPr>
        <w:t>Pressure Allodynia</w:t>
      </w:r>
      <w:r w:rsidRPr="792AD32B" w:rsidR="008C61A6">
        <w:rPr>
          <w:rFonts w:ascii="Calibri" w:hAnsi="Calibri" w:eastAsia="Calibri" w:cs="Calibri"/>
          <w:color w:val="FF0000"/>
          <w:sz w:val="24"/>
          <w:szCs w:val="24"/>
        </w:rPr>
        <w:t xml:space="preserve"> CRPS followed </w:t>
      </w:r>
      <w:r w:rsidRPr="792AD32B" w:rsidR="008C61A6">
        <w:rPr>
          <w:rFonts w:ascii="Calibri" w:hAnsi="Calibri" w:eastAsia="Calibri" w:cs="Calibri"/>
          <w:color w:val="FF0000"/>
          <w:sz w:val="24"/>
          <w:szCs w:val="24"/>
        </w:rPr>
        <w:t>mild</w:t>
      </w:r>
      <w:r w:rsidRPr="792AD32B" w:rsidR="008C61A6">
        <w:rPr>
          <w:rFonts w:ascii="Calibri" w:hAnsi="Calibri" w:eastAsia="Calibri" w:cs="Calibri"/>
          <w:color w:val="FF0000"/>
          <w:sz w:val="24"/>
          <w:szCs w:val="24"/>
        </w:rPr>
        <w:t xml:space="preserve"> trauma but </w:t>
      </w:r>
      <w:r w:rsidRPr="792AD32B" w:rsidR="008C61A6">
        <w:rPr>
          <w:rFonts w:ascii="Calibri" w:hAnsi="Calibri" w:eastAsia="Calibri" w:cs="Calibri"/>
          <w:color w:val="FF0000"/>
          <w:sz w:val="24"/>
          <w:szCs w:val="24"/>
        </w:rPr>
        <w:t>exhibited</w:t>
      </w:r>
      <w:r w:rsidRPr="792AD32B" w:rsidR="008C61A6">
        <w:rPr>
          <w:rFonts w:ascii="Calibri" w:hAnsi="Calibri" w:eastAsia="Calibri" w:cs="Calibri"/>
          <w:color w:val="FF0000"/>
          <w:sz w:val="24"/>
          <w:szCs w:val="24"/>
        </w:rPr>
        <w:t xml:space="preserve"> the poorest outcomes. BRD CRPS displayed significant body </w:t>
      </w:r>
      <w:r w:rsidRPr="792AD32B" w:rsidR="008C61A6">
        <w:rPr>
          <w:rFonts w:ascii="Calibri" w:hAnsi="Calibri" w:eastAsia="Calibri" w:cs="Calibri"/>
          <w:color w:val="FF0000"/>
          <w:sz w:val="24"/>
          <w:szCs w:val="24"/>
        </w:rPr>
        <w:t>perception</w:t>
      </w:r>
      <w:r w:rsidRPr="792AD32B" w:rsidR="008C61A6">
        <w:rPr>
          <w:rFonts w:ascii="Calibri" w:hAnsi="Calibri" w:eastAsia="Calibri" w:cs="Calibri"/>
          <w:color w:val="FF0000"/>
          <w:sz w:val="24"/>
          <w:szCs w:val="24"/>
        </w:rPr>
        <w:t xml:space="preserve"> disturbances, while Pressure Allodynia CRPS </w:t>
      </w:r>
      <w:r w:rsidRPr="792AD32B" w:rsidR="008C61A6">
        <w:rPr>
          <w:rFonts w:ascii="Calibri" w:hAnsi="Calibri" w:eastAsia="Calibri" w:cs="Calibri"/>
          <w:color w:val="FF0000"/>
          <w:sz w:val="24"/>
          <w:szCs w:val="24"/>
        </w:rPr>
        <w:t>presented</w:t>
      </w:r>
      <w:r w:rsidRPr="792AD32B" w:rsidR="008C61A6">
        <w:rPr>
          <w:rFonts w:ascii="Calibri" w:hAnsi="Calibri" w:eastAsia="Calibri" w:cs="Calibri"/>
          <w:color w:val="FF0000"/>
          <w:sz w:val="24"/>
          <w:szCs w:val="24"/>
        </w:rPr>
        <w:t xml:space="preserve"> </w:t>
      </w:r>
      <w:r w:rsidRPr="792AD32B" w:rsidR="17930200">
        <w:rPr>
          <w:rFonts w:ascii="Calibri" w:hAnsi="Calibri" w:eastAsia="Calibri" w:cs="Calibri"/>
          <w:color w:val="FF0000"/>
          <w:sz w:val="24"/>
          <w:szCs w:val="24"/>
        </w:rPr>
        <w:t xml:space="preserve">the </w:t>
      </w:r>
      <w:r w:rsidRPr="792AD32B" w:rsidR="008C61A6">
        <w:rPr>
          <w:rFonts w:eastAsia="游明朝" w:eastAsiaTheme="minorEastAsia"/>
          <w:sz w:val="24"/>
          <w:szCs w:val="24"/>
        </w:rPr>
        <w:t xml:space="preserve">highest sensitivity to pressure and psychosocial risk of </w:t>
      </w:r>
      <w:r w:rsidRPr="792AD32B" w:rsidR="008C61A6">
        <w:rPr>
          <w:rFonts w:eastAsia="游明朝" w:eastAsiaTheme="minorEastAsia"/>
          <w:sz w:val="24"/>
          <w:szCs w:val="24"/>
        </w:rPr>
        <w:t>chronification</w:t>
      </w:r>
      <w:r w:rsidRPr="792AD32B" w:rsidR="008C61A6">
        <w:rPr>
          <w:rFonts w:ascii="Calibri" w:hAnsi="Calibri" w:eastAsia="Calibri" w:cs="Calibri"/>
          <w:color w:val="FF0000"/>
          <w:sz w:val="24"/>
          <w:szCs w:val="24"/>
        </w:rPr>
        <w:t>. Neither condition duration nor skin temperature effectively distinguished subgroups</w:t>
      </w:r>
      <w:r w:rsidRPr="792AD32B" w:rsidR="008C61A6">
        <w:rPr>
          <w:rFonts w:ascii="Calibri" w:hAnsi="Calibri" w:eastAsia="Calibri" w:cs="Calibri"/>
          <w:color w:val="FF0000"/>
          <w:sz w:val="24"/>
          <w:szCs w:val="24"/>
        </w:rPr>
        <w:t>.</w:t>
      </w:r>
    </w:p>
    <w:p w:rsidR="00E12587" w:rsidP="00E12587" w:rsidRDefault="00E12587" w14:paraId="50C68C2E" w14:textId="7B53828C">
      <w:pPr>
        <w:spacing w:line="480" w:lineRule="auto"/>
        <w:jc w:val="both"/>
        <w:rPr>
          <w:sz w:val="24"/>
          <w:szCs w:val="24"/>
        </w:rPr>
      </w:pPr>
      <w:r w:rsidRPr="792AD32B" w:rsidR="00E12587">
        <w:rPr>
          <w:b w:val="1"/>
          <w:bCs w:val="1"/>
          <w:sz w:val="24"/>
          <w:szCs w:val="24"/>
        </w:rPr>
        <w:t>Conclusions</w:t>
      </w:r>
      <w:r w:rsidR="00E12587">
        <w:rPr/>
        <w:t xml:space="preserve">: </w:t>
      </w:r>
      <w:r w:rsidRPr="792AD32B" w:rsidR="008C61A6">
        <w:rPr>
          <w:rFonts w:ascii="Calibri" w:hAnsi="Calibri" w:eastAsia="Calibri" w:cs="Calibri"/>
          <w:sz w:val="24"/>
          <w:szCs w:val="24"/>
        </w:rPr>
        <w:t>these findings</w:t>
      </w:r>
      <w:r w:rsidRPr="792AD32B" w:rsidR="00E12587">
        <w:rPr>
          <w:rFonts w:ascii="Calibri" w:hAnsi="Calibri" w:eastAsia="Calibri" w:cs="Calibri"/>
          <w:sz w:val="24"/>
          <w:szCs w:val="24"/>
        </w:rPr>
        <w:t xml:space="preserve"> </w:t>
      </w:r>
      <w:r w:rsidRPr="792AD32B" w:rsidR="008C61A6">
        <w:rPr>
          <w:sz w:val="24"/>
          <w:szCs w:val="24"/>
        </w:rPr>
        <w:t xml:space="preserve">emphasize </w:t>
      </w:r>
      <w:r w:rsidRPr="792AD32B" w:rsidR="00E12587">
        <w:rPr>
          <w:sz w:val="24"/>
          <w:szCs w:val="24"/>
        </w:rPr>
        <w:t xml:space="preserve">the heterogeneity within </w:t>
      </w:r>
      <w:r w:rsidRPr="792AD32B" w:rsidR="2BD897CF">
        <w:rPr>
          <w:color w:val="FF0000"/>
          <w:sz w:val="24"/>
          <w:szCs w:val="24"/>
        </w:rPr>
        <w:t>(very)</w:t>
      </w:r>
      <w:r w:rsidRPr="792AD32B" w:rsidR="2BD897CF">
        <w:rPr>
          <w:sz w:val="24"/>
          <w:szCs w:val="24"/>
        </w:rPr>
        <w:t xml:space="preserve"> </w:t>
      </w:r>
      <w:r w:rsidRPr="792AD32B" w:rsidR="00E12587">
        <w:rPr>
          <w:sz w:val="24"/>
          <w:szCs w:val="24"/>
        </w:rPr>
        <w:t xml:space="preserve">early CRPS patients and </w:t>
      </w:r>
      <w:r w:rsidRPr="792AD32B" w:rsidR="000211E6">
        <w:rPr>
          <w:color w:val="FF0000"/>
          <w:sz w:val="24"/>
          <w:szCs w:val="24"/>
        </w:rPr>
        <w:t>support the</w:t>
      </w:r>
      <w:r w:rsidRPr="792AD32B" w:rsidR="00E12587">
        <w:rPr>
          <w:color w:val="FF0000"/>
          <w:sz w:val="24"/>
          <w:szCs w:val="24"/>
        </w:rPr>
        <w:t xml:space="preserve"> absence of </w:t>
      </w:r>
      <w:r w:rsidRPr="792AD32B" w:rsidR="00E12587">
        <w:rPr>
          <w:color w:val="FF0000"/>
          <w:sz w:val="24"/>
          <w:szCs w:val="24"/>
        </w:rPr>
        <w:t>minimum</w:t>
      </w:r>
      <w:r w:rsidRPr="792AD32B" w:rsidR="00E12587">
        <w:rPr>
          <w:color w:val="FF0000"/>
          <w:sz w:val="24"/>
          <w:szCs w:val="24"/>
        </w:rPr>
        <w:t xml:space="preserve"> </w:t>
      </w:r>
      <w:r w:rsidRPr="792AD32B" w:rsidR="008C61A6">
        <w:rPr>
          <w:color w:val="FF0000"/>
          <w:sz w:val="24"/>
          <w:szCs w:val="24"/>
        </w:rPr>
        <w:t xml:space="preserve">required </w:t>
      </w:r>
      <w:r w:rsidRPr="792AD32B" w:rsidR="00E12587">
        <w:rPr>
          <w:color w:val="FF0000"/>
          <w:sz w:val="24"/>
          <w:szCs w:val="24"/>
        </w:rPr>
        <w:t>duration</w:t>
      </w:r>
      <w:r w:rsidRPr="792AD32B" w:rsidR="00E12587">
        <w:rPr>
          <w:color w:val="FF0000"/>
          <w:sz w:val="24"/>
          <w:szCs w:val="24"/>
        </w:rPr>
        <w:t xml:space="preserve"> </w:t>
      </w:r>
      <w:r w:rsidRPr="792AD32B" w:rsidR="79BC092A">
        <w:rPr>
          <w:color w:val="FF0000"/>
          <w:sz w:val="24"/>
          <w:szCs w:val="24"/>
        </w:rPr>
        <w:t xml:space="preserve">prior to the </w:t>
      </w:r>
      <w:r w:rsidRPr="792AD32B" w:rsidR="00E12587">
        <w:rPr>
          <w:color w:val="FF0000"/>
          <w:sz w:val="24"/>
          <w:szCs w:val="24"/>
        </w:rPr>
        <w:t>CRPS diagnosis</w:t>
      </w:r>
      <w:r w:rsidRPr="792AD32B" w:rsidR="008C61A6">
        <w:rPr>
          <w:color w:val="FF0000"/>
          <w:sz w:val="24"/>
          <w:szCs w:val="24"/>
        </w:rPr>
        <w:t xml:space="preserve">. </w:t>
      </w:r>
      <w:r w:rsidRPr="792AD32B" w:rsidR="008C61A6">
        <w:rPr>
          <w:sz w:val="24"/>
          <w:szCs w:val="24"/>
        </w:rPr>
        <w:t>Central</w:t>
      </w:r>
      <w:r w:rsidRPr="792AD32B" w:rsidR="008C61A6">
        <w:rPr>
          <w:sz w:val="24"/>
          <w:szCs w:val="24"/>
        </w:rPr>
        <w:t>/</w:t>
      </w:r>
      <w:r w:rsidRPr="792AD32B" w:rsidR="008C61A6">
        <w:rPr>
          <w:sz w:val="24"/>
          <w:szCs w:val="24"/>
        </w:rPr>
        <w:t>systemic mechanisms may play critical roles in severe cases</w:t>
      </w:r>
      <w:r w:rsidRPr="792AD32B" w:rsidR="1565553B">
        <w:rPr>
          <w:sz w:val="24"/>
          <w:szCs w:val="24"/>
        </w:rPr>
        <w:t>.</w:t>
      </w:r>
    </w:p>
    <w:p w:rsidRPr="0075699E" w:rsidR="00E12587" w:rsidP="00E12587" w:rsidRDefault="00E12587" w14:paraId="15624B9A" w14:textId="7C1BF992">
      <w:pPr>
        <w:spacing w:line="480" w:lineRule="auto"/>
        <w:jc w:val="both"/>
        <w:rPr>
          <w:b/>
          <w:bCs/>
          <w:sz w:val="24"/>
          <w:szCs w:val="24"/>
        </w:rPr>
      </w:pPr>
      <w:r w:rsidRPr="0075699E">
        <w:rPr>
          <w:b/>
          <w:bCs/>
          <w:sz w:val="24"/>
          <w:szCs w:val="24"/>
        </w:rPr>
        <w:t xml:space="preserve">Significance </w:t>
      </w:r>
      <w:r w:rsidRPr="0075699E">
        <w:rPr>
          <w:b/>
          <w:bCs/>
          <w:sz w:val="24"/>
          <w:szCs w:val="24"/>
          <w:highlight w:val="yellow"/>
        </w:rPr>
        <w:t>(sera mis à part)</w:t>
      </w:r>
    </w:p>
    <w:p w:rsidRPr="005143E0" w:rsidR="00E12587" w:rsidP="00E12587" w:rsidRDefault="000211E6" w14:paraId="372D8DA4" w14:textId="1C88F761">
      <w:pPr>
        <w:spacing w:line="480" w:lineRule="auto"/>
        <w:jc w:val="both"/>
        <w:rPr>
          <w:color w:val="FF0000"/>
          <w:sz w:val="24"/>
          <w:szCs w:val="24"/>
        </w:rPr>
      </w:pPr>
      <w:r w:rsidRPr="792AD32B" w:rsidR="000211E6">
        <w:rPr>
          <w:color w:val="FF0000"/>
          <w:sz w:val="24"/>
          <w:szCs w:val="24"/>
        </w:rPr>
        <w:t xml:space="preserve">This study </w:t>
      </w:r>
      <w:r w:rsidRPr="792AD32B" w:rsidR="000211E6">
        <w:rPr>
          <w:color w:val="FF0000"/>
          <w:sz w:val="24"/>
          <w:szCs w:val="24"/>
        </w:rPr>
        <w:t>identifies</w:t>
      </w:r>
      <w:r w:rsidRPr="792AD32B" w:rsidR="000211E6">
        <w:rPr>
          <w:color w:val="FF0000"/>
          <w:sz w:val="24"/>
          <w:szCs w:val="24"/>
        </w:rPr>
        <w:t xml:space="preserve"> distinct </w:t>
      </w:r>
      <w:r w:rsidRPr="792AD32B" w:rsidR="2E176C73">
        <w:rPr>
          <w:color w:val="FF0000"/>
          <w:sz w:val="24"/>
          <w:szCs w:val="24"/>
        </w:rPr>
        <w:t xml:space="preserve">(very) </w:t>
      </w:r>
      <w:r w:rsidRPr="792AD32B" w:rsidR="000211E6">
        <w:rPr>
          <w:color w:val="FF0000"/>
          <w:sz w:val="24"/>
          <w:szCs w:val="24"/>
        </w:rPr>
        <w:t xml:space="preserve">early CRPS profiles, suggesting different pathophysiological mechanisms and challenging traditional classifications. It </w:t>
      </w:r>
      <w:r w:rsidRPr="792AD32B" w:rsidR="00AB4F35">
        <w:rPr>
          <w:color w:val="FF0000"/>
          <w:sz w:val="24"/>
          <w:szCs w:val="24"/>
        </w:rPr>
        <w:t>paves the way for improved diagnosis and tailored treatments.</w:t>
      </w:r>
    </w:p>
    <w:p w:rsidR="005143E0" w:rsidRDefault="005143E0" w14:paraId="23A9A462" w14:textId="46804018">
      <w:pPr>
        <w:rPr>
          <w:b/>
          <w:bCs/>
          <w:sz w:val="24"/>
          <w:szCs w:val="24"/>
          <w:u w:val="single"/>
        </w:rPr>
      </w:pPr>
    </w:p>
    <w:p w:rsidRPr="00171B6F" w:rsidR="00FC2332" w:rsidP="4EF8719D" w:rsidRDefault="1FF52225" w14:paraId="48DCE833" w14:textId="56EED68C">
      <w:pPr>
        <w:pStyle w:val="Heading1"/>
        <w:spacing w:line="480" w:lineRule="auto"/>
        <w:jc w:val="both"/>
        <w:rPr>
          <w:sz w:val="24"/>
          <w:szCs w:val="24"/>
        </w:rPr>
      </w:pPr>
      <w:r w:rsidRPr="4EF8719D">
        <w:rPr>
          <w:sz w:val="24"/>
          <w:szCs w:val="24"/>
        </w:rPr>
        <w:t>Intro</w:t>
      </w:r>
      <w:r w:rsidRPr="4EF8719D" w:rsidR="53E55CC4">
        <w:rPr>
          <w:sz w:val="24"/>
          <w:szCs w:val="24"/>
        </w:rPr>
        <w:t>duction</w:t>
      </w:r>
    </w:p>
    <w:p w:rsidRPr="001E0491" w:rsidR="0075257B" w:rsidP="4EF8719D" w:rsidRDefault="70406F1E" w14:paraId="3D7C02DB" w14:textId="3542D0FC">
      <w:pPr>
        <w:spacing w:line="480" w:lineRule="auto"/>
        <w:jc w:val="both"/>
        <w:rPr>
          <w:rFonts w:cs="Arial"/>
          <w:sz w:val="24"/>
          <w:szCs w:val="24"/>
          <w:lang w:val="en-US"/>
        </w:rPr>
      </w:pPr>
      <w:r w:rsidRPr="267A1E1D" w:rsidR="70406F1E">
        <w:rPr>
          <w:rFonts w:cs="Arial"/>
          <w:sz w:val="24"/>
          <w:szCs w:val="24"/>
        </w:rPr>
        <w:t>C</w:t>
      </w:r>
      <w:r w:rsidRPr="267A1E1D" w:rsidR="3DE8C841">
        <w:rPr>
          <w:rFonts w:cs="Arial"/>
          <w:sz w:val="24"/>
          <w:szCs w:val="24"/>
        </w:rPr>
        <w:t xml:space="preserve">omplex regional pain syndrome (CRPS) </w:t>
      </w:r>
      <w:r w:rsidRPr="267A1E1D" w:rsidR="70406F1E">
        <w:rPr>
          <w:rFonts w:cs="Arial"/>
          <w:sz w:val="24"/>
          <w:szCs w:val="24"/>
        </w:rPr>
        <w:t xml:space="preserve">is a painful condition, </w:t>
      </w:r>
      <w:r w:rsidRPr="267A1E1D" w:rsidR="001E0491">
        <w:rPr>
          <w:rFonts w:cs="Arial"/>
          <w:sz w:val="24"/>
          <w:szCs w:val="24"/>
        </w:rPr>
        <w:t>typically</w:t>
      </w:r>
      <w:r w:rsidRPr="267A1E1D" w:rsidR="70406F1E">
        <w:rPr>
          <w:rFonts w:cs="Arial"/>
          <w:sz w:val="24"/>
          <w:szCs w:val="24"/>
        </w:rPr>
        <w:t xml:space="preserve"> affecting one limb and characterized by sensory, vasomotor, sudomotor, </w:t>
      </w:r>
      <w:r w:rsidRPr="267A1E1D" w:rsidR="002648C3">
        <w:rPr>
          <w:rFonts w:cs="Arial"/>
          <w:sz w:val="24"/>
          <w:szCs w:val="24"/>
        </w:rPr>
        <w:t xml:space="preserve">and </w:t>
      </w:r>
      <w:r w:rsidRPr="267A1E1D" w:rsidR="70406F1E">
        <w:rPr>
          <w:rFonts w:cs="Arial"/>
          <w:sz w:val="24"/>
          <w:szCs w:val="24"/>
        </w:rPr>
        <w:t>trophic</w:t>
      </w:r>
      <w:r w:rsidRPr="267A1E1D" w:rsidR="002648C3">
        <w:rPr>
          <w:rFonts w:cs="Arial"/>
          <w:sz w:val="24"/>
          <w:szCs w:val="24"/>
        </w:rPr>
        <w:t>/</w:t>
      </w:r>
      <w:r w:rsidRPr="267A1E1D" w:rsidR="70406F1E">
        <w:rPr>
          <w:rFonts w:cs="Arial"/>
          <w:sz w:val="24"/>
          <w:szCs w:val="24"/>
        </w:rPr>
        <w:t xml:space="preserve">motor </w:t>
      </w:r>
      <w:r w:rsidRPr="267A1E1D" w:rsidR="70406F1E">
        <w:rPr>
          <w:rFonts w:cs="Arial"/>
          <w:sz w:val="24"/>
          <w:szCs w:val="24"/>
        </w:rPr>
        <w:t>disturbances</w:t>
      </w:r>
      <w:r w:rsidRPr="267A1E1D" w:rsidR="7147FFE8">
        <w:rPr>
          <w:rFonts w:cs="Arial"/>
          <w:sz w:val="24"/>
          <w:szCs w:val="24"/>
        </w:rPr>
        <w:t xml:space="preserve"> </w:t>
      </w:r>
      <w:r w:rsidRPr="267A1E1D">
        <w:rPr>
          <w:rFonts w:cs="Arial"/>
          <w:sz w:val="24"/>
          <w:szCs w:val="24"/>
        </w:rPr>
        <w:fldChar w:fldCharType="begin"/>
      </w:r>
      <w:r w:rsidRPr="267A1E1D">
        <w:rPr>
          <w:rFonts w:cs="Arial"/>
          <w:sz w:val="24"/>
          <w:szCs w:val="24"/>
        </w:rPr>
        <w:instrText xml:space="preserve"> ADDIN ZOTERO_ITEM CSL_CITATION {"citationID":"7Y2w8HJU","properties":{"formattedCitation":"(Goebel et al., 2021; Harden et al., 2010)","plainCitation":"(Goebel et al., 2021; Harden et al., 2010)","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id":72,"uris":["http://zotero.org/users/8514361/items/KBZWD7I7"],"itemData":{"id":72,"type":"article-journal","abstract":"Current IASP diagnostic criteria for CRPS have low specificity, potentially leading to overdiagnosis. This validation study compared current IASP diagnostic criteria for CRPS to proposed new diagnostic criteria (the \"Budapest Criteria\") regarding diagnostic accuracy. Structured evaluations of CRPS-related signs and symptoms were conducted in 113 CRPS-I and 47 non-CRPS neuropathic pain patients. Discriminating between diagnostic groups based on presence of signs or symptoms meeting IASP criteria showed high diagnostic sensitivity (1.00), but poor specificity (0.41), replicating prior work. In comparison, the Budapest clinical criteria retained the exceptional sensitivity of the IASP criteria (0.99), but greatly improved upon the specificity (0.68). As designed, the Budapest research criteria resulted in the highest specificity (0.79), again replicating prior work. Analyses indicated that inclusion of four distinct CRPS components in the Budapest Criteria contributed to enhanced specificity. Overall, results corroborate the validity of the Budapest Criteria and suggest they improve upon existing IASP diagnostic criteria for CRPS.","container-title":"Pain","DOI":"10.1016/j.pain.2010.04.030","ISSN":"1872-6623","issue":"2","journalAbbreviation":"Pain","language":"eng","note":"PMID: 20493633\nPMCID: PMC2914601","page":"268-274","source":"PubMed","title":"Validation of proposed diagnostic criteria (the \"Budapest Criteria\") for Complex Regional Pain Syndrome","volume":"150","author":[{"family":"Harden","given":"Norman R."},{"family":"Bruehl","given":"Stephen"},{"family":"Perez","given":"Roberto S. G. M."},{"family":"Birklein","given":"Frank"},{"family":"Marinus","given":"Johan"},{"family":"Maihofner","given":"Christian"},{"family":"Lubenow","given":"Timothy"},{"family":"Buvanendran","given":"Asokumar"},{"family":"Mackey","given":"Sean"},{"family":"Graciosa","given":"Joseph"},{"family":"Mogilevski","given":"Mila"},{"family":"Ramsden","given":"Christopher"},{"family":"Chont","given":"Melissa"},{"family":"Vatine","given":"Jean-Jacques"}],"issued":{"date-parts":[["2010",8]]}}}],"schema":"https://github.com/citation-style-language/schema/raw/master/csl-citation.json"} </w:instrText>
      </w:r>
      <w:r w:rsidRPr="267A1E1D">
        <w:rPr>
          <w:rFonts w:cs="Arial"/>
          <w:sz w:val="24"/>
          <w:szCs w:val="24"/>
        </w:rPr>
        <w:fldChar w:fldCharType="separate"/>
      </w:r>
      <w:r w:rsidRPr="267A1E1D" w:rsidR="008425F7">
        <w:rPr>
          <w:rFonts w:cs="Arial"/>
          <w:sz w:val="24"/>
          <w:szCs w:val="24"/>
        </w:rPr>
        <w:t>(Goebel et al., 2021; Harden et al., 2010)</w:t>
      </w:r>
      <w:r w:rsidRPr="267A1E1D">
        <w:rPr>
          <w:rFonts w:cs="Arial"/>
          <w:sz w:val="24"/>
          <w:szCs w:val="24"/>
        </w:rPr>
        <w:fldChar w:fldCharType="end"/>
      </w:r>
      <w:r w:rsidRPr="267A1E1D" w:rsidR="70406F1E">
        <w:rPr>
          <w:rFonts w:cs="Arial"/>
          <w:sz w:val="24"/>
          <w:szCs w:val="24"/>
        </w:rPr>
        <w:t>.</w:t>
      </w:r>
      <w:r w:rsidRPr="267A1E1D" w:rsidR="001E0491">
        <w:rPr>
          <w:rFonts w:cs="Arial"/>
          <w:sz w:val="24"/>
          <w:szCs w:val="24"/>
        </w:rPr>
        <w:t xml:space="preserve"> </w:t>
      </w:r>
      <w:r w:rsidRPr="267A1E1D" w:rsidR="001E0491">
        <w:rPr>
          <w:rFonts w:cs="Arial"/>
          <w:sz w:val="24"/>
          <w:szCs w:val="24"/>
        </w:rPr>
        <w:t>Diagnosis is clinical and follows the internationally recognized Budapest criteria</w:t>
      </w:r>
      <w:r w:rsidRPr="267A1E1D" w:rsidR="001E0491">
        <w:rPr>
          <w:rFonts w:cs="Arial"/>
          <w:sz w:val="24"/>
          <w:szCs w:val="24"/>
        </w:rPr>
        <w:t xml:space="preserve"> </w:t>
      </w:r>
      <w:r w:rsidRPr="267A1E1D">
        <w:rPr>
          <w:rFonts w:cs="Arial"/>
          <w:sz w:val="24"/>
          <w:szCs w:val="24"/>
        </w:rPr>
        <w:fldChar w:fldCharType="begin"/>
      </w:r>
      <w:r w:rsidRPr="267A1E1D">
        <w:rPr>
          <w:rFonts w:cs="Arial"/>
          <w:sz w:val="24"/>
          <w:szCs w:val="24"/>
        </w:rPr>
        <w:instrText xml:space="preserve"> ADDIN ZOTERO_ITEM CSL_CITATION {"citationID":"kmmQQiQl","properties":{"unsorted":true,"formattedCitation":"(Harden et al., 2010)","plainCitation":"(Harden et al., 2010)","noteIndex":0},"citationItems":[{"id":72,"uris":["http://zotero.org/users/8514361/items/KBZWD7I7"],"itemData":{"id":72,"type":"article-journal","abstract":"Current IASP diagnostic criteria for CRPS have low specificity, potentially leading to overdiagnosis. This validation study compared current IASP diagnostic criteria for CRPS to proposed new diagnostic criteria (the \"Budapest Criteria\") regarding diagnostic accuracy. Structured evaluations of CRPS-related signs and symptoms were conducted in 113 CRPS-I and 47 non-CRPS neuropathic pain patients. Discriminating between diagnostic groups based on presence of signs or symptoms meeting IASP criteria showed high diagnostic sensitivity (1.00), but poor specificity (0.41), replicating prior work. In comparison, the Budapest clinical criteria retained the exceptional sensitivity of the IASP criteria (0.99), but greatly improved upon the specificity (0.68). As designed, the Budapest research criteria resulted in the highest specificity (0.79), again replicating prior work. Analyses indicated that inclusion of four distinct CRPS components in the Budapest Criteria contributed to enhanced specificity. Overall, results corroborate the validity of the Budapest Criteria and suggest they improve upon existing IASP diagnostic criteria for CRPS.","container-title":"Pain","DOI":"10.1016/j.pain.2010.04.030","ISSN":"1872-6623","issue":"2","journalAbbreviation":"Pain","language":"eng","note":"PMID: 20493633\nPMCID: PMC2914601","page":"268-274","source":"PubMed","title":"Validation of proposed diagnostic criteria (the \"Budapest Criteria\") for Complex Regional Pain Syndrome","volume":"150","author":[{"family":"Harden","given":"Norman R."},{"family":"Bruehl","given":"Stephen"},{"family":"Perez","given":"Roberto S. G. M."},{"family":"Birklein","given":"Frank"},{"family":"Marinus","given":"Johan"},{"family":"Maihofner","given":"Christian"},{"family":"Lubenow","given":"Timothy"},{"family":"Buvanendran","given":"Asokumar"},{"family":"Mackey","given":"Sean"},{"family":"Graciosa","given":"Joseph"},{"family":"Mogilevski","given":"Mila"},{"family":"Ramsden","given":"Christopher"},{"family":"Chont","given":"Melissa"},{"family":"Vatine","given":"Jean-Jacques"}],"issued":{"date-parts":[["2010",8]]}}}],"schema":"https://github.com/citation-style-language/schema/raw/master/csl-citation.json"} </w:instrText>
      </w:r>
      <w:r w:rsidRPr="267A1E1D">
        <w:rPr>
          <w:rFonts w:cs="Arial"/>
          <w:sz w:val="24"/>
          <w:szCs w:val="24"/>
        </w:rPr>
        <w:fldChar w:fldCharType="separate"/>
      </w:r>
      <w:r w:rsidRPr="267A1E1D" w:rsidR="002C5BBD">
        <w:rPr>
          <w:rFonts w:cs="Arial"/>
          <w:sz w:val="24"/>
          <w:szCs w:val="24"/>
        </w:rPr>
        <w:t>(Harden et al., 2010)</w:t>
      </w:r>
      <w:r w:rsidRPr="267A1E1D">
        <w:rPr>
          <w:rFonts w:cs="Arial"/>
          <w:sz w:val="24"/>
          <w:szCs w:val="24"/>
        </w:rPr>
        <w:fldChar w:fldCharType="end"/>
      </w:r>
      <w:r w:rsidRPr="267A1E1D" w:rsidR="70406F1E">
        <w:rPr>
          <w:rFonts w:cs="Arial"/>
          <w:sz w:val="24"/>
          <w:szCs w:val="24"/>
        </w:rPr>
        <w:t>.</w:t>
      </w:r>
      <w:r w:rsidRPr="267A1E1D" w:rsidR="6F785A61">
        <w:rPr>
          <w:rFonts w:cs="Arial"/>
          <w:sz w:val="24"/>
          <w:szCs w:val="24"/>
        </w:rPr>
        <w:t xml:space="preserve"> The incidence</w:t>
      </w:r>
      <w:r w:rsidRPr="267A1E1D" w:rsidR="04792D8E">
        <w:rPr>
          <w:rFonts w:cs="Arial"/>
          <w:sz w:val="24"/>
          <w:szCs w:val="24"/>
        </w:rPr>
        <w:t xml:space="preserve"> of CRPS</w:t>
      </w:r>
      <w:r w:rsidRPr="267A1E1D" w:rsidR="6F785A61">
        <w:rPr>
          <w:rFonts w:cs="Arial"/>
          <w:sz w:val="24"/>
          <w:szCs w:val="24"/>
        </w:rPr>
        <w:t xml:space="preserve"> </w:t>
      </w:r>
      <w:r w:rsidRPr="267A1E1D" w:rsidR="25C158D9">
        <w:rPr>
          <w:rFonts w:cs="Arial"/>
          <w:sz w:val="24"/>
          <w:szCs w:val="24"/>
        </w:rPr>
        <w:t xml:space="preserve">has been </w:t>
      </w:r>
      <w:r w:rsidRPr="267A1E1D" w:rsidR="19B57F14">
        <w:rPr>
          <w:rFonts w:cs="Arial"/>
          <w:sz w:val="24"/>
          <w:szCs w:val="24"/>
        </w:rPr>
        <w:t xml:space="preserve">retrospectively </w:t>
      </w:r>
      <w:r w:rsidRPr="267A1E1D" w:rsidR="001328DD">
        <w:rPr>
          <w:rFonts w:cs="Arial"/>
          <w:sz w:val="24"/>
          <w:szCs w:val="24"/>
        </w:rPr>
        <w:t>estimated</w:t>
      </w:r>
      <w:r w:rsidRPr="267A1E1D" w:rsidR="57C9B022">
        <w:rPr>
          <w:rFonts w:cs="Arial"/>
          <w:sz w:val="24"/>
          <w:szCs w:val="24"/>
        </w:rPr>
        <w:t xml:space="preserve"> </w:t>
      </w:r>
      <w:r w:rsidRPr="267A1E1D" w:rsidR="77DDEE41">
        <w:rPr>
          <w:rFonts w:cs="Arial"/>
          <w:sz w:val="24"/>
          <w:szCs w:val="24"/>
        </w:rPr>
        <w:t>between 5.</w:t>
      </w:r>
      <w:r w:rsidRPr="267A1E1D" w:rsidR="576BBBA2">
        <w:rPr>
          <w:rFonts w:cs="Arial"/>
          <w:sz w:val="24"/>
          <w:szCs w:val="24"/>
        </w:rPr>
        <w:t>5</w:t>
      </w:r>
      <w:r w:rsidRPr="267A1E1D" w:rsidR="77DDEE41">
        <w:rPr>
          <w:rFonts w:cs="Arial"/>
          <w:sz w:val="24"/>
          <w:szCs w:val="24"/>
        </w:rPr>
        <w:t xml:space="preserve"> to </w:t>
      </w:r>
      <w:r w:rsidRPr="267A1E1D" w:rsidR="725358E3">
        <w:rPr>
          <w:rFonts w:cs="Arial"/>
          <w:sz w:val="24"/>
          <w:szCs w:val="24"/>
        </w:rPr>
        <w:t>26.2</w:t>
      </w:r>
      <w:r w:rsidRPr="267A1E1D" w:rsidR="040D2B81">
        <w:rPr>
          <w:rFonts w:cs="Arial"/>
          <w:sz w:val="24"/>
          <w:szCs w:val="24"/>
        </w:rPr>
        <w:t xml:space="preserve"> cases per </w:t>
      </w:r>
      <w:r w:rsidRPr="267A1E1D" w:rsidR="725358E3">
        <w:rPr>
          <w:rFonts w:cs="Arial"/>
          <w:sz w:val="24"/>
          <w:szCs w:val="24"/>
        </w:rPr>
        <w:t>100</w:t>
      </w:r>
      <w:r w:rsidRPr="267A1E1D" w:rsidR="040D2B81">
        <w:rPr>
          <w:rFonts w:cs="Arial"/>
          <w:sz w:val="24"/>
          <w:szCs w:val="24"/>
        </w:rPr>
        <w:t>,</w:t>
      </w:r>
      <w:r w:rsidRPr="267A1E1D" w:rsidR="725358E3">
        <w:rPr>
          <w:rFonts w:cs="Arial"/>
          <w:sz w:val="24"/>
          <w:szCs w:val="24"/>
        </w:rPr>
        <w:t>000</w:t>
      </w:r>
      <w:r w:rsidRPr="267A1E1D" w:rsidR="781AD075">
        <w:rPr>
          <w:rFonts w:cs="Arial"/>
          <w:sz w:val="24"/>
          <w:szCs w:val="24"/>
        </w:rPr>
        <w:t xml:space="preserve"> persons</w:t>
      </w:r>
      <w:r w:rsidRPr="267A1E1D" w:rsidR="66D39372">
        <w:rPr>
          <w:rFonts w:cs="Arial"/>
          <w:sz w:val="24"/>
          <w:szCs w:val="24"/>
        </w:rPr>
        <w:t xml:space="preserve"> </w:t>
      </w:r>
      <w:r w:rsidRPr="267A1E1D">
        <w:rPr>
          <w:rFonts w:cs="Arial"/>
          <w:sz w:val="24"/>
          <w:szCs w:val="24"/>
        </w:rPr>
        <w:fldChar w:fldCharType="begin"/>
      </w:r>
      <w:r w:rsidRPr="267A1E1D">
        <w:rPr>
          <w:rFonts w:cs="Arial"/>
          <w:sz w:val="24"/>
          <w:szCs w:val="24"/>
        </w:rPr>
        <w:instrText xml:space="preserve"> ADDIN ZOTERO_ITEM CSL_CITATION {"citationID":"9gaN8zf5","properties":{"formattedCitation":"(de Mos et al., 2007; Sandroni et al., 2003)","plainCitation":"(de Mos et al., 2007; Sandroni et al., 2003)","noteIndex":0},"citationItems":[{"id":"jyRXZ8R7/xrZhuLPP","uris":["http://zotero.org/users/8777725/items/E2AY28TG"],"itemData":{"id":71,"type":"article-journal","abstract":"The complex regional pain syndrome (CRPS) is a painful disorder that can occur in an extremity after any type of injury, or even spontaneously. Data on the incidence of CRPS are scarce and mostly hospital based. Therefore the size of the problem and its burden on health care and society are unknown. The objective of the present study was to estimate the incidence of CRPS in the general population. A retrospective cohort study was conducted during 1996-2005 in the Integrated Primary Care Information (IPCI) project, a general practice research database with electronic patient record data from 600,000 patients throughout The Netherlands. Potential CRPS cases were identified by a sensitive search algorithm including synonyms and abbreviations for CRPS. Subsequently, cases were validated by electronic record review, supplemented with original specialist letters and information from an enquiry of general practitioners. The estimated overall incidence rate of CRPS was 26.2 per 100,000 person years (95% CI: 23.0-29.7). Females were affected at least three times more often than males (ratio: 3.4). The highest incidence occurred in females in the age category of 61-70 years. The upper extremity was affected more frequently than the lower extremity and a fracture was the most common precipitating event (44%). The observed incidence rate of CRPS is more as four times higher than the incidence rate observed in the only other population-based study, performed in Olmsted County, USA. Postmenopausal woman appeared to be at the highest risk for the development of CRPS.","container-title":"Pain","DOI":"10.1016/j.pain.2006.09.008","ISSN":"1872-6623","issue":"1-2","journalAbbreviation":"Pain","language":"eng","note":"PMID: 17084977","page":"12-20","source":"PubMed","title":"The incidence of complex regional pain syndrome: a population-based study","title-short":"The incidence of complex regional pain syndrome","volume":"129","author":[{"family":"Mos","given":"M.","non-dropping-particle":"de"},{"family":"Bruijn","given":"A. G. J.","non-dropping-particle":"de"},{"family":"Huygen","given":"F. J. P. M."},{"family":"Dieleman","given":"J. P."},{"family":"Stricker","given":"B. H. Ch"},{"family":"Sturkenboom","given":"M. C. J. M."}],"issued":{"date-parts":[["2007",5]]}}},{"id":"jyRXZ8R7/y7jy1KB4","uris":["http://zotero.org/users/8777725/items/CYSBIRAQ"],"itemData":{"id":57,"type":"article-journal","abstract":"The objective of this study is to undertake a population based study on the incidence, prevalence, natural history, and response to treatment of complex regional pain syndrome (CRPS). All Mayo Clinic and Olmsted Medical Group medical records with codes for reflex sympathetic dystrophy (RSD), CRPS, and compatible diagnoses in the period 1989-1999 were reviewed as part of the Rochester Epidemiology Project. We used IASP criteria for CRPS. The study population was in the Olmsted County, Minnesota (1990 population, 106,470). The main outcome measures were CRPS I incidence, prevalence, and outcome. Seventy-four cases of CRPS I were identified, resulting in an incidence rate of 5.46 per 100,000 person years at risk, and a period prevalence of 20.57 per 100,000. Female:male ratio was 4:1, with a median age of 46 years at onset. Upper limb was affected twice as commonly as lower limb. All cases reported an antecedent event and fracture was the most common trigger (46%). Excellent concordance was found between symptoms and signs and vasomotor symptoms were the most commonly present. Three phase bone scan and autonomic testing diagnosed the condition in &gt;80% of cases. Seventy-four percent of patients underwent resolution, often spontaneously. CRPS I is of low prevalence, more commonly affects women than men, the upper more than the lower extremity, and three out of four cases undergo resolution. These results suggest that invasive treatment of CRPS may not be warranted in the majority of cases.","container-title":"Pain","DOI":"10.1016/s0304-3959(03)00065-4","ISSN":"0304-3959","issue":"1-2","journalAbbreviation":"Pain","language":"eng","note":"PMID: 12749974","page":"199-207","source":"PubMed","title":"Complex regional pain syndrome type I: incidence and prevalence in Olmsted county, a population-based study","title-short":"Complex regional pain syndrome type I","volume":"103","author":[{"family":"Sandroni","given":"Paola"},{"family":"Benrud-Larson","given":"Lisa M."},{"family":"McClelland","given":"Robyn L."},{"family":"Low","given":"Phillip A."}],"issued":{"date-parts":[["2003",5]]}}}],"schema":"https://github.com/citation-style-language/schema/raw/master/csl-citation.json"} </w:instrText>
      </w:r>
      <w:r w:rsidRPr="267A1E1D">
        <w:rPr>
          <w:rFonts w:cs="Arial"/>
          <w:sz w:val="24"/>
          <w:szCs w:val="24"/>
        </w:rPr>
        <w:fldChar w:fldCharType="separate"/>
      </w:r>
      <w:r w:rsidRPr="267A1E1D" w:rsidR="008425F7">
        <w:rPr>
          <w:rFonts w:cs="Arial"/>
          <w:sz w:val="24"/>
          <w:szCs w:val="24"/>
        </w:rPr>
        <w:t>(de Mos et al., 2007; Sandroni et al., 2003)</w:t>
      </w:r>
      <w:r w:rsidRPr="267A1E1D">
        <w:rPr>
          <w:rFonts w:cs="Arial"/>
          <w:sz w:val="24"/>
          <w:szCs w:val="24"/>
        </w:rPr>
        <w:fldChar w:fldCharType="end"/>
      </w:r>
      <w:r w:rsidRPr="267A1E1D" w:rsidR="6DC6FF4B">
        <w:rPr>
          <w:rFonts w:cs="Arial"/>
          <w:sz w:val="24"/>
          <w:szCs w:val="24"/>
        </w:rPr>
        <w:t>;</w:t>
      </w:r>
      <w:r w:rsidRPr="267A1E1D" w:rsidR="725358E3">
        <w:rPr>
          <w:rFonts w:cs="Arial"/>
          <w:sz w:val="24"/>
          <w:szCs w:val="24"/>
        </w:rPr>
        <w:t xml:space="preserve"> </w:t>
      </w:r>
      <w:r w:rsidRPr="267A1E1D" w:rsidR="008E067C">
        <w:rPr>
          <w:rFonts w:cs="Arial"/>
          <w:sz w:val="24"/>
          <w:szCs w:val="24"/>
        </w:rPr>
        <w:t>although</w:t>
      </w:r>
      <w:r w:rsidRPr="267A1E1D" w:rsidR="725358E3">
        <w:rPr>
          <w:rFonts w:cs="Arial"/>
          <w:sz w:val="24"/>
          <w:szCs w:val="24"/>
        </w:rPr>
        <w:t xml:space="preserve"> </w:t>
      </w:r>
      <w:r w:rsidRPr="267A1E1D" w:rsidR="65DE0CBA">
        <w:rPr>
          <w:rFonts w:cs="Arial"/>
          <w:sz w:val="24"/>
          <w:szCs w:val="24"/>
        </w:rPr>
        <w:t xml:space="preserve">recent </w:t>
      </w:r>
      <w:r w:rsidRPr="267A1E1D" w:rsidR="725358E3">
        <w:rPr>
          <w:rFonts w:cs="Arial"/>
          <w:sz w:val="24"/>
          <w:szCs w:val="24"/>
        </w:rPr>
        <w:t xml:space="preserve">prospective studies </w:t>
      </w:r>
      <w:r w:rsidRPr="267A1E1D" w:rsidR="10D2041B">
        <w:rPr>
          <w:rFonts w:cs="Arial"/>
          <w:sz w:val="24"/>
          <w:szCs w:val="24"/>
        </w:rPr>
        <w:t>and meta-analys</w:t>
      </w:r>
      <w:r w:rsidRPr="267A1E1D" w:rsidR="0772D26D">
        <w:rPr>
          <w:rFonts w:cs="Arial"/>
          <w:sz w:val="24"/>
          <w:szCs w:val="24"/>
        </w:rPr>
        <w:t>e</w:t>
      </w:r>
      <w:r w:rsidRPr="267A1E1D" w:rsidR="10D2041B">
        <w:rPr>
          <w:rFonts w:cs="Arial"/>
          <w:sz w:val="24"/>
          <w:szCs w:val="24"/>
        </w:rPr>
        <w:t xml:space="preserve">s </w:t>
      </w:r>
      <w:r w:rsidRPr="267A1E1D" w:rsidR="001E0491">
        <w:rPr>
          <w:rFonts w:cs="Arial"/>
          <w:sz w:val="24"/>
          <w:szCs w:val="24"/>
        </w:rPr>
        <w:t>suggest</w:t>
      </w:r>
      <w:r w:rsidRPr="267A1E1D" w:rsidR="6DC6FF4B">
        <w:rPr>
          <w:rFonts w:cs="Arial"/>
          <w:sz w:val="24"/>
          <w:szCs w:val="24"/>
        </w:rPr>
        <w:t xml:space="preserve"> a risk </w:t>
      </w:r>
      <w:r w:rsidRPr="267A1E1D" w:rsidR="001E0491">
        <w:rPr>
          <w:rFonts w:cs="Arial"/>
          <w:sz w:val="24"/>
          <w:szCs w:val="24"/>
        </w:rPr>
        <w:t xml:space="preserve">as high as </w:t>
      </w:r>
      <w:r w:rsidRPr="267A1E1D" w:rsidR="7EF3DE0E">
        <w:rPr>
          <w:rFonts w:cs="Arial"/>
          <w:sz w:val="24"/>
          <w:szCs w:val="24"/>
        </w:rPr>
        <w:t xml:space="preserve">10% </w:t>
      </w:r>
      <w:r w:rsidRPr="267A1E1D" w:rsidR="11F7A4E2">
        <w:rPr>
          <w:rFonts w:cs="Arial"/>
          <w:sz w:val="24"/>
          <w:szCs w:val="24"/>
        </w:rPr>
        <w:t>following</w:t>
      </w:r>
      <w:r w:rsidRPr="267A1E1D" w:rsidR="7EF3DE0E">
        <w:rPr>
          <w:rFonts w:cs="Arial"/>
          <w:sz w:val="24"/>
          <w:szCs w:val="24"/>
        </w:rPr>
        <w:t xml:space="preserve"> </w:t>
      </w:r>
      <w:r w:rsidRPr="267A1E1D" w:rsidR="001328DD">
        <w:rPr>
          <w:rFonts w:cs="Arial"/>
          <w:sz w:val="24"/>
          <w:szCs w:val="24"/>
        </w:rPr>
        <w:t xml:space="preserve">surgery or </w:t>
      </w:r>
      <w:r w:rsidRPr="267A1E1D" w:rsidR="7EF3DE0E">
        <w:rPr>
          <w:rFonts w:cs="Arial"/>
          <w:sz w:val="24"/>
          <w:szCs w:val="24"/>
        </w:rPr>
        <w:t>trauma of a</w:t>
      </w:r>
      <w:r w:rsidRPr="267A1E1D" w:rsidR="41A0CCD3">
        <w:rPr>
          <w:rFonts w:cs="Arial"/>
          <w:sz w:val="24"/>
          <w:szCs w:val="24"/>
        </w:rPr>
        <w:t xml:space="preserve"> body</w:t>
      </w:r>
      <w:r w:rsidRPr="267A1E1D" w:rsidR="7EF3DE0E">
        <w:rPr>
          <w:rFonts w:cs="Arial"/>
          <w:sz w:val="24"/>
          <w:szCs w:val="24"/>
        </w:rPr>
        <w:t xml:space="preserve"> extremity</w:t>
      </w:r>
      <w:r w:rsidRPr="267A1E1D" w:rsidR="7971928C">
        <w:rPr>
          <w:rFonts w:cs="Arial"/>
          <w:sz w:val="24"/>
          <w:szCs w:val="24"/>
        </w:rPr>
        <w:t xml:space="preserve"> </w:t>
      </w:r>
      <w:r w:rsidRPr="267A1E1D">
        <w:rPr>
          <w:rFonts w:cs="Arial"/>
          <w:sz w:val="24"/>
          <w:szCs w:val="24"/>
        </w:rPr>
        <w:fldChar w:fldCharType="begin"/>
      </w:r>
      <w:r w:rsidRPr="267A1E1D">
        <w:rPr>
          <w:rFonts w:cs="Arial"/>
          <w:sz w:val="24"/>
          <w:szCs w:val="24"/>
        </w:rPr>
        <w:instrText xml:space="preserve"> ADDIN ZOTERO_ITEM CSL_CITATION {"citationID":"VoUCuSJZ","properties":{"formattedCitation":"(Beerthuizen et al., 2012; Bruehl et al., 2022; Lorente et al., 2023; Moseley et al., 2014)","plainCitation":"(Beerthuizen et al., 2012; Bruehl et al., 2022; Lorente et al., 2023; Moseley et al., 2014)","noteIndex":0},"citationItems":[{"id":31,"uris":["http://zotero.org/users/8514361/items/B5FJ6MHT"],"itemData":{"id":31,"type":"article-journal","abstract":"Limited data are available on the incidence of complex regional pain syndrome type 1 (CRPS1) and on demographic and medical risk factors for the development of CRPS1. The objective of this study was to investigate the incidence of CRPS1 in patients with a fracture using 3 sets of diagnostic criteria and to evaluate the association between demographic/medical factors and the development of CRPS1 diagnosed with the Harden and Bruehl criteria. A prospective multicenter cohort study of 596 patients (ages 18 years and older) with a single fracture of the wrist, scaphoid, ankle, or metatarsal V, recruited patients from the emergency rooms of 3 Dutch hospitals. Of the 596 participants, 42 (7.0%) were diagnosed with CRPS1 according to the Harden and Bruehl criteria, 289 (48.5%) according to the International Association for the Study of Pain criteria, and 127 (21.3%) according to the criteria of Veldman. An analysis of the medical and demographic differences revealed that patients in whom CRPS1 later developed more often had intra-articular fractures, fracture dislocations, rheumatoid arthritis, or musculoskeletal comorbidities. An ankle fracture, dislocation, and an intra-articular fracture contributed significantly to the prediction of the development of CRPS1. No CRPS1 patients were symptom free at 12 months (T3). At baseline, patients with CRPS1 had significantly more pain than patients without CRPS1 (P&lt;.001). The incidence of the diagnosis of CRPS1 after a single fracture depends to a large extent on the diagnostic criteria used. After a fracture, 7% of the patients developed CRPS1 and none of the patients were free of symptoms at 1-year follow-up.","container-title":"Pain","DOI":"10.1016/j.pain.2012.01.026","ISSN":"1872-6623","issue":"6","journalAbbreviation":"Pain","language":"eng","note":"PMID: 22386473","page":"1187-1192","source":"PubMed","title":"Demographic and medical parameters in the development of complex regional pain syndrome type 1 (CRPS1): prospective study on 596 patients with a fracture","title-short":"Demographic and medical parameters in the development of complex regional pain syndrome type 1 (CRPS1)","volume":"153","author":[{"family":"Beerthuizen","given":"Annemerle"},{"family":"Stronks","given":"Dirk L."},{"family":"Van't Spijker","given":"Adriaan"},{"family":"Yaksh","given":"Ameeta"},{"family":"Hanraets","given":"Barbara M."},{"family":"Klein","given":"Jan"},{"family":"Huygen","given":"Frank J. P. M."}],"issued":{"date-parts":[["2012",6]]}}},{"id":92,"uris":["http://zotero.org/users/8514361/items/LB4M86NE"],"itemData":{"id":92,"type":"article-journal","abstract":"This prospective observational study evaluated preoperative predictors of complex regional pain syndrome (CRPS) outcomes in the 6 months following total knee arthroplasty (TKA). Participants were n = 110 osteoarthritis patients (64.5% female) undergoing unilateral TKA with no prior CRPS history. Domains of negative affect (depression, anxiety, catastrophizing), pain (intensity, widespread pain, temporal summation of pain [TSP]), pain interference, sleep disturbance, and pro-inflammatory status (tumor necrosis factor-alpha [TNF-a]) were assessed preoperatively. CRPS outcomes at 6-week and 6-month follow-up included the continuous CRPS Severity Score (CSS) and dichotomous CRPS diagnoses (2012 IASP criteria). At 6 months, 12.7% of participants met CRPS criteria, exhibiting a \"warm CRPS\" phenotype. Six-week CSS scores were predicted by greater preoperative depression, anxiety, catastrophizing, TSP, pain intensity, sleep disturbance, and TNF-a (P's &amp;lt; .05). Provisional CRPS diagnosis at 6 weeks was predicted by higher preoperative TSP, sleep disturbance, and TNF-a (P's &amp;lt; .05). CSS scores at 6 months were predicted by more widespread and intense preoperative pain, and higher preoperative TSP, pain interference, and TNF-a (P's &amp;lt; .01). CRPS diagnosis at 6 months was predicted only by more widespread and intense pain preoperatively (P's &amp;lt; .05). Risk for CRPS following TKA appears to involve preoperative central sensitization and inflammatory mechanisms. Preoperative negative affect is unlikely to directly influence long-term CRPS risk. PERSPECTIVE: This article identifies preoperative predictors of CRPS features at 6 months following total knee arthroplasty, including more widespread pain and higher pain intensity, temporal summation of pain, pain interference, and tumor necrosis factor-alpha levels. Findings suggest the importance of central sensitization and inflammatory mechanisms in CRPS risk following tissue trauma.","container-title":"The Journal of Pain","DOI":"10.1016/j.jpain.2022.04.005","ISSN":"1528-8447","issue":"10","journalAbbreviation":"J Pain","language":"eng","note":"PMID: 35470089\nPMCID: PMC9560974","page":"1712-1723","source":"PubMed","title":"Preoperative Predictors of Complex Regional Pain Syndrome Outcomes in the 6 Months Following Total Knee Arthroplasty","volume":"23","author":[{"family":"Bruehl","given":"Stephen"},{"family":"Billings","given":"Frederic T."},{"family":"Anderson","given":"Sara"},{"family":"Polkowski","given":"Gregory"},{"family":"Shinar","given":"Andrew"},{"family":"Schildcrout","given":"Jonathan"},{"family":"Shi","given":"Yaping"},{"family":"Milne","given":"Ginger"},{"family":"Dematteo","given":"Anthony"},{"family":"Mishra","given":"Puneet"},{"family":"Harden","given":"R. Norman"}],"issued":{"date-parts":[["2022",10]]}}},{"id":96,"uris":["http://zotero.org/users/8514361/items/6B2ZRS2U"],"itemData":{"id":96,"type":"article-journal","abstract":"PURPOSE: This meta-analysis aimed to evaluate the incidence and risk factors for complex regional pain syndrome (CRPS) in radius fractures.\nMETHODS: The meta-analysis was performed using the PubMed, Embase, Scopus, and Cochrane Collaboration Library databases. Studies focusing on patients with conservative or surgically treated radius fractures leading to CRPS were included. A control group consisting of patients with radius fractures and no CRPS (-) was included. The outcome measures were incidence and risk factors. Comparative studies were also included. Data were combined using Review Manager 5.4.\nRESULTS: Out of 610 studies, nine studies were included. The incidence of CRPS after radius fractures ranged from 0.19 to 13.63% (95% CI: 11.12-16.15%). Open fractures, high-energy mechanisms in radial head fractures, and associations with ulnar fractures were risk factors for CRPS [(RR: 0.98; 95% CI: 0.97-1.00), (RR: 0.18; 95% CI: 0.07-0.47), and (RR: 1.25; 95% CI: 1.17-1.35), respectively]. Other risk factors were female sex and high body mass index [(RR: 1.20; 95% CI: 1.05-1.37) and (MD: 1.17; 95% CI: 0.45-1.88)]. Psychiatric factors also increased the incidence of CRPS (RR: 2.04; 95% CI: 1.83-2.28). On the other hand, the type of surgery (external fixation or open reduction and internal fixation) and manipulations; associated comorbidities (diabetes and hypertension) together with tobacco and alcohol abuse; marital status, educational level, employment status, and socioeconomic status were not risk factors (p &gt; 0.05).\nCONCLUSION: The incidence of CRPS in radius fractures was 13.63%. Fractures with greater complexity or greater associated tissue damage, female sex, high BMI, and psychiatric disorders were risk factors for the development of CRPS.\nLEVEL OF EVIDENCE: Meta-analysis of cohort and case series studies; II.","container-title":"Archives of Orthopaedic and Trauma Surgery","DOI":"10.1007/s00402-023-04909-8","ISSN":"1434-3916","issue":"9","journalAbbreviation":"Arch Orthop Trauma Surg","language":"eng","note":"PMID: 37209231","page":"5687-5699","source":"PubMed","title":"Incidence and risk factors for complex regional pain syndrome in radius fractures: meta-analysis","title-short":"Incidence and risk factors for complex regional pain syndrome in radius fractures","volume":"143","author":[{"family":"Lorente","given":"Alejandro"},{"family":"Mariscal","given":"Gonzalo"},{"family":"Lorente","given":"Rafael"}],"issued":{"date-parts":[["2023",9]]}}},{"id":83,"uris":["http://zotero.org/users/8514361/items/HPKTHFP4"],"itemData":{"id":83,"type":"article-journal","abstract":"Complex regional pain syndrome (CRPS) is a distressing and difficult-to-treat complication of wrist fracture. Estimates of the incidence of CRPS after wrist fracture vary greatly. It is not currently possible to identify who will go on to develop CRPS after wrist fracture. In this prospective cohort study, a nearly consecutive sample of 1,549 patients presenting with wrist fracture to 1 of 3 hospital-based fracture clinics and managed nonsurgically was assessed within 1 week of fracture and followed up 4 months later. Established criteria were used to diagnose CRPS. The incidence of CRPS in the 4 months after wrist fracture was 3.8% (95% confidence interval = 2.9-4.8%). A prediction model based on 4 clinical assessments (pain, reaction time, dysynchiria, and swelling) discriminated well between patients who would and would not subsequently develop CRPS (</w:instrText>
      </w:r>
      <w:r w:rsidRPr="267A1E1D">
        <w:rPr>
          <w:rFonts w:cs="Arial"/>
          <w:sz w:val="24"/>
          <w:szCs w:val="24"/>
        </w:rPr>
        <w:instrText xml:space="preserve">c index .99). A simple assessment of pain intensity (0-10 numerical rating scale) provided nearly the same level of discrimination (c index .98). One in 26 patients develops CRPS within 4 months of nonsurgically managed wrist fracture. A pain score of ≥5 in the first week after fracture should be considered a \"red flag\" for CRPS.\nPERSPECTIVE: This study shows that excessive baseline pain in the week after wrist fracture greatly elevates the risk of developing CRPS. Clinicians can consider a rating of greater than 5/10 to the question \"What is your average pain over the last 2 days?\" to be a \"red flag\" for CRPS.","container-title":"The Journal of Pain","DOI":"10.1016/j.jpain.2013.08.009","ISSN":"1528-8447","issue":"1","journalAbbreviation":"J Pain","language":"eng","note":"PMID: 24268113","page":"16-23","source":"PubMed","title":"Intense pain soon after wrist fracture strongly predicts who will develop complex regional pain syndrome: prospective cohort study","title-short":"Intense pain soon after wrist fracture strongly predicts who will develop complex regional pain syndrome","volume":"15","author":[{"family":"Moseley","given":"G. Lorimer"},{"family":"Herbert","given":"Robert D."},{"family":"Parsons","given":"Timothy"},{"family":"Lucas","given":"Samantha"},{"family":"Van Hilten","given":"Jacobus J."},{"family":"Marinus","given":"Johan"}],"issued":{"date-parts":[["2014",1]]}}}],"schema":"https://github.com/citation-style-language/schema/raw/master/csl-citation.json"} </w:instrText>
      </w:r>
      <w:r w:rsidRPr="267A1E1D">
        <w:rPr>
          <w:rFonts w:cs="Arial"/>
          <w:sz w:val="24"/>
          <w:szCs w:val="24"/>
        </w:rPr>
        <w:fldChar w:fldCharType="separate"/>
      </w:r>
      <w:r w:rsidRPr="267A1E1D" w:rsidR="008425F7">
        <w:rPr>
          <w:rFonts w:cs="Arial"/>
          <w:sz w:val="24"/>
          <w:szCs w:val="24"/>
        </w:rPr>
        <w:t>(</w:t>
      </w:r>
      <w:r w:rsidRPr="267A1E1D" w:rsidR="008425F7">
        <w:rPr>
          <w:rFonts w:cs="Arial"/>
          <w:sz w:val="24"/>
          <w:szCs w:val="24"/>
        </w:rPr>
        <w:t>Beerthuizen</w:t>
      </w:r>
      <w:r w:rsidRPr="267A1E1D" w:rsidR="008425F7">
        <w:rPr>
          <w:rFonts w:cs="Arial"/>
          <w:sz w:val="24"/>
          <w:szCs w:val="24"/>
        </w:rPr>
        <w:t xml:space="preserve"> et al., 2012; Bruehl et al., 2022; Lorente et al., 2023; Moseley et al., 2014)</w:t>
      </w:r>
      <w:r w:rsidRPr="267A1E1D">
        <w:rPr>
          <w:rFonts w:cs="Arial"/>
          <w:sz w:val="24"/>
          <w:szCs w:val="24"/>
        </w:rPr>
        <w:fldChar w:fldCharType="end"/>
      </w:r>
      <w:r w:rsidRPr="267A1E1D" w:rsidR="7EF3DE0E">
        <w:rPr>
          <w:rFonts w:cs="Arial"/>
          <w:sz w:val="24"/>
          <w:szCs w:val="24"/>
        </w:rPr>
        <w:t>.</w:t>
      </w:r>
      <w:r w:rsidRPr="267A1E1D" w:rsidR="6B0D7A91">
        <w:rPr>
          <w:rFonts w:cs="Arial"/>
          <w:sz w:val="24"/>
          <w:szCs w:val="24"/>
        </w:rPr>
        <w:t xml:space="preserve"> </w:t>
      </w:r>
      <w:r w:rsidRPr="267A1E1D" w:rsidR="75E38EC3">
        <w:rPr>
          <w:rFonts w:cs="Arial"/>
          <w:sz w:val="24"/>
          <w:szCs w:val="24"/>
        </w:rPr>
        <w:t>While CRPS</w:t>
      </w:r>
      <w:r w:rsidRPr="267A1E1D" w:rsidR="4E17E07B">
        <w:rPr>
          <w:rFonts w:cs="Arial"/>
          <w:sz w:val="24"/>
          <w:szCs w:val="24"/>
        </w:rPr>
        <w:t xml:space="preserve"> </w:t>
      </w:r>
      <w:r w:rsidRPr="267A1E1D" w:rsidR="6B3EFD36">
        <w:rPr>
          <w:rFonts w:cs="Arial"/>
          <w:sz w:val="24"/>
          <w:szCs w:val="24"/>
        </w:rPr>
        <w:t>impact</w:t>
      </w:r>
      <w:r w:rsidRPr="267A1E1D" w:rsidR="64C87B14">
        <w:rPr>
          <w:rFonts w:cs="Arial"/>
          <w:sz w:val="24"/>
          <w:szCs w:val="24"/>
        </w:rPr>
        <w:t>s</w:t>
      </w:r>
      <w:r w:rsidRPr="267A1E1D" w:rsidR="6B3EFD36">
        <w:rPr>
          <w:rFonts w:cs="Arial"/>
          <w:sz w:val="24"/>
          <w:szCs w:val="24"/>
        </w:rPr>
        <w:t xml:space="preserve"> all aspects of patients' life </w:t>
      </w:r>
      <w:r w:rsidRPr="267A1E1D">
        <w:rPr>
          <w:rFonts w:cs="Arial"/>
          <w:sz w:val="24"/>
          <w:szCs w:val="24"/>
        </w:rPr>
        <w:fldChar w:fldCharType="begin"/>
      </w:r>
      <w:r w:rsidRPr="267A1E1D">
        <w:rPr>
          <w:rFonts w:cs="Arial"/>
          <w:sz w:val="24"/>
          <w:szCs w:val="24"/>
        </w:rPr>
        <w:instrText xml:space="preserve"> ADDIN ZOTERO_ITEM CSL_CITATION {"citationID":"VysXPnDC","properties":{"formattedCitation":"(Lee et al., 2021; van Velzen et al., 2014)","plainCitation":"(Lee et al., 2021; van Velzen et al., 2014)","noteIndex":0},"citationItems":[{"id":89,"uris":["http://zotero.org/users/8514361/items/YMWIZXLY"],"itemData":{"id":89,"type":"article-journal","abstract":"Background\nComplex regional pain syndrome (CRPS) is an intractable pain disease with various symptoms. Here, we investigated the disease status, work life, sleep problems, medical insurance, economic status, psychological problems, and quality of life (QOL) of CRPS patients.\n\nMethods\nCRPS patients from 37 university hospitals in South Korea were surveyed. The survey questionnaire consisted of 24 questions on the following aspects of CRPS patients sex, age, occupation, cause of injury, activities of daily living (ADL), pain severity, sleep disturbance, level of education, economic status, therapeutic effect, and suicidal ideation. Additionally, the abbreviated World Health Organization Quality of Life (WHOQOL-BREF) questionnaire, consisting of 26 questions, was used to identify the status of QOL.\n\nResults\nA total of 251 patients completed the questionnaire. According to the survey, 54.2% patients could not perform ADL on their own. Over the previous week, the mean pain score was 7.15 ± 1.78 (out of a total of 10 points); 92.1% of patients had sleep disorders and 80.5% had suicidal ideation, with most patients suffering from psychological problems. The average for each domain of WHOQOL-BREF was as follows 21.74 ± 14.77 for physical, 25.22 ± 17.66 for psychological, 32.02 ± 22.36 for social relationship, and 30.69 ± 15.83 for environmental (out of a total of 100 points each). Occupation, ADL, sleep time, therapeutic effect, and suicidal ideation were statistically correlated with multiple domains.\n\nConclusions\nMost patients had moderate to severe pain, economic problems, limitations of their ADL, sleep problems, psychological problems, and a low QOL score.","container-title":"The Korean Journal of Pain","DOI":"10.3344/kjp.2021.34.3.288","ISSN":"2005-9159","issue":"3","journalAbbreviation":"Korean J Pain","note":"PMID: 34193635\nPMCID: PMC8255153","page":"288-303","source":"PubMed Central","title":"Multicenter survey of symptoms, work life, economic status, and quality of life of complex regional pain syndrome patients","volume":"34","author":[{"family":"Lee","given":"Jaemoon"},{"family":"Lim","given":"Yun Hee"},{"family":"Hong","given":"Sung Jun"},{"family":"Jeong","given":"Jae Hun"},{"family":"Choi","given":"Hey Ran"},{"family":"Park","given":"Sun Kyung"},{"family":"Kim","given":"Jung Eun"},{"family":"Park","given":"Eun Hi"},{"family":"Kim","given":"Jae Hun"}],"issued":{"date-parts":[["2021",7,1]]}}},{"id":90,"uris":["http://zotero.org/users/8514361/items/Z34RTPPQ"],"itemData":{"id":90,"type":"article-journal","abstract":"There are limited data available on health-related quality of life (QoL) in patients with complex regional pain syndrome (CRPS). In the present study we examined QoL in 975 CRPS patients attending 6 different clinics in the Netherlands. QoL was assessed using the MOS 36-Item Short-Form Health Survey (SF-36) with the Mental Health Summary Score (MHS) and the Physical Health Summary Score (PHS) as dependent variables. The influences of gender, type of affected limb, disease duration, pain scores, CRPS severity and set of diagnostic criteria used were investigated. We found the lowest scores of QoL in the physical domains of the SF-36, with lower-limb CRPS patients reporting poorer results than patients with an affected upper limb. Influence of gender on QoL was not observed, and correlations of QoL with disease duration and the CRPS severity score were weak. Pain correlated moderately with QoL. In addition, patients fulfilling stricter diagnostic criteria (ie, the Budapest criteria) had lower QoL scores than patients fulfilling less strict criteria (ie, the Orlando criteria). We conclude that loss of QoL in CRPS patients is due mainly to reduced physical health. A comparison with data available from the literature shows that CRPS patients generally report poorer QoL than patients with other chronic pain conditions, particularly in the physical domains. Pain correlated moderately with QoL and therefore deserves ongoing attention by physicians. Finally, patients meeting the diagnostic Budapest criteria have lower QoL scores than patients meeting the Orlando criteria, highlighting the impact of different sets of criteria on population characteristics.","container-title":"Pain","DOI":"10.1016/j.pain.2013.12.017","ISSN":"1872-6623","issue":"3","journalAbbreviation":"Pain","language":"eng","note":"PMID: 24342465","page":"629-634","source":"PubMed","title":"Health-related quality of life in 975 patients with complex regional pain syndrome type 1","volume":"155","author":[{"family":"Velzen","given":"Gijsbrecht A. J.","non-dropping-particle":"van"},{"family":"Perez","given":"Roberto S. G. M."},{"family":"Gestel","given":"Miriam A.","non-dropping-particle":"van"},{"family":"Huygen","given":"Frank J. P. M."},{"family":"Kleef","given":"Maarten","non-dropping-particle":"van"},{"family":"Eijs","given":"Frank","non-dropping-particle":"van"},{"family":"Dahan","given":"Albert"},{"family":"Hilten","given":"Jacobus J.","non-dropping-particle":"van"},{"family":"Marinus","given":"Johan"}],"issued":{"date-parts":[["2014",3]]}}}],"schema":"https://github.com/citation-style-language/schema/raw/master/csl-citation.json"} </w:instrText>
      </w:r>
      <w:r w:rsidRPr="267A1E1D">
        <w:rPr>
          <w:rFonts w:cs="Arial"/>
          <w:sz w:val="24"/>
          <w:szCs w:val="24"/>
        </w:rPr>
        <w:fldChar w:fldCharType="separate"/>
      </w:r>
      <w:r w:rsidRPr="267A1E1D" w:rsidR="008425F7">
        <w:rPr>
          <w:rFonts w:cs="Arial"/>
          <w:sz w:val="24"/>
          <w:szCs w:val="24"/>
        </w:rPr>
        <w:t>(Lee et al., 2021; van Velzen et al., 2014)</w:t>
      </w:r>
      <w:r w:rsidRPr="267A1E1D">
        <w:rPr>
          <w:rFonts w:cs="Arial"/>
          <w:sz w:val="24"/>
          <w:szCs w:val="24"/>
        </w:rPr>
        <w:fldChar w:fldCharType="end"/>
      </w:r>
      <w:r w:rsidRPr="267A1E1D" w:rsidR="1A020370">
        <w:rPr>
          <w:rFonts w:cs="Arial"/>
          <w:sz w:val="24"/>
          <w:szCs w:val="24"/>
        </w:rPr>
        <w:t>,</w:t>
      </w:r>
      <w:r w:rsidRPr="267A1E1D" w:rsidR="0F6829C0">
        <w:rPr>
          <w:rFonts w:cs="Arial"/>
          <w:sz w:val="24"/>
          <w:szCs w:val="24"/>
        </w:rPr>
        <w:t xml:space="preserve"> </w:t>
      </w:r>
      <w:r w:rsidRPr="267A1E1D" w:rsidR="00799AF3">
        <w:rPr>
          <w:rFonts w:cs="Arial"/>
          <w:sz w:val="24"/>
          <w:szCs w:val="24"/>
        </w:rPr>
        <w:t xml:space="preserve">its </w:t>
      </w:r>
      <w:r w:rsidRPr="267A1E1D" w:rsidR="70406F1E">
        <w:rPr>
          <w:rFonts w:cs="Arial"/>
          <w:sz w:val="24"/>
          <w:szCs w:val="24"/>
        </w:rPr>
        <w:t xml:space="preserve">pathophysiology has not been fully elucidated and is </w:t>
      </w:r>
      <w:r w:rsidRPr="267A1E1D" w:rsidR="454592A3">
        <w:rPr>
          <w:rFonts w:cs="Arial"/>
          <w:sz w:val="24"/>
          <w:szCs w:val="24"/>
        </w:rPr>
        <w:t xml:space="preserve">considered </w:t>
      </w:r>
      <w:r w:rsidRPr="267A1E1D" w:rsidR="70406F1E">
        <w:rPr>
          <w:rFonts w:cs="Arial"/>
          <w:sz w:val="24"/>
          <w:szCs w:val="24"/>
        </w:rPr>
        <w:t>multifactorial</w:t>
      </w:r>
      <w:r w:rsidRPr="267A1E1D" w:rsidR="002648C3">
        <w:rPr>
          <w:rFonts w:cs="Arial"/>
          <w:sz w:val="24"/>
          <w:szCs w:val="24"/>
        </w:rPr>
        <w:t xml:space="preserve">, </w:t>
      </w:r>
      <w:r w:rsidRPr="267A1E1D" w:rsidR="002648C3">
        <w:rPr>
          <w:rFonts w:cs="Arial"/>
          <w:sz w:val="24"/>
          <w:szCs w:val="24"/>
        </w:rPr>
        <w:t xml:space="preserve">including </w:t>
      </w:r>
      <w:r w:rsidRPr="267A1E1D" w:rsidR="0DB7179B">
        <w:rPr>
          <w:rFonts w:cs="Arial"/>
          <w:sz w:val="24"/>
          <w:szCs w:val="24"/>
        </w:rPr>
        <w:t>anatomical</w:t>
      </w:r>
      <w:r w:rsidRPr="267A1E1D" w:rsidR="0DB7179B">
        <w:rPr>
          <w:rFonts w:ascii="Calibri" w:hAnsi="Calibri" w:eastAsia="Calibri" w:cs="Calibri"/>
          <w:sz w:val="24"/>
          <w:szCs w:val="24"/>
        </w:rPr>
        <w:t xml:space="preserve"> and functional changes </w:t>
      </w:r>
      <w:r w:rsidRPr="267A1E1D" w:rsidR="77E52FEC">
        <w:rPr>
          <w:rFonts w:ascii="Calibri" w:hAnsi="Calibri" w:eastAsia="Calibri" w:cs="Calibri"/>
          <w:sz w:val="24"/>
          <w:szCs w:val="24"/>
        </w:rPr>
        <w:t>at</w:t>
      </w:r>
      <w:r w:rsidRPr="267A1E1D" w:rsidR="70406F1E">
        <w:rPr>
          <w:rFonts w:ascii="Calibri" w:hAnsi="Calibri" w:eastAsia="Calibri" w:cs="Calibri"/>
          <w:sz w:val="24"/>
          <w:szCs w:val="24"/>
        </w:rPr>
        <w:t xml:space="preserve"> </w:t>
      </w:r>
      <w:r w:rsidRPr="267A1E1D" w:rsidR="70406F1E">
        <w:rPr>
          <w:rFonts w:cs="Arial"/>
          <w:sz w:val="24"/>
          <w:szCs w:val="24"/>
        </w:rPr>
        <w:t>peripheral (e.g., neurogenic inflammation</w:t>
      </w:r>
      <w:r w:rsidRPr="267A1E1D" w:rsidR="203D5E2C">
        <w:rPr>
          <w:rFonts w:cs="Arial"/>
          <w:sz w:val="24"/>
          <w:szCs w:val="24"/>
        </w:rPr>
        <w:t xml:space="preserve"> and vasomotor dysfunction</w:t>
      </w:r>
      <w:r w:rsidRPr="267A1E1D" w:rsidR="70406F1E">
        <w:rPr>
          <w:rFonts w:cs="Arial"/>
          <w:sz w:val="24"/>
          <w:szCs w:val="24"/>
        </w:rPr>
        <w:t>) and central levels (e.g., maladaptive plasticity)</w:t>
      </w:r>
      <w:r w:rsidRPr="267A1E1D" w:rsidR="7E291D47">
        <w:rPr>
          <w:rFonts w:cs="Arial"/>
          <w:sz w:val="24"/>
          <w:szCs w:val="24"/>
        </w:rPr>
        <w:t xml:space="preserve"> </w:t>
      </w:r>
      <w:r w:rsidRPr="267A1E1D">
        <w:rPr>
          <w:rFonts w:cs="Arial"/>
        </w:rPr>
        <w:fldChar w:fldCharType="begin"/>
      </w:r>
      <w:r w:rsidRPr="267A1E1D">
        <w:rPr>
          <w:rFonts w:cs="Arial"/>
        </w:rPr>
        <w:instrText xml:space="preserve"> ADDIN ZOTERO_ITEM CSL_CITATION {"citationID":"5SQuqKvM","properties":{"formattedCitation":"(Birklein et al., 2018a; Bruehl, 2015; Ferraro et al., 2024)","plainCitation":"(Birklein et al., 2018a; Bruehl, 2015; Ferraro et al., 2024)","noteIndex":0},"citationItems":[{"id":"jyRXZ8R7/vlNb9aV3","uris":["http://zotero.org/users/8777725/items/SETXZ68I"],"itemData":{"id":121,"type":"article-journal","abstract":"Complex regional pain syndrome (CRPS) is a pain condition that usually affects a single limb, often following an injury. The underlying pathophysiology seems to be complex and probably varies between patients. Clinical diagnosis is based on internationally agreed-upon criteria, which consider the reported symptoms, presence of signs and exclusion of alternative causes. Research into CRPS biomarkers to support patient stratification and improve diagnostic certainty is an important scientific focus, and recent progress in this area provides an opportunity for an up-to-date topical review of measurable disease-predictive, diagnostic and prognostic parameters. Clinical and biochemical attributes of CRPS that may aid diagnosis and determination of appropriate treatment are delineated. Findings that predict the development of CRPS and support the diagnosis include trauma-related factors, neurocognitive peculiarities, psychological markers, and local and systemic changes that indicate activation of the immune system. Analysis of signatures of non-coding microRNAs that could predict the treatment response represents a new line of research. Results from the past 5 years of CRPS research indicate that a single marker for CRPS will probably never be found; however, a range of biomarkers might assist in clinical diagnosis and guide prognosis and treatment.","container-title":"Nature reviews. Neurology","DOI":"10.1038/NRNEUROL.2018.20","issue":"5","note":"publisher: NIH Public Access\nPMID: 29545626","page":"272","title":"Complex regional pain syndrome — phenotypic characteristics and potential biomarkers","volume":"14","author":[{"family":"Birklein","given":"Frank"},{"family":"Ajit","given":"Seena K."},{"family":"Goebel","given":"Andreas"},{"family":"Perez","given":"Roberto S. G. M."},{"family":"Sommer","given":"Claudia"}],"issued":{"date-parts":[["2018",5]]}},"label":"page"},{"id":82,"uris":["http://zotero.org/users/8514361/items/JCSCRCTS"],"itemData":{"id":82,"type":"article-journal","abstract":"Complex regional pain syndrome is a chronic pain condition characterized by autonomic and inflammatory features. It occurs acutely in about 7% of patients who have limb fractures, limb surgery, or other injuries. Many cases resolve within the first year, with a smaller subset progressing to the chronic form. This transition is often paralleled by a change from “warm complex regional pain syndrome,” with inflammatory characteristics dominant, to “cold complex regional pain syndrome” in which autonomic features dominate. Multiple peripheral and central mechanisms seem to be involved, the relative contributions of which may differ between individuals and over time. Possible contributors include peripheral and central sensitization, autonomic changes and sympatho-afferent coupling, inflammatory and immune alterations, brain changes, and genetic and psychological factors. The syndrome is diagnosed purely on the basis of clinical signs and symptoms. Effective management of the chronic form of the syndrome is often challenging. Few high quality randomized controlled trials are available to support the efficacy of the most commonly used interventions. Reviews of available randomized trials suggest that physical and occupational therapy (including graded motor imagery and mirror therapy), bisphosphonates, calcitonin, subanesthetic intravenous ketamine, free radical scavengers, oral corticosteroids, and spinal cord stimulation may be effective treatments. Multidisciplinary clinical care, which centers around functionally focused therapies is recommended. Other interventions are used to facilitate engagement in functional therapies and to improve quality of life.","container-title":"BMJ","DOI":"10.1136/bmj.h2730","ISSN":"1756-1833","journalAbbreviation":"BMJ","language":"en","license":"© BMJ Publishing Group Ltd 2015","note":"publisher: British Medical Journal Publishing Group\nsection: Clinical Review\nPMID: 26224572","page":"h2730","source":"www.bmj.com","title":"Complex regional pain syndrome","volume":"351","author":[{"family":"Bruehl","given":"Stephen"}],"issued":{"date-parts":[["2015",7,29]]}}},{"id":204,"uris":["http://zotero.org/users/8514361/items/L4V25AMH"],"itemData":{"id":204,"type":"article-journal","container-title":"The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H."}],"issued":{"date-parts":[["2024",5,1]]}}}],"schema":"https://github.com/citation-style-language/schema/raw/master/csl-citation.json"} </w:instrText>
      </w:r>
      <w:r w:rsidRPr="267A1E1D">
        <w:rPr>
          <w:rFonts w:cs="Arial"/>
        </w:rPr>
        <w:fldChar w:fldCharType="separate"/>
      </w:r>
      <w:r w:rsidRPr="267A1E1D" w:rsidR="00AD264C">
        <w:rPr>
          <w:rFonts w:ascii="Calibri" w:hAnsi="Calibri" w:cs="Calibri"/>
          <w:sz w:val="24"/>
          <w:szCs w:val="24"/>
        </w:rPr>
        <w:t>(</w:t>
      </w:r>
      <w:r w:rsidRPr="267A1E1D" w:rsidR="00AD264C">
        <w:rPr>
          <w:rFonts w:ascii="Calibri" w:hAnsi="Calibri" w:cs="Calibri"/>
          <w:sz w:val="24"/>
          <w:szCs w:val="24"/>
        </w:rPr>
        <w:t>Birklein</w:t>
      </w:r>
      <w:r w:rsidRPr="267A1E1D" w:rsidR="00AD264C">
        <w:rPr>
          <w:rFonts w:ascii="Calibri" w:hAnsi="Calibri" w:cs="Calibri"/>
          <w:sz w:val="24"/>
          <w:szCs w:val="24"/>
        </w:rPr>
        <w:t xml:space="preserve"> et al., 2018a; Bruehl, 2015; Ferraro et al., 2024)</w:t>
      </w:r>
      <w:r w:rsidRPr="267A1E1D">
        <w:rPr>
          <w:rFonts w:cs="Arial"/>
        </w:rPr>
        <w:fldChar w:fldCharType="end"/>
      </w:r>
      <w:r w:rsidRPr="267A1E1D" w:rsidR="70406F1E">
        <w:rPr>
          <w:rFonts w:cs="Arial"/>
          <w:sz w:val="24"/>
          <w:szCs w:val="24"/>
        </w:rPr>
        <w:t>.</w:t>
      </w:r>
      <w:r w:rsidRPr="267A1E1D" w:rsidR="4D09030C">
        <w:rPr>
          <w:rFonts w:cs="Arial"/>
          <w:sz w:val="24"/>
          <w:szCs w:val="24"/>
        </w:rPr>
        <w:t xml:space="preserve"> </w:t>
      </w:r>
      <w:r w:rsidRPr="267A1E1D" w:rsidR="001E0491">
        <w:rPr>
          <w:rFonts w:ascii="Calibri" w:hAnsi="Calibri" w:eastAsia="Calibri" w:cs="Calibri"/>
          <w:sz w:val="24"/>
          <w:szCs w:val="24"/>
        </w:rPr>
        <w:t>Additionally</w:t>
      </w:r>
      <w:r w:rsidRPr="267A1E1D" w:rsidR="70C90AB9">
        <w:rPr>
          <w:rFonts w:ascii="Calibri" w:hAnsi="Calibri" w:eastAsia="Calibri" w:cs="Calibri"/>
          <w:sz w:val="24"/>
          <w:szCs w:val="24"/>
        </w:rPr>
        <w:t>, animal models support the involvement of autoimmun</w:t>
      </w:r>
      <w:r w:rsidRPr="267A1E1D" w:rsidR="2CC13E9C">
        <w:rPr>
          <w:rFonts w:ascii="Calibri" w:hAnsi="Calibri" w:eastAsia="Calibri" w:cs="Calibri"/>
          <w:sz w:val="24"/>
          <w:szCs w:val="24"/>
        </w:rPr>
        <w:t>e processes</w:t>
      </w:r>
      <w:r w:rsidRPr="267A1E1D" w:rsidR="7A8C2514">
        <w:rPr>
          <w:rFonts w:cs="Arial"/>
          <w:sz w:val="24"/>
          <w:szCs w:val="24"/>
        </w:rPr>
        <w:t xml:space="preserve"> </w:t>
      </w:r>
      <w:r w:rsidRPr="267A1E1D">
        <w:rPr>
          <w:rFonts w:cs="Arial"/>
        </w:rPr>
        <w:fldChar w:fldCharType="begin"/>
      </w:r>
      <w:r w:rsidRPr="267A1E1D">
        <w:rPr>
          <w:rFonts w:cs="Arial"/>
        </w:rPr>
        <w:instrText xml:space="preserve"> ADDIN ZOTERO_ITEM CSL_CITATION {"citationID":"z5DnDMLT","properties":{"formattedCitation":"(Helyes et al., 2019)","plainCitation":"(Helyes et al., 2019)","noteIndex":0},"citationItems":[{"id":203,"uris":["http://zotero.org/users/8514361/items/SVFHM7DP"],"itemData":{"id":203,"type":"article-journal","abstract":"Neuroimmune interactions may contribute to severe pain and regional inflammatory and autonomic signs in complex regional pain syndrome (CRPS), a posttraumatic pain disorder. Here, we investigated peripheral and central immune mechanisms in a translational passive transfer trauma mouse model of CRPS. Small plantar skin-muscle incision was performed in female C57BL/6 mice treated daily with purified serum immunoglobulin G (IgG) from patients with longstanding CRPS or healthy volunteers followed by assessment of paw edema, hyperalgesia, inflammation, and central glial activation. CRPS IgG significantly increased and prolonged swelling and induced stable hyperalgesia of the incised paw compared with IgG from healthy controls. After a short-lasting paw inflammatory response in all groups, CRPS IgG-injected mice displayed sustained, profound microglia and astrocyte activation in the dorsal horn of the spinal cord and pain-related brain regions, indicating central sensitization. Genetic deletion of interleukin-1 (IL-1) using IL-1αβ knockout (KO) mice and perioperative IL-1 receptor type 1 (IL-1R1) blockade with the drug anakinra, but not treatment with the glucocorticoid prednisolone, prevented these changes. Anakinra treatment also reversed the established sensitization phenotype when initiated 8 days after incision. Furthermore, with the generation of an IL-1β floxed(fl/fl) mouse line, we demonstrated that CRPS IgG-induced changes are in part mediated by microglia-derived IL-1β, suggesting that both peripheral and central inflammatory mechanisms contribute to the transferred disease phenotype. These results indicate that persistent CRPS is often contributed to by autoantibodies and highlight a potential therapeutic use for clinically licensed antagonists, such as anakinra, to prevent or treat CRPS via blocking IL-1 actions.","container-title":"Proceedings of the National Academy of Sciences of the United States of America","DOI":"10.1073/pnas.1820168116","ISSN":"1091-6490","issue":"26","journalAbbreviation":"Proc Natl Acad Sci U S A","language":"eng","note":"PMID: 31182576\nPMCID: PMC6600930","page":"13067-13076","source":"PubMed","title":"Transfer of complex regional pain syndrome to mice via human autoantibodies is mediated by interleukin-1-induced mechanisms","volume":"116","author":[{"family":"Helyes","given":"Zsuzsanna"},{"family":"Tékus","given":"Valéria"},{"family":"Szentes","given":"Nikolett"},{"family":"Pohóczky","given":"Krisztina"},{"family":"Botz","given":"Bálint"},{"family":"Kiss","given":"Tamás"},{"family":"Kemény","given":"Ágnes"},{"family":"Környei","given":"Zsuzsanna"},{"family":"Tóth","given":"Krisztina"},{"family":"Lénárt","given":"Nikolett"},{"family":"Ábrahám","given":"Hajnalka"},{"family":"Pinteaux","given":"Emmanuel"},{"family":"Francis","given":"Sheila"},{"family":"Sensi","given":"Serena"},{"family":"Dénes","given":"Ádám"},{"family":"Goebel","given":"Andreas"}],"issued":{"date-parts":[["2019",6,25]]}}}],"schema":"https://github.com/citation-style-language/schema/raw/master/csl-citation.json"} </w:instrText>
      </w:r>
      <w:r w:rsidRPr="267A1E1D">
        <w:rPr>
          <w:rFonts w:cs="Arial"/>
        </w:rPr>
        <w:fldChar w:fldCharType="separate"/>
      </w:r>
      <w:r w:rsidRPr="267A1E1D" w:rsidR="008425F7">
        <w:rPr>
          <w:rFonts w:ascii="Calibri" w:hAnsi="Calibri" w:cs="Calibri"/>
          <w:sz w:val="24"/>
          <w:szCs w:val="24"/>
        </w:rPr>
        <w:t>(</w:t>
      </w:r>
      <w:r w:rsidRPr="267A1E1D" w:rsidR="008425F7">
        <w:rPr>
          <w:rFonts w:ascii="Calibri" w:hAnsi="Calibri" w:cs="Calibri"/>
          <w:sz w:val="24"/>
          <w:szCs w:val="24"/>
        </w:rPr>
        <w:t>Helyes</w:t>
      </w:r>
      <w:r w:rsidRPr="267A1E1D" w:rsidR="008425F7">
        <w:rPr>
          <w:rFonts w:ascii="Calibri" w:hAnsi="Calibri" w:cs="Calibri"/>
          <w:sz w:val="24"/>
          <w:szCs w:val="24"/>
        </w:rPr>
        <w:t xml:space="preserve"> et al., 2019)</w:t>
      </w:r>
      <w:r w:rsidRPr="267A1E1D">
        <w:rPr>
          <w:rFonts w:cs="Arial"/>
        </w:rPr>
        <w:fldChar w:fldCharType="end"/>
      </w:r>
      <w:r w:rsidRPr="267A1E1D" w:rsidR="5147EC8E">
        <w:rPr>
          <w:rFonts w:cs="Arial"/>
          <w:sz w:val="24"/>
          <w:szCs w:val="24"/>
        </w:rPr>
        <w:t>.</w:t>
      </w:r>
      <w:r w:rsidRPr="267A1E1D" w:rsidR="3852EAF5">
        <w:rPr>
          <w:rFonts w:cs="Arial"/>
          <w:sz w:val="24"/>
          <w:szCs w:val="24"/>
        </w:rPr>
        <w:t xml:space="preserve"> </w:t>
      </w:r>
      <w:r w:rsidRPr="267A1E1D" w:rsidR="70406F1E">
        <w:rPr>
          <w:rFonts w:cs="Arial"/>
          <w:sz w:val="24"/>
          <w:szCs w:val="24"/>
        </w:rPr>
        <w:t xml:space="preserve"> </w:t>
      </w:r>
      <w:r w:rsidRPr="267A1E1D" w:rsidR="06C18C01">
        <w:rPr>
          <w:rFonts w:ascii="Calibri" w:hAnsi="Calibri" w:eastAsia="Calibri" w:cs="Calibri"/>
          <w:sz w:val="24"/>
          <w:szCs w:val="24"/>
        </w:rPr>
        <w:t xml:space="preserve">Cognitive symptoms are increasingly recognized as </w:t>
      </w:r>
      <w:r w:rsidRPr="267A1E1D" w:rsidR="04DBAA2B">
        <w:rPr>
          <w:rFonts w:ascii="Calibri" w:hAnsi="Calibri" w:eastAsia="Calibri" w:cs="Calibri"/>
          <w:sz w:val="24"/>
          <w:szCs w:val="24"/>
        </w:rPr>
        <w:t xml:space="preserve">a </w:t>
      </w:r>
      <w:r w:rsidRPr="267A1E1D" w:rsidR="06C18C01">
        <w:rPr>
          <w:rFonts w:ascii="Calibri" w:hAnsi="Calibri" w:eastAsia="Calibri" w:cs="Calibri"/>
          <w:sz w:val="24"/>
          <w:szCs w:val="24"/>
        </w:rPr>
        <w:t>typical feature of CRPS</w:t>
      </w:r>
      <w:r w:rsidRPr="267A1E1D" w:rsidR="091ADB0E">
        <w:rPr>
          <w:rFonts w:cs="Arial"/>
          <w:sz w:val="24"/>
          <w:szCs w:val="24"/>
        </w:rPr>
        <w:t xml:space="preserve"> </w:t>
      </w:r>
      <w:r w:rsidRPr="267A1E1D">
        <w:rPr>
          <w:rFonts w:cs="Arial"/>
        </w:rPr>
        <w:fldChar w:fldCharType="begin"/>
      </w:r>
      <w:r w:rsidRPr="267A1E1D">
        <w:rPr>
          <w:rFonts w:cs="Arial"/>
        </w:rPr>
        <w:instrText xml:space="preserve"> ADDIN ZOTERO_ITEM CSL_CITATION {"citationID":"99Kfx0Eg","properties":{"formattedCitation":"(Halicka et al., 2020)","plainCitation":"(Halicka et al., 2020)","noteIndex":0},"citationItems":[{"id":"jyRXZ8R7/vY9sqDBl","uris":["http://zotero.org/users/8777725/items/K7NIDTCY"],"itemData":{"id":62,"type":"article-journal","abstract":"Complex Regional Pain Syndrome (CRPS) is a poorly understood chronic pain condition of multifactorial origin. CRPS involves sensory, motor, and autonomic symptoms primarily affecting one extremity. Patients can also present with neuropsychological changes such as reduced attention to the CRPS-affected extremity, reminiscent of hemispatial neglect, yet in the absence of any brain lesions. However, this \"neglect-like\" framework is not sufficient to characterise the range of higher cognitive functions that can be altered in CRPS. This comprehensive literature review synthesises evidence of neuropsychological changes in CRPS in the context of potential central mechanisms of the disorder. The affected neuropsychological functions constitute three distinct but not independent groups: distorted body representation, deficits in lateralised spatial cognition, and impairment of non-spatially-lateralised higher cognitive functions. We suggest that many of these symptoms appear to be consistent with a broader disruption to parietal function beyond merely what could be considered \"neglect-like.\" Moreover, the extent of neuropsychological symptoms might be related to the clinical signs of CRPS, and rehabilitation methods that target the neuropsychological changes can improve clinical outcomes in CRPS and other chronic pain conditions. Based on the limitations and gaps in the reviewed literature, we provide several suggestions to improve further research on neuropsychological changes in chronic pain.","container-title":"Behavioural Neurology","DOI":"10.1155/2020/4561831","ISSN":"1875-8584","journalAbbreviation":"Behav Neurol","language":"eng","note":"PMID: 32399082\nPMCID: PMC7201816","page":"4561831","source":"PubMed","title":"Neuropsychological Changes in Complex Regional Pain Syndrome (CRPS)","volume":"2020","author":[{"family":"Halicka","given":"Monika"},{"family":"Vittersø","given":"Axel D."},{"family":"Proulx","given":"Michael J."},{"family":"Bultitude","given":"Janet H."}],"issued":{"date-parts":[["2020"]]}}}],"schema":"https://github.com/citation-style-language/schema/raw/master/csl-citation.json"} </w:instrText>
      </w:r>
      <w:r w:rsidRPr="267A1E1D">
        <w:rPr>
          <w:rFonts w:cs="Arial"/>
        </w:rPr>
        <w:fldChar w:fldCharType="separate"/>
      </w:r>
      <w:r w:rsidRPr="267A1E1D" w:rsidR="008425F7">
        <w:rPr>
          <w:rFonts w:ascii="Calibri" w:hAnsi="Calibri" w:cs="Calibri"/>
          <w:sz w:val="24"/>
          <w:szCs w:val="24"/>
        </w:rPr>
        <w:t xml:space="preserve">(Halicka et al., </w:t>
      </w:r>
      <w:r w:rsidRPr="267A1E1D" w:rsidR="008425F7">
        <w:rPr>
          <w:rFonts w:ascii="Calibri" w:hAnsi="Calibri" w:cs="Calibri"/>
          <w:sz w:val="24"/>
          <w:szCs w:val="24"/>
        </w:rPr>
        <w:t>2020)</w:t>
      </w:r>
      <w:r w:rsidRPr="267A1E1D">
        <w:rPr>
          <w:rFonts w:cs="Arial"/>
        </w:rPr>
        <w:fldChar w:fldCharType="end"/>
      </w:r>
      <w:r w:rsidRPr="267A1E1D" w:rsidR="26E5065D">
        <w:rPr>
          <w:rFonts w:ascii="Calibri" w:hAnsi="Calibri" w:eastAsia="Calibri" w:cs="Calibri"/>
          <w:sz w:val="24"/>
          <w:szCs w:val="24"/>
        </w:rPr>
        <w:t xml:space="preserve">: body representation disturbances and perceptual deficits have been consistently documented using questionnaires and neuropsychological testing procedures </w:t>
      </w:r>
      <w:r w:rsidRPr="267A1E1D">
        <w:rPr>
          <w:rFonts w:cs="Arial"/>
        </w:rPr>
        <w:fldChar w:fldCharType="begin"/>
      </w:r>
      <w:r w:rsidRPr="267A1E1D">
        <w:rPr>
          <w:rFonts w:cs="Arial"/>
        </w:rPr>
        <w:instrText xml:space="preserve"> ADDIN ZOTERO_ITEM CSL_CITATION {"citationID":"lYD60MRL","properties":{"formattedCitation":"(Bultitude et al., 2017a; Filbrich et al., 2017; Ten Brink et al., 2021a)","plainCitation":"(Bultitude et al., 2017a; Filbrich et al., 2017; Ten Brink et al., 2021a)","noteIndex":0},"citationItems":[{"id":"jyRXZ8R7/Cw69VMGX","uris":["http://zotero.org/users/8777725/items/DXA324BL"],"itemData":{"id":497,"type":"article-journal","abstract":"The Bath Complex Regional Pain Syndrome Body Perception Disturbance Scale (\"B-CRPS-BPDS\") measures alterations in body perception. We assessed its internal consistency, known group validity, construct validity, and associations with demographic and clinical characteristics. We also evaluated changes in, and baseline predictors of B-CRPS-BPDS scores at follow-up. We included people with CRPS (N = 114) and pain-free controls (N = 69). People with CRPS obtained higher scores than pain-free controls on all B-CRPS-BPDS items, except the item on attention. Because this item also had an insufficient corrected item-total correlation, we propose a revised B-CRPS-BPDS (r-B-CRPS-BPDS) excluding this item. The internal consistency of the r-B-CRPS-BPDS was good. The r-B-CRPS-BPDS showed a large positive relationship with \"motor neglect-like symptoms\", indicating good construct validity. The r-B-CRPS-BPDS showed positive relationships with pain intensity, fear of movement, depression, and upper limb disability. There were no independent relationships with handedness, affected side, affected limb, disease duration, CRPS severity score, tension, anger, fatigue, confusion, and vigour. Finally, r-B-CRPS-BPDS scores did not consistently change over time. Our results demonstrate the utility of the r-B-CRPS-BPDS for measuring body perception disturbances in CRPS. PERSPECTIVE: This article evaluates the validity of the Bath Complex Regional Pain Syndrome Body Perception Disturbance Scale (\"B-CRPS-BPDS\") in CRPS, and assesses relationships with demographic and clinical variables. The proposed revised B-CRPS-BPDS appears to be a valid measure of body perception disturbances in CRPS.","container-title":"The Journal of Pain","DOI":"10.1016/j.jpain.2021.04.007","ISSN":"1528-8447","issue":"11","journalAbbreviation":"J Pain","language":"eng","note":"PMID: 33964412","page":"1371-1384","source":"PubMed","title":"Validation of the Bath CRPS Body Perception Disturbance Scale","volume":"22","author":[{"family":"Ten Brink","given":"Antonia F."},{"family":"Halicka","given":"Monika"},{"family":"Vittersø","given":"Axel D."},{"family":"Jones","given":"Hannah G."},{"family":"Stanton","given":"Tasha R."},{"family":"Bultitude","given":"Janet H."}],"issued":{"date-parts":[["2021",11]]}}},{"id":"jyRXZ8R7/uIuEbU5W","uris":["http://zotero.org/users/8777725/items/WWWQ5C5W"],"itemData":{"id":91,"type":"article-journal","container-title":"Scientific Reports","DOI":"10.1038/s41598-017-10077-8","ISSN":"2045-2322","issue":"1","journalAbbreviation":"Sci Rep","language":"en","page":"9712","source":"DOI.org (Crossref)","title":"Biased visuospatial perception in complex regional pain syndrome","volume":"7","author":[{"family":"Filbrich","given":"Lieve"},{"family":"Alamia","given":"Andrea"},{"family":"Verfaille","given":"Charlotte"},{"family":"Berquin","given":"Anne"},{"family":"Barbier","given":"Olivier"},{"family":"Libouton","given":"Xavier"},{"family":"Fraselle","given":"Virginie"},{"family":"Mouraux","given":"Dominique"},{"family":"Legrain","given":"Valéry"}],"issued":{"date-parts":[["2017",12]]}},"label":"page"},{"id":"jyRXZ8R7/Zu3vFkrk","uris":["http://zotero.org/users/8777725/items/TVJL73E4"],"itemData":{"id":1526,"type":"article-journal","abstract":"See Legrain (doi:10.1093/awx188) for a scientific commentary on this article. Some patients with complex regional pain syndrome report that movements of the affected limb are slow, more effortful, and lack automaticity. These symptoms have been likened to the syndrome that sometimes follows brain injury called hemispatial neglect, in which patients exhibit attentional impairments and problems with movements affecting the contralesional side of the body and space. Psychophysical testing of patients with complex regional pain syndrome has found evidence for spatial biases when judging visual targets distanced at 2 m, but not in directions that indicate reduced attention to the affected side. In contrast, when judging visual or tactile stimuli presented on their own body surface, or pictures of hands and feet within arm's reach, patients with complex regional pain syndrome exhibited a bias away from the affected side. What is not yet known is whether patients with complex regional pain syndrome only have biased attention for bodily-specific information in the space within arm's reach, or whether they also show a bias for information that is not associated with the body, suggesting a more generalized attention deficit. Using a temporal order judgement task, we found that patients with complex regional pain syndrome processed visual stimuli more slowly on the affected side (relative to the unaffected side) when the lights were projected onto a blank surface (i.e. when no bodily information was visible), and when the lights were projected onto the dorsal surfaces of their uncrossed hands. However, with the arms crossed (such that the left and right lights projected onto the right and left hands, respectively), patients' responses were no different than controls. These results provide the first demonstration of a generalized attention bias away from the affected side of space in complex regional pain syndrome pat</w:instrText>
      </w:r>
      <w:r w:rsidRPr="267A1E1D">
        <w:rPr>
          <w:rFonts w:cs="Arial"/>
          <w:lang w:val="fr-FR"/>
        </w:rPr>
        <w:instrText xml:space="preserve">ients that is not specifically related to bodily information. They also suggest a separate and additional bias of visual attention away from the affected hand. The strength of attention bias was predicted by scores on a self-report measure of body perception distortion; but not by pain intensity, time since diagnosis, or affected body side (left or right). At an individual level, those patients whose upper limbs were most affected had a higher incidence of inattention than those whose lower limbs were most affected. However, at a group level, affected limb (upper or lower) did not predict bias magnitude; nor did three measures designed to assess possible asymmetries in the distribution of movements across space. It is concluded that inattention in near space in complex regional pain syndrome may arise in parallel with a distorted perception of the body.10.1093/brain/awx152_video1awx152media15495542665001.","container-title":"Brain: A Journal of Neurology","DOI":"10.1093/brain/awx152","ISSN":"1460-2156","issue":"9","journalAbbreviation":"Brain","language":"eng","note":"PMID: 29050381","page":"2306-2321","source":"PubMed","title":"Space-based bias of covert visual attention in complex regional pain syndrome","volume":"140","author":[{"family":"Bultitude","given":"Janet H."},{"family":"Walker","given":"Ian"},{"family":"Spence","given":"Charles"}],"issued":{"date-parts":[["2017",9,1]]}}}],"schema":"https://github.com/citation-style-language/schema/raw/master/csl-citation.json"} </w:instrText>
      </w:r>
      <w:r w:rsidRPr="267A1E1D">
        <w:rPr>
          <w:rFonts w:cs="Arial"/>
        </w:rPr>
        <w:fldChar w:fldCharType="separate"/>
      </w:r>
      <w:r w:rsidRPr="267A1E1D" w:rsidR="00A03CF2">
        <w:rPr>
          <w:rFonts w:ascii="Calibri" w:hAnsi="Calibri" w:cs="Calibri"/>
          <w:sz w:val="24"/>
          <w:szCs w:val="24"/>
          <w:lang w:val="fr-FR"/>
        </w:rPr>
        <w:t>(</w:t>
      </w:r>
      <w:r w:rsidRPr="267A1E1D" w:rsidR="00A03CF2">
        <w:rPr>
          <w:rFonts w:ascii="Calibri" w:hAnsi="Calibri" w:cs="Calibri"/>
          <w:sz w:val="24"/>
          <w:szCs w:val="24"/>
          <w:lang w:val="fr-FR"/>
        </w:rPr>
        <w:t>Bultitude</w:t>
      </w:r>
      <w:r w:rsidRPr="267A1E1D" w:rsidR="00A03CF2">
        <w:rPr>
          <w:rFonts w:ascii="Calibri" w:hAnsi="Calibri" w:cs="Calibri"/>
          <w:sz w:val="24"/>
          <w:szCs w:val="24"/>
          <w:lang w:val="fr-FR"/>
        </w:rPr>
        <w:t xml:space="preserve"> et al., 2017</w:t>
      </w:r>
      <w:r w:rsidRPr="267A1E1D" w:rsidR="00A03CF2">
        <w:rPr>
          <w:rFonts w:ascii="Calibri" w:hAnsi="Calibri" w:cs="Calibri"/>
          <w:sz w:val="24"/>
          <w:szCs w:val="24"/>
          <w:lang w:val="fr-FR"/>
        </w:rPr>
        <w:t>a;</w:t>
      </w:r>
      <w:r w:rsidRPr="267A1E1D" w:rsidR="00A03CF2">
        <w:rPr>
          <w:rFonts w:ascii="Calibri" w:hAnsi="Calibri" w:cs="Calibri"/>
          <w:sz w:val="24"/>
          <w:szCs w:val="24"/>
          <w:lang w:val="fr-FR"/>
        </w:rPr>
        <w:t xml:space="preserve"> </w:t>
      </w:r>
      <w:r w:rsidRPr="267A1E1D" w:rsidR="00A03CF2">
        <w:rPr>
          <w:rFonts w:ascii="Calibri" w:hAnsi="Calibri" w:cs="Calibri"/>
          <w:sz w:val="24"/>
          <w:szCs w:val="24"/>
          <w:lang w:val="fr-FR"/>
        </w:rPr>
        <w:t>Filbrich</w:t>
      </w:r>
      <w:r w:rsidRPr="267A1E1D" w:rsidR="00A03CF2">
        <w:rPr>
          <w:rFonts w:ascii="Calibri" w:hAnsi="Calibri" w:cs="Calibri"/>
          <w:sz w:val="24"/>
          <w:szCs w:val="24"/>
          <w:lang w:val="fr-FR"/>
        </w:rPr>
        <w:t xml:space="preserve"> et al., </w:t>
      </w:r>
      <w:r w:rsidRPr="267A1E1D" w:rsidR="00A03CF2">
        <w:rPr>
          <w:rFonts w:ascii="Calibri" w:hAnsi="Calibri" w:cs="Calibri"/>
          <w:sz w:val="24"/>
          <w:szCs w:val="24"/>
          <w:lang w:val="fr-FR"/>
        </w:rPr>
        <w:t>2017;</w:t>
      </w:r>
      <w:r w:rsidRPr="267A1E1D" w:rsidR="00A03CF2">
        <w:rPr>
          <w:rFonts w:ascii="Calibri" w:hAnsi="Calibri" w:cs="Calibri"/>
          <w:sz w:val="24"/>
          <w:szCs w:val="24"/>
          <w:lang w:val="fr-FR"/>
        </w:rPr>
        <w:t xml:space="preserve"> </w:t>
      </w:r>
      <w:r w:rsidRPr="267A1E1D" w:rsidR="00A03CF2">
        <w:rPr>
          <w:rFonts w:ascii="Calibri" w:hAnsi="Calibri" w:cs="Calibri"/>
          <w:sz w:val="24"/>
          <w:szCs w:val="24"/>
          <w:lang w:val="fr-FR"/>
        </w:rPr>
        <w:t>Ten</w:t>
      </w:r>
      <w:r w:rsidRPr="267A1E1D" w:rsidR="00A03CF2">
        <w:rPr>
          <w:rFonts w:ascii="Calibri" w:hAnsi="Calibri" w:cs="Calibri"/>
          <w:sz w:val="24"/>
          <w:szCs w:val="24"/>
          <w:lang w:val="fr-FR"/>
        </w:rPr>
        <w:t xml:space="preserve"> Brink et al., 2021a)</w:t>
      </w:r>
      <w:r w:rsidRPr="267A1E1D">
        <w:rPr>
          <w:rFonts w:cs="Arial"/>
        </w:rPr>
        <w:fldChar w:fldCharType="end"/>
      </w:r>
      <w:r w:rsidRPr="267A1E1D" w:rsidR="00A03CF2">
        <w:rPr>
          <w:rFonts w:ascii="Calibri" w:hAnsi="Calibri" w:eastAsia="Calibri" w:cs="Calibri"/>
          <w:sz w:val="24"/>
          <w:szCs w:val="24"/>
          <w:lang w:val="fr-FR"/>
        </w:rPr>
        <w:t>.</w:t>
      </w:r>
      <w:r w:rsidRPr="267A1E1D" w:rsidR="26E5065D">
        <w:rPr>
          <w:rFonts w:ascii="Calibri" w:hAnsi="Calibri" w:eastAsia="Calibri" w:cs="Calibri"/>
          <w:lang w:val="fr-FR"/>
        </w:rPr>
        <w:t xml:space="preserve"> </w:t>
      </w:r>
      <w:r w:rsidRPr="267A1E1D" w:rsidR="26E5065D">
        <w:rPr>
          <w:rFonts w:ascii="Calibri" w:hAnsi="Calibri" w:eastAsia="Calibri" w:cs="Calibri"/>
        </w:rPr>
        <w:t>Howe</w:t>
      </w:r>
      <w:r w:rsidRPr="267A1E1D" w:rsidR="26E5065D">
        <w:rPr>
          <w:rFonts w:ascii="Calibri" w:hAnsi="Calibri" w:eastAsia="Calibri" w:cs="Calibri"/>
          <w:sz w:val="24"/>
          <w:szCs w:val="24"/>
        </w:rPr>
        <w:t>ver, they</w:t>
      </w:r>
      <w:r w:rsidRPr="267A1E1D" w:rsidR="26E5065D">
        <w:rPr>
          <w:rFonts w:ascii="Calibri" w:hAnsi="Calibri" w:eastAsia="Calibri" w:cs="Calibri"/>
          <w:sz w:val="24"/>
          <w:szCs w:val="24"/>
        </w:rPr>
        <w:t xml:space="preserve"> are not included yet in the diagnostic criteria</w:t>
      </w:r>
      <w:r w:rsidRPr="267A1E1D" w:rsidR="00A03CF2">
        <w:rPr>
          <w:rFonts w:cs="Arial"/>
          <w:sz w:val="24"/>
          <w:szCs w:val="24"/>
        </w:rPr>
        <w:t>.</w:t>
      </w:r>
    </w:p>
    <w:p w:rsidRPr="00171B6F" w:rsidR="09BCF658" w:rsidP="4EF8719D" w:rsidRDefault="2198C3A4" w14:paraId="16DF79E2" w14:textId="284B6B6E">
      <w:pPr>
        <w:spacing w:line="480" w:lineRule="auto"/>
        <w:jc w:val="both"/>
        <w:rPr>
          <w:rFonts w:cs="Arial"/>
          <w:sz w:val="24"/>
          <w:szCs w:val="24"/>
        </w:rPr>
      </w:pPr>
      <w:r w:rsidRPr="792AD32B" w:rsidR="2198C3A4">
        <w:rPr>
          <w:sz w:val="24"/>
          <w:szCs w:val="24"/>
        </w:rPr>
        <w:t xml:space="preserve">There </w:t>
      </w:r>
      <w:r w:rsidRPr="792AD32B" w:rsidR="1369261B">
        <w:rPr>
          <w:sz w:val="24"/>
          <w:szCs w:val="24"/>
        </w:rPr>
        <w:t>is</w:t>
      </w:r>
      <w:r w:rsidRPr="792AD32B" w:rsidR="001E0491">
        <w:rPr>
          <w:sz w:val="24"/>
          <w:szCs w:val="24"/>
        </w:rPr>
        <w:t xml:space="preserve"> growing</w:t>
      </w:r>
      <w:r w:rsidRPr="792AD32B" w:rsidR="1369261B">
        <w:rPr>
          <w:sz w:val="24"/>
          <w:szCs w:val="24"/>
        </w:rPr>
        <w:t xml:space="preserve"> </w:t>
      </w:r>
      <w:r w:rsidRPr="792AD32B" w:rsidR="2198C3A4">
        <w:rPr>
          <w:sz w:val="24"/>
          <w:szCs w:val="24"/>
        </w:rPr>
        <w:t xml:space="preserve">evidence of </w:t>
      </w:r>
      <w:r w:rsidRPr="792AD32B" w:rsidR="56C7DB6B">
        <w:rPr>
          <w:sz w:val="24"/>
          <w:szCs w:val="24"/>
        </w:rPr>
        <w:t xml:space="preserve">potential </w:t>
      </w:r>
      <w:r w:rsidRPr="792AD32B" w:rsidR="4884E359">
        <w:rPr>
          <w:sz w:val="24"/>
          <w:szCs w:val="24"/>
        </w:rPr>
        <w:t>subgroups</w:t>
      </w:r>
      <w:r w:rsidRPr="792AD32B" w:rsidR="21997A74">
        <w:rPr>
          <w:sz w:val="24"/>
          <w:szCs w:val="24"/>
        </w:rPr>
        <w:t xml:space="preserve"> </w:t>
      </w:r>
      <w:r w:rsidRPr="792AD32B" w:rsidR="2198C3A4">
        <w:rPr>
          <w:sz w:val="24"/>
          <w:szCs w:val="24"/>
        </w:rPr>
        <w:t xml:space="preserve">among CRPS patients </w:t>
      </w:r>
      <w:r>
        <w:fldChar w:fldCharType="begin"/>
      </w:r>
      <w:r>
        <w:instrText xml:space="preserve"> ADDIN ZOTERO_ITEM CSL_CITATION {"citationID":"6nzTuCBp","properties":{"formattedCitation":"(Bruehl et al., 2016; Dimova et al., 2020; Gierthm\\uc0\\u252{}hlen et al., 2012; Knudsen et al., 2023; Reimer et al., 2016)","plainCitation":"(Bruehl et al., 2016; Dimova et al., 2020; Gierthmühlen et al., 2012; Knudsen et al., 2023; Reimer et al., 2016)","noteIndex":0},"citationItems":[{"id":"jyRXZ8R7/LddPwJvZ","uris":["http://zotero.org/users/8777725/items/THRET52N"],"itemData":{"id":720,"type":"article-journal","abstract":"Limited research suggests that there may be Warm complex regional pain syndrome (CRPS) and Cold CRPS subtypes, with inflammatory mechanisms contributing most strongly to the former. This study for the first time used an unbiased statistical pattern recognition technique to evaluate whether distinct Warm vs Cold CRPS subtypes can be discerned in the clinical population. An international, multisite study was conducted using standardized procedures to evaluate signs and symptoms in 152 patients with clinical CRPS at baseline, with 3-month follow-up evaluations in 112 of these patients. Two-step cluster analysis using automated cluster selection identified a 2-cluster solution as optimal. Results revealed a Warm CRPS patient cluster characterized by a warm, red, edematous, and sweaty extremity and a Cold CRPS patient cluster characterized by a cold, blue, and less edematous extremity. Median pain duration was significantly (P &lt; 0.001) shorter in the Warm CRPS (4.7 months) than in the Cold CRPS subtype (20 months), with pain intensity comparable. A derived total inflammatory score was significantly (P &lt; 0.001) elevated in the Warm CRPS group (compared with Cold CRPS) at baseline but diminished significantly (P &lt; 0.001) over the follow-up period, whereas this score did not diminish in the Cold CRPS group (time × subtype interaction: P &lt; 0.001). Results support the existence of a Warm CRPS subtype common in patients with acute (&lt;6 months) CRPS and a relatively distinct Cold CRPS subtype most common in chronic CRPS. The pattern of clinical features suggests that inflammatory mechanisms contribute most prominently to the Warm CRPS subtype but that these mechanisms diminish substantially during the first year postinjury.","container-title":"PAIN","DOI":"10.1097/j.pain.0000000000000569","ISSN":"0304-3959","issue":"8","language":"en-US","page":"1674–1681","source":"journals.lww.com","title":"Complex regional pain syndrome: evidence for warm and cold subtypes in a large prospective clinical sample","title-short":"Complex regional pain syndrome","volume":"157","author":[{"family":"Bruehl","given":"Stephen"},{"family":"Maihöfner","given":"Christian"},{"family":"Stanton-Hicks","given":"Michael"},{"family":"Perez","given":"Roberto S. G. M."},{"family":"Vatine","given":"Jean-Jacques"},{"family":"Brunner","given":"Florian"},{"family":"Birklein","given":"Frank"},{"family":"Schlereth","given":"Tanja"},{"family":"Mackey","given":"Sean"},{"family":"Mailis-Gagnon","given":"Angela"},{"family":"Livshitz","given":"Anatoly"},{"family":"Harden","given":"R. Norman"}],"issued":{"date-parts":[["2016",8]]}},"label":"page"},{"id":"jyRXZ8R7/XKxcKgDe","uris":["http://zotero.org/users/8777725/items/Y72WMAQV"],"itemData":{"id":783,"type":"article-journal","abstract":"OBJECTIVE: We pursued the hypothesis that complex regional pain syndrome (CRPS) signs observed by neurologic examination display a structure allowing for alignment of patients to particular phenotype clusters.\nMETHODS: Clinical examination data were obtained from 3 independent samples of 444, 391, and 202 patients with CRPS. The structure among CRPS signs was analyzed in sample 1 and validated with sample 2 using hierarchical clustering. For patients with CRPS in sample 3, an individual phenotype score was submitted to k-means clustering. Pain characteristics, quantitative sensory testing, and psychological data were tested in this sample as descriptors for phenotypes.\nRESULTS: A 2-cluster structure emerged in sample 1 and was replicated in sample 2. Cluster 1 comprised minor injury eliciting CRPS, motor signs, allodynia, and glove/stocking-like sensory deficits, resembling a CRPS phenotype most likely reflecting a CNS pathophysiology (the central phenotype). Cluster 2, which consisted of edema, skin color changes, skin temperature changes, sweating, and trophic changes, probably represents peripheral inflammation, the peripheral phenotype. In sample 3, individual phenotype scores were calculated as the sum of the mean values of signs from each cluster, where signs from cluster 1 were coded with 1 and from cluster 2 with -1. A k-means algorithm separated groups with 78, 36, and 88 members resembling the peripheral, central, and mixed phenotypes, respectively. The central phenotype was characterized by cold hyperalgesia at the affected limb.\nCONCLUSIONS: Statistically determined CRPS phenotypes may reflect major pathophysiologic mechanisms of peripheral inflammation and central reorganization.","container-title":"Neurology","DOI":"10.1212/WNL.0000000000008736","ISSN":"1526-632X","issue":"4","journalAbbreviation":"Neurology","language":"eng","note":"PMID: 31874923","page":"e357-e367","source":"PubMed","title":"Clinical phenotypes and classification algorithm for complex regional pain syndrome","volume":"94","author":[{"family":"Dimova","given":"Violeta"},{"family":"Herrnberger","given":"Myriam Selma"},{"family":"Escolano-Lozano","given":"Fabiola"},{"family":"Rittner","given":"Heike Lydia"},{"family":"Vlckova","given":"Eva"},{"family":"Sommer","given":"Claudia"},{"family":"Maihöfner","given":"Christian"},{"family":"Birklein","given":"Frank"}],"issued":{"date-parts":[["2020",1,28]]}},"label":"page"},{"id":"jyRXZ8R7/cic9iIZz","uris":["http://zotero.org/users/8777725/items/NS9XK7J8"],"itemData":{"id":430,"type":"article-journal","abstract":"This study determined patterns of sensory signs in complex regional pain syndrome (CRPS) type I and II and peripheral nerve injury (PNI). Patients with upper-limb CRPS-I (n=298), CRPS-II (n=46), and PNI (n=72) were examined with quantitative sensory testing according to the protocol of the German Research Network on Neuropathic Pain. The majority of patients (66%-69%) exhibited a combination of sensory loss and gain. Patients with CRPS-I had more sensory gain (heat and pressure pain) and less sensory loss than patients with PNI (thermal and mechanical detection, hypoalgesia to heat or pinprick). CRPS-II patients shared features of CRPS-I and PNI. CRPS-I and CRPS-II had almost identical somatosensory profiles, with the exception of a stronger loss of mechanical detection in CRPS-II. In CRPS-I and -II, cold hyperalgesia/allodynia (28%-31%) and dynamic mechanical allodynia (24%-28%) were less frequent than heat or pressure hyperalgesia (36%-44%, 67%-73%), and mechanical hypoesthesia (31%-55%) was more frequent than thermal hypoesthesia (30%-44%). About 82% of PNI patients had at least one type of sensory gain. QST demonstrates more sensory loss in CRPS-I than hitherto considered, suggesting either minimal nerve injury or central inhibition. Sensory profiles suggest that CRPS-I and CRPS-II may represent one disease continuum. However, in contrast to recent suggestions, small fiber deficits were less frequent than large fiber deficits. Sensory gain is highly prevalent in PNI, indicating a better similarity of animal models to human patients than previously thought. These sensory profiles should help prioritize approaches for translation between animal and human research.","container-title":"Pain","DOI":"10.1016/j.pain.2011.11.009","ISSN":"1872-6623","issue":"4","journalAbbreviation":"Pain","language":"eng","note":"PMID: 22154921","page":"765-774","source":"PubMed","title":"Sensory signs in complex regional pain syndrome and peripheral nerve injury","volume":"153","author":[{"family":"Gierthmühlen","given":"Janne"},{"family":"Maier","given":"Christoph"},{"family":"Baron","given":"Ralf"},{"family":"Tölle","given":"Thomas"},{"family":"Treede","given":"Rolf-Detlef"},{"family":"Birbaumer","given":"Niels"},{"family":"Huge","given":"Volker"},{"family":"Koroschetz","given":"Jana"},{"family":"Krumova","given":"Elena K."},{"family":"Lauchart","given":"Meike"},{"family":"Maihöfner","given":"Christian"},{"family":"Richter","given":"Helmut"},{"family":"Westermann","given":"Andrea"},{"literal":"German Research Network on Neuropathic Pain (DFNS) study group"}],"issued":{"date-parts":[["2012",4]]}},"label":"page"},{"id":110,"uris":["http://zotero.org/users/8514361/items/SPQLEKSR"],"itemData":{"id":110,"type":"article-journal","abstract":"To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id":"jyRXZ8R7/QZLqjrs1","uris":["http://zotero.org/users/8777725/items/653GVEG5"],"itemData":{"id":945,"type":"article-journal","abstract":"BACKGROUND: Complex regional pain syndrome type I (CRPS-I) is characterized by sensory, motor and autonomic abnormalities without electrophysiological evidence of a nerve lesion.\nOBJECTIVE: Aims were to investigate how sensory, autonomic and motor function change in the course of the disease.\nMETHODS: 19 CRPS-I patients (17 with acute, 2 with chronic CRPS, mean duration of disease 5.7±8.3, range 1-33 months) were examined with questionnaires (LANSS, NPS, MPI, Quick DASH, multiple choice list of descriptors for sensory, motor, autonomic symptoms), motor and autonomic tests as well as quantitative sensory testing according to the German Research Network on Neuropathic Pain at two visits (baseline and 36±10.6, range 16-53 months later).\nRESULTS: CRPS-I patients had an improvement of sudomotor and vasomotor function, but still a great impairment of sensory and motor function upon follow-up. Although pain and mech</w:instrText>
      </w:r>
      <w:r w:rsidRPr="792AD32B">
        <w:rPr>
          <w:lang w:val="fr-FR"/>
        </w:rPr>
        <w:instrText xml:space="preserve">anical detection improved upon follow-up, thermal and mechanical pain sensitivity increased, including the contralateral side. Increase in mechanical pain sensitivity and loss of mechanical detection were associated with presence of ongoing pain.\nCONCLUSIONS: The results demonstrate that patients with CRPS-I show a sensitization of the nociceptive system in the course of the disease, for which ongoing pain seems to be the most important trigger. They further suggest that measured loss of function in CRPS-I is due to pain-induced hypoesthesia rather than a minimal nerve lesion. In conclusion, this article gives evidence for a pronociceptive pain modulation profile developing in the course of CRPS and thus helps to assess underlying mechanisms of CRPS that contribute to the maintenance of patients' pain and disability.","container-title":"PloS One","DOI":"10.1371/journal.pone.0154553","ISSN":"1932-6203","issue":"5","journalAbbreviation":"PLoS One","language":"eng","note":"PMID: 27149519\nPMCID: PMC4858201","page":"e0154553","source":"PubMed","title":"Sensitization of the Nociceptive System in Complex Regional Pain Syndrome","volume":"11","author":[{"family":"Reimer","given":"Maren"},{"family":"Rempe","given":"Torge"},{"family":"Diedrichs","given":"Carolina"},{"family":"Baron","given":"Ralf"},{"family":"Gierthmühlen","given":"Janne"}],"issued":{"date-parts":[["2016"]]}},"label":"page"}],"schema":"https://github.com/citation-style-language/schema/raw/master/csl-citation.json"} </w:instrText>
      </w:r>
      <w:r>
        <w:fldChar w:fldCharType="separate"/>
      </w:r>
      <w:r w:rsidRPr="792AD32B" w:rsidR="008425F7">
        <w:rPr>
          <w:rFonts w:ascii="Calibri" w:hAnsi="Calibri" w:cs="Calibri"/>
          <w:sz w:val="24"/>
          <w:szCs w:val="24"/>
          <w:lang w:val="fr-FR"/>
        </w:rPr>
        <w:t>(</w:t>
      </w:r>
      <w:r w:rsidRPr="792AD32B" w:rsidR="008425F7">
        <w:rPr>
          <w:rFonts w:ascii="Calibri" w:hAnsi="Calibri" w:cs="Calibri"/>
          <w:sz w:val="24"/>
          <w:szCs w:val="24"/>
          <w:lang w:val="fr-FR"/>
        </w:rPr>
        <w:t>Bruehl</w:t>
      </w:r>
      <w:r w:rsidRPr="792AD32B" w:rsidR="008425F7">
        <w:rPr>
          <w:rFonts w:ascii="Calibri" w:hAnsi="Calibri" w:cs="Calibri"/>
          <w:sz w:val="24"/>
          <w:szCs w:val="24"/>
          <w:lang w:val="fr-FR"/>
        </w:rPr>
        <w:t xml:space="preserve"> et al., </w:t>
      </w:r>
      <w:r w:rsidRPr="792AD32B" w:rsidR="008425F7">
        <w:rPr>
          <w:rFonts w:ascii="Calibri" w:hAnsi="Calibri" w:cs="Calibri"/>
          <w:sz w:val="24"/>
          <w:szCs w:val="24"/>
          <w:lang w:val="fr-FR"/>
        </w:rPr>
        <w:t>2016;</w:t>
      </w:r>
      <w:r w:rsidRPr="792AD32B" w:rsidR="008425F7">
        <w:rPr>
          <w:rFonts w:ascii="Calibri" w:hAnsi="Calibri" w:cs="Calibri"/>
          <w:sz w:val="24"/>
          <w:szCs w:val="24"/>
          <w:lang w:val="fr-FR"/>
        </w:rPr>
        <w:t xml:space="preserve"> </w:t>
      </w:r>
      <w:r w:rsidRPr="792AD32B" w:rsidR="008425F7">
        <w:rPr>
          <w:rFonts w:ascii="Calibri" w:hAnsi="Calibri" w:cs="Calibri"/>
          <w:sz w:val="24"/>
          <w:szCs w:val="24"/>
          <w:lang w:val="fr-FR"/>
        </w:rPr>
        <w:t>Dimova</w:t>
      </w:r>
      <w:r w:rsidRPr="792AD32B" w:rsidR="008425F7">
        <w:rPr>
          <w:rFonts w:ascii="Calibri" w:hAnsi="Calibri" w:cs="Calibri"/>
          <w:sz w:val="24"/>
          <w:szCs w:val="24"/>
          <w:lang w:val="fr-FR"/>
        </w:rPr>
        <w:t xml:space="preserve"> et al., </w:t>
      </w:r>
      <w:r w:rsidRPr="792AD32B" w:rsidR="008425F7">
        <w:rPr>
          <w:rFonts w:ascii="Calibri" w:hAnsi="Calibri" w:cs="Calibri"/>
          <w:sz w:val="24"/>
          <w:szCs w:val="24"/>
          <w:lang w:val="fr-FR"/>
        </w:rPr>
        <w:t>2020;</w:t>
      </w:r>
      <w:r w:rsidRPr="792AD32B" w:rsidR="008425F7">
        <w:rPr>
          <w:rFonts w:ascii="Calibri" w:hAnsi="Calibri" w:cs="Calibri"/>
          <w:sz w:val="24"/>
          <w:szCs w:val="24"/>
          <w:lang w:val="fr-FR"/>
        </w:rPr>
        <w:t xml:space="preserve"> </w:t>
      </w:r>
      <w:r w:rsidRPr="792AD32B" w:rsidR="008425F7">
        <w:rPr>
          <w:rFonts w:ascii="Calibri" w:hAnsi="Calibri" w:cs="Calibri"/>
          <w:sz w:val="24"/>
          <w:szCs w:val="24"/>
          <w:lang w:val="fr-FR"/>
        </w:rPr>
        <w:t>Gierthmühlen</w:t>
      </w:r>
      <w:r w:rsidRPr="792AD32B" w:rsidR="008425F7">
        <w:rPr>
          <w:rFonts w:ascii="Calibri" w:hAnsi="Calibri" w:cs="Calibri"/>
          <w:sz w:val="24"/>
          <w:szCs w:val="24"/>
          <w:lang w:val="fr-FR"/>
        </w:rPr>
        <w:t xml:space="preserve"> et al., </w:t>
      </w:r>
      <w:r w:rsidRPr="792AD32B" w:rsidR="008425F7">
        <w:rPr>
          <w:rFonts w:ascii="Calibri" w:hAnsi="Calibri" w:cs="Calibri"/>
          <w:sz w:val="24"/>
          <w:szCs w:val="24"/>
          <w:lang w:val="fr-FR"/>
        </w:rPr>
        <w:t>2012;</w:t>
      </w:r>
      <w:r w:rsidRPr="792AD32B" w:rsidR="008425F7">
        <w:rPr>
          <w:rFonts w:ascii="Calibri" w:hAnsi="Calibri" w:cs="Calibri"/>
          <w:sz w:val="24"/>
          <w:szCs w:val="24"/>
          <w:lang w:val="fr-FR"/>
        </w:rPr>
        <w:t xml:space="preserve"> </w:t>
      </w:r>
      <w:r w:rsidRPr="792AD32B" w:rsidR="008425F7">
        <w:rPr>
          <w:rFonts w:ascii="Calibri" w:hAnsi="Calibri" w:cs="Calibri"/>
          <w:sz w:val="24"/>
          <w:szCs w:val="24"/>
          <w:lang w:val="fr-FR"/>
        </w:rPr>
        <w:t>Knudsen</w:t>
      </w:r>
      <w:r w:rsidRPr="792AD32B" w:rsidR="008425F7">
        <w:rPr>
          <w:rFonts w:ascii="Calibri" w:hAnsi="Calibri" w:cs="Calibri"/>
          <w:sz w:val="24"/>
          <w:szCs w:val="24"/>
          <w:lang w:val="fr-FR"/>
        </w:rPr>
        <w:t xml:space="preserve"> et al., </w:t>
      </w:r>
      <w:r w:rsidRPr="792AD32B" w:rsidR="008425F7">
        <w:rPr>
          <w:rFonts w:ascii="Calibri" w:hAnsi="Calibri" w:cs="Calibri"/>
          <w:sz w:val="24"/>
          <w:szCs w:val="24"/>
          <w:lang w:val="fr-FR"/>
        </w:rPr>
        <w:t>2023;</w:t>
      </w:r>
      <w:r w:rsidRPr="792AD32B" w:rsidR="008425F7">
        <w:rPr>
          <w:rFonts w:ascii="Calibri" w:hAnsi="Calibri" w:cs="Calibri"/>
          <w:sz w:val="24"/>
          <w:szCs w:val="24"/>
          <w:lang w:val="fr-FR"/>
        </w:rPr>
        <w:t xml:space="preserve"> Reimer et al., 2016)</w:t>
      </w:r>
      <w:r>
        <w:fldChar w:fldCharType="end"/>
      </w:r>
      <w:r w:rsidRPr="792AD32B" w:rsidR="2198C3A4">
        <w:rPr>
          <w:sz w:val="24"/>
          <w:szCs w:val="24"/>
          <w:lang w:val="fr-FR"/>
        </w:rPr>
        <w:t>.</w:t>
      </w:r>
      <w:r w:rsidRPr="792AD32B" w:rsidR="50D66C87">
        <w:rPr>
          <w:sz w:val="24"/>
          <w:szCs w:val="24"/>
          <w:lang w:val="fr-FR"/>
        </w:rPr>
        <w:t xml:space="preserve"> </w:t>
      </w:r>
      <w:r w:rsidRPr="792AD32B" w:rsidR="001E0491">
        <w:rPr>
          <w:sz w:val="24"/>
          <w:szCs w:val="24"/>
          <w:lang w:val="en-US"/>
        </w:rPr>
        <w:t>A</w:t>
      </w:r>
      <w:r w:rsidRPr="792AD32B" w:rsidR="00B71C35">
        <w:rPr>
          <w:sz w:val="24"/>
          <w:szCs w:val="24"/>
          <w:lang w:val="en-US"/>
        </w:rPr>
        <w:t xml:space="preserve"> recent systematic review</w:t>
      </w:r>
      <w:r w:rsidRPr="792AD32B" w:rsidR="001E0491">
        <w:rPr>
          <w:sz w:val="24"/>
          <w:szCs w:val="24"/>
          <w:lang w:val="en-US"/>
        </w:rPr>
        <w:t xml:space="preserve"> </w:t>
      </w:r>
      <w:r w:rsidRPr="792AD32B" w:rsidR="001E0491">
        <w:rPr>
          <w:sz w:val="24"/>
          <w:szCs w:val="24"/>
          <w:lang w:val="en-US"/>
        </w:rPr>
        <w:t>identified</w:t>
      </w:r>
      <w:r w:rsidRPr="792AD32B" w:rsidR="001E0491">
        <w:rPr>
          <w:sz w:val="24"/>
          <w:szCs w:val="24"/>
          <w:lang w:val="en-US"/>
        </w:rPr>
        <w:t xml:space="preserve"> s</w:t>
      </w:r>
      <w:r w:rsidRPr="792AD32B" w:rsidR="7247BE2B">
        <w:rPr>
          <w:rFonts w:cs="Arial"/>
          <w:sz w:val="24"/>
          <w:szCs w:val="24"/>
        </w:rPr>
        <w:t>even</w:t>
      </w:r>
      <w:r w:rsidRPr="792AD32B" w:rsidR="349A6F34">
        <w:rPr>
          <w:rFonts w:cs="Arial"/>
          <w:sz w:val="24"/>
          <w:szCs w:val="24"/>
        </w:rPr>
        <w:t xml:space="preserve"> </w:t>
      </w:r>
      <w:r w:rsidRPr="792AD32B" w:rsidR="349A6F34">
        <w:rPr>
          <w:rFonts w:cs="Arial"/>
          <w:sz w:val="24"/>
          <w:szCs w:val="24"/>
        </w:rPr>
        <w:t>possible</w:t>
      </w:r>
      <w:r w:rsidRPr="792AD32B" w:rsidR="39A7B36F">
        <w:rPr>
          <w:rFonts w:cs="Arial"/>
          <w:sz w:val="24"/>
          <w:szCs w:val="24"/>
        </w:rPr>
        <w:t xml:space="preserve"> classifications</w:t>
      </w:r>
      <w:r w:rsidRPr="792AD32B" w:rsidR="39A7B36F">
        <w:rPr>
          <w:rFonts w:cs="Arial"/>
          <w:sz w:val="24"/>
          <w:szCs w:val="24"/>
        </w:rPr>
        <w:t xml:space="preserve"> (</w:t>
      </w:r>
      <w:r w:rsidRPr="792AD32B" w:rsidR="41C9C753">
        <w:rPr>
          <w:rFonts w:cs="Arial"/>
          <w:sz w:val="24"/>
          <w:szCs w:val="24"/>
        </w:rPr>
        <w:t xml:space="preserve">with a total of </w:t>
      </w:r>
      <w:r w:rsidRPr="792AD32B" w:rsidR="39A7B36F">
        <w:rPr>
          <w:rFonts w:cs="Arial"/>
          <w:sz w:val="24"/>
          <w:szCs w:val="24"/>
        </w:rPr>
        <w:t xml:space="preserve">12 potential subtypes) </w:t>
      </w:r>
      <w:r w:rsidRPr="792AD32B">
        <w:rPr>
          <w:rFonts w:cs="Arial"/>
        </w:rPr>
        <w:fldChar w:fldCharType="begin"/>
      </w:r>
      <w:r w:rsidRPr="792AD32B">
        <w:rPr>
          <w:rFonts w:cs="Arial"/>
        </w:rPr>
        <w:instrText xml:space="preserve"> ADDIN ZOTERO_ITEM CSL_CITATION {"citationID":"OiRn6zOr","properties":{"formattedCitation":"(Knudsen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792AD32B">
        <w:rPr>
          <w:rFonts w:cs="Arial"/>
        </w:rPr>
        <w:fldChar w:fldCharType="separate"/>
      </w:r>
      <w:r w:rsidRPr="792AD32B" w:rsidR="008425F7">
        <w:rPr>
          <w:rFonts w:ascii="Calibri" w:hAnsi="Calibri" w:cs="Calibri"/>
          <w:sz w:val="24"/>
          <w:szCs w:val="24"/>
        </w:rPr>
        <w:t>(Knudsen et al., 2023)</w:t>
      </w:r>
      <w:r w:rsidRPr="792AD32B">
        <w:rPr>
          <w:rFonts w:cs="Arial"/>
        </w:rPr>
        <w:fldChar w:fldCharType="end"/>
      </w:r>
      <w:r w:rsidRPr="792AD32B" w:rsidR="39A7B36F">
        <w:rPr>
          <w:rFonts w:cs="Arial"/>
          <w:sz w:val="24"/>
          <w:szCs w:val="24"/>
        </w:rPr>
        <w:t>. The</w:t>
      </w:r>
      <w:r w:rsidRPr="792AD32B" w:rsidR="33BCEF2D">
        <w:rPr>
          <w:rFonts w:cs="Arial"/>
          <w:sz w:val="24"/>
          <w:szCs w:val="24"/>
        </w:rPr>
        <w:t>se classifications</w:t>
      </w:r>
      <w:r w:rsidRPr="792AD32B" w:rsidR="39A7B36F">
        <w:rPr>
          <w:rFonts w:cs="Arial"/>
          <w:sz w:val="24"/>
          <w:szCs w:val="24"/>
        </w:rPr>
        <w:t xml:space="preserve"> are based on</w:t>
      </w:r>
      <w:r w:rsidRPr="792AD32B" w:rsidR="39A7B36F">
        <w:rPr>
          <w:color w:val="FF0000"/>
          <w:sz w:val="24"/>
          <w:szCs w:val="24"/>
        </w:rPr>
        <w:t xml:space="preserve"> </w:t>
      </w:r>
      <w:r w:rsidRPr="792AD32B" w:rsidR="39A7B36F">
        <w:rPr>
          <w:rFonts w:cs="Arial"/>
          <w:sz w:val="24"/>
          <w:szCs w:val="24"/>
        </w:rPr>
        <w:t>the presence</w:t>
      </w:r>
      <w:r w:rsidRPr="792AD32B" w:rsidR="72637E9A">
        <w:rPr>
          <w:rFonts w:cs="Arial"/>
          <w:sz w:val="24"/>
          <w:szCs w:val="24"/>
        </w:rPr>
        <w:t xml:space="preserve"> or absence</w:t>
      </w:r>
      <w:r w:rsidRPr="792AD32B" w:rsidR="39A7B36F">
        <w:rPr>
          <w:rFonts w:cs="Arial"/>
          <w:sz w:val="24"/>
          <w:szCs w:val="24"/>
        </w:rPr>
        <w:t xml:space="preserve"> of a major peripheral nerve lesion, central sensitization, dystonia, skin temperature changes, inflammation</w:t>
      </w:r>
      <w:r w:rsidRPr="792AD32B" w:rsidR="36037489">
        <w:rPr>
          <w:rFonts w:cs="Arial"/>
          <w:sz w:val="24"/>
          <w:szCs w:val="24"/>
        </w:rPr>
        <w:t xml:space="preserve"> biomarkers</w:t>
      </w:r>
      <w:r w:rsidRPr="792AD32B" w:rsidR="39A7B36F">
        <w:rPr>
          <w:rFonts w:cs="Arial"/>
          <w:sz w:val="24"/>
          <w:szCs w:val="24"/>
        </w:rPr>
        <w:t xml:space="preserve">, familial history of CRPS, or condition duration. </w:t>
      </w:r>
      <w:r w:rsidRPr="792AD32B" w:rsidR="2BF24774">
        <w:rPr>
          <w:sz w:val="24"/>
          <w:szCs w:val="24"/>
        </w:rPr>
        <w:t xml:space="preserve">It is </w:t>
      </w:r>
      <w:r w:rsidRPr="792AD32B" w:rsidR="222C4D19">
        <w:rPr>
          <w:sz w:val="24"/>
          <w:szCs w:val="24"/>
        </w:rPr>
        <w:t xml:space="preserve">supposed </w:t>
      </w:r>
      <w:r w:rsidRPr="792AD32B" w:rsidR="5F4B1C2C">
        <w:rPr>
          <w:sz w:val="24"/>
          <w:szCs w:val="24"/>
        </w:rPr>
        <w:t>that</w:t>
      </w:r>
      <w:r w:rsidRPr="792AD32B" w:rsidR="2ECD3568">
        <w:rPr>
          <w:sz w:val="24"/>
          <w:szCs w:val="24"/>
        </w:rPr>
        <w:t xml:space="preserve"> </w:t>
      </w:r>
      <w:r w:rsidRPr="792AD32B" w:rsidR="36197EFF">
        <w:rPr>
          <w:sz w:val="24"/>
          <w:szCs w:val="24"/>
        </w:rPr>
        <w:t>various</w:t>
      </w:r>
      <w:r w:rsidRPr="792AD32B" w:rsidR="607BF1F3">
        <w:rPr>
          <w:sz w:val="24"/>
          <w:szCs w:val="24"/>
        </w:rPr>
        <w:t xml:space="preserve"> </w:t>
      </w:r>
      <w:r w:rsidRPr="792AD32B" w:rsidR="37AC44E3">
        <w:rPr>
          <w:sz w:val="24"/>
          <w:szCs w:val="24"/>
        </w:rPr>
        <w:t xml:space="preserve">phenotypes </w:t>
      </w:r>
      <w:r w:rsidRPr="792AD32B" w:rsidR="560F6DFF">
        <w:rPr>
          <w:sz w:val="24"/>
          <w:szCs w:val="24"/>
        </w:rPr>
        <w:t>reflect</w:t>
      </w:r>
      <w:r w:rsidRPr="792AD32B" w:rsidR="37AC44E3">
        <w:rPr>
          <w:sz w:val="24"/>
          <w:szCs w:val="24"/>
        </w:rPr>
        <w:t xml:space="preserve"> </w:t>
      </w:r>
      <w:r w:rsidRPr="792AD32B" w:rsidR="130249D7">
        <w:rPr>
          <w:sz w:val="24"/>
          <w:szCs w:val="24"/>
        </w:rPr>
        <w:t xml:space="preserve">differing </w:t>
      </w:r>
      <w:r w:rsidRPr="792AD32B" w:rsidR="64A9CDE6">
        <w:rPr>
          <w:rFonts w:cs="Arial"/>
          <w:sz w:val="24"/>
          <w:szCs w:val="24"/>
        </w:rPr>
        <w:t xml:space="preserve">pathophysiological </w:t>
      </w:r>
      <w:r w:rsidRPr="792AD32B" w:rsidR="37AC44E3">
        <w:rPr>
          <w:sz w:val="24"/>
          <w:szCs w:val="24"/>
        </w:rPr>
        <w:t>mechanisms</w:t>
      </w:r>
      <w:r w:rsidRPr="792AD32B" w:rsidR="3031BDD9">
        <w:rPr>
          <w:sz w:val="24"/>
          <w:szCs w:val="24"/>
        </w:rPr>
        <w:t xml:space="preserve"> </w:t>
      </w:r>
      <w:r>
        <w:fldChar w:fldCharType="begin"/>
      </w:r>
      <w:r>
        <w:instrText xml:space="preserve"> ADDIN ZOTERO_ITEM CSL_CITATION {"citationID":"gEbbsG4r","properties":{"formattedCitation":"(Gierthm\\uc0\\u252{}hlen et al., 2014)","plainCitation":"(Gierthmühlen et al., 2014)","noteIndex":0},"citationItems":[{"id":29,"uris":["http://zotero.org/users/8514361/items/DM6BL2HT"],"itemData":{"id":29,"type":"article-journal","abstract":"Complex regional pain syndromes (CRPS) are multifactorial disorders with complex aetiology and pathogenesis. Management of CRPS is challenging, partly because of a lack of clinical data regarding the efficacy of the various therapies, and partly because successful treatment of CRPS requires a multidisciplinary, patient-tailored approach. The pain in CRPS is often described as typical 'burning' neuropathic pain, and is accompanied by a variety of sensory, motor and autonomic signs and symptoms. Because research into therapies specifically in CRPS has been scarce, treatment for these syndromes has been largely based on therapeutic strategies adapted from neuropathic pain states; however, increased understanding of the pathogenesis of CRPS has provided the opportunity to develop mechanism-based treatments. The interactions between the multiple pathophysiological mechanisms that contribute to the development, progression and maintenance of CRPS remain poorly understood. This Review describes the challenges in linking the current theories and knowledge of pathophysiological mechanisms to the mode of actions of the different treatment approaches. We discuss the current treatment strategies for CRPS, including pharmacotherapy, sympathetic ganglion block interventions, psychological support, physiotherapy and occupational therapy, and establish the concept of mechanism-based treatment for CRPS.","container-title":"Nature Reviews. Neurology","DOI":"10.1038/nrneurol.2014.140","ISSN":"1759-4766","issue":"9","journalAbbreviation":"Nat Rev Neurol","language":"eng","note":"PMID: 25134708","page":"518-528","source":"PubMed","title":"Mechanism-based treatment in complex regional pain syndromes","volume":"10","author":[{"family":"Gierthmühlen","given":"Janne"},{"family":"Binder","given":"Andreas"},{"family":"Baron","given":"Ralf"}],"issued":{"date-parts":[["2014",9]]}}}],"schema":"https://github.com/citation-style-language/schema/raw/master/csl-citation.json"} </w:instrText>
      </w:r>
      <w:r>
        <w:fldChar w:fldCharType="separate"/>
      </w:r>
      <w:r w:rsidRPr="792AD32B" w:rsidR="008425F7">
        <w:rPr>
          <w:rFonts w:ascii="Calibri" w:hAnsi="Calibri" w:cs="Calibri"/>
          <w:sz w:val="24"/>
          <w:szCs w:val="24"/>
        </w:rPr>
        <w:t>(</w:t>
      </w:r>
      <w:r w:rsidRPr="792AD32B" w:rsidR="008425F7">
        <w:rPr>
          <w:rFonts w:ascii="Calibri" w:hAnsi="Calibri" w:cs="Calibri"/>
          <w:sz w:val="24"/>
          <w:szCs w:val="24"/>
        </w:rPr>
        <w:t>Gierthmühlen</w:t>
      </w:r>
      <w:r w:rsidRPr="792AD32B" w:rsidR="008425F7">
        <w:rPr>
          <w:rFonts w:ascii="Calibri" w:hAnsi="Calibri" w:cs="Calibri"/>
          <w:sz w:val="24"/>
          <w:szCs w:val="24"/>
        </w:rPr>
        <w:t xml:space="preserve"> et al., 2014)</w:t>
      </w:r>
      <w:r>
        <w:fldChar w:fldCharType="end"/>
      </w:r>
      <w:r w:rsidRPr="792AD32B" w:rsidR="41D23845">
        <w:rPr>
          <w:sz w:val="24"/>
          <w:szCs w:val="24"/>
        </w:rPr>
        <w:t>, which may account for</w:t>
      </w:r>
      <w:r w:rsidRPr="792AD32B" w:rsidR="37AC44E3">
        <w:rPr>
          <w:sz w:val="24"/>
          <w:szCs w:val="24"/>
        </w:rPr>
        <w:t xml:space="preserve"> the </w:t>
      </w:r>
      <w:r w:rsidRPr="792AD32B" w:rsidR="45FFF785">
        <w:rPr>
          <w:sz w:val="24"/>
          <w:szCs w:val="24"/>
        </w:rPr>
        <w:t xml:space="preserve">variable </w:t>
      </w:r>
      <w:r w:rsidRPr="792AD32B" w:rsidR="37AC44E3">
        <w:rPr>
          <w:sz w:val="24"/>
          <w:szCs w:val="24"/>
        </w:rPr>
        <w:t xml:space="preserve">treatment </w:t>
      </w:r>
      <w:r w:rsidRPr="792AD32B" w:rsidR="498D636C">
        <w:rPr>
          <w:sz w:val="24"/>
          <w:szCs w:val="24"/>
        </w:rPr>
        <w:t xml:space="preserve">responses </w:t>
      </w:r>
      <w:r w:rsidRPr="792AD32B" w:rsidR="37AC44E3">
        <w:rPr>
          <w:sz w:val="24"/>
          <w:szCs w:val="24"/>
        </w:rPr>
        <w:t xml:space="preserve">and </w:t>
      </w:r>
      <w:r w:rsidRPr="792AD32B" w:rsidR="02E4B53E">
        <w:rPr>
          <w:sz w:val="24"/>
          <w:szCs w:val="24"/>
        </w:rPr>
        <w:t xml:space="preserve">would </w:t>
      </w:r>
      <w:r w:rsidRPr="792AD32B" w:rsidR="37AC44E3">
        <w:rPr>
          <w:sz w:val="24"/>
          <w:szCs w:val="24"/>
        </w:rPr>
        <w:t xml:space="preserve">enable </w:t>
      </w:r>
      <w:r w:rsidRPr="792AD32B" w:rsidR="295AF3F3">
        <w:rPr>
          <w:sz w:val="24"/>
          <w:szCs w:val="24"/>
        </w:rPr>
        <w:t>personalized</w:t>
      </w:r>
      <w:r w:rsidRPr="792AD32B" w:rsidR="769A10F6">
        <w:rPr>
          <w:sz w:val="24"/>
          <w:szCs w:val="24"/>
        </w:rPr>
        <w:t>, mechanis</w:t>
      </w:r>
      <w:r w:rsidRPr="792AD32B" w:rsidR="35800DD3">
        <w:rPr>
          <w:sz w:val="24"/>
          <w:szCs w:val="24"/>
        </w:rPr>
        <w:t>m</w:t>
      </w:r>
      <w:r w:rsidRPr="792AD32B" w:rsidR="769A10F6">
        <w:rPr>
          <w:sz w:val="24"/>
          <w:szCs w:val="24"/>
        </w:rPr>
        <w:t>-based</w:t>
      </w:r>
      <w:r w:rsidRPr="792AD32B" w:rsidR="295AF3F3">
        <w:rPr>
          <w:sz w:val="24"/>
          <w:szCs w:val="24"/>
        </w:rPr>
        <w:t xml:space="preserve"> </w:t>
      </w:r>
      <w:r w:rsidRPr="792AD32B" w:rsidR="37AC44E3">
        <w:rPr>
          <w:sz w:val="24"/>
          <w:szCs w:val="24"/>
        </w:rPr>
        <w:t>therapeutic management</w:t>
      </w:r>
      <w:r w:rsidRPr="792AD32B" w:rsidR="46086027">
        <w:rPr>
          <w:sz w:val="24"/>
          <w:szCs w:val="24"/>
        </w:rPr>
        <w:t xml:space="preserve"> </w:t>
      </w:r>
      <w:r>
        <w:fldChar w:fldCharType="begin"/>
      </w:r>
      <w:r>
        <w:instrText xml:space="preserve"> ADDIN ZOTERO_ITEM CSL_CITATION {"citationID":"jPFn42Pq","properties":{"formattedCitation":"(Ferraro et al., 2024; Gierthm\\uc0\\u252{}hlen et al., 2014)","plainCitation":"(Ferraro et al., 2024; Gierthmühlen et al., 2014)","noteIndex":0},"citationItems":[{"id":204,"uris":["http://zotero.org/users/8514361/items/L4V25AMH"],"itemData":{"id":204,"type":"article-journal","container-title":"The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H."}],"issued":{"date-parts":[["2024",5,1]]}}},{"id":29,"uris":["http://zotero.org/users/8514361/items/DM6BL2HT"],"itemData":{"id":29,"type":"article-journal","abstract":"Complex regional pain syndromes (CRPS) are multifactorial disorders with complex aetiology and pathogenesis. Management of CRPS is challenging, partly because of a lack of clinical data regarding the efficacy of the various therapies, and partly because successful treatment of CRPS requires a multidisciplinary, patient-tailored approach. The pain in CRPS is often described as typical 'burning' neuropathic pain, and is accompanied by a variety of sensory, motor and autonomic signs and symptoms. Because research into therapies specifically in CRPS has been scarce, treatment for these syndromes has been largely based on therapeutic strategies adapted from neuropathic pain states; however, increased understanding of the pathogenesis of CRPS has provided the opportunity to develop mechanism-based treatments. The interactions between the multiple pathophysiological mechanisms that contribute to the development, progression and maintenance of CRPS remain poorly understood. This Review describes the challenges in linking the current theories and knowledge of pathophysiological mechanisms to the mode of actions of the different treatment approaches. We discuss the current treatment strategies for CRPS, including pharmacotherapy, sympathetic ganglion block interventions, psychological support, physiotherapy and occupational therapy, and establish the concept of mechanism-based treatment for CRPS.","container-title":"Nature Reviews. Neurology","DOI":"10.1038/nrneurol.2014.140","ISSN":"1759-4766","issue":"9","journalAbbreviation":"Nat Rev Neurol","language":"eng","note":"PMID: 25134708","page":"518-528","source":"PubMed","title":"Mechanism-based treatment in complex regional pain syndromes","volume":"10","author":[{"family":"Gierthmühlen","given":"Janne"},{"family":"Binder","given":"Andreas"},{"family":"Baron","given":"Ralf"}],"issued":{"date-parts":[["2014",9]]}}}],"schema":"https://github.com/citation-style-language/schema/raw/master/csl-citation.json"} </w:instrText>
      </w:r>
      <w:r>
        <w:fldChar w:fldCharType="separate"/>
      </w:r>
      <w:r w:rsidRPr="792AD32B" w:rsidR="008425F7">
        <w:rPr>
          <w:rFonts w:ascii="Calibri" w:hAnsi="Calibri" w:cs="Calibri"/>
          <w:sz w:val="24"/>
          <w:szCs w:val="24"/>
        </w:rPr>
        <w:t xml:space="preserve">(Ferraro et al., 2024; </w:t>
      </w:r>
      <w:r w:rsidRPr="792AD32B" w:rsidR="008425F7">
        <w:rPr>
          <w:rFonts w:ascii="Calibri" w:hAnsi="Calibri" w:cs="Calibri"/>
          <w:sz w:val="24"/>
          <w:szCs w:val="24"/>
        </w:rPr>
        <w:t>Gierthmühlen</w:t>
      </w:r>
      <w:r w:rsidRPr="792AD32B" w:rsidR="008425F7">
        <w:rPr>
          <w:rFonts w:ascii="Calibri" w:hAnsi="Calibri" w:cs="Calibri"/>
          <w:sz w:val="24"/>
          <w:szCs w:val="24"/>
        </w:rPr>
        <w:t xml:space="preserve"> et al., 2014)</w:t>
      </w:r>
      <w:r>
        <w:fldChar w:fldCharType="end"/>
      </w:r>
      <w:r w:rsidRPr="792AD32B" w:rsidR="37AC44E3">
        <w:rPr>
          <w:sz w:val="24"/>
          <w:szCs w:val="24"/>
        </w:rPr>
        <w:t xml:space="preserve">. </w:t>
      </w:r>
      <w:r w:rsidRPr="792AD32B" w:rsidR="341E358E">
        <w:rPr>
          <w:sz w:val="24"/>
          <w:szCs w:val="24"/>
        </w:rPr>
        <w:t xml:space="preserve">Subgroup identification </w:t>
      </w:r>
      <w:r w:rsidRPr="792AD32B" w:rsidR="37AC44E3">
        <w:rPr>
          <w:sz w:val="24"/>
          <w:szCs w:val="24"/>
        </w:rPr>
        <w:t xml:space="preserve">could also </w:t>
      </w:r>
      <w:r w:rsidRPr="792AD32B" w:rsidR="0A1C034A">
        <w:rPr>
          <w:sz w:val="24"/>
          <w:szCs w:val="24"/>
        </w:rPr>
        <w:t>clarify</w:t>
      </w:r>
      <w:r w:rsidRPr="792AD32B" w:rsidR="02A6ECE1">
        <w:rPr>
          <w:sz w:val="24"/>
          <w:szCs w:val="24"/>
        </w:rPr>
        <w:t xml:space="preserve"> </w:t>
      </w:r>
      <w:r w:rsidRPr="792AD32B" w:rsidR="00BC3CBF">
        <w:rPr>
          <w:sz w:val="24"/>
          <w:szCs w:val="24"/>
        </w:rPr>
        <w:t xml:space="preserve">why some patients </w:t>
      </w:r>
      <w:r w:rsidRPr="792AD32B" w:rsidR="00BC3CBF">
        <w:rPr>
          <w:sz w:val="24"/>
          <w:szCs w:val="24"/>
        </w:rPr>
        <w:t xml:space="preserve">progress to chronic, disabling forms </w:t>
      </w:r>
      <w:r w:rsidRPr="792AD32B">
        <w:rPr>
          <w:rFonts w:cs="Arial"/>
        </w:rPr>
        <w:fldChar w:fldCharType="begin"/>
      </w:r>
      <w:r w:rsidRPr="792AD32B">
        <w:rPr>
          <w:rFonts w:cs="Arial"/>
        </w:rPr>
        <w:instrText xml:space="preserve"> ADDIN ZOTERO_ITEM CSL_CITATION {"citationID":"Hlzj9fLp","properties":{"unsorted":true,"formattedCitation":"(Brunner et al., 2017; Bean et al., 2014, 2016a)","plainCitation":"(Brunner et al., 2017; Bean et al., 2014, 2016a)","noteIndex":0},"citationItems":[{"id":"jyRXZ8R7/QIPKXFqu","uris":["http://zotero.org/users/8777725/items/8XJCHG9W"],"itemData":{"id":740,"type":"article-journal","abstract":"Background The timing of diagnosis of complex regional pain syndrome (CRPS) 1 remains a challenge due to the large heterogeneity of clinical presentations. We describe the distribution and differences in outcomes and clinical manifestations between time points and patient groups with and without CRPS 1 following an initiating event. Methods Prospective cohort study with a consecutive registration of patients presenting with painful swelling of the affected extremity after an initiating event and follow-up visits after 3, 6 and 12 months. Results Forty-two patients were enrolled (37 females, mean age 55.1 years). At baseline, 35 participants (83%, females n = 30) fulfilled the diagnostic criteria for CRPS 1. At 3 months, 19 out of the initial 35 CRPS 1 patients (54%) did not meet the diagnostic criteria anymore. Besides our inclusion criteria of a painful swelling, early manifestations indicating a CRPS 1 primarily include an impaired quality of life (SF-35, EQ5-D), more pain (NRS, MPQ) and restricted range of motion. Conclusions CRPS 1 develops within 8 weeks following a noxious event. Although many CRPS 1 patients reach partial remission within the first 3 months, signs and symptoms do not improve significantly at 1 year. In order to identify prognostic risk factors large prospective cohort studies are needed. Significance This prospective cohort study follows patients with complaints most suspected for complex regional pain syndrome (CRPS) 1. CRPS 1 develops within 8 weeks following a noxious event. Although many CRPS 1 patients reach partial remission within the 3 months, symptoms do not improve significantly at 1 year.","container-title":"European Journal of Pain","DOI":"10.1002/ejp.1064","ISSN":"1532-2149","issue":"9","language":"en","note":"_eprint: https://onlinelibrary.wiley.com/doi/pdf/10.1002/ejp.1064","page":"1611-1617","source":"Wiley Online Library","title":"Painful swelling after a noxious event and the development of complex regional pain syndrome 1: A one-year prospective study","title-short":"Painful swelling after a noxious event and the development of complex regional pain syndrome 1","volume":"21","author":[{"family":"Brunner","given":"F."},{"family":"Bachmann","given":"L.m."},{"family":"Perez","given":"R.s.g.m."},{"family":"Marinus","given":"J."},{"family":"Wertli","given":"M.m."}],"issued":{"date-parts":[["2017"]]}}},{"id":"jyRXZ8R7/IAM2qNow","uris":["http://zotero.org/users/8777725/items/FUN5EW6V"],"itemData":{"id":98,"type":"article-journal","abstract":"The purpose of this systematic review was to examine the outcome of complex regional pain syndrome (CRPS) type 1. We searched MEDLINE, Embase, and PsycINFO for relevant studies and included 18 studies, with 3,991 participants, in this review. The following data were extracted: study details, measurement tools used, and rates or severity scores for the symptoms/signs of CRPS at baseline and follow-up, or in groups of patients with different disease durations. A quality assessment revealed significant limitations in the literature, with many studies using different diagnostic criteria. The 3 prospective studies demonstrated that for many patients, symptoms improve markedly within 6 to 13 months of onset. The 12 retrospective studies had highly heterogeneous findings, documenting lasting impairments in many patients. The 3 cross-sectional studies showed that rates of pain and sensory symptoms were highest among those with the longest duration of CRPS. Additionally, most studies showed that motor symptoms (stiffness and weakness) were the most likely to persist whereas sudomotor and vasomotor symptoms were the most likely to improve. Overall, this suggests that some CRPS patients make a good early recovery whereas others develop lasting pain and disability. As yet little is known about the prognostic factors that might differentiate between these groups.\nPERSPECTIVE: We found evidence that many CRPS patients recover within 6 to 13 months, but a significant number experience some lasting symptoms, and some experience chronic pain and disability. The quality of the evidence was poor. Future research should examine the factors associated with recovery and identify those at risk of poor outcomes.","container-title":"The Journal of Pain","DOI":"10.1016/j.jpain.2014.01.500","ISSN":"1528-8447","issue":"7","journalAbbreviation":"J Pain","language":"eng","note":"PMID: 24530407","page":"677-690","source":"PubMed","title":"The outcome of complex regional pain syndrome type 1: a systematic review","title-short":"The outcome of complex regional pain syndrome type 1","volume":"15","author":[{"family":"Bean","given":"Debbie J."},{"family":"Johnson","given":"Malcolm H."},{"family":"Kydd","given":"Robert R."}],"issued":{"date-parts":[["2014",7]]}}},{"id":"jyRXZ8R7/NjknmWCn","uris":["http://zotero.org/users/8777725/items/IVFPSY5Y"],"itemData":{"id":125,"type":"article-journal","abstract":"Background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R."}],"issued":{"date-parts":[["2016",7]]}}}],"schema":"https://github.com/citation-style-language/schema/raw/master/csl-citation.json"} </w:instrText>
      </w:r>
      <w:r w:rsidRPr="792AD32B">
        <w:rPr>
          <w:rFonts w:cs="Arial"/>
        </w:rPr>
        <w:fldChar w:fldCharType="separate"/>
      </w:r>
      <w:r w:rsidRPr="792AD32B" w:rsidR="008425F7">
        <w:rPr>
          <w:rFonts w:ascii="Calibri" w:hAnsi="Calibri" w:cs="Calibri"/>
          <w:sz w:val="24"/>
          <w:szCs w:val="24"/>
        </w:rPr>
        <w:t>(Brunner et al., 2017; Bean et al., 2014, 2016a)</w:t>
      </w:r>
      <w:r w:rsidRPr="792AD32B">
        <w:rPr>
          <w:rFonts w:cs="Arial"/>
        </w:rPr>
        <w:fldChar w:fldCharType="end"/>
      </w:r>
      <w:r w:rsidRPr="792AD32B" w:rsidR="28169737">
        <w:rPr>
          <w:rFonts w:cs="Arial"/>
          <w:sz w:val="24"/>
          <w:szCs w:val="24"/>
        </w:rPr>
        <w:t>.</w:t>
      </w:r>
      <w:r w:rsidRPr="792AD32B" w:rsidR="00CD46F2">
        <w:rPr>
          <w:rFonts w:cs="Arial"/>
          <w:sz w:val="24"/>
          <w:szCs w:val="24"/>
        </w:rPr>
        <w:t xml:space="preserve"> </w:t>
      </w:r>
      <w:r w:rsidRPr="792AD32B" w:rsidR="00CD46F2">
        <w:rPr>
          <w:rFonts w:cs="Arial"/>
          <w:color w:val="FF0000"/>
          <w:sz w:val="24"/>
          <w:szCs w:val="24"/>
        </w:rPr>
        <w:t xml:space="preserve">However, studies exploring CRPS </w:t>
      </w:r>
      <w:r w:rsidRPr="792AD32B" w:rsidR="00BC3CBF">
        <w:rPr>
          <w:rFonts w:cs="Arial"/>
          <w:color w:val="FF0000"/>
          <w:sz w:val="24"/>
          <w:szCs w:val="24"/>
        </w:rPr>
        <w:t xml:space="preserve">subtypes </w:t>
      </w:r>
      <w:r w:rsidRPr="792AD32B" w:rsidR="00BC3CBF">
        <w:rPr>
          <w:rFonts w:cs="Arial"/>
          <w:color w:val="FF0000"/>
          <w:sz w:val="24"/>
          <w:szCs w:val="24"/>
        </w:rPr>
        <w:t>typically focused on only one aspect of the biopsychosocial model</w:t>
      </w:r>
      <w:r w:rsidRPr="792AD32B" w:rsidR="3C4CA4A7">
        <w:rPr>
          <w:rFonts w:cs="Arial"/>
          <w:color w:val="FF0000"/>
          <w:sz w:val="24"/>
          <w:szCs w:val="24"/>
        </w:rPr>
        <w:t xml:space="preserve"> (e.g.</w:t>
      </w:r>
      <w:r w:rsidRPr="792AD32B" w:rsidR="00BC3CBF">
        <w:rPr>
          <w:rFonts w:cs="Arial"/>
          <w:color w:val="FF0000"/>
          <w:sz w:val="24"/>
          <w:szCs w:val="24"/>
        </w:rPr>
        <w:t xml:space="preserve">, </w:t>
      </w:r>
      <w:r w:rsidRPr="792AD32B" w:rsidR="2198C3A4">
        <w:rPr>
          <w:rFonts w:cs="Arial"/>
          <w:color w:val="FF0000"/>
          <w:sz w:val="24"/>
          <w:szCs w:val="24"/>
        </w:rPr>
        <w:t xml:space="preserve">symptoms/signs or </w:t>
      </w:r>
      <w:r w:rsidRPr="792AD32B" w:rsidR="2198C3A4">
        <w:rPr>
          <w:rFonts w:cs="Arial"/>
          <w:color w:val="FF0000"/>
          <w:sz w:val="24"/>
          <w:szCs w:val="24"/>
        </w:rPr>
        <w:t>quantitative sensory testing [QST] value</w:t>
      </w:r>
      <w:r w:rsidRPr="792AD32B" w:rsidR="2198C3A4">
        <w:rPr>
          <w:rFonts w:cs="Arial"/>
          <w:color w:val="FF0000"/>
          <w:sz w:val="24"/>
          <w:szCs w:val="24"/>
        </w:rPr>
        <w:t>s)</w:t>
      </w:r>
      <w:r w:rsidRPr="792AD32B" w:rsidR="00BC3CBF">
        <w:rPr>
          <w:rFonts w:cs="Arial"/>
          <w:color w:val="FF0000"/>
          <w:sz w:val="24"/>
          <w:szCs w:val="24"/>
        </w:rPr>
        <w:t>, without</w:t>
      </w:r>
      <w:r w:rsidRPr="792AD32B" w:rsidR="00BC3CBF">
        <w:rPr>
          <w:rFonts w:cs="Arial"/>
          <w:color w:val="FF0000"/>
          <w:sz w:val="24"/>
          <w:szCs w:val="24"/>
        </w:rPr>
        <w:t xml:space="preserve"> simultaneously</w:t>
      </w:r>
      <w:r w:rsidRPr="792AD32B" w:rsidR="00BC3CBF">
        <w:rPr>
          <w:rFonts w:cs="Arial"/>
          <w:color w:val="FF0000"/>
          <w:sz w:val="24"/>
          <w:szCs w:val="24"/>
        </w:rPr>
        <w:t xml:space="preserve"> integrating </w:t>
      </w:r>
      <w:r w:rsidRPr="792AD32B" w:rsidR="00CD46F2">
        <w:rPr>
          <w:rFonts w:cs="Arial"/>
          <w:color w:val="FF0000"/>
          <w:sz w:val="24"/>
          <w:szCs w:val="24"/>
        </w:rPr>
        <w:t>clinical observations, QST, cognitive changes and psychosocial variables.</w:t>
      </w:r>
    </w:p>
    <w:p w:rsidRPr="00BF575D" w:rsidR="155C6626" w:rsidP="267A1E1D" w:rsidRDefault="32A45C66" w14:paraId="2375DCB9" w14:textId="0487C5D5">
      <w:pPr>
        <w:pStyle w:val="Normal"/>
        <w:suppressLineNumbers w:val="0"/>
        <w:bidi w:val="0"/>
        <w:spacing w:before="0" w:beforeAutospacing="off" w:after="160" w:afterAutospacing="off" w:line="480" w:lineRule="auto"/>
        <w:ind w:left="0" w:right="0"/>
        <w:jc w:val="both"/>
        <w:rPr>
          <w:rFonts w:cs="Arial"/>
          <w:sz w:val="24"/>
          <w:szCs w:val="24"/>
          <w:lang w:val="fr-FR"/>
        </w:rPr>
      </w:pPr>
      <w:r w:rsidRPr="792AD32B" w:rsidR="32A45C66">
        <w:rPr>
          <w:rFonts w:cs="Arial"/>
          <w:sz w:val="24"/>
          <w:szCs w:val="24"/>
        </w:rPr>
        <w:t xml:space="preserve">Regarding CRPS duration, the terms </w:t>
      </w:r>
      <w:r w:rsidRPr="792AD32B" w:rsidR="32A45C66">
        <w:rPr>
          <w:rFonts w:cs="Arial"/>
          <w:i w:val="1"/>
          <w:iCs w:val="1"/>
          <w:sz w:val="24"/>
          <w:szCs w:val="24"/>
        </w:rPr>
        <w:t>early</w:t>
      </w:r>
      <w:r w:rsidRPr="792AD32B" w:rsidR="32A45C66">
        <w:rPr>
          <w:rFonts w:cs="Arial"/>
          <w:sz w:val="24"/>
          <w:szCs w:val="24"/>
        </w:rPr>
        <w:t xml:space="preserve"> and </w:t>
      </w:r>
      <w:r w:rsidRPr="792AD32B" w:rsidR="32A45C66">
        <w:rPr>
          <w:rFonts w:cs="Arial"/>
          <w:i w:val="1"/>
          <w:iCs w:val="1"/>
          <w:sz w:val="24"/>
          <w:szCs w:val="24"/>
        </w:rPr>
        <w:t>persistent</w:t>
      </w:r>
      <w:r w:rsidRPr="792AD32B" w:rsidR="7DD39F12">
        <w:rPr>
          <w:rFonts w:cs="Arial"/>
          <w:i w:val="1"/>
          <w:iCs w:val="1"/>
          <w:sz w:val="24"/>
          <w:szCs w:val="24"/>
        </w:rPr>
        <w:t xml:space="preserve"> CRPS</w:t>
      </w:r>
      <w:r w:rsidRPr="792AD32B" w:rsidR="32A45C66">
        <w:rPr>
          <w:rFonts w:cs="Arial"/>
          <w:sz w:val="24"/>
          <w:szCs w:val="24"/>
        </w:rPr>
        <w:t xml:space="preserve"> (preferred to </w:t>
      </w:r>
      <w:r w:rsidRPr="792AD32B" w:rsidR="32A45C66">
        <w:rPr>
          <w:rFonts w:cs="Arial"/>
          <w:i w:val="1"/>
          <w:iCs w:val="1"/>
          <w:sz w:val="24"/>
          <w:szCs w:val="24"/>
        </w:rPr>
        <w:t>acute</w:t>
      </w:r>
      <w:r w:rsidRPr="792AD32B" w:rsidR="32A45C66">
        <w:rPr>
          <w:rFonts w:cs="Arial"/>
          <w:sz w:val="24"/>
          <w:szCs w:val="24"/>
        </w:rPr>
        <w:t xml:space="preserve"> and </w:t>
      </w:r>
      <w:r w:rsidRPr="792AD32B" w:rsidR="32A45C66">
        <w:rPr>
          <w:rFonts w:cs="Arial"/>
          <w:i w:val="1"/>
          <w:iCs w:val="1"/>
          <w:sz w:val="24"/>
          <w:szCs w:val="24"/>
        </w:rPr>
        <w:t>chronic</w:t>
      </w:r>
      <w:r w:rsidRPr="792AD32B" w:rsidR="32A45C66">
        <w:rPr>
          <w:rFonts w:cs="Arial"/>
          <w:sz w:val="24"/>
          <w:szCs w:val="24"/>
        </w:rPr>
        <w:t xml:space="preserve">) were clarified in the Valencia consensus, </w:t>
      </w:r>
      <w:r w:rsidRPr="792AD32B" w:rsidR="00A37F99">
        <w:rPr>
          <w:rFonts w:cs="Arial"/>
          <w:color w:val="FF0000"/>
          <w:sz w:val="24"/>
          <w:szCs w:val="24"/>
        </w:rPr>
        <w:t xml:space="preserve">although the definition of early CRPS </w:t>
      </w:r>
      <w:r w:rsidRPr="792AD32B" w:rsidR="00A37F99">
        <w:rPr>
          <w:rFonts w:cs="Arial"/>
          <w:color w:val="FF0000"/>
          <w:sz w:val="24"/>
          <w:szCs w:val="24"/>
        </w:rPr>
        <w:t>remains</w:t>
      </w:r>
      <w:r w:rsidRPr="792AD32B" w:rsidR="00A37F99">
        <w:rPr>
          <w:rFonts w:cs="Arial"/>
          <w:color w:val="FF0000"/>
          <w:sz w:val="24"/>
          <w:szCs w:val="24"/>
        </w:rPr>
        <w:t xml:space="preserve"> vague due to insufficient data </w:t>
      </w:r>
      <w:r w:rsidRPr="792AD32B">
        <w:rPr>
          <w:rFonts w:cs="Arial"/>
        </w:rPr>
        <w:fldChar w:fldCharType="begin"/>
      </w:r>
      <w:r w:rsidRPr="792AD32B">
        <w:rPr>
          <w:rFonts w:cs="Arial"/>
        </w:rPr>
        <w:instrText xml:space="preserve"> ADDIN ZOTERO_ITEM CSL_CITATION {"citationID":"LkUc1jh4","properties":{"formattedCitation":"(Goebel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792AD32B">
        <w:rPr>
          <w:rFonts w:cs="Arial"/>
        </w:rPr>
        <w:fldChar w:fldCharType="separate"/>
      </w:r>
      <w:r w:rsidRPr="792AD32B" w:rsidR="008425F7">
        <w:rPr>
          <w:rFonts w:ascii="Calibri" w:hAnsi="Calibri" w:cs="Calibri"/>
          <w:sz w:val="24"/>
          <w:szCs w:val="24"/>
        </w:rPr>
        <w:t>(Goebel et al., 2021)</w:t>
      </w:r>
      <w:r w:rsidRPr="792AD32B">
        <w:rPr>
          <w:rFonts w:cs="Arial"/>
        </w:rPr>
        <w:fldChar w:fldCharType="end"/>
      </w:r>
      <w:r w:rsidRPr="792AD32B" w:rsidR="32A45C66">
        <w:rPr>
          <w:rFonts w:cs="Arial"/>
          <w:sz w:val="24"/>
          <w:szCs w:val="24"/>
        </w:rPr>
        <w:t xml:space="preserve">. </w:t>
      </w:r>
      <w:r w:rsidRPr="792AD32B" w:rsidR="3AE8D766">
        <w:rPr>
          <w:rFonts w:cs="Arial"/>
          <w:sz w:val="24"/>
          <w:szCs w:val="24"/>
        </w:rPr>
        <w:t xml:space="preserve">It is supposed that, </w:t>
      </w:r>
      <w:r w:rsidRPr="792AD32B" w:rsidR="00D85FBB">
        <w:rPr>
          <w:rFonts w:cs="Arial"/>
          <w:sz w:val="24"/>
          <w:szCs w:val="24"/>
        </w:rPr>
        <w:t xml:space="preserve">after </w:t>
      </w:r>
      <w:r w:rsidRPr="792AD32B" w:rsidR="3AE8D766">
        <w:rPr>
          <w:rFonts w:cs="Arial"/>
          <w:sz w:val="24"/>
          <w:szCs w:val="24"/>
        </w:rPr>
        <w:t>the first 12-18 months, CRPS become</w:t>
      </w:r>
      <w:r w:rsidRPr="792AD32B" w:rsidR="00A03CF2">
        <w:rPr>
          <w:rFonts w:cs="Arial"/>
          <w:sz w:val="24"/>
          <w:szCs w:val="24"/>
        </w:rPr>
        <w:t>s</w:t>
      </w:r>
      <w:r w:rsidRPr="792AD32B" w:rsidR="0AE60229">
        <w:rPr>
          <w:rFonts w:cs="Arial"/>
          <w:sz w:val="24"/>
          <w:szCs w:val="24"/>
        </w:rPr>
        <w:t xml:space="preserve"> </w:t>
      </w:r>
      <w:r w:rsidRPr="792AD32B" w:rsidR="3AE8D766">
        <w:rPr>
          <w:rFonts w:cs="Arial"/>
          <w:sz w:val="24"/>
          <w:szCs w:val="24"/>
        </w:rPr>
        <w:t>more difficult to manage</w:t>
      </w:r>
      <w:r w:rsidRPr="792AD32B" w:rsidR="003020D5">
        <w:rPr>
          <w:rFonts w:cs="Arial"/>
          <w:sz w:val="24"/>
          <w:szCs w:val="24"/>
        </w:rPr>
        <w:t xml:space="preserve"> </w:t>
      </w:r>
      <w:r w:rsidRPr="792AD32B" w:rsidR="003020D5">
        <w:rPr>
          <w:rFonts w:cs="Arial"/>
          <w:color w:val="FF0000"/>
          <w:sz w:val="24"/>
          <w:szCs w:val="24"/>
        </w:rPr>
        <w:t xml:space="preserve">(i.e., </w:t>
      </w:r>
      <w:r w:rsidRPr="792AD32B" w:rsidR="003020D5">
        <w:rPr>
          <w:rFonts w:cs="Arial"/>
          <w:i w:val="1"/>
          <w:iCs w:val="1"/>
          <w:color w:val="FF0000"/>
          <w:sz w:val="24"/>
          <w:szCs w:val="24"/>
        </w:rPr>
        <w:t>persistent</w:t>
      </w:r>
      <w:r w:rsidRPr="792AD32B" w:rsidR="003020D5">
        <w:rPr>
          <w:rFonts w:cs="Arial"/>
          <w:color w:val="FF0000"/>
          <w:sz w:val="24"/>
          <w:szCs w:val="24"/>
        </w:rPr>
        <w:t xml:space="preserve">), </w:t>
      </w:r>
      <w:r w:rsidRPr="792AD32B" w:rsidR="00A37F99">
        <w:rPr>
          <w:rFonts w:cs="Arial"/>
          <w:color w:val="FF0000"/>
          <w:sz w:val="24"/>
          <w:szCs w:val="24"/>
        </w:rPr>
        <w:t xml:space="preserve">but it </w:t>
      </w:r>
      <w:r w:rsidRPr="792AD32B" w:rsidR="00A37F99">
        <w:rPr>
          <w:rFonts w:cs="Arial"/>
          <w:color w:val="FF0000"/>
          <w:sz w:val="24"/>
          <w:szCs w:val="24"/>
        </w:rPr>
        <w:t>remains</w:t>
      </w:r>
      <w:r w:rsidRPr="792AD32B" w:rsidR="00A37F99">
        <w:rPr>
          <w:rFonts w:cs="Arial"/>
          <w:color w:val="FF0000"/>
          <w:sz w:val="24"/>
          <w:szCs w:val="24"/>
        </w:rPr>
        <w:t xml:space="preserve"> unclear whether all </w:t>
      </w:r>
      <w:r w:rsidRPr="792AD32B" w:rsidR="00A37F99">
        <w:rPr>
          <w:rFonts w:cs="Arial"/>
          <w:color w:val="FF0000"/>
          <w:sz w:val="24"/>
          <w:szCs w:val="24"/>
        </w:rPr>
        <w:t xml:space="preserve">CRPS </w:t>
      </w:r>
      <w:r w:rsidRPr="792AD32B" w:rsidR="00265D63">
        <w:rPr>
          <w:rFonts w:cs="Arial"/>
          <w:color w:val="FF0000"/>
          <w:sz w:val="24"/>
          <w:szCs w:val="24"/>
        </w:rPr>
        <w:t xml:space="preserve">cases </w:t>
      </w:r>
      <w:r w:rsidRPr="792AD32B" w:rsidR="00A37F99">
        <w:rPr>
          <w:rFonts w:cs="Arial"/>
          <w:color w:val="FF0000"/>
          <w:sz w:val="24"/>
          <w:szCs w:val="24"/>
        </w:rPr>
        <w:t xml:space="preserve">diagnosed </w:t>
      </w:r>
      <w:r w:rsidRPr="792AD32B" w:rsidR="00265D63">
        <w:rPr>
          <w:rFonts w:cs="Arial"/>
          <w:color w:val="FF0000"/>
          <w:sz w:val="24"/>
          <w:szCs w:val="24"/>
        </w:rPr>
        <w:t xml:space="preserve">within the first 12 months should be considered </w:t>
      </w:r>
      <w:r w:rsidRPr="792AD32B" w:rsidR="005143E0">
        <w:rPr>
          <w:rFonts w:cs="Arial"/>
          <w:color w:val="FF0000"/>
          <w:sz w:val="24"/>
          <w:szCs w:val="24"/>
        </w:rPr>
        <w:t xml:space="preserve">as </w:t>
      </w:r>
      <w:r w:rsidRPr="792AD32B" w:rsidR="00265D63">
        <w:rPr>
          <w:rFonts w:cs="Arial"/>
          <w:color w:val="FF0000"/>
          <w:sz w:val="24"/>
          <w:szCs w:val="24"/>
        </w:rPr>
        <w:t xml:space="preserve">a homogeneous </w:t>
      </w:r>
      <w:r w:rsidRPr="792AD32B" w:rsidR="00265D63">
        <w:rPr>
          <w:rFonts w:cs="Arial"/>
          <w:i w:val="1"/>
          <w:iCs w:val="1"/>
          <w:color w:val="FF0000"/>
          <w:sz w:val="24"/>
          <w:szCs w:val="24"/>
        </w:rPr>
        <w:t>early</w:t>
      </w:r>
      <w:r w:rsidRPr="792AD32B" w:rsidR="00265D63">
        <w:rPr>
          <w:rFonts w:cs="Arial"/>
          <w:color w:val="FF0000"/>
          <w:sz w:val="24"/>
          <w:szCs w:val="24"/>
        </w:rPr>
        <w:t xml:space="preserve"> condition</w:t>
      </w:r>
      <w:r w:rsidRPr="792AD32B" w:rsidR="00A37F99">
        <w:rPr>
          <w:rFonts w:cs="Arial"/>
          <w:color w:val="FF0000"/>
          <w:sz w:val="24"/>
          <w:szCs w:val="24"/>
        </w:rPr>
        <w:t xml:space="preserve">. </w:t>
      </w:r>
      <w:r w:rsidRPr="792AD32B" w:rsidR="00D85FBB">
        <w:rPr>
          <w:rFonts w:cs="Arial"/>
          <w:color w:val="FF0000"/>
          <w:sz w:val="24"/>
          <w:szCs w:val="24"/>
        </w:rPr>
        <w:t>Moreover</w:t>
      </w:r>
      <w:r w:rsidRPr="792AD32B" w:rsidR="00A03CF2">
        <w:rPr>
          <w:rFonts w:cs="Arial"/>
          <w:sz w:val="24"/>
          <w:szCs w:val="24"/>
        </w:rPr>
        <w:t xml:space="preserve">, </w:t>
      </w:r>
      <w:r w:rsidRPr="792AD32B" w:rsidR="003020D5">
        <w:rPr>
          <w:rFonts w:cs="Arial"/>
          <w:color w:val="FF0000"/>
          <w:sz w:val="24"/>
          <w:szCs w:val="24"/>
        </w:rPr>
        <w:t>no required</w:t>
      </w:r>
      <w:r w:rsidRPr="792AD32B" w:rsidR="00A37F99">
        <w:rPr>
          <w:color w:val="FF0000"/>
        </w:rPr>
        <w:t xml:space="preserve"> </w:t>
      </w:r>
      <w:r w:rsidRPr="792AD32B" w:rsidR="00A37F99">
        <w:rPr>
          <w:rFonts w:cs="Arial"/>
          <w:color w:val="FF0000"/>
          <w:sz w:val="24"/>
          <w:szCs w:val="24"/>
        </w:rPr>
        <w:t xml:space="preserve">duration between the triggering event and CRPS diagnosis has been </w:t>
      </w:r>
      <w:r w:rsidRPr="792AD32B" w:rsidR="00A37F99">
        <w:rPr>
          <w:rFonts w:cs="Arial"/>
          <w:color w:val="FF0000"/>
          <w:sz w:val="24"/>
          <w:szCs w:val="24"/>
        </w:rPr>
        <w:t>established</w:t>
      </w:r>
      <w:r w:rsidRPr="792AD32B" w:rsidR="00A37F99">
        <w:rPr>
          <w:rFonts w:cs="Arial"/>
          <w:color w:val="FF0000"/>
          <w:sz w:val="24"/>
          <w:szCs w:val="24"/>
        </w:rPr>
        <w:t xml:space="preserve"> </w:t>
      </w:r>
      <w:r w:rsidRPr="792AD32B">
        <w:rPr>
          <w:rFonts w:cs="Arial"/>
          <w:color w:val="FF0000"/>
        </w:rPr>
        <w:fldChar w:fldCharType="begin"/>
      </w:r>
      <w:r w:rsidRPr="792AD32B">
        <w:rPr>
          <w:rFonts w:cs="Arial"/>
          <w:color w:val="FF0000"/>
        </w:rPr>
        <w:instrText xml:space="preserve"> ADDIN ZOTERO_ITEM CSL_CITATION {"citationID":"ynjy6qBy","properties":{"formattedCitation":"(Goebel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792AD32B">
        <w:rPr>
          <w:rFonts w:cs="Arial"/>
          <w:color w:val="FF0000"/>
        </w:rPr>
        <w:fldChar w:fldCharType="separate"/>
      </w:r>
      <w:r w:rsidRPr="792AD32B" w:rsidR="00A37F99">
        <w:rPr>
          <w:rFonts w:ascii="Calibri" w:hAnsi="Calibri" w:cs="Calibri"/>
          <w:color w:val="FF0000"/>
          <w:sz w:val="24"/>
          <w:szCs w:val="24"/>
        </w:rPr>
        <w:t>(Goebel et al., 2021)</w:t>
      </w:r>
      <w:r w:rsidRPr="792AD32B">
        <w:rPr>
          <w:rFonts w:cs="Arial"/>
          <w:color w:val="FF0000"/>
        </w:rPr>
        <w:fldChar w:fldCharType="end"/>
      </w:r>
      <w:r w:rsidRPr="792AD32B" w:rsidR="00A37F99">
        <w:rPr>
          <w:rFonts w:cs="Arial"/>
          <w:color w:val="FF0000"/>
          <w:sz w:val="24"/>
          <w:szCs w:val="24"/>
        </w:rPr>
        <w:t xml:space="preserve">, although some experts suggest a </w:t>
      </w:r>
      <w:r w:rsidRPr="792AD32B" w:rsidR="00A37F99">
        <w:rPr>
          <w:rFonts w:cs="Arial"/>
          <w:color w:val="FF0000"/>
          <w:sz w:val="24"/>
          <w:szCs w:val="24"/>
        </w:rPr>
        <w:t>timeframe</w:t>
      </w:r>
      <w:r w:rsidRPr="792AD32B" w:rsidR="00A37F99">
        <w:rPr>
          <w:rFonts w:cs="Arial"/>
          <w:color w:val="FF0000"/>
          <w:sz w:val="24"/>
          <w:szCs w:val="24"/>
        </w:rPr>
        <w:t xml:space="preserve"> of 3 to 6 months</w:t>
      </w:r>
      <w:r w:rsidRPr="792AD32B" w:rsidR="00A37F99">
        <w:rPr>
          <w:rFonts w:cs="Arial"/>
          <w:color w:val="FF0000"/>
          <w:sz w:val="24"/>
          <w:szCs w:val="24"/>
        </w:rPr>
        <w:t>.</w:t>
      </w:r>
      <w:r w:rsidRPr="792AD32B" w:rsidR="00A37F99">
        <w:rPr>
          <w:color w:val="FF0000"/>
        </w:rPr>
        <w:t xml:space="preserve"> </w:t>
      </w:r>
      <w:r w:rsidRPr="792AD32B" w:rsidR="00A37F99">
        <w:rPr>
          <w:rFonts w:cs="Arial"/>
          <w:color w:val="FF0000"/>
          <w:sz w:val="24"/>
          <w:szCs w:val="24"/>
        </w:rPr>
        <w:t xml:space="preserve">This proposed duration reflects the </w:t>
      </w:r>
      <w:r w:rsidRPr="792AD32B" w:rsidR="00265D63">
        <w:rPr>
          <w:rFonts w:cs="Arial"/>
          <w:color w:val="FF0000"/>
          <w:sz w:val="24"/>
          <w:szCs w:val="24"/>
        </w:rPr>
        <w:t>challenge</w:t>
      </w:r>
      <w:r w:rsidRPr="792AD32B" w:rsidR="00A37F99">
        <w:rPr>
          <w:rFonts w:cs="Arial"/>
          <w:color w:val="FF0000"/>
          <w:sz w:val="24"/>
          <w:szCs w:val="24"/>
        </w:rPr>
        <w:t xml:space="preserve"> in distinguishing between normal </w:t>
      </w:r>
      <w:r w:rsidRPr="792AD32B" w:rsidR="00265D63">
        <w:rPr>
          <w:rFonts w:cs="Arial"/>
          <w:color w:val="FF0000"/>
          <w:sz w:val="24"/>
          <w:szCs w:val="24"/>
        </w:rPr>
        <w:t xml:space="preserve">post-traumatic </w:t>
      </w:r>
      <w:r w:rsidRPr="792AD32B" w:rsidR="00A37F99">
        <w:rPr>
          <w:rFonts w:cs="Arial"/>
          <w:color w:val="FF0000"/>
          <w:sz w:val="24"/>
          <w:szCs w:val="24"/>
        </w:rPr>
        <w:t>healing and</w:t>
      </w:r>
      <w:r w:rsidRPr="792AD32B" w:rsidR="00265D63">
        <w:rPr>
          <w:rFonts w:cs="Arial"/>
          <w:color w:val="FF0000"/>
          <w:sz w:val="24"/>
          <w:szCs w:val="24"/>
        </w:rPr>
        <w:t xml:space="preserve"> the onset of </w:t>
      </w:r>
      <w:r w:rsidRPr="792AD32B" w:rsidR="00A37F99">
        <w:rPr>
          <w:rFonts w:cs="Arial"/>
          <w:i w:val="1"/>
          <w:iCs w:val="1"/>
          <w:color w:val="FF0000"/>
          <w:sz w:val="24"/>
          <w:szCs w:val="24"/>
        </w:rPr>
        <w:t>early</w:t>
      </w:r>
      <w:r w:rsidRPr="792AD32B" w:rsidR="00A37F99">
        <w:rPr>
          <w:rFonts w:cs="Arial"/>
          <w:color w:val="FF0000"/>
          <w:sz w:val="24"/>
          <w:szCs w:val="24"/>
        </w:rPr>
        <w:t xml:space="preserve"> CRPS</w:t>
      </w:r>
      <w:r w:rsidRPr="792AD32B" w:rsidR="00A659A0">
        <w:rPr>
          <w:rFonts w:cs="Arial"/>
          <w:color w:val="FF0000"/>
          <w:sz w:val="24"/>
          <w:szCs w:val="24"/>
        </w:rPr>
        <w:t>, which</w:t>
      </w:r>
      <w:r w:rsidRPr="792AD32B" w:rsidR="00A061FB">
        <w:rPr>
          <w:color w:val="FF0000"/>
          <w:sz w:val="24"/>
          <w:szCs w:val="24"/>
        </w:rPr>
        <w:t xml:space="preserve"> </w:t>
      </w:r>
      <w:r w:rsidRPr="792AD32B" w:rsidR="00265D63">
        <w:rPr>
          <w:color w:val="FF0000"/>
          <w:sz w:val="24"/>
          <w:szCs w:val="24"/>
        </w:rPr>
        <w:t>involve</w:t>
      </w:r>
      <w:r w:rsidRPr="792AD32B" w:rsidR="2200F82A">
        <w:rPr>
          <w:color w:val="FF0000"/>
          <w:sz w:val="24"/>
          <w:szCs w:val="24"/>
        </w:rPr>
        <w:t>s</w:t>
      </w:r>
      <w:r w:rsidRPr="792AD32B" w:rsidR="00265D63">
        <w:rPr>
          <w:color w:val="FF0000"/>
          <w:sz w:val="24"/>
          <w:szCs w:val="24"/>
        </w:rPr>
        <w:t xml:space="preserve"> greater</w:t>
      </w:r>
      <w:r w:rsidRPr="792AD32B" w:rsidR="00A659A0">
        <w:rPr>
          <w:color w:val="FF0000"/>
          <w:sz w:val="24"/>
          <w:szCs w:val="24"/>
        </w:rPr>
        <w:t xml:space="preserve"> pain and psychological distress than</w:t>
      </w:r>
      <w:r w:rsidRPr="792AD32B" w:rsidR="00D85FBB">
        <w:rPr>
          <w:color w:val="FF0000"/>
          <w:sz w:val="24"/>
          <w:szCs w:val="24"/>
        </w:rPr>
        <w:t xml:space="preserve"> </w:t>
      </w:r>
      <w:r w:rsidRPr="792AD32B" w:rsidR="7C04B924">
        <w:rPr>
          <w:color w:val="FF0000"/>
          <w:sz w:val="24"/>
          <w:szCs w:val="24"/>
        </w:rPr>
        <w:t xml:space="preserve">in </w:t>
      </w:r>
      <w:r w:rsidRPr="792AD32B" w:rsidR="00D85FBB">
        <w:rPr>
          <w:color w:val="FF0000"/>
          <w:sz w:val="24"/>
          <w:szCs w:val="24"/>
        </w:rPr>
        <w:t>patients with</w:t>
      </w:r>
      <w:r w:rsidRPr="792AD32B" w:rsidR="00A659A0">
        <w:rPr>
          <w:color w:val="FF0000"/>
          <w:sz w:val="24"/>
          <w:szCs w:val="24"/>
        </w:rPr>
        <w:t xml:space="preserve"> fractures </w:t>
      </w:r>
      <w:r w:rsidRPr="792AD32B" w:rsidR="00BF575D">
        <w:rPr>
          <w:color w:val="FF0000"/>
          <w:sz w:val="24"/>
          <w:szCs w:val="24"/>
        </w:rPr>
        <w:t>that do not develop CRPS</w:t>
      </w:r>
      <w:r w:rsidRPr="792AD32B" w:rsidR="00314DF6">
        <w:rPr>
          <w:color w:val="FF0000"/>
          <w:sz w:val="24"/>
          <w:szCs w:val="24"/>
        </w:rPr>
        <w:t xml:space="preserve"> </w:t>
      </w:r>
      <w:r w:rsidRPr="792AD32B">
        <w:rPr>
          <w:color w:val="FF0000"/>
          <w:sz w:val="24"/>
          <w:szCs w:val="24"/>
        </w:rPr>
        <w:fldChar w:fldCharType="begin"/>
      </w:r>
      <w:r w:rsidRPr="792AD32B">
        <w:rPr>
          <w:color w:val="FF0000"/>
          <w:sz w:val="24"/>
          <w:szCs w:val="24"/>
        </w:rPr>
        <w:instrText xml:space="preserve"> ADDIN ZOTERO_ITEM CSL_CITATION {"citationID":"RmejHt6j","properties":{"formattedCitation":"(Dietz et al., 2019)","plainCitation":"(Dietz et al., 2019)","noteIndex":0},"citationItems":[{"id":205,"uris":["http://zotero.org/users/8514361/items/XRXRZ4WH"],"itemData":{"id":205,"type":"article-journal","abstract":"Complex regional pain syndrome (CRPS) typically develops after fracture or trauma. Many of the studies so far have analyzed clinical and molecular markers of CRPS in comparison with healthy or pain controls. This approach, however, neglects mechanisms occurring during physiological trauma recovery. Therefore, we compared the clinical phenotype, sensory profiles, patient-reported outcomes, and exosomal immunobarrier microRNAs (miRs) regulating barrier function and immune response between CRPS and fracture controls (FCs) not fulfilling the CRPS diagnostic criteria. We included upper-extremity FCs, acute CRPS I patients within 1 year after trauma, a second disease control group (painful diabetic polyneuropathy), and healthy controls. Fracture controls were not symptoms-free, but reported some pain, disability, anxiety, and cold pain hyperalgesia in quantitative sensory testing. Patients with CRPS had higher scores for pain, disability, and all patient-reported outcomes. In quantitative sensory testing, ipsilateral and contralateral sides differed significantly. However, on the affected side, patients with CRPS were more sensitive in only 3 parameters (pinprick pain and blunt pressure) when compared to FCs. Two principal components were identified in the cohort: pain and psychological parameters distinguishing FC and CPRS. Furthermore, the immunobarrier-protective hsa-miR-223-5p was increased in plasma exosomes in FCs with normal healing, but not in CRPS and healthy controls. Low hsa-miR-223-5p was particularly observed in subjects with edema pointing towards barrier breakdown. In summary, normal trauma healing includes some CRPS signs and symptoms. It is the combination of different factors that distinguish CRPS and FC. Fracture control as a control group can assist to discover resolution factors after trauma.","container-title":"PAIN","DOI":"10.1097/j.pain.0000000000001617","ISSN":"0304-3959","issue":"10","language":"en-US","page":"2278","source":"journals.lww.com","title":"What is normal trauma healing and what is complex regional pain syndrome I? An analysis of clinical and experimental biomarkers","title-short":"What is normal trauma healing and what is complex regional pain syndrome I?","volume":"160","author":[{"family":"Dietz","given":"Christopher"},{"family":"Müller","given":"Maike"},{"family":"Reinhold","given":"Ann-Kristin"},{"family":"Karch","given":"Lisa"},{"family":"Schwab","given":"Bernhard"},{"family":"Forer","given":"Lukas"},{"family":"Vlckova","given":"Eva"},{"family":"Brede","given":"Elmar-Marc"},{"family":"Jakubietz","given":"Rafael"},{"family":"Üçeyler","given":"Nurcan"},{"family":"Meffert","given":"Rainer"},{"family":"Bednarik","given":"Josef"},{"family":"Kress","given":"Michaela"},{"family":"Sommer","given":"Claudia"},{"family":"Dimova","given":"Violeta"},{"family":"Birklein","given":"Frank"},{"family":"Rittner","given":"Heike L."}],"issued":{"date-parts":[["2019",10]]}}}],"schema":"https://github.com/citation-style-language/schema/raw/master/csl-citation.json"} </w:instrText>
      </w:r>
      <w:r w:rsidRPr="792AD32B">
        <w:rPr>
          <w:color w:val="FF0000"/>
          <w:sz w:val="24"/>
          <w:szCs w:val="24"/>
        </w:rPr>
        <w:fldChar w:fldCharType="separate"/>
      </w:r>
      <w:r w:rsidRPr="792AD32B" w:rsidR="00A03CF2">
        <w:rPr>
          <w:rFonts w:ascii="Calibri" w:hAnsi="Calibri" w:cs="Calibri"/>
          <w:color w:val="FF0000"/>
          <w:sz w:val="24"/>
          <w:szCs w:val="24"/>
        </w:rPr>
        <w:t>(Dietz et al., 2019)</w:t>
      </w:r>
      <w:r w:rsidRPr="792AD32B">
        <w:rPr>
          <w:color w:val="FF0000"/>
          <w:sz w:val="24"/>
          <w:szCs w:val="24"/>
        </w:rPr>
        <w:fldChar w:fldCharType="end"/>
      </w:r>
      <w:r w:rsidRPr="792AD32B" w:rsidR="001A416C">
        <w:rPr>
          <w:color w:val="FF0000"/>
          <w:sz w:val="24"/>
          <w:szCs w:val="24"/>
        </w:rPr>
        <w:t xml:space="preserve">, </w:t>
      </w:r>
      <w:r w:rsidRPr="792AD32B" w:rsidR="00BF575D">
        <w:rPr>
          <w:color w:val="FF0000"/>
          <w:sz w:val="24"/>
          <w:szCs w:val="24"/>
        </w:rPr>
        <w:t xml:space="preserve">as well as </w:t>
      </w:r>
      <w:r w:rsidRPr="792AD32B" w:rsidR="00A659A0">
        <w:rPr>
          <w:color w:val="FF0000"/>
          <w:sz w:val="24"/>
          <w:szCs w:val="24"/>
        </w:rPr>
        <w:t xml:space="preserve">a more intense inflammatory response and vasomotor dysfunction than persistent CRPS </w:t>
      </w:r>
      <w:r w:rsidRPr="792AD32B">
        <w:rPr>
          <w:color w:val="FF0000"/>
          <w:sz w:val="24"/>
          <w:szCs w:val="24"/>
        </w:rPr>
        <w:fldChar w:fldCharType="begin"/>
      </w:r>
      <w:r w:rsidRPr="792AD32B">
        <w:rPr>
          <w:color w:val="FF0000"/>
          <w:sz w:val="24"/>
          <w:szCs w:val="24"/>
        </w:rPr>
        <w:instrText xml:space="preserve"> ADDIN ZOTERO_ITEM CSL_CITATION {"citationID":"2ypXCl2Z","properties":{"formattedCitation":"(Birklein et al., 2018b; Ott and Maih\\uc0\\u246{}fner, 2018)","plainCitation":"(Birklein et al., 2018b; Ott and Maihöfner, 2018)","noteIndex":0},"citationItems":[{"id":112,"uris":["http://zotero.org/users/8514361/items/F2STHN62"],"itemData":{"id":112,"type":"article-journal","abstract":"Complex regional pain syndrome (CRPS) is a pain condition that usually affects a single limb, often following an injury. The underlying pathophysiology seems to be complex and probably varies between patients. Clinical diagnosis is based on internationally agreed-upon criteria, which consider the reported symptoms, presence of signs and exclusion of alternative causes. Research into CRPS biomarkers to support patient stratification and improve diagnostic certainty is an important scientific focus, and recent progress in this area provides an opportunity for an up-to-date topical review of measurable disease-predictive, diagnostic and prognostic parameters. Clinical and biochemical attributes of CRPS that may aid diagnosis and determination of appropriate treatment are delineated. Findings that predict the development of CRPS and support the diagnosis include trauma-related factors, neurocognitive peculiarities, psychological markers, and local and systemic changes that indicate activation of the immune system. Analysis of signatures of non-coding microRNAs that could predict the treatment response represents a new line of research. Results from the past 5 years of CRPS research indicate that a single marker for CRPS will probably never be found; however, a range of biomarkers might assist in clinical diagnosis and guide prognosis and treatment.","container-title":"Nature reviews. Neurology","DOI":"10.1038/nrneurol.2018.20","ISSN":"1759-4758","issue":"5","journalAbbreviation":"Nat Rev Neurol","note":"PMID: 29545626\nPMCID: PMC6534418","page":"272-284","source":"PubMed Central","title":"Complex regional pain syndrome — phenotypic characteristics and potential biomarkers","volume":"14","author":[{"family":"Birklein","given":"Frank"},{"family":"Ajit","given":"Seena K."},{"family":"Goebel","given":"Andreas"},{"family":"Perez","given":"Roberto S. G. M."},{"family":"Sommer","given":"Claudia"}],"issued":{"date-parts":[["2018",5]]}}},{"id":179,"uris":["http://zotero.org/users/8514361/items/BIIGMQ7A"],"itemData":{"id":179,"type":"article-journal","container-title":"The Journal of Pain","DOI":"10.1016/j.jpain.2018.01.004","ISSN":"1526-5900, 1528-8447","issue":"6","journalAbbreviation":"The Journal of Pain","language":"English","note":"publisher: Elsevier\nPMID: 29409933","page":"599-611","source":"www.jpain.org","title":"Signs and Symptoms in 1,043 Patients with Complex Regional Pain Syndrome","volume":"19","author":[{"family":"Ott","given":"Stephan"},{"family":"Maihöfner","given":"Christian"}],"issued":{"date-parts":[["2018",6,1]]}}}],"schema":"https://github.com/citation-style-language/schema/raw/master/csl-citation.json"} </w:instrText>
      </w:r>
      <w:r w:rsidRPr="792AD32B">
        <w:rPr>
          <w:color w:val="FF0000"/>
          <w:sz w:val="24"/>
          <w:szCs w:val="24"/>
        </w:rPr>
        <w:fldChar w:fldCharType="separate"/>
      </w:r>
      <w:r w:rsidRPr="792AD32B" w:rsidR="00A659A0">
        <w:rPr>
          <w:color w:val="FF0000"/>
          <w:sz w:val="24"/>
          <w:szCs w:val="24"/>
        </w:rPr>
        <w:t>(</w:t>
      </w:r>
      <w:r w:rsidRPr="792AD32B" w:rsidR="00A659A0">
        <w:rPr>
          <w:color w:val="FF0000"/>
          <w:sz w:val="24"/>
          <w:szCs w:val="24"/>
        </w:rPr>
        <w:t>Birklein</w:t>
      </w:r>
      <w:r w:rsidRPr="792AD32B" w:rsidR="00A659A0">
        <w:rPr>
          <w:color w:val="FF0000"/>
          <w:sz w:val="24"/>
          <w:szCs w:val="24"/>
        </w:rPr>
        <w:t xml:space="preserve"> et al., 2018b; Ott and </w:t>
      </w:r>
      <w:r w:rsidRPr="792AD32B" w:rsidR="00A659A0">
        <w:rPr>
          <w:color w:val="FF0000"/>
          <w:sz w:val="24"/>
          <w:szCs w:val="24"/>
        </w:rPr>
        <w:t>Maihöfner</w:t>
      </w:r>
      <w:r w:rsidRPr="792AD32B" w:rsidR="00A659A0">
        <w:rPr>
          <w:color w:val="FF0000"/>
          <w:sz w:val="24"/>
          <w:szCs w:val="24"/>
        </w:rPr>
        <w:t>, 2018)</w:t>
      </w:r>
      <w:r w:rsidRPr="792AD32B">
        <w:rPr>
          <w:color w:val="FF0000"/>
          <w:sz w:val="24"/>
          <w:szCs w:val="24"/>
        </w:rPr>
        <w:fldChar w:fldCharType="end"/>
      </w:r>
      <w:r w:rsidRPr="792AD32B" w:rsidR="008202F0">
        <w:rPr>
          <w:rFonts w:cs="Arial"/>
          <w:color w:val="FF0000"/>
          <w:sz w:val="24"/>
          <w:szCs w:val="24"/>
        </w:rPr>
        <w:t xml:space="preserve">. </w:t>
      </w:r>
      <w:r w:rsidRPr="792AD32B" w:rsidR="00BF575D">
        <w:rPr>
          <w:rFonts w:cs="Arial"/>
          <w:color w:val="FF0000"/>
          <w:sz w:val="24"/>
          <w:szCs w:val="24"/>
        </w:rPr>
        <w:t>F</w:t>
      </w:r>
      <w:r w:rsidRPr="792AD32B" w:rsidR="467A32D9">
        <w:rPr>
          <w:rFonts w:cs="Arial"/>
          <w:sz w:val="24"/>
          <w:szCs w:val="24"/>
        </w:rPr>
        <w:t xml:space="preserve">ew studies </w:t>
      </w:r>
      <w:r w:rsidRPr="792AD32B" w:rsidR="32A45C66">
        <w:rPr>
          <w:rFonts w:cs="Arial"/>
          <w:sz w:val="24"/>
          <w:szCs w:val="24"/>
        </w:rPr>
        <w:t xml:space="preserve">have </w:t>
      </w:r>
      <w:r w:rsidRPr="792AD32B" w:rsidR="00BF575D">
        <w:rPr>
          <w:rFonts w:cs="Arial"/>
          <w:sz w:val="24"/>
          <w:szCs w:val="24"/>
        </w:rPr>
        <w:t xml:space="preserve">specifically addressed </w:t>
      </w:r>
      <w:r w:rsidRPr="792AD32B" w:rsidR="467A32D9">
        <w:rPr>
          <w:rFonts w:cs="Arial"/>
          <w:sz w:val="24"/>
          <w:szCs w:val="24"/>
        </w:rPr>
        <w:t xml:space="preserve">the characteristics of </w:t>
      </w:r>
      <w:r w:rsidRPr="792AD32B" w:rsidR="00CD46F2">
        <w:rPr>
          <w:rFonts w:cs="Arial"/>
          <w:color w:val="FF0000"/>
          <w:sz w:val="24"/>
          <w:szCs w:val="24"/>
        </w:rPr>
        <w:t xml:space="preserve">(very) </w:t>
      </w:r>
      <w:r w:rsidRPr="792AD32B" w:rsidR="467A32D9">
        <w:rPr>
          <w:rFonts w:cs="Arial"/>
          <w:sz w:val="24"/>
          <w:szCs w:val="24"/>
        </w:rPr>
        <w:t>early CRPS</w:t>
      </w:r>
      <w:r w:rsidRPr="792AD32B" w:rsidR="001A416C">
        <w:rPr>
          <w:rFonts w:cs="Arial"/>
          <w:sz w:val="24"/>
          <w:szCs w:val="24"/>
        </w:rPr>
        <w:t>,</w:t>
      </w:r>
      <w:r w:rsidRPr="792AD32B" w:rsidR="00BF575D">
        <w:rPr>
          <w:rFonts w:cs="Arial"/>
          <w:sz w:val="24"/>
          <w:szCs w:val="24"/>
        </w:rPr>
        <w:t xml:space="preserve"> </w:t>
      </w:r>
      <w:r w:rsidRPr="792AD32B" w:rsidR="00BF575D">
        <w:rPr>
          <w:rFonts w:cs="Arial"/>
          <w:color w:val="FF0000"/>
          <w:sz w:val="24"/>
          <w:szCs w:val="24"/>
        </w:rPr>
        <w:t xml:space="preserve">as participants are often grouped into a single cohort due to small sample sizes, making it difficult to assess </w:t>
      </w:r>
      <w:r w:rsidRPr="792AD32B" w:rsidR="001A416C">
        <w:rPr>
          <w:rFonts w:cs="Arial"/>
          <w:color w:val="FF0000"/>
          <w:sz w:val="24"/>
          <w:szCs w:val="24"/>
        </w:rPr>
        <w:t>how</w:t>
      </w:r>
      <w:r w:rsidRPr="792AD32B" w:rsidR="00BF575D">
        <w:rPr>
          <w:rFonts w:cs="Arial"/>
          <w:color w:val="FF0000"/>
          <w:sz w:val="24"/>
          <w:szCs w:val="24"/>
        </w:rPr>
        <w:t xml:space="preserve"> duration</w:t>
      </w:r>
      <w:r w:rsidRPr="792AD32B" w:rsidR="001A416C">
        <w:rPr>
          <w:rFonts w:cs="Arial"/>
          <w:color w:val="FF0000"/>
          <w:sz w:val="24"/>
          <w:szCs w:val="24"/>
        </w:rPr>
        <w:t xml:space="preserve"> influences the</w:t>
      </w:r>
      <w:r w:rsidRPr="792AD32B" w:rsidR="00BF575D">
        <w:rPr>
          <w:rFonts w:cs="Arial"/>
          <w:color w:val="FF0000"/>
          <w:sz w:val="24"/>
          <w:szCs w:val="24"/>
        </w:rPr>
        <w:t xml:space="preserve"> clinical presentations/outcomes.</w:t>
      </w:r>
      <w:r w:rsidRPr="792AD32B" w:rsidR="467A32D9">
        <w:rPr>
          <w:rFonts w:cs="Arial"/>
          <w:sz w:val="24"/>
          <w:szCs w:val="24"/>
        </w:rPr>
        <w:t xml:space="preserve"> </w:t>
      </w:r>
      <w:r w:rsidRPr="792AD32B" w:rsidR="00BF575D">
        <w:rPr>
          <w:rFonts w:cs="Arial"/>
          <w:sz w:val="24"/>
          <w:szCs w:val="24"/>
        </w:rPr>
        <w:t>H</w:t>
      </w:r>
      <w:r w:rsidRPr="792AD32B" w:rsidR="468F26CC">
        <w:rPr>
          <w:rFonts w:cs="Arial"/>
          <w:sz w:val="24"/>
          <w:szCs w:val="24"/>
        </w:rPr>
        <w:t>owever</w:t>
      </w:r>
      <w:r w:rsidRPr="792AD32B" w:rsidR="619FC236">
        <w:rPr>
          <w:rFonts w:cs="Arial"/>
          <w:sz w:val="24"/>
          <w:szCs w:val="24"/>
        </w:rPr>
        <w:t>,</w:t>
      </w:r>
      <w:r w:rsidRPr="792AD32B" w:rsidR="467A32D9">
        <w:rPr>
          <w:rFonts w:cs="Arial"/>
          <w:sz w:val="24"/>
          <w:szCs w:val="24"/>
        </w:rPr>
        <w:t xml:space="preserve"> </w:t>
      </w:r>
      <w:r w:rsidRPr="792AD32B" w:rsidR="00BF575D">
        <w:rPr>
          <w:rFonts w:cs="Arial"/>
          <w:sz w:val="24"/>
          <w:szCs w:val="24"/>
        </w:rPr>
        <w:t xml:space="preserve">understanding this early phase is essential to </w:t>
      </w:r>
      <w:r w:rsidRPr="792AD32B" w:rsidR="26C6A101">
        <w:rPr>
          <w:rFonts w:cs="Arial"/>
          <w:sz w:val="24"/>
          <w:szCs w:val="24"/>
        </w:rPr>
        <w:t xml:space="preserve">characterize </w:t>
      </w:r>
      <w:r w:rsidRPr="792AD32B" w:rsidR="00BF575D">
        <w:rPr>
          <w:rFonts w:cs="Arial"/>
          <w:sz w:val="24"/>
          <w:szCs w:val="24"/>
        </w:rPr>
        <w:t xml:space="preserve">the clinical course of this condition </w:t>
      </w:r>
      <w:r>
        <w:fldChar w:fldCharType="begin"/>
      </w:r>
      <w:r>
        <w:instrText xml:space="preserve"> ADDIN ZOTERO_ITEM CSL_CITATION {"citationID":"uKwYQX7v","properties":{"formattedCitation":"(Louis et al., 2023)","plainCitation":"(Louis et al., 2023)","noteIndex":0},"citationItems":[{"id":111,"uris":["http://zotero.org/users/8514361/items/UPBCVXCA"],"itemData":{"id":111,"type":"article-journal","abstract":"Background and objective Several risk factors for the onset of CRPS have been found, but evidence for prognostic factors associated with the progression of this condition remains sparse. However, the detection and management of these factors are necessary to design secondary prevention strategies. The objective of this systematic review was to identify prognostic factors in adult individuals with early CRPS. Database and data treatment PubMed, Embase, PsycINFO, Cochrane Library and Scopus, were published between January 1990 and November 2021. Two independent investigators selected cross-sectional and longitudinal studies looking at early (&lt;12 weeks from onset) prognostic factors for pain, CRPS severity score, disability, return to work, or quality of life. The quality in prognostic studies (QUIPS) tool was used to assess the risk of bias. A qualitative meta-synthesis was performed. Results Out of 4652 different articles, six studies met the inclusion criteria. We identified 21 early factors associated with a poorer prognosis in type I CRPS. We found moderate evidence to support six of them: higher pain intensity, self-rated disability, anxiety, pain-related fear, being a female and high-energy triggering event. Only two studies had an overall low risk of bias. Conclusions This study showed an important lack of information on early prognostic factors in CRPS. Only one article investigated the link with psychological characteristics. There is a crucial need for larger studies, with a well-defined population using validated measures. Significance This systematic review highlights the lack of knowledge about early prognostic factors in CRPS. A few putative prognostic factors were identified. Most of the moderate evidence is related to a single cohort. Future research is required to find out which patients are vulnerable to chronification.","container-title":"European Journal of Pain","DOI":"10.1002/ejp.2068","ISSN":"1532-2149","issue":"3","language":"en","license":"© 2022 European Pain Federation - EFIC ®.","note":"_eprint: https://onlinelibrary.wiley.com/doi/pdf/10.1002/ejp.2068","page":"338-352","source":"Wiley Online Library","title":"Biological and psychological early prognostic factors in complex regional pain syndrome: A systematic review","title-short":"Biological and psychological early prognostic factors in complex regional pain syndrome","volume":"27","author":[{"family":"Louis","given":"Marc-Henri"},{"family":"Meyer","given":"Caroline"},{"family":"Legrain","given":"Valéry"},{"family":"Berquin","given":"Anne"}],"issued":{"date-parts":[["2023"]]}}}],"schema":"https://github.com/citation-style-language/schema/raw/master/csl-citation.json"} </w:instrText>
      </w:r>
      <w:r>
        <w:fldChar w:fldCharType="separate"/>
      </w:r>
      <w:r w:rsidRPr="792AD32B" w:rsidR="00BF575D">
        <w:rPr>
          <w:rFonts w:ascii="Calibri" w:hAnsi="Calibri" w:cs="Calibri"/>
          <w:sz w:val="24"/>
          <w:szCs w:val="24"/>
        </w:rPr>
        <w:t>(Louis et al., 2023)</w:t>
      </w:r>
      <w:r>
        <w:fldChar w:fldCharType="end"/>
      </w:r>
      <w:r w:rsidR="00BF575D">
        <w:rPr/>
        <w:t>.</w:t>
      </w:r>
      <w:r w:rsidRPr="792AD32B" w:rsidR="00BF575D">
        <w:rPr>
          <w:rFonts w:cs="Arial"/>
          <w:sz w:val="24"/>
          <w:szCs w:val="24"/>
        </w:rPr>
        <w:t xml:space="preserve"> </w:t>
      </w:r>
      <w:r w:rsidRPr="792AD32B" w:rsidR="05194E5A">
        <w:rPr>
          <w:sz w:val="24"/>
          <w:szCs w:val="24"/>
        </w:rPr>
        <w:t xml:space="preserve">Moreover, </w:t>
      </w:r>
      <w:r w:rsidRPr="792AD32B" w:rsidR="5B75841A">
        <w:rPr>
          <w:sz w:val="24"/>
          <w:szCs w:val="24"/>
        </w:rPr>
        <w:t xml:space="preserve">while </w:t>
      </w:r>
      <w:r w:rsidRPr="792AD32B" w:rsidR="5962FDB9">
        <w:rPr>
          <w:sz w:val="24"/>
          <w:szCs w:val="24"/>
        </w:rPr>
        <w:t>several</w:t>
      </w:r>
      <w:r w:rsidRPr="792AD32B" w:rsidR="05194E5A">
        <w:rPr>
          <w:sz w:val="24"/>
          <w:szCs w:val="24"/>
        </w:rPr>
        <w:t xml:space="preserve"> treatments </w:t>
      </w:r>
      <w:r w:rsidRPr="792AD32B" w:rsidR="5DBD8869">
        <w:rPr>
          <w:sz w:val="24"/>
          <w:szCs w:val="24"/>
        </w:rPr>
        <w:t>might</w:t>
      </w:r>
      <w:r w:rsidRPr="792AD32B" w:rsidR="05194E5A">
        <w:rPr>
          <w:sz w:val="24"/>
          <w:szCs w:val="24"/>
        </w:rPr>
        <w:t xml:space="preserve"> be effective and are recommended only </w:t>
      </w:r>
      <w:r w:rsidRPr="792AD32B" w:rsidR="43E48F8F">
        <w:rPr>
          <w:sz w:val="24"/>
          <w:szCs w:val="24"/>
        </w:rPr>
        <w:t>at</w:t>
      </w:r>
      <w:r w:rsidRPr="792AD32B" w:rsidR="05194E5A">
        <w:rPr>
          <w:sz w:val="24"/>
          <w:szCs w:val="24"/>
        </w:rPr>
        <w:t xml:space="preserve"> </w:t>
      </w:r>
      <w:r w:rsidRPr="792AD32B" w:rsidR="00CD46F2">
        <w:rPr>
          <w:sz w:val="24"/>
          <w:szCs w:val="24"/>
        </w:rPr>
        <w:t xml:space="preserve">the </w:t>
      </w:r>
      <w:r w:rsidRPr="792AD32B" w:rsidR="05194E5A">
        <w:rPr>
          <w:sz w:val="24"/>
          <w:szCs w:val="24"/>
        </w:rPr>
        <w:t xml:space="preserve">early stage, not all patients seem to </w:t>
      </w:r>
      <w:r w:rsidRPr="792AD32B" w:rsidR="05194E5A">
        <w:rPr>
          <w:sz w:val="24"/>
          <w:szCs w:val="24"/>
        </w:rPr>
        <w:t>benefit</w:t>
      </w:r>
      <w:r w:rsidRPr="792AD32B" w:rsidR="05194E5A">
        <w:rPr>
          <w:sz w:val="24"/>
          <w:szCs w:val="24"/>
        </w:rPr>
        <w:t xml:space="preserve"> from them</w:t>
      </w:r>
      <w:r w:rsidRPr="792AD32B" w:rsidR="55AC4705">
        <w:rPr>
          <w:sz w:val="24"/>
          <w:szCs w:val="24"/>
        </w:rPr>
        <w:t xml:space="preserve"> </w:t>
      </w:r>
      <w:r>
        <w:fldChar w:fldCharType="begin"/>
      </w:r>
      <w:r>
        <w:instrText xml:space="preserve"> ADDIN ZOTERO_ITEM CSL_CITATION {"citationID":"MG9vIYfU","properties":{"formattedCitation":"(van den Berg et al., 2022; Ferraro et al., 2024; Harden et al., 2022)","plainCitation":"(van den Berg et al., 2022; Ferraro et al., 2024; Harden et al., 2022)","noteIndex":0},"citationItems":[{"id":87,"uris":["http://zotero.org/users/8514361/items/RRPXX2NM"],"itemData":{"id":87,"type":"article-journal","abstract":"BACKGROUND AND OBJECTIVE: The pathophysiology of complex regional pain syndrome (CRPS) is multifactorial, with an exaggerated inflammatory response being the most prominent. Treatment for CRPS is carried out according to the presenting pathophysiological mechanism. Anti-inflammatory treatment with glucocorticoids is therefore an option. The aim of this study was to systematically review the efficacy of glucocorticoids in CRPS.\nDATABASES AND DATA TREATMENT: Embase, Medline, Web of Science and Google Scholar were systematically searched for articles focusing on glucocorticoid treatment and CRPS. Screening based on title and abstract was followed by full-text reading (including reference lists) to determine the final set of relevant articles. Bias was assessed using the revised Cochrane risk-of-bias-tool for randomized trials (Rob2).\nRESULTS: Forty-one studies were included, which reported on 1208 CRPS patients. A wide variety of glucocorticoid administration strategies were applied, with oral being the most frequently chosen. Additionally, researchers found great heterogeneity in outcome parameters, including clinical symptoms, pain relief and range of motion. The use of glucocorticoids caused an improvement of parameters in all but two studies. In particular, improvement in pain relief and range of motion were reported. Using glucocorticoids in CRPS of longer duration (i.e. more than 3 months) appears to be less effective.\nCONCLUSION: Based on the present review, there is evidence to support glucocorticoid treatment in CRPS. However, the ideal administration route and dose remain unclear. We therefore recommend future research via an intervention study, as well as studies on the aetiological mechanisms and corresponding optimal treatment because CRPS pathogenesis is only partially understood.\nSIGNIFICANCE: Several studies point towards CRPS being an inflammatory response after tissue or nerve damage, with higher levels of pro-inflammatory cytokines in serum, plasma, cerebrospinal fluid and artificial skin blisters. Inflammation provides a possible role for glucocorticoids in treating CRPS. This systematic review provides a structured overview of glucocorticoid treatment in patients with CRPS. Improvement in pain and range of motion is shown. Systematic review registration number: PROSPERO-CRD42020144671.","container-title":"European Journal of Pain (London, England)","DOI":"10.1002/ejp.2025","ISSN":"1532-2149","issue":"10","journalAbbreviation":"Eur J Pain","language":"eng","note":"PMID: 35983980\nPMCID: PMC9826269","page":"2009-2035","source":"PubMed","title":"Glucocorticoid treatment in patients with complex regional pain syndrome: A systematic review","title-short":"Glucocorticoid treatment in patients with complex regional pain syndrome","volume":"26","author":[{"family":"Berg","given":"Corinne","non-dropping-particle":"van den"},{"family":"Bree","given":"Pim N.","non-dropping-particle":"de"},{"family":"Huygen","given":"Frank J. P. M."},{"family":"Tiemensma","given":"Jitske"}],"issued":{"date-parts":[["2022",11]]}}},{"id":204,"uris":["http://zotero.org/users/8514361/items/L4V25AMH"],"itemData":{"id":204,"type":"article-journal","container-title":"The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H."}],"issued":{"date-parts":[["2024",5,1]]}}},{"id":"jyRXZ8R7/0EbNlnam","uris":["http://zotero.org/users/8777725/items/DF4BJ69V"],"itemData":{"id":1486,"type":"article-journal","abstract":"There have been some modest recent advancements in the research of Complex Regional Pain Syndrome, yet the amount and quality of the work in this complicated multifactorial disease remains low (with some notable exceptions; e.g., the recent work on the dorsal root ganglion stimulation). The semi-systematic (though in some cases narrative) approach to review is necessary so that we might treat our patients while waiting for \"better research.\" This semi-systematic review was conducted by experts in the field, (deliberately) some of whom are promising young researchers supplemented by the experience of \"elder statesman\" researchers, who all mention the system they have used to examine the literature. What we found is generally low- to medium-quality research with small numbers of subjects; however, there are some recent exceptions to this. The primary reason for this paucity of research is the fact that this is a rare disease, and it is very difficult to acquire a sufficient sample size for statistical significance using traditional statistical approaches. Several larger trials have failed, probably due to using the broa</w:instrText>
      </w:r>
      <w:r w:rsidRPr="792AD32B">
        <w:rPr>
          <w:lang w:val="fr-FR"/>
        </w:rPr>
        <w:instrText xml:space="preserve">d general diagnostic criteria (the \"Budapest\" criteria) in a multifactorial/multi-mechanism disease. Responsive subsets can often be identified in these larger trials, but not sufficient to achieve statistically significant results in the general diagnostic grouping. This being the case the authors have necessarily included data from less compelling protocols, including trials such as case series and even in some instances case reports/empirical information. In the humanitarian spirit of treating our often desperate patients with this rare syndrome, without great evidence, we must take what data we can find (as in this work) and tailor a treatment regime for each patient.","container-title":"Pain Medicine (Malden, Mass.)","DOI":"10.1093/pm/pnac046","ISSN":"1526-4637","issue":"Suppl 1","journalAbbreviation":"Pain Med","language":"eng","note":"PMID: 35687369\nPMCID: PMC9186375","page":"S1-S53","source":"PubMed","title":"Complex Regional Pain Syndrome: Practical Diagnostic and Treatment Guidelines, 5th Edition","title-short":"Complex Regional Pain Syndrome","volume":"23","author":[{"family":"Harden","given":"R. Norman"},{"family":"McCabe","given":"Candida S."},{"family":"Goebel","given":"Andreas"},{"family":"Massey","given":"Michael"},{"family":"Suvar","given":"Tolga"},{"family":"Grieve","given":"Sharon"},{"family":"Bruehl","given":"Stephen"}],"issued":{"date-parts":[["2022",6,10]]}}}],"schema":"https://github.com/citation-style-language/schema/raw/master/csl-citation.json"} </w:instrText>
      </w:r>
      <w:r>
        <w:fldChar w:fldCharType="separate"/>
      </w:r>
      <w:r w:rsidRPr="792AD32B" w:rsidR="008425F7">
        <w:rPr>
          <w:rFonts w:ascii="Calibri" w:hAnsi="Calibri" w:cs="Calibri"/>
          <w:sz w:val="24"/>
          <w:szCs w:val="24"/>
          <w:lang w:val="fr-FR"/>
        </w:rPr>
        <w:t xml:space="preserve">(van den Berg et al., </w:t>
      </w:r>
      <w:r w:rsidRPr="792AD32B" w:rsidR="008425F7">
        <w:rPr>
          <w:rFonts w:ascii="Calibri" w:hAnsi="Calibri" w:cs="Calibri"/>
          <w:sz w:val="24"/>
          <w:szCs w:val="24"/>
          <w:lang w:val="fr-FR"/>
        </w:rPr>
        <w:t>2022;</w:t>
      </w:r>
      <w:r w:rsidRPr="792AD32B" w:rsidR="008425F7">
        <w:rPr>
          <w:rFonts w:ascii="Calibri" w:hAnsi="Calibri" w:cs="Calibri"/>
          <w:sz w:val="24"/>
          <w:szCs w:val="24"/>
          <w:lang w:val="fr-FR"/>
        </w:rPr>
        <w:t xml:space="preserve"> Ferraro et al., </w:t>
      </w:r>
      <w:r w:rsidRPr="792AD32B" w:rsidR="008425F7">
        <w:rPr>
          <w:rFonts w:ascii="Calibri" w:hAnsi="Calibri" w:cs="Calibri"/>
          <w:sz w:val="24"/>
          <w:szCs w:val="24"/>
          <w:lang w:val="fr-FR"/>
        </w:rPr>
        <w:t>2024;</w:t>
      </w:r>
      <w:r w:rsidRPr="792AD32B" w:rsidR="008425F7">
        <w:rPr>
          <w:rFonts w:ascii="Calibri" w:hAnsi="Calibri" w:cs="Calibri"/>
          <w:sz w:val="24"/>
          <w:szCs w:val="24"/>
          <w:lang w:val="fr-FR"/>
        </w:rPr>
        <w:t xml:space="preserve"> Harden et al., 2022)</w:t>
      </w:r>
      <w:r>
        <w:fldChar w:fldCharType="end"/>
      </w:r>
      <w:r w:rsidRPr="792AD32B" w:rsidR="55AC4705">
        <w:rPr>
          <w:sz w:val="24"/>
          <w:szCs w:val="24"/>
          <w:lang w:val="fr-FR"/>
        </w:rPr>
        <w:t>.</w:t>
      </w:r>
    </w:p>
    <w:p w:rsidRPr="00BD5776" w:rsidR="00A52100" w:rsidP="560E2E1C" w:rsidRDefault="4B6A4D4B" w14:paraId="401E9184" w14:textId="3B58439F">
      <w:pPr>
        <w:spacing w:line="480" w:lineRule="auto"/>
        <w:jc w:val="both"/>
        <w:rPr>
          <w:color w:val="FF0000"/>
          <w:sz w:val="24"/>
          <w:szCs w:val="24"/>
        </w:rPr>
      </w:pPr>
      <w:r w:rsidRPr="792AD32B" w:rsidR="4B6A4D4B">
        <w:rPr>
          <w:sz w:val="24"/>
          <w:szCs w:val="24"/>
        </w:rPr>
        <w:t xml:space="preserve">The aim of the present </w:t>
      </w:r>
      <w:r w:rsidRPr="792AD32B" w:rsidR="7988915E">
        <w:rPr>
          <w:sz w:val="24"/>
          <w:szCs w:val="24"/>
        </w:rPr>
        <w:t xml:space="preserve">study </w:t>
      </w:r>
      <w:r w:rsidRPr="792AD32B" w:rsidR="79C9FF4A">
        <w:rPr>
          <w:sz w:val="24"/>
          <w:szCs w:val="24"/>
        </w:rPr>
        <w:t xml:space="preserve">is </w:t>
      </w:r>
      <w:r w:rsidRPr="792AD32B" w:rsidR="2B7A6554">
        <w:rPr>
          <w:color w:val="FF0000"/>
          <w:sz w:val="24"/>
          <w:szCs w:val="24"/>
        </w:rPr>
        <w:t xml:space="preserve">(1) </w:t>
      </w:r>
      <w:r w:rsidRPr="792AD32B" w:rsidR="4B6A4D4B">
        <w:rPr>
          <w:sz w:val="24"/>
          <w:szCs w:val="24"/>
        </w:rPr>
        <w:t xml:space="preserve">to </w:t>
      </w:r>
      <w:r w:rsidRPr="792AD32B" w:rsidR="6FB07DF6">
        <w:rPr>
          <w:sz w:val="24"/>
          <w:szCs w:val="24"/>
        </w:rPr>
        <w:t xml:space="preserve">report </w:t>
      </w:r>
      <w:r w:rsidRPr="792AD32B" w:rsidR="05FC8DAB">
        <w:rPr>
          <w:sz w:val="24"/>
          <w:szCs w:val="24"/>
        </w:rPr>
        <w:t xml:space="preserve">key </w:t>
      </w:r>
      <w:r w:rsidRPr="792AD32B" w:rsidR="4B6A4D4B">
        <w:rPr>
          <w:sz w:val="24"/>
          <w:szCs w:val="24"/>
        </w:rPr>
        <w:t xml:space="preserve">characteristics of </w:t>
      </w:r>
      <w:r w:rsidRPr="792AD32B" w:rsidR="6F159577">
        <w:rPr>
          <w:color w:val="FF0000"/>
          <w:sz w:val="24"/>
          <w:szCs w:val="24"/>
        </w:rPr>
        <w:t>(very)</w:t>
      </w:r>
      <w:r w:rsidRPr="792AD32B" w:rsidR="6F159577">
        <w:rPr>
          <w:sz w:val="24"/>
          <w:szCs w:val="24"/>
        </w:rPr>
        <w:t xml:space="preserve"> </w:t>
      </w:r>
      <w:r w:rsidRPr="792AD32B" w:rsidR="4B6A4D4B">
        <w:rPr>
          <w:sz w:val="24"/>
          <w:szCs w:val="24"/>
        </w:rPr>
        <w:t>early C</w:t>
      </w:r>
      <w:r w:rsidRPr="792AD32B" w:rsidR="21618DC9">
        <w:rPr>
          <w:sz w:val="24"/>
          <w:szCs w:val="24"/>
        </w:rPr>
        <w:t xml:space="preserve">RPS patients </w:t>
      </w:r>
      <w:r w:rsidRPr="792AD32B" w:rsidR="4B6A4D4B">
        <w:rPr>
          <w:sz w:val="24"/>
          <w:szCs w:val="24"/>
        </w:rPr>
        <w:t>(&lt; 6 months)</w:t>
      </w:r>
      <w:r w:rsidRPr="792AD32B" w:rsidR="27CB32A4">
        <w:rPr>
          <w:sz w:val="24"/>
          <w:szCs w:val="24"/>
        </w:rPr>
        <w:t>,</w:t>
      </w:r>
      <w:r w:rsidRPr="792AD32B" w:rsidR="4B6A4D4B">
        <w:rPr>
          <w:sz w:val="24"/>
          <w:szCs w:val="24"/>
        </w:rPr>
        <w:t xml:space="preserve"> and </w:t>
      </w:r>
      <w:r w:rsidRPr="792AD32B" w:rsidR="39DFA454">
        <w:rPr>
          <w:color w:val="FF0000"/>
          <w:sz w:val="24"/>
          <w:szCs w:val="24"/>
        </w:rPr>
        <w:t xml:space="preserve">(2) </w:t>
      </w:r>
      <w:r w:rsidRPr="792AD32B" w:rsidR="4B6A4D4B">
        <w:rPr>
          <w:sz w:val="24"/>
          <w:szCs w:val="24"/>
        </w:rPr>
        <w:t xml:space="preserve">to </w:t>
      </w:r>
      <w:r w:rsidRPr="792AD32B" w:rsidR="62F0872A">
        <w:rPr>
          <w:sz w:val="24"/>
          <w:szCs w:val="24"/>
        </w:rPr>
        <w:t xml:space="preserve">investigate </w:t>
      </w:r>
      <w:r w:rsidRPr="792AD32B" w:rsidR="4B6A4D4B">
        <w:rPr>
          <w:sz w:val="24"/>
          <w:szCs w:val="24"/>
        </w:rPr>
        <w:t xml:space="preserve">potential subgroups </w:t>
      </w:r>
      <w:r w:rsidRPr="792AD32B" w:rsidR="53511196">
        <w:rPr>
          <w:sz w:val="24"/>
          <w:szCs w:val="24"/>
        </w:rPr>
        <w:t xml:space="preserve">within </w:t>
      </w:r>
      <w:r w:rsidRPr="792AD32B" w:rsidR="4B6A4D4B">
        <w:rPr>
          <w:sz w:val="24"/>
          <w:szCs w:val="24"/>
        </w:rPr>
        <w:t>this population</w:t>
      </w:r>
      <w:r w:rsidRPr="792AD32B" w:rsidR="097E48BE">
        <w:rPr>
          <w:color w:val="FF0000"/>
          <w:sz w:val="24"/>
          <w:szCs w:val="24"/>
        </w:rPr>
        <w:t xml:space="preserve">, </w:t>
      </w:r>
      <w:r w:rsidRPr="792AD32B" w:rsidR="00BD5776">
        <w:rPr>
          <w:color w:val="FF0000"/>
          <w:sz w:val="24"/>
          <w:szCs w:val="24"/>
        </w:rPr>
        <w:t>considering</w:t>
      </w:r>
      <w:r w:rsidRPr="792AD32B" w:rsidR="097E48BE">
        <w:rPr>
          <w:color w:val="FF0000"/>
          <w:sz w:val="24"/>
          <w:szCs w:val="24"/>
        </w:rPr>
        <w:t xml:space="preserve"> a large array of biopsychosocial factors</w:t>
      </w:r>
      <w:r w:rsidRPr="792AD32B" w:rsidR="648E9CA0">
        <w:rPr>
          <w:color w:val="FF0000"/>
          <w:sz w:val="24"/>
          <w:szCs w:val="24"/>
        </w:rPr>
        <w:t>. This might allow</w:t>
      </w:r>
      <w:r w:rsidRPr="792AD32B" w:rsidR="0D61AA22">
        <w:rPr>
          <w:color w:val="FF0000"/>
          <w:sz w:val="24"/>
          <w:szCs w:val="24"/>
        </w:rPr>
        <w:t xml:space="preserve"> to better understand </w:t>
      </w:r>
      <w:r w:rsidRPr="792AD32B" w:rsidR="166CCF2D">
        <w:rPr>
          <w:color w:val="FF0000"/>
          <w:sz w:val="24"/>
          <w:szCs w:val="24"/>
        </w:rPr>
        <w:t xml:space="preserve">and manage </w:t>
      </w:r>
      <w:r w:rsidRPr="792AD32B" w:rsidR="2BD13896">
        <w:rPr>
          <w:color w:val="FF0000"/>
          <w:sz w:val="24"/>
          <w:szCs w:val="24"/>
        </w:rPr>
        <w:t>th</w:t>
      </w:r>
      <w:r w:rsidRPr="792AD32B" w:rsidR="605BAA90">
        <w:rPr>
          <w:color w:val="FF0000"/>
          <w:sz w:val="24"/>
          <w:szCs w:val="24"/>
        </w:rPr>
        <w:t xml:space="preserve">is </w:t>
      </w:r>
      <w:r w:rsidRPr="792AD32B" w:rsidR="22B405DF">
        <w:rPr>
          <w:color w:val="FF0000"/>
          <w:sz w:val="24"/>
          <w:szCs w:val="24"/>
        </w:rPr>
        <w:t>heterogeneous</w:t>
      </w:r>
      <w:r w:rsidRPr="792AD32B" w:rsidR="74D376B6">
        <w:rPr>
          <w:color w:val="FF0000"/>
          <w:sz w:val="24"/>
          <w:szCs w:val="24"/>
        </w:rPr>
        <w:t xml:space="preserve"> </w:t>
      </w:r>
      <w:r w:rsidRPr="792AD32B" w:rsidR="5BB91F84">
        <w:rPr>
          <w:color w:val="FF0000"/>
          <w:sz w:val="24"/>
          <w:szCs w:val="24"/>
        </w:rPr>
        <w:t>population.</w:t>
      </w:r>
    </w:p>
    <w:p w:rsidR="005143E0" w:rsidRDefault="005143E0" w14:paraId="144859F8" w14:textId="77777777">
      <w:pPr>
        <w:rPr>
          <w:b/>
          <w:bCs/>
          <w:sz w:val="24"/>
          <w:szCs w:val="24"/>
          <w:u w:val="single"/>
        </w:rPr>
      </w:pPr>
      <w:r>
        <w:rPr>
          <w:sz w:val="24"/>
          <w:szCs w:val="24"/>
        </w:rPr>
        <w:br w:type="page"/>
      </w:r>
    </w:p>
    <w:p w:rsidRPr="00171B6F" w:rsidR="00E5630D" w:rsidP="560E2E1C" w:rsidRDefault="244E2EDE" w14:paraId="24069BF1" w14:textId="71A9A5BE">
      <w:pPr>
        <w:pStyle w:val="Heading1"/>
        <w:spacing w:line="480" w:lineRule="auto"/>
        <w:rPr>
          <w:sz w:val="24"/>
          <w:szCs w:val="24"/>
        </w:rPr>
      </w:pPr>
      <w:r w:rsidRPr="560E2E1C">
        <w:rPr>
          <w:sz w:val="24"/>
          <w:szCs w:val="24"/>
        </w:rPr>
        <w:lastRenderedPageBreak/>
        <w:t>Methods</w:t>
      </w:r>
    </w:p>
    <w:p w:rsidRPr="00171B6F" w:rsidR="00577A6D" w:rsidP="3613E1E1" w:rsidRDefault="154C3B2E" w14:paraId="08568001" w14:textId="6AA92E69">
      <w:pPr>
        <w:spacing w:line="480" w:lineRule="auto"/>
        <w:jc w:val="both"/>
        <w:rPr>
          <w:color w:val="000000" w:themeColor="text1"/>
          <w:sz w:val="24"/>
          <w:szCs w:val="24"/>
        </w:rPr>
      </w:pPr>
      <w:r w:rsidRPr="3613E1E1">
        <w:rPr>
          <w:color w:val="000000" w:themeColor="text1"/>
          <w:sz w:val="24"/>
          <w:szCs w:val="24"/>
        </w:rPr>
        <w:t xml:space="preserve">The </w:t>
      </w:r>
      <w:r w:rsidRPr="3613E1E1" w:rsidR="0230AEEC">
        <w:rPr>
          <w:color w:val="000000" w:themeColor="text1"/>
          <w:sz w:val="24"/>
          <w:szCs w:val="24"/>
        </w:rPr>
        <w:t xml:space="preserve">present </w:t>
      </w:r>
      <w:r w:rsidRPr="3613E1E1" w:rsidR="1FBAE91D">
        <w:rPr>
          <w:color w:val="000000" w:themeColor="text1"/>
          <w:sz w:val="24"/>
          <w:szCs w:val="24"/>
        </w:rPr>
        <w:t>cross-sectional study is part of a</w:t>
      </w:r>
      <w:r w:rsidRPr="3613E1E1" w:rsidR="582E862F">
        <w:rPr>
          <w:color w:val="000000" w:themeColor="text1"/>
          <w:sz w:val="24"/>
          <w:szCs w:val="24"/>
        </w:rPr>
        <w:t>n</w:t>
      </w:r>
      <w:r w:rsidRPr="3613E1E1" w:rsidR="1FBAE91D">
        <w:rPr>
          <w:color w:val="000000" w:themeColor="text1"/>
          <w:sz w:val="24"/>
          <w:szCs w:val="24"/>
        </w:rPr>
        <w:t xml:space="preserve"> observational longitudinal </w:t>
      </w:r>
      <w:r w:rsidRPr="3613E1E1" w:rsidR="75E18ABA">
        <w:rPr>
          <w:color w:val="000000" w:themeColor="text1"/>
          <w:sz w:val="24"/>
          <w:szCs w:val="24"/>
        </w:rPr>
        <w:t>study</w:t>
      </w:r>
      <w:r w:rsidRPr="3613E1E1" w:rsidR="7B39A16A">
        <w:rPr>
          <w:color w:val="000000" w:themeColor="text1"/>
          <w:sz w:val="24"/>
          <w:szCs w:val="24"/>
        </w:rPr>
        <w:t xml:space="preserve">, </w:t>
      </w:r>
      <w:r w:rsidRPr="3613E1E1">
        <w:rPr>
          <w:color w:val="000000" w:themeColor="text1"/>
          <w:sz w:val="24"/>
          <w:szCs w:val="24"/>
        </w:rPr>
        <w:t>follow</w:t>
      </w:r>
      <w:r w:rsidRPr="3613E1E1" w:rsidR="01C7E322">
        <w:rPr>
          <w:color w:val="000000" w:themeColor="text1"/>
          <w:sz w:val="24"/>
          <w:szCs w:val="24"/>
        </w:rPr>
        <w:t>ing</w:t>
      </w:r>
      <w:r w:rsidRPr="3613E1E1">
        <w:rPr>
          <w:color w:val="000000" w:themeColor="text1"/>
          <w:sz w:val="24"/>
          <w:szCs w:val="24"/>
        </w:rPr>
        <w:t xml:space="preserve"> the STROBE</w:t>
      </w:r>
      <w:r w:rsidRPr="3613E1E1" w:rsidR="052A367F">
        <w:rPr>
          <w:color w:val="000000" w:themeColor="text1"/>
          <w:sz w:val="24"/>
          <w:szCs w:val="24"/>
        </w:rPr>
        <w:t xml:space="preserve"> </w:t>
      </w:r>
      <w:r w:rsidRPr="3613E1E1">
        <w:rPr>
          <w:color w:val="000000" w:themeColor="text1"/>
          <w:sz w:val="24"/>
          <w:szCs w:val="24"/>
        </w:rPr>
        <w:t>guidelines</w:t>
      </w:r>
      <w:r w:rsidRPr="3613E1E1" w:rsidR="4F73A57A">
        <w:rPr>
          <w:color w:val="000000" w:themeColor="text1"/>
          <w:sz w:val="24"/>
          <w:szCs w:val="24"/>
        </w:rPr>
        <w:t xml:space="preserve"> </w:t>
      </w:r>
      <w:r w:rsidRPr="3613E1E1">
        <w:rPr>
          <w:color w:val="000000" w:themeColor="text1"/>
        </w:rPr>
        <w:fldChar w:fldCharType="begin"/>
      </w:r>
      <w:r w:rsidR="00A03CF2">
        <w:rPr>
          <w:color w:val="000000" w:themeColor="text1"/>
        </w:rPr>
        <w:instrText xml:space="preserve"> ADDIN ZOTERO_ITEM CSL_CITATION {"citationID":"IUEaqYMP","properties":{"formattedCitation":"(Cuschieri, 2019)","plainCitation":"(Cuschieri, 2019)","noteIndex":0},"citationItems":[{"id":99,"uris":["http://zotero.org/users/8514361/items/KPUX7DNI"],"itemData":{"id":99,"type":"article-journal","abstract":"An observational study is a type of epidemiological study design, which can take the form of a cohort, a case-control, or a cross-sectional study. When presenting observational studies in manuscripts, an author needs to ascertain a clear presentation of the work and provide the reader with appropriate information to enable critical appraisal of the research. The Strengthening the Reporting of Observational studies in Epidemiology (STROBE) guidelines were created to aid the author in ensuring high-quality presentation of the conducted observational study. The original articles publishing the STROBE guidelines together with their bibliographies were identified and thoroughly reviewed. These guidelines consist of 22 checklist items that the author needs to fulfil before submitting the manuscript to a journal. The STROBE guidelines were created to aid the authors in presenting their work and not to act as a validation tool for the conducted study or as a framework to conduct an observational study on. The authors complying with these guidelines are more likely to succeed in publishing their observational study work in a journal.","container-title":"Saudi Journal of Anaesthesia","DOI":"10.4103/sja.SJA_543_18","ISSN":"1658-354X","issue":"Suppl 1","journalAbbreviation":"Saudi J Anaesth","language":"eng","note":"PMID: 30930717\nPMCID: PMC6398292","page":"S31-S34","source":"PubMed","title":"The STROBE guidelines","volume":"13","author":[{"family":"Cuschieri","given":"Sarah"}],"issued":{"date-parts":[["2019",4]]}}}],"schema":"https://github.com/citation-style-language/schema/raw/master/csl-citation.json"} </w:instrText>
      </w:r>
      <w:r w:rsidRPr="3613E1E1">
        <w:rPr>
          <w:color w:val="000000" w:themeColor="text1"/>
        </w:rPr>
        <w:fldChar w:fldCharType="separate"/>
      </w:r>
      <w:r w:rsidRPr="008425F7" w:rsidR="008425F7">
        <w:rPr>
          <w:rFonts w:ascii="Calibri" w:hAnsi="Calibri" w:cs="Calibri"/>
          <w:sz w:val="24"/>
        </w:rPr>
        <w:t>(Cuschieri, 2019)</w:t>
      </w:r>
      <w:r w:rsidRPr="3613E1E1">
        <w:rPr>
          <w:color w:val="000000" w:themeColor="text1"/>
        </w:rPr>
        <w:fldChar w:fldCharType="end"/>
      </w:r>
      <w:r w:rsidRPr="3613E1E1" w:rsidR="2EC0A94E">
        <w:rPr>
          <w:color w:val="000000" w:themeColor="text1"/>
          <w:sz w:val="24"/>
          <w:szCs w:val="24"/>
        </w:rPr>
        <w:t>. The protocol was approved by the local ethic committee</w:t>
      </w:r>
      <w:r w:rsidRPr="3613E1E1" w:rsidR="48EB02AD">
        <w:rPr>
          <w:color w:val="000000" w:themeColor="text1"/>
          <w:sz w:val="24"/>
          <w:szCs w:val="24"/>
        </w:rPr>
        <w:t xml:space="preserve"> (</w:t>
      </w:r>
      <w:r w:rsidRPr="3613E1E1" w:rsidR="48EB02AD">
        <w:rPr>
          <w:rFonts w:ascii="Calibri" w:hAnsi="Calibri" w:eastAsia="Calibri" w:cs="Calibri"/>
          <w:sz w:val="24"/>
          <w:szCs w:val="24"/>
        </w:rPr>
        <w:t xml:space="preserve">2022/28FEV/093) </w:t>
      </w:r>
      <w:r w:rsidRPr="3613E1E1" w:rsidR="7DB7AA75">
        <w:rPr>
          <w:color w:val="000000" w:themeColor="text1"/>
          <w:sz w:val="24"/>
          <w:szCs w:val="24"/>
        </w:rPr>
        <w:t xml:space="preserve">and was prospectively </w:t>
      </w:r>
      <w:r w:rsidRPr="3613E1E1" w:rsidR="28238CD7">
        <w:rPr>
          <w:color w:val="000000" w:themeColor="text1"/>
          <w:sz w:val="24"/>
          <w:szCs w:val="24"/>
        </w:rPr>
        <w:t xml:space="preserve">registered </w:t>
      </w:r>
      <w:r w:rsidRPr="3613E1E1" w:rsidR="7DB7AA75">
        <w:rPr>
          <w:color w:val="000000" w:themeColor="text1"/>
          <w:sz w:val="24"/>
          <w:szCs w:val="24"/>
        </w:rPr>
        <w:t>on ClinicalTrial</w:t>
      </w:r>
      <w:r w:rsidRPr="3613E1E1" w:rsidR="53824672">
        <w:rPr>
          <w:color w:val="000000" w:themeColor="text1"/>
          <w:sz w:val="24"/>
          <w:szCs w:val="24"/>
        </w:rPr>
        <w:t>s</w:t>
      </w:r>
      <w:r w:rsidRPr="3613E1E1" w:rsidR="6F8E4BF6">
        <w:rPr>
          <w:color w:val="000000" w:themeColor="text1"/>
          <w:sz w:val="24"/>
          <w:szCs w:val="24"/>
        </w:rPr>
        <w:t>.gov</w:t>
      </w:r>
      <w:r w:rsidRPr="3613E1E1" w:rsidR="7DB7AA75">
        <w:rPr>
          <w:color w:val="000000" w:themeColor="text1"/>
          <w:sz w:val="24"/>
          <w:szCs w:val="24"/>
        </w:rPr>
        <w:t xml:space="preserve"> </w:t>
      </w:r>
      <w:r w:rsidRPr="3613E1E1" w:rsidR="78849450">
        <w:rPr>
          <w:color w:val="000000" w:themeColor="text1"/>
          <w:sz w:val="24"/>
          <w:szCs w:val="24"/>
        </w:rPr>
        <w:t>(</w:t>
      </w:r>
      <w:r w:rsidRPr="3613E1E1" w:rsidR="78849450">
        <w:rPr>
          <w:rFonts w:ascii="Calibri" w:hAnsi="Calibri" w:eastAsia="Calibri" w:cs="Calibri"/>
          <w:sz w:val="24"/>
          <w:szCs w:val="24"/>
        </w:rPr>
        <w:t>NCT05337501)</w:t>
      </w:r>
      <w:r w:rsidRPr="3613E1E1" w:rsidR="7DB7AA75">
        <w:rPr>
          <w:color w:val="000000" w:themeColor="text1"/>
          <w:sz w:val="24"/>
          <w:szCs w:val="24"/>
        </w:rPr>
        <w:t>.</w:t>
      </w:r>
    </w:p>
    <w:p w:rsidRPr="00171B6F" w:rsidR="00577A6D" w:rsidRDefault="2749ADDA" w14:paraId="2C993B61" w14:textId="66057436">
      <w:pPr>
        <w:pStyle w:val="Heading2"/>
      </w:pPr>
      <w:r w:rsidRPr="560E2E1C">
        <w:t>Participants</w:t>
      </w:r>
      <w:r w:rsidRPr="560E2E1C" w:rsidR="1A3C8A27">
        <w:t xml:space="preserve"> and setting</w:t>
      </w:r>
    </w:p>
    <w:p w:rsidRPr="00171B6F" w:rsidR="00E5630D" w:rsidP="3BDBDF46" w:rsidRDefault="49E6750A" w14:paraId="0D87C604" w14:textId="011FF856">
      <w:pPr>
        <w:spacing w:line="480" w:lineRule="auto"/>
        <w:jc w:val="both"/>
        <w:rPr>
          <w:rFonts w:ascii="Calibri" w:hAnsi="Calibri" w:eastAsia="Calibri" w:cs="Calibri"/>
          <w:sz w:val="24"/>
          <w:szCs w:val="24"/>
        </w:rPr>
      </w:pPr>
      <w:r w:rsidRPr="4EF8719D">
        <w:rPr>
          <w:sz w:val="24"/>
          <w:szCs w:val="24"/>
        </w:rPr>
        <w:t>P</w:t>
      </w:r>
      <w:r w:rsidRPr="4EF8719D" w:rsidR="109A1317">
        <w:rPr>
          <w:sz w:val="24"/>
          <w:szCs w:val="24"/>
        </w:rPr>
        <w:t xml:space="preserve">articipants were </w:t>
      </w:r>
      <w:r w:rsidRPr="4EF8719D" w:rsidR="1F1E36F8">
        <w:rPr>
          <w:sz w:val="24"/>
          <w:szCs w:val="24"/>
        </w:rPr>
        <w:t xml:space="preserve">included </w:t>
      </w:r>
      <w:r w:rsidRPr="4EF8719D" w:rsidR="4BDEC1D4">
        <w:rPr>
          <w:sz w:val="24"/>
          <w:szCs w:val="24"/>
        </w:rPr>
        <w:t>f</w:t>
      </w:r>
      <w:r w:rsidRPr="4EF8719D" w:rsidR="23634984">
        <w:rPr>
          <w:sz w:val="24"/>
          <w:szCs w:val="24"/>
        </w:rPr>
        <w:t xml:space="preserve">rom </w:t>
      </w:r>
      <w:r w:rsidRPr="4EF8719D" w:rsidR="52F90ACA">
        <w:rPr>
          <w:sz w:val="24"/>
          <w:szCs w:val="24"/>
        </w:rPr>
        <w:t>May</w:t>
      </w:r>
      <w:r w:rsidRPr="4EF8719D" w:rsidR="66127A35">
        <w:rPr>
          <w:sz w:val="24"/>
          <w:szCs w:val="24"/>
        </w:rPr>
        <w:t xml:space="preserve"> 2022</w:t>
      </w:r>
      <w:r w:rsidRPr="4EF8719D" w:rsidR="23634984">
        <w:rPr>
          <w:sz w:val="24"/>
          <w:szCs w:val="24"/>
        </w:rPr>
        <w:t xml:space="preserve"> to </w:t>
      </w:r>
      <w:r w:rsidRPr="4EF8719D" w:rsidR="647CF8F3">
        <w:rPr>
          <w:sz w:val="24"/>
          <w:szCs w:val="24"/>
        </w:rPr>
        <w:t>December 2023</w:t>
      </w:r>
      <w:r w:rsidRPr="4EF8719D" w:rsidR="4F20B201">
        <w:rPr>
          <w:sz w:val="24"/>
          <w:szCs w:val="24"/>
        </w:rPr>
        <w:t xml:space="preserve">. </w:t>
      </w:r>
      <w:r w:rsidRPr="4EF8719D" w:rsidR="215A318F">
        <w:rPr>
          <w:sz w:val="24"/>
          <w:szCs w:val="24"/>
        </w:rPr>
        <w:t xml:space="preserve">Potential </w:t>
      </w:r>
      <w:r w:rsidRPr="4EF8719D">
        <w:rPr>
          <w:sz w:val="24"/>
          <w:szCs w:val="24"/>
        </w:rPr>
        <w:t xml:space="preserve">subjects </w:t>
      </w:r>
      <w:r w:rsidRPr="4EF8719D" w:rsidR="215A318F">
        <w:rPr>
          <w:sz w:val="24"/>
          <w:szCs w:val="24"/>
        </w:rPr>
        <w:t xml:space="preserve">were referred by </w:t>
      </w:r>
      <w:r w:rsidRPr="4EF8719D" w:rsidR="3DF84DD4">
        <w:rPr>
          <w:sz w:val="24"/>
          <w:szCs w:val="24"/>
        </w:rPr>
        <w:t xml:space="preserve">French-speaking </w:t>
      </w:r>
      <w:r w:rsidRPr="4EF8719D" w:rsidR="3B7FC311">
        <w:rPr>
          <w:sz w:val="24"/>
          <w:szCs w:val="24"/>
        </w:rPr>
        <w:t xml:space="preserve">hospital </w:t>
      </w:r>
      <w:r w:rsidRPr="4EF8719D" w:rsidR="0DCFA4F8">
        <w:rPr>
          <w:rFonts w:ascii="Calibri" w:hAnsi="Calibri" w:eastAsia="Calibri" w:cs="Calibri"/>
          <w:sz w:val="24"/>
          <w:szCs w:val="24"/>
        </w:rPr>
        <w:t xml:space="preserve">physicians or </w:t>
      </w:r>
      <w:r w:rsidRPr="4EF8719D" w:rsidR="0AE20802">
        <w:rPr>
          <w:rFonts w:ascii="Calibri" w:hAnsi="Calibri" w:eastAsia="Calibri" w:cs="Calibri"/>
          <w:sz w:val="24"/>
          <w:szCs w:val="24"/>
        </w:rPr>
        <w:t xml:space="preserve">general </w:t>
      </w:r>
      <w:r w:rsidRPr="4EF8719D" w:rsidR="3B69E59F">
        <w:rPr>
          <w:rFonts w:ascii="Calibri" w:hAnsi="Calibri" w:eastAsia="Calibri" w:cs="Calibri"/>
          <w:sz w:val="24"/>
          <w:szCs w:val="24"/>
        </w:rPr>
        <w:t>practitioners</w:t>
      </w:r>
      <w:r w:rsidRPr="4EF8719D" w:rsidR="61A7FB65">
        <w:rPr>
          <w:color w:val="FF0000"/>
          <w:sz w:val="24"/>
          <w:szCs w:val="24"/>
        </w:rPr>
        <w:t xml:space="preserve"> </w:t>
      </w:r>
      <w:r w:rsidRPr="4EF8719D" w:rsidR="5E0065C9">
        <w:rPr>
          <w:sz w:val="24"/>
          <w:szCs w:val="24"/>
        </w:rPr>
        <w:t>in</w:t>
      </w:r>
      <w:r w:rsidRPr="4EF8719D" w:rsidR="34C1DB90">
        <w:rPr>
          <w:sz w:val="24"/>
          <w:szCs w:val="24"/>
        </w:rPr>
        <w:t xml:space="preserve"> </w:t>
      </w:r>
      <w:r w:rsidRPr="4EF8719D" w:rsidR="4B6C1D8B">
        <w:rPr>
          <w:sz w:val="24"/>
          <w:szCs w:val="24"/>
        </w:rPr>
        <w:t>Belgium.</w:t>
      </w:r>
      <w:r w:rsidRPr="4EF8719D" w:rsidR="422EA2DD">
        <w:rPr>
          <w:sz w:val="24"/>
          <w:szCs w:val="24"/>
        </w:rPr>
        <w:t xml:space="preserve"> They were </w:t>
      </w:r>
      <w:r w:rsidRPr="4EF8719D" w:rsidR="4E2A4477">
        <w:rPr>
          <w:sz w:val="24"/>
          <w:szCs w:val="24"/>
        </w:rPr>
        <w:t>contacted by</w:t>
      </w:r>
      <w:r w:rsidRPr="4EF8719D" w:rsidR="611C598E">
        <w:rPr>
          <w:sz w:val="24"/>
          <w:szCs w:val="24"/>
        </w:rPr>
        <w:t xml:space="preserve"> the same investigator (</w:t>
      </w:r>
      <w:proofErr w:type="spellStart"/>
      <w:r w:rsidRPr="4EF8719D" w:rsidR="1AAE1CF2">
        <w:rPr>
          <w:sz w:val="24"/>
          <w:szCs w:val="24"/>
        </w:rPr>
        <w:t>MHL</w:t>
      </w:r>
      <w:proofErr w:type="spellEnd"/>
      <w:r w:rsidRPr="4EF8719D" w:rsidR="5325ABBB">
        <w:rPr>
          <w:sz w:val="24"/>
          <w:szCs w:val="24"/>
        </w:rPr>
        <w:t xml:space="preserve">, </w:t>
      </w:r>
      <w:r w:rsidRPr="4EF8719D" w:rsidR="71FA0936">
        <w:rPr>
          <w:sz w:val="24"/>
          <w:szCs w:val="24"/>
        </w:rPr>
        <w:t>first author of the present manuscript</w:t>
      </w:r>
      <w:r w:rsidRPr="4EF8719D" w:rsidR="611C598E">
        <w:rPr>
          <w:sz w:val="24"/>
          <w:szCs w:val="24"/>
        </w:rPr>
        <w:t>)</w:t>
      </w:r>
      <w:r w:rsidRPr="4EF8719D" w:rsidR="4E2A4477">
        <w:rPr>
          <w:sz w:val="24"/>
          <w:szCs w:val="24"/>
        </w:rPr>
        <w:t xml:space="preserve"> </w:t>
      </w:r>
      <w:r w:rsidRPr="4EF8719D" w:rsidR="12967F77">
        <w:rPr>
          <w:sz w:val="24"/>
          <w:szCs w:val="24"/>
        </w:rPr>
        <w:t xml:space="preserve">who </w:t>
      </w:r>
      <w:r w:rsidRPr="4EF8719D" w:rsidR="4571B29E">
        <w:rPr>
          <w:sz w:val="24"/>
          <w:szCs w:val="24"/>
        </w:rPr>
        <w:t>explain</w:t>
      </w:r>
      <w:r w:rsidRPr="4EF8719D" w:rsidR="2A3E2855">
        <w:rPr>
          <w:sz w:val="24"/>
          <w:szCs w:val="24"/>
        </w:rPr>
        <w:t>ed</w:t>
      </w:r>
      <w:r w:rsidRPr="4EF8719D" w:rsidR="4571B29E">
        <w:rPr>
          <w:sz w:val="24"/>
          <w:szCs w:val="24"/>
        </w:rPr>
        <w:t xml:space="preserve"> </w:t>
      </w:r>
      <w:r w:rsidRPr="4EF8719D" w:rsidR="5AFA24E5">
        <w:rPr>
          <w:sz w:val="24"/>
          <w:szCs w:val="24"/>
        </w:rPr>
        <w:t xml:space="preserve">the </w:t>
      </w:r>
      <w:r w:rsidRPr="4EF8719D" w:rsidR="4571B29E">
        <w:rPr>
          <w:sz w:val="24"/>
          <w:szCs w:val="24"/>
        </w:rPr>
        <w:t xml:space="preserve">objectives and </w:t>
      </w:r>
      <w:r w:rsidRPr="4EF8719D" w:rsidR="5D64E9B5">
        <w:rPr>
          <w:sz w:val="24"/>
          <w:szCs w:val="24"/>
        </w:rPr>
        <w:t xml:space="preserve">procedures </w:t>
      </w:r>
      <w:r w:rsidRPr="4EF8719D" w:rsidR="369F8D3D">
        <w:rPr>
          <w:sz w:val="24"/>
          <w:szCs w:val="24"/>
        </w:rPr>
        <w:t xml:space="preserve">of </w:t>
      </w:r>
      <w:r w:rsidRPr="4EF8719D" w:rsidR="651DE703">
        <w:rPr>
          <w:sz w:val="24"/>
          <w:szCs w:val="24"/>
        </w:rPr>
        <w:t xml:space="preserve">the study </w:t>
      </w:r>
      <w:r w:rsidRPr="4EF8719D" w:rsidR="73F610CE">
        <w:rPr>
          <w:rFonts w:ascii="Calibri" w:hAnsi="Calibri" w:eastAsia="Calibri" w:cs="Calibri"/>
          <w:sz w:val="24"/>
          <w:szCs w:val="24"/>
        </w:rPr>
        <w:t>and conducted a first screening of eligibility</w:t>
      </w:r>
      <w:r w:rsidRPr="4EF8719D" w:rsidR="4E2A4477">
        <w:rPr>
          <w:sz w:val="24"/>
          <w:szCs w:val="24"/>
        </w:rPr>
        <w:t>.</w:t>
      </w:r>
      <w:r w:rsidRPr="4EF8719D" w:rsidR="4571B29E">
        <w:rPr>
          <w:sz w:val="24"/>
          <w:szCs w:val="24"/>
        </w:rPr>
        <w:t xml:space="preserve"> </w:t>
      </w:r>
      <w:r w:rsidRPr="4EF8719D" w:rsidR="77D6242D">
        <w:rPr>
          <w:rFonts w:ascii="Calibri" w:hAnsi="Calibri" w:eastAsia="Calibri" w:cs="Calibri"/>
          <w:sz w:val="24"/>
          <w:szCs w:val="24"/>
        </w:rPr>
        <w:t>After this stage, a screening visit was scheduled</w:t>
      </w:r>
      <w:r w:rsidRPr="4EF8719D" w:rsidR="1954EC85">
        <w:rPr>
          <w:rFonts w:ascii="Calibri" w:hAnsi="Calibri" w:eastAsia="Calibri" w:cs="Calibri"/>
          <w:sz w:val="24"/>
          <w:szCs w:val="24"/>
        </w:rPr>
        <w:t>,</w:t>
      </w:r>
      <w:r w:rsidRPr="4EF8719D" w:rsidR="77D6242D">
        <w:rPr>
          <w:rFonts w:ascii="Calibri" w:hAnsi="Calibri" w:eastAsia="Calibri" w:cs="Calibri"/>
          <w:sz w:val="24"/>
          <w:szCs w:val="24"/>
        </w:rPr>
        <w:t xml:space="preserve"> </w:t>
      </w:r>
      <w:r w:rsidRPr="4EF8719D" w:rsidR="2A8A6770">
        <w:rPr>
          <w:rFonts w:ascii="Calibri" w:hAnsi="Calibri" w:eastAsia="Calibri" w:cs="Calibri"/>
          <w:sz w:val="24"/>
          <w:szCs w:val="24"/>
        </w:rPr>
        <w:t xml:space="preserve">and eligible participants </w:t>
      </w:r>
      <w:r w:rsidRPr="4EF8719D">
        <w:rPr>
          <w:rFonts w:ascii="Calibri" w:hAnsi="Calibri" w:eastAsia="Calibri" w:cs="Calibri"/>
          <w:sz w:val="24"/>
          <w:szCs w:val="24"/>
        </w:rPr>
        <w:t xml:space="preserve">who </w:t>
      </w:r>
      <w:r w:rsidRPr="4EF8719D" w:rsidR="2A8A6770">
        <w:rPr>
          <w:rFonts w:ascii="Calibri" w:hAnsi="Calibri" w:eastAsia="Calibri" w:cs="Calibri"/>
          <w:sz w:val="24"/>
          <w:szCs w:val="24"/>
        </w:rPr>
        <w:t xml:space="preserve">gave their informed consent </w:t>
      </w:r>
      <w:r w:rsidRPr="4EF8719D">
        <w:rPr>
          <w:rFonts w:ascii="Calibri" w:hAnsi="Calibri" w:eastAsia="Calibri" w:cs="Calibri"/>
          <w:sz w:val="24"/>
          <w:szCs w:val="24"/>
        </w:rPr>
        <w:t>to participate in the study</w:t>
      </w:r>
      <w:r w:rsidRPr="4EF8719D" w:rsidR="2A8A6770">
        <w:rPr>
          <w:rFonts w:ascii="Calibri" w:hAnsi="Calibri" w:eastAsia="Calibri" w:cs="Calibri"/>
          <w:sz w:val="24"/>
          <w:szCs w:val="24"/>
        </w:rPr>
        <w:t xml:space="preserve"> were included.</w:t>
      </w:r>
    </w:p>
    <w:p w:rsidRPr="00171B6F" w:rsidR="00E5630D" w:rsidP="560E2E1C" w:rsidRDefault="01CE48BD" w14:paraId="2CC44FC3" w14:textId="48856D94">
      <w:pPr>
        <w:spacing w:line="480" w:lineRule="auto"/>
        <w:jc w:val="both"/>
        <w:rPr>
          <w:sz w:val="24"/>
          <w:szCs w:val="24"/>
        </w:rPr>
      </w:pPr>
      <w:r w:rsidRPr="4EF8719D">
        <w:rPr>
          <w:sz w:val="24"/>
          <w:szCs w:val="24"/>
        </w:rPr>
        <w:t>I</w:t>
      </w:r>
      <w:r w:rsidRPr="4EF8719D" w:rsidR="4C8A0AD5">
        <w:rPr>
          <w:sz w:val="24"/>
          <w:szCs w:val="24"/>
        </w:rPr>
        <w:t xml:space="preserve">nclusion criteria were (1) </w:t>
      </w:r>
      <w:r w:rsidRPr="4EF8719D" w:rsidR="53A3E170">
        <w:rPr>
          <w:sz w:val="24"/>
          <w:szCs w:val="24"/>
        </w:rPr>
        <w:t xml:space="preserve">being </w:t>
      </w:r>
      <w:r w:rsidRPr="4EF8719D" w:rsidR="4C8A0AD5">
        <w:rPr>
          <w:sz w:val="24"/>
          <w:szCs w:val="24"/>
        </w:rPr>
        <w:t>over 18</w:t>
      </w:r>
      <w:r w:rsidRPr="4EF8719D" w:rsidR="352DEBA9">
        <w:rPr>
          <w:sz w:val="24"/>
          <w:szCs w:val="24"/>
        </w:rPr>
        <w:t xml:space="preserve"> years old</w:t>
      </w:r>
      <w:r w:rsidRPr="4EF8719D" w:rsidR="4C8A0AD5">
        <w:rPr>
          <w:sz w:val="24"/>
          <w:szCs w:val="24"/>
        </w:rPr>
        <w:t xml:space="preserve">, (2) meeting the </w:t>
      </w:r>
      <w:r w:rsidRPr="4EF8719D" w:rsidR="00164CF2">
        <w:rPr>
          <w:sz w:val="24"/>
          <w:szCs w:val="24"/>
        </w:rPr>
        <w:t xml:space="preserve">Budapest </w:t>
      </w:r>
      <w:r w:rsidRPr="4EF8719D" w:rsidR="4C8A0AD5">
        <w:rPr>
          <w:sz w:val="24"/>
          <w:szCs w:val="24"/>
        </w:rPr>
        <w:t xml:space="preserve">clinical </w:t>
      </w:r>
      <w:r w:rsidRPr="4EF8719D" w:rsidR="51325A75">
        <w:rPr>
          <w:sz w:val="24"/>
          <w:szCs w:val="24"/>
        </w:rPr>
        <w:t xml:space="preserve">diagnostic </w:t>
      </w:r>
      <w:r w:rsidRPr="4EF8719D" w:rsidR="4C8A0AD5">
        <w:rPr>
          <w:sz w:val="24"/>
          <w:szCs w:val="24"/>
        </w:rPr>
        <w:t>criteria</w:t>
      </w:r>
      <w:r w:rsidRPr="4EF8719D" w:rsidR="5C6069E1">
        <w:rPr>
          <w:sz w:val="24"/>
          <w:szCs w:val="24"/>
        </w:rPr>
        <w:t xml:space="preserve"> </w:t>
      </w:r>
      <w:r w:rsidR="6B4BF3BB">
        <w:fldChar w:fldCharType="begin"/>
      </w:r>
      <w:r w:rsidR="00A03CF2">
        <w:instrText xml:space="preserve"> ADDIN ZOTERO_ITEM CSL_CITATION {"citationID":"oSwkctoa","properties":{"formattedCitation":"(Harden et al., 2010)","plainCitation":"(Harden et al., 2010)","noteIndex":0},"citationItems":[{"id":72,"uris":["http://zotero.org/users/8514361/items/KBZWD7I7"],"itemData":{"id":72,"type":"article-journal","abstract":"Current IASP diagnostic criteria for CRPS have low specificity, potentially leading to overdiagnosis. This validation study compared current IASP diagnostic criteria for CRPS to proposed new diagnostic criteria (the \"Budapest Criteria\") regarding diagnostic accuracy. Structured evaluations of CRPS-related signs and symptoms were conducted in 113 CRPS-I and 47 non-CRPS neuropathic pain patients. Discriminating between diagnostic groups based on presence of signs or symptoms meeting IASP criteria showed high diagnostic sensitivity (1.00), but poor specificity (0.41), replicating prior work. In comparison, the Budapest clinical criteria retained the exceptional sensitivity of the IASP criteria (0.99), but greatly improved upon the specificity (0.68). As designed, the Budapest research criteria resulted in the highest specificity (0.79), again replicating prior work. Analyses indicated that inclusion of four distinct CRPS components in the Budapest Criteria contributed to enhanced specificity. Overall, results corroborate the validity of the Budapest Criteria and suggest they improve upon existing IASP diagnostic criteria for CRPS.","container-title":"Pain","DOI":"10.1016/j.pain.2010.04.030","ISSN":"1872-6623","issue":"2","journalAbbreviation":"Pain","language":"eng","note":"PMID: 20493633\nPMCID: PMC2914601","page":"268-274","source":"PubMed","title":"Validation of proposed diagnostic criteria (the \"Budapest Criteria\") for Complex Regional Pain Syndrome","volume":"150","author":[{"family":"Harden","given":"Norman R."},{"family":"Bruehl","given":"Stephen"},{"family":"Perez","given":"Roberto S. G. M."},{"family":"Birklein","given":"Frank"},{"family":"Marinus","given":"Johan"},{"family":"Maihofner","given":"Christian"},{"family":"Lubenow","given":"Timothy"},{"family":"Buvanendran","given":"Asokumar"},{"family":"Mackey","given":"Sean"},{"family":"Graciosa","given":"Joseph"},{"family":"Mogilevski","given":"Mila"},{"family":"Ramsden","given":"Christopher"},{"family":"Chont","given":"Melissa"},{"family":"Vatine","given":"Jean-Jacques"}],"issued":{"date-parts":[["2010",8]]}}}],"schema":"https://github.com/citation-style-language/schema/raw/master/csl-citation.json"} </w:instrText>
      </w:r>
      <w:r w:rsidR="6B4BF3BB">
        <w:fldChar w:fldCharType="separate"/>
      </w:r>
      <w:r w:rsidRPr="008425F7" w:rsidR="008425F7">
        <w:rPr>
          <w:rFonts w:ascii="Calibri" w:hAnsi="Calibri" w:cs="Calibri"/>
          <w:sz w:val="24"/>
        </w:rPr>
        <w:t>(Harden et al., 2010)</w:t>
      </w:r>
      <w:r w:rsidR="6B4BF3BB">
        <w:fldChar w:fldCharType="end"/>
      </w:r>
      <w:r w:rsidRPr="4EF8719D" w:rsidR="4C8A0AD5">
        <w:rPr>
          <w:sz w:val="24"/>
          <w:szCs w:val="24"/>
        </w:rPr>
        <w:t xml:space="preserve">, (3) </w:t>
      </w:r>
      <w:r w:rsidRPr="4EF8719D" w:rsidR="2C03CD95">
        <w:rPr>
          <w:sz w:val="24"/>
          <w:szCs w:val="24"/>
        </w:rPr>
        <w:t>symptoms onset</w:t>
      </w:r>
      <w:r w:rsidRPr="4EF8719D" w:rsidR="4C8A0AD5">
        <w:rPr>
          <w:sz w:val="24"/>
          <w:szCs w:val="24"/>
        </w:rPr>
        <w:t xml:space="preserve"> from less than </w:t>
      </w:r>
      <w:r w:rsidRPr="4EF8719D" w:rsidR="149389D1">
        <w:rPr>
          <w:sz w:val="24"/>
          <w:szCs w:val="24"/>
        </w:rPr>
        <w:t>6</w:t>
      </w:r>
      <w:r w:rsidRPr="4EF8719D" w:rsidR="4C8A0AD5">
        <w:rPr>
          <w:sz w:val="24"/>
          <w:szCs w:val="24"/>
        </w:rPr>
        <w:t xml:space="preserve"> </w:t>
      </w:r>
      <w:r w:rsidRPr="4EF8719D" w:rsidR="149389D1">
        <w:rPr>
          <w:sz w:val="24"/>
          <w:szCs w:val="24"/>
        </w:rPr>
        <w:t>months</w:t>
      </w:r>
      <w:r w:rsidRPr="4EF8719D" w:rsidR="4C8A0AD5">
        <w:rPr>
          <w:sz w:val="24"/>
          <w:szCs w:val="24"/>
        </w:rPr>
        <w:t>, (4) CRPS type I or II</w:t>
      </w:r>
      <w:r w:rsidRPr="4EF8719D" w:rsidR="3F593220">
        <w:rPr>
          <w:sz w:val="24"/>
          <w:szCs w:val="24"/>
        </w:rPr>
        <w:t xml:space="preserve"> </w:t>
      </w:r>
      <w:r w:rsidR="6B4BF3BB">
        <w:fldChar w:fldCharType="begin"/>
      </w:r>
      <w:r w:rsidR="00A03CF2">
        <w:instrText xml:space="preserve"> ADDIN ZOTERO_ITEM CSL_CITATION {"citationID":"lfhKvcTP","properties":{"formattedCitation":"(Goebel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6B4BF3BB">
        <w:fldChar w:fldCharType="separate"/>
      </w:r>
      <w:r w:rsidRPr="008425F7" w:rsidR="008425F7">
        <w:rPr>
          <w:rFonts w:ascii="Calibri" w:hAnsi="Calibri" w:cs="Calibri"/>
          <w:sz w:val="24"/>
        </w:rPr>
        <w:t>(Goebel et al., 2021)</w:t>
      </w:r>
      <w:r w:rsidR="6B4BF3BB">
        <w:fldChar w:fldCharType="end"/>
      </w:r>
      <w:r w:rsidRPr="4EF8719D" w:rsidR="4C8A0AD5">
        <w:rPr>
          <w:sz w:val="24"/>
          <w:szCs w:val="24"/>
        </w:rPr>
        <w:t>, (5) capacity to understand and voluntarily sign an informed consent</w:t>
      </w:r>
      <w:r w:rsidRPr="4EF8719D" w:rsidR="37009333">
        <w:rPr>
          <w:sz w:val="24"/>
          <w:szCs w:val="24"/>
        </w:rPr>
        <w:t xml:space="preserve">. </w:t>
      </w:r>
      <w:r w:rsidRPr="4EF8719D">
        <w:rPr>
          <w:sz w:val="24"/>
          <w:szCs w:val="24"/>
        </w:rPr>
        <w:t>E</w:t>
      </w:r>
      <w:r w:rsidRPr="4EF8719D" w:rsidR="4C8A0AD5">
        <w:rPr>
          <w:sz w:val="24"/>
          <w:szCs w:val="24"/>
        </w:rPr>
        <w:t xml:space="preserve">xclusion criteria were (1) insufficient French language skills to answer questionnaires, (2) personal </w:t>
      </w:r>
      <w:r w:rsidRPr="4EF8719D" w:rsidR="588C37FF">
        <w:rPr>
          <w:sz w:val="24"/>
          <w:szCs w:val="24"/>
        </w:rPr>
        <w:t xml:space="preserve">previous </w:t>
      </w:r>
      <w:r w:rsidRPr="4EF8719D" w:rsidR="4C8A0AD5">
        <w:rPr>
          <w:sz w:val="24"/>
          <w:szCs w:val="24"/>
        </w:rPr>
        <w:t>history of CRPS at the same limb, (3) post-stroke CRPS type I (</w:t>
      </w:r>
      <w:r w:rsidRPr="4EF8719D" w:rsidR="4C8A0AD5">
        <w:rPr>
          <w:i/>
          <w:iCs/>
          <w:sz w:val="24"/>
          <w:szCs w:val="24"/>
        </w:rPr>
        <w:t>shoulder-hand</w:t>
      </w:r>
      <w:r w:rsidRPr="4EF8719D" w:rsidR="4C8A0AD5">
        <w:rPr>
          <w:sz w:val="24"/>
          <w:szCs w:val="24"/>
        </w:rPr>
        <w:t xml:space="preserve"> syndrome), (4) </w:t>
      </w:r>
      <w:r w:rsidRPr="4EF8719D" w:rsidR="17D4DB33">
        <w:rPr>
          <w:sz w:val="24"/>
          <w:szCs w:val="24"/>
        </w:rPr>
        <w:t xml:space="preserve">severe </w:t>
      </w:r>
      <w:r w:rsidRPr="4EF8719D" w:rsidR="4C8A0AD5">
        <w:rPr>
          <w:sz w:val="24"/>
          <w:szCs w:val="24"/>
        </w:rPr>
        <w:t>psychiatric</w:t>
      </w:r>
      <w:r w:rsidRPr="4EF8719D" w:rsidR="05D7E8C0">
        <w:rPr>
          <w:sz w:val="24"/>
          <w:szCs w:val="24"/>
        </w:rPr>
        <w:t xml:space="preserve"> or neurological</w:t>
      </w:r>
      <w:r w:rsidRPr="4EF8719D" w:rsidR="4C8A0AD5">
        <w:rPr>
          <w:sz w:val="24"/>
          <w:szCs w:val="24"/>
        </w:rPr>
        <w:t xml:space="preserve"> disorders that would interfere with the participants’ ability to complete </w:t>
      </w:r>
      <w:r w:rsidRPr="4EF8719D" w:rsidR="4D009832">
        <w:rPr>
          <w:sz w:val="24"/>
          <w:szCs w:val="24"/>
        </w:rPr>
        <w:t xml:space="preserve">the </w:t>
      </w:r>
      <w:r w:rsidRPr="4EF8719D" w:rsidR="4C8A0AD5">
        <w:rPr>
          <w:sz w:val="24"/>
          <w:szCs w:val="24"/>
        </w:rPr>
        <w:t>study tasks.</w:t>
      </w:r>
    </w:p>
    <w:p w:rsidR="3CC412E0" w:rsidP="0BEC6559" w:rsidRDefault="159B1684" w14:paraId="790A02D3" w14:textId="639C500C">
      <w:pPr>
        <w:spacing w:line="480" w:lineRule="auto"/>
        <w:jc w:val="both"/>
        <w:rPr>
          <w:rFonts w:ascii="Calibri" w:hAnsi="Calibri" w:eastAsia="Calibri" w:cs="Calibri"/>
          <w:color w:val="000000" w:themeColor="text1"/>
          <w:sz w:val="24"/>
          <w:szCs w:val="24"/>
        </w:rPr>
      </w:pPr>
      <w:r w:rsidRPr="4CB37362">
        <w:rPr>
          <w:rFonts w:eastAsiaTheme="minorEastAsia"/>
          <w:sz w:val="24"/>
          <w:szCs w:val="24"/>
        </w:rPr>
        <w:t>Concerning CRPS duration,</w:t>
      </w:r>
      <w:r w:rsidRPr="4CB37362">
        <w:rPr>
          <w:rFonts w:ascii="Calibri" w:hAnsi="Calibri" w:eastAsia="Calibri" w:cs="Calibri"/>
          <w:color w:val="000000" w:themeColor="text1"/>
          <w:sz w:val="24"/>
          <w:szCs w:val="24"/>
        </w:rPr>
        <w:fldChar w:fldCharType="begin"/>
      </w:r>
      <w:r w:rsidRPr="4CB37362">
        <w:rPr>
          <w:rFonts w:ascii="Calibri" w:hAnsi="Calibri" w:eastAsia="Calibri" w:cs="Calibri"/>
          <w:color w:val="000000" w:themeColor="text1"/>
          <w:sz w:val="24"/>
          <w:szCs w:val="24"/>
        </w:rPr>
        <w:instrText xml:space="preserve"> ADDIN ZOTERO_ITEM CSL_CITATION {"citationID":"L483yBIR","properties":{"formattedCitation":"[2]","plainCitation":"[2]","dontUpdate":true,"noteIndex":0},"citationItems":[{"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R."}],"issued":{"date-parts":[["2016",7]]}}}],"schema":"https://github.com/citation-style-language/schema/raw/master/csl-citation.json"} </w:instrText>
      </w:r>
      <w:r w:rsidRPr="4CB37362">
        <w:rPr>
          <w:rFonts w:ascii="Calibri" w:hAnsi="Calibri" w:eastAsia="Calibri" w:cs="Calibri"/>
          <w:color w:val="000000" w:themeColor="text1"/>
          <w:sz w:val="24"/>
          <w:szCs w:val="24"/>
        </w:rPr>
        <w:fldChar w:fldCharType="separate"/>
      </w:r>
      <w:r w:rsidRPr="4CB37362">
        <w:rPr>
          <w:rFonts w:ascii="Calibri" w:hAnsi="Calibri" w:eastAsia="Calibri" w:cs="Calibri"/>
          <w:color w:val="000000" w:themeColor="text1"/>
          <w:sz w:val="24"/>
          <w:szCs w:val="24"/>
        </w:rPr>
        <w:fldChar w:fldCharType="end"/>
      </w:r>
      <w:r w:rsidRPr="4CB37362">
        <w:rPr>
          <w:rFonts w:eastAsiaTheme="minorEastAsia"/>
          <w:sz w:val="24"/>
          <w:szCs w:val="24"/>
        </w:rPr>
        <w:t xml:space="preserve"> we did not specify a minimum time between trauma and inclusion (as </w:t>
      </w:r>
      <w:r w:rsidRPr="4CB37362" w:rsidR="0EEE9A8C">
        <w:rPr>
          <w:rFonts w:eastAsiaTheme="minorEastAsia"/>
          <w:sz w:val="24"/>
          <w:szCs w:val="24"/>
        </w:rPr>
        <w:t>in</w:t>
      </w:r>
      <w:r w:rsidRPr="4CB37362" w:rsidR="14A8D88C">
        <w:rPr>
          <w:rFonts w:eastAsiaTheme="minorEastAsia"/>
          <w:sz w:val="24"/>
          <w:szCs w:val="24"/>
        </w:rPr>
        <w:t xml:space="preserve"> </w:t>
      </w:r>
      <w:r w:rsidRPr="4CB37362">
        <w:rPr>
          <w:rFonts w:eastAsiaTheme="minorEastAsia"/>
          <w:sz w:val="24"/>
          <w:szCs w:val="24"/>
        </w:rPr>
        <w:t>other studies, e</w:t>
      </w:r>
      <w:r w:rsidRPr="4CB37362" w:rsidR="50A05EE7">
        <w:rPr>
          <w:rFonts w:eastAsiaTheme="minorEastAsia"/>
          <w:sz w:val="24"/>
          <w:szCs w:val="24"/>
        </w:rPr>
        <w:t>.g.,</w:t>
      </w:r>
      <w:r w:rsidR="50A05EE7">
        <w:t xml:space="preserve"> </w:t>
      </w:r>
      <w:r w:rsidRPr="4CB37362">
        <w:rPr>
          <w:rFonts w:ascii="Calibri" w:hAnsi="Calibri" w:eastAsia="Calibri" w:cs="Calibri"/>
          <w:color w:val="000000" w:themeColor="text1"/>
          <w:sz w:val="24"/>
          <w:szCs w:val="24"/>
        </w:rPr>
        <w:fldChar w:fldCharType="begin"/>
      </w:r>
      <w:r w:rsidRPr="4CB37362">
        <w:rPr>
          <w:rFonts w:ascii="Calibri" w:hAnsi="Calibri" w:eastAsia="Calibri" w:cs="Calibri"/>
          <w:color w:val="000000" w:themeColor="text1"/>
          <w:sz w:val="24"/>
          <w:szCs w:val="24"/>
        </w:rPr>
        <w:instrText xml:space="preserve"> ADDIN ZOTERO_ITEM CSL_CITATION {"citationID":"CcEQGPHd","properties":{"formattedCitation":"[2]","plainCitation":"[2]","dontUpdate":true,"noteIndex":0},"citationItems":[{"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R."}],"issued":{"date-parts":[["2016",7]]}}}],"schema":"https://github.com/citation-style-language/schema/raw/master/csl-citation.json"} </w:instrText>
      </w:r>
      <w:r w:rsidRPr="4CB37362">
        <w:rPr>
          <w:rFonts w:ascii="Calibri" w:hAnsi="Calibri" w:eastAsia="Calibri" w:cs="Calibri"/>
          <w:color w:val="000000" w:themeColor="text1"/>
          <w:sz w:val="24"/>
          <w:szCs w:val="24"/>
        </w:rPr>
        <w:fldChar w:fldCharType="separate"/>
      </w:r>
      <w:r w:rsidRPr="4CB37362" w:rsidR="50A05EE7">
        <w:rPr>
          <w:rFonts w:ascii="Calibri" w:hAnsi="Calibri" w:cs="Calibri"/>
          <w:sz w:val="24"/>
          <w:szCs w:val="24"/>
        </w:rPr>
        <w:t>[2])</w:t>
      </w:r>
      <w:r w:rsidRPr="4CB37362">
        <w:rPr>
          <w:rFonts w:ascii="Calibri" w:hAnsi="Calibri" w:eastAsia="Calibri" w:cs="Calibri"/>
          <w:color w:val="000000" w:themeColor="text1"/>
          <w:sz w:val="24"/>
          <w:szCs w:val="24"/>
        </w:rPr>
        <w:fldChar w:fldCharType="end"/>
      </w:r>
      <w:r w:rsidRPr="4CB37362" w:rsidR="7D5A7D09">
        <w:rPr>
          <w:rFonts w:eastAsiaTheme="minorEastAsia"/>
          <w:sz w:val="24"/>
          <w:szCs w:val="24"/>
        </w:rPr>
        <w:t>, for the following reasons.</w:t>
      </w:r>
      <w:r w:rsidRPr="4CB37362" w:rsidR="7E52D6DA">
        <w:rPr>
          <w:rFonts w:eastAsiaTheme="minorEastAsia"/>
          <w:sz w:val="24"/>
          <w:szCs w:val="24"/>
        </w:rPr>
        <w:t xml:space="preserve"> </w:t>
      </w:r>
      <w:r w:rsidRPr="4CB37362" w:rsidR="1C8AC177">
        <w:rPr>
          <w:rFonts w:eastAsiaTheme="minorEastAsia"/>
          <w:sz w:val="24"/>
          <w:szCs w:val="24"/>
        </w:rPr>
        <w:t>First, t</w:t>
      </w:r>
      <w:r w:rsidRPr="4CB37362">
        <w:rPr>
          <w:rFonts w:eastAsiaTheme="minorEastAsia"/>
          <w:sz w:val="24"/>
          <w:szCs w:val="24"/>
        </w:rPr>
        <w:t>here is no</w:t>
      </w:r>
      <w:r w:rsidRPr="4CB37362" w:rsidR="261C207C">
        <w:rPr>
          <w:rFonts w:eastAsiaTheme="minorEastAsia"/>
          <w:sz w:val="24"/>
          <w:szCs w:val="24"/>
        </w:rPr>
        <w:t xml:space="preserve"> specific recommendation concerning the minimum delay required between initial physical trauma and establishment of diagnosis</w:t>
      </w:r>
      <w:r w:rsidRPr="4CB37362">
        <w:rPr>
          <w:rFonts w:eastAsiaTheme="minorEastAsia"/>
          <w:sz w:val="24"/>
          <w:szCs w:val="24"/>
        </w:rPr>
        <w:t xml:space="preserve"> </w:t>
      </w:r>
      <w:r w:rsidRPr="4CB37362">
        <w:rPr>
          <w:rFonts w:ascii="Calibri" w:hAnsi="Calibri" w:eastAsia="Calibri" w:cs="Calibri"/>
          <w:color w:val="000000" w:themeColor="text1"/>
          <w:sz w:val="24"/>
          <w:szCs w:val="24"/>
        </w:rPr>
        <w:fldChar w:fldCharType="begin"/>
      </w:r>
      <w:r w:rsidRPr="4CB37362">
        <w:rPr>
          <w:rFonts w:ascii="Calibri" w:hAnsi="Calibri" w:eastAsia="Calibri" w:cs="Calibri"/>
          <w:color w:val="000000" w:themeColor="text1"/>
          <w:sz w:val="24"/>
          <w:szCs w:val="24"/>
        </w:rPr>
        <w:instrText xml:space="preserve"> ADDIN ZOTERO_ITEM CSL_CITATION {"citationID":"O2UqPiUd","properties":{"formattedCitation":"(Goebel et al., 2021; Harden et al., 2022)","plainCitation":"(Goebel et al., 2021; Harden et al., 2022)","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id":"jyRXZ8R7/0EbNlnam","uris":["http://zotero.org/users/8777725/items/DF4BJ69V"],"itemData":{"id":1486,"type":"article-journal","abstract":"There have been some modest recent advancements in the research of Complex Regional Pain Syndrome, yet the amount and quality of the work in this complicated multifactorial disease remains low (with some notable exceptions; e.g., the recent work on the dorsal root ganglion stimulation). The semi-systematic (though in some cases narrative) approach to review is necessary so that we might treat our patients while waiting for \"better research.\" This semi-systematic review was conducted by experts in the field, (deliberately) some of whom are promising young researchers supplemented by the experience of \"elder statesman\" researchers, who all mention the system they have used to examine the literature. What we found is generally low- to medium-quality research with small numbers of subjects; however, there are some recent exceptions to this. The primary reason for this paucity of research is the fact that this is a rare disease, and it is very difficult to acquire a sufficient sample size for statistical significance using traditional statistical approaches. Several larger trials have failed, probably due to using the broad general diagnostic criteria (the \"Budapest\" criteria) in a multifactorial/multi-mechanism disease. Responsive subsets can often be identified in these larger trials, but not sufficient to achieve statistically significant results in the general diagnostic grouping. This being the case the authors have necessarily included data from less compelling protocols, including trials such as case series and even in some instances case reports/empirical information. In the humanitarian spirit of treating our often desperate patients with this rare syndrome, without great evidence, we must take what data we can find (as in this work) and tailor a treatment regime for each patient.","container-title":"Pain Medicine (Malden, Mass.)","DOI":"10.1093/pm/pnac046","ISSN":"1526-4637","issue":"Suppl 1","journalAbbreviation":"Pain Med","language":"eng","note":"PMID: 35687369\nPMCID: PMC9186375","page":"S1-S53","source":"PubMed","title":"Complex Regional Pain Syndrome: Practical Diagnostic and Treatment Guidelines, 5th Edition","title-short":"Complex Regional Pain Syndrome","volume":"23","author":[{"family":"Harden","given":"R. Norman"},{"family":"McCabe","given":"Candida S."},{"family":"Goebel","given":"Andreas"},{"family":"Massey","given":"Michael"},{"family":"Suvar","given":"Tolga"},{"family":"Grieve","given":"Sharon"},{"family":"Bruehl","given":"Stephen"}],"issued":{"date-parts":[["2022",6,10]]}}}],"schema":"https://github.com/citation-style-language/schema/raw/master/csl-citation.json"} </w:instrText>
      </w:r>
      <w:r w:rsidRPr="4CB37362">
        <w:rPr>
          <w:rFonts w:ascii="Calibri" w:hAnsi="Calibri" w:eastAsia="Calibri" w:cs="Calibri"/>
          <w:color w:val="000000" w:themeColor="text1"/>
          <w:sz w:val="24"/>
          <w:szCs w:val="24"/>
        </w:rPr>
        <w:fldChar w:fldCharType="separate"/>
      </w:r>
      <w:r w:rsidRPr="4CB37362" w:rsidR="008425F7">
        <w:rPr>
          <w:rFonts w:ascii="Calibri" w:hAnsi="Calibri" w:cs="Calibri"/>
          <w:sz w:val="24"/>
          <w:szCs w:val="24"/>
        </w:rPr>
        <w:t>(Goebel et al., 2021; Harden et al., 2022)</w:t>
      </w:r>
      <w:r w:rsidRPr="4CB37362">
        <w:rPr>
          <w:rFonts w:ascii="Calibri" w:hAnsi="Calibri" w:eastAsia="Calibri" w:cs="Calibri"/>
          <w:color w:val="000000" w:themeColor="text1"/>
          <w:sz w:val="24"/>
          <w:szCs w:val="24"/>
        </w:rPr>
        <w:fldChar w:fldCharType="end"/>
      </w:r>
      <w:r w:rsidRPr="4CB37362">
        <w:rPr>
          <w:rFonts w:eastAsiaTheme="minorEastAsia"/>
          <w:sz w:val="24"/>
          <w:szCs w:val="24"/>
        </w:rPr>
        <w:t xml:space="preserve">. </w:t>
      </w:r>
      <w:r w:rsidRPr="4CB37362" w:rsidR="1C8AC177">
        <w:rPr>
          <w:rFonts w:eastAsiaTheme="minorEastAsia"/>
          <w:sz w:val="24"/>
          <w:szCs w:val="24"/>
        </w:rPr>
        <w:t>Second, i</w:t>
      </w:r>
      <w:r w:rsidRPr="4CB37362">
        <w:rPr>
          <w:rFonts w:eastAsiaTheme="minorEastAsia"/>
          <w:sz w:val="24"/>
          <w:szCs w:val="24"/>
        </w:rPr>
        <w:t xml:space="preserve">t can be </w:t>
      </w:r>
      <w:r w:rsidRPr="4CB37362">
        <w:rPr>
          <w:rFonts w:eastAsiaTheme="minorEastAsia"/>
          <w:sz w:val="24"/>
          <w:szCs w:val="24"/>
        </w:rPr>
        <w:lastRenderedPageBreak/>
        <w:t xml:space="preserve">difficult to distinguish the onset of CRPS and the </w:t>
      </w:r>
      <w:r w:rsidRPr="4CB37362">
        <w:rPr>
          <w:rFonts w:eastAsiaTheme="minorEastAsia"/>
          <w:i/>
          <w:iCs/>
          <w:sz w:val="24"/>
          <w:szCs w:val="24"/>
        </w:rPr>
        <w:t>normal</w:t>
      </w:r>
      <w:r w:rsidRPr="4CB37362">
        <w:rPr>
          <w:rFonts w:eastAsiaTheme="minorEastAsia"/>
          <w:sz w:val="24"/>
          <w:szCs w:val="24"/>
        </w:rPr>
        <w:t xml:space="preserve"> slow recovery from high-energy trauma and/or a long period of immobilization</w:t>
      </w:r>
      <w:r w:rsidRPr="4CB37362" w:rsidR="00C17023">
        <w:rPr>
          <w:rFonts w:eastAsiaTheme="minorEastAsia"/>
          <w:sz w:val="24"/>
          <w:szCs w:val="24"/>
        </w:rPr>
        <w:t xml:space="preserve">. However, </w:t>
      </w:r>
      <w:r w:rsidRPr="4CB37362" w:rsidR="2FA880D0">
        <w:rPr>
          <w:rFonts w:eastAsiaTheme="minorEastAsia"/>
          <w:sz w:val="24"/>
          <w:szCs w:val="24"/>
        </w:rPr>
        <w:t xml:space="preserve">the cut-off is clearer </w:t>
      </w:r>
      <w:r w:rsidRPr="4CB37362">
        <w:rPr>
          <w:rFonts w:eastAsiaTheme="minorEastAsia"/>
          <w:sz w:val="24"/>
          <w:szCs w:val="24"/>
        </w:rPr>
        <w:t xml:space="preserve">for minor trauma (such as ankle sprain or elective surgery). </w:t>
      </w:r>
      <w:r w:rsidRPr="4CB37362">
        <w:rPr>
          <w:rFonts w:ascii="Calibri" w:hAnsi="Calibri" w:eastAsia="Calibri" w:cs="Calibri"/>
          <w:color w:val="000000" w:themeColor="text1"/>
          <w:sz w:val="24"/>
          <w:szCs w:val="24"/>
        </w:rPr>
        <w:t xml:space="preserve">Finally, </w:t>
      </w:r>
      <w:r w:rsidRPr="4CB37362" w:rsidR="44E2010D">
        <w:rPr>
          <w:rFonts w:ascii="Calibri" w:hAnsi="Calibri" w:eastAsia="Calibri" w:cs="Calibri"/>
          <w:color w:val="000000" w:themeColor="text1"/>
          <w:sz w:val="24"/>
          <w:szCs w:val="24"/>
        </w:rPr>
        <w:t>i</w:t>
      </w:r>
      <w:r w:rsidRPr="4CB37362" w:rsidR="3FA0CF30">
        <w:rPr>
          <w:rFonts w:ascii="Calibri" w:hAnsi="Calibri" w:eastAsia="Calibri" w:cs="Calibri"/>
          <w:color w:val="000000" w:themeColor="text1"/>
          <w:sz w:val="24"/>
          <w:szCs w:val="24"/>
        </w:rPr>
        <w:t xml:space="preserve">t is recommended to identify and diagnose CRPS as early as possible for </w:t>
      </w:r>
      <w:r w:rsidRPr="4CB37362" w:rsidR="00C17023">
        <w:rPr>
          <w:rFonts w:ascii="Calibri" w:hAnsi="Calibri" w:eastAsia="Calibri" w:cs="Calibri"/>
          <w:color w:val="000000" w:themeColor="text1"/>
          <w:sz w:val="24"/>
          <w:szCs w:val="24"/>
        </w:rPr>
        <w:t xml:space="preserve">better </w:t>
      </w:r>
      <w:r w:rsidRPr="4CB37362" w:rsidR="3FA0CF30">
        <w:rPr>
          <w:rFonts w:ascii="Calibri" w:hAnsi="Calibri" w:eastAsia="Calibri" w:cs="Calibri"/>
          <w:color w:val="000000" w:themeColor="text1"/>
          <w:sz w:val="24"/>
          <w:szCs w:val="24"/>
        </w:rPr>
        <w:t>management</w:t>
      </w:r>
      <w:r w:rsidRPr="4CB37362" w:rsidR="061DAEA5">
        <w:rPr>
          <w:rFonts w:ascii="Calibri" w:hAnsi="Calibri" w:eastAsia="Calibri" w:cs="Calibri"/>
          <w:color w:val="000000" w:themeColor="text1"/>
          <w:sz w:val="24"/>
          <w:szCs w:val="24"/>
        </w:rPr>
        <w:t>,</w:t>
      </w:r>
      <w:r w:rsidRPr="4CB37362" w:rsidR="41909272">
        <w:rPr>
          <w:rFonts w:ascii="Calibri" w:hAnsi="Calibri" w:eastAsia="Calibri" w:cs="Calibri"/>
          <w:color w:val="000000" w:themeColor="text1"/>
          <w:sz w:val="24"/>
          <w:szCs w:val="24"/>
        </w:rPr>
        <w:t xml:space="preserve"> </w:t>
      </w:r>
      <w:r w:rsidRPr="4CB37362">
        <w:rPr>
          <w:rFonts w:ascii="Calibri" w:hAnsi="Calibri" w:eastAsia="Calibri" w:cs="Calibri"/>
          <w:color w:val="000000" w:themeColor="text1"/>
          <w:sz w:val="24"/>
          <w:szCs w:val="24"/>
        </w:rPr>
        <w:t>at least for therapeutic education</w:t>
      </w:r>
      <w:r w:rsidRPr="4CB37362" w:rsidR="7FBC0D12">
        <w:rPr>
          <w:rFonts w:ascii="Calibri" w:hAnsi="Calibri" w:eastAsia="Calibri" w:cs="Calibri"/>
          <w:color w:val="000000" w:themeColor="text1"/>
          <w:sz w:val="24"/>
          <w:szCs w:val="24"/>
        </w:rPr>
        <w:t xml:space="preserve"> </w:t>
      </w:r>
      <w:r w:rsidRPr="4CB37362">
        <w:rPr>
          <w:rFonts w:ascii="Calibri" w:hAnsi="Calibri" w:eastAsia="Calibri" w:cs="Calibri"/>
          <w:color w:val="000000" w:themeColor="text1"/>
          <w:sz w:val="24"/>
          <w:szCs w:val="24"/>
        </w:rPr>
        <w:fldChar w:fldCharType="begin"/>
      </w:r>
      <w:r w:rsidRPr="4CB37362">
        <w:rPr>
          <w:rFonts w:ascii="Calibri" w:hAnsi="Calibri" w:eastAsia="Calibri" w:cs="Calibri"/>
          <w:color w:val="000000" w:themeColor="text1"/>
          <w:sz w:val="24"/>
          <w:szCs w:val="24"/>
        </w:rPr>
        <w:instrText xml:space="preserve"> ADDIN ZOTERO_ITEM CSL_CITATION {"citationID":"AmeuJ7Av","properties":{"formattedCitation":"(Goebel et al., 2019, 2021)","plainCitation":"(Goebel et al., 2019, 2021)","noteIndex":0},"citationItems":[{"id":85,"uris":["http://zotero.org/users/8514361/items/8HYCFMRG"],"itemData":{"id":85,"type":"article-journal","abstract":"Background Complex regional pain syndrome is a painful and disabling post-traumatic primary pain disorder. Acute and chronic complex regional pain syndrome (CRPS) are major clinical challenges. In Europe, progress is hampered by significant heterogeneity in clinical practice. We sought to establish standards for the diagnosis and management of CRPS. Methods The European Pain Federation established a pan-European task force of experts in CRPS who followed a four-stage consensus challenge process to produce mandatory quality standards worded as grammatically imperative (must-do) statements. Results We developed 17 standards in 8 areas of care. There are 2 standards in diagnosis, 1 in multidisciplinary care, 1 in assessment, 3 for care pathways, 1 in information and education, 4 in pain management, 3 in physical rehabilitation and 2 on distress management. The standards are presented and summarized, and their generation and consequences were discussed. Also presented are domains of practice for which no agreement on a standard could be reached. Areas of research needed to improve the validity and uptake of these standards are discussed. Conclusion The European Pain Federation task force present 17 standards of the diagnosis and management of CRPS for use in Europe. These are considered achievable for most countries and aspirational for a minority of countries depending on their healthcare resource and structures. Significance This position statement summarizes expert opinion on acceptable standards for CRPS care in Europe.","container-title":"European Journal of Pain","DOI":"10.1002/ejp.1362","ISSN":"1532-2149","issue":"4","language":"en","license":"© 2019 The Authors. European Journal of Pain published by John Wiley &amp; Sons Ltd on behalf of European Pain Federation - EFIC®","note":"_eprint: https://onlinelibrary.wiley.com/doi/pdf/10.1002/ejp.1362","page":"641-651","source":"Wiley Online Library","title":"Standards for the diagnosis and management of complex regional pain syndrome: Results of a European Pain Federation task force","title-short":"Standards for the diagnosis and management of complex regional pain syndrome","volume":"23","author":[{"family":"Goebel","given":"Andreas"},{"family":"Barker","given":"Chris"},{"family":"Birklein","given":"Frank"},{"family":"Brunner","given":"Florian"},{"family":"Casale","given":"Roberto"},{"family":"Eccleston","given":"Chris"},{"family":"Eisenberg","given":"E."},{"family":"McCabe","given":"Candy S."},{"family":"Moseley","given":"G. Lorimer"},{"family":"Perez","given":"R."},{"family":"Perrot","given":"Serge"},{"family":"Terkelsen","given":"Astrid"},{"family":"Thomassen","given":"Ilona"},{"family":"Zyluk","given":"Andrzey"},{"family":"Wells","given":"Chris"}],"issued":{"date-parts":[["2019"]]}}},{"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4CB37362">
        <w:rPr>
          <w:rFonts w:ascii="Calibri" w:hAnsi="Calibri" w:eastAsia="Calibri" w:cs="Calibri"/>
          <w:color w:val="000000" w:themeColor="text1"/>
          <w:sz w:val="24"/>
          <w:szCs w:val="24"/>
        </w:rPr>
        <w:fldChar w:fldCharType="separate"/>
      </w:r>
      <w:r w:rsidRPr="4CB37362" w:rsidR="008425F7">
        <w:rPr>
          <w:rFonts w:ascii="Calibri" w:hAnsi="Calibri" w:cs="Calibri"/>
          <w:sz w:val="24"/>
          <w:szCs w:val="24"/>
        </w:rPr>
        <w:t>(Goebel et al., 2019, 2021)</w:t>
      </w:r>
      <w:r w:rsidRPr="4CB37362">
        <w:rPr>
          <w:rFonts w:ascii="Calibri" w:hAnsi="Calibri" w:eastAsia="Calibri" w:cs="Calibri"/>
          <w:color w:val="000000" w:themeColor="text1"/>
          <w:sz w:val="24"/>
          <w:szCs w:val="24"/>
        </w:rPr>
        <w:fldChar w:fldCharType="end"/>
      </w:r>
      <w:r w:rsidRPr="4CB37362">
        <w:rPr>
          <w:rFonts w:ascii="Calibri" w:hAnsi="Calibri" w:eastAsia="Calibri" w:cs="Calibri"/>
          <w:color w:val="000000" w:themeColor="text1"/>
          <w:sz w:val="24"/>
          <w:szCs w:val="24"/>
        </w:rPr>
        <w:t xml:space="preserve">.  </w:t>
      </w:r>
      <w:r w:rsidRPr="4CB37362" w:rsidR="44744597">
        <w:rPr>
          <w:rFonts w:ascii="Calibri" w:hAnsi="Calibri" w:eastAsia="Calibri" w:cs="Calibri"/>
          <w:color w:val="000000" w:themeColor="text1"/>
          <w:sz w:val="24"/>
          <w:szCs w:val="24"/>
        </w:rPr>
        <w:t>K</w:t>
      </w:r>
      <w:r w:rsidRPr="4CB37362" w:rsidR="462FB2E5">
        <w:rPr>
          <w:rFonts w:ascii="Calibri" w:hAnsi="Calibri" w:eastAsia="Calibri" w:cs="Calibri"/>
          <w:color w:val="000000" w:themeColor="text1"/>
          <w:sz w:val="24"/>
          <w:szCs w:val="24"/>
        </w:rPr>
        <w:t xml:space="preserve">nowing </w:t>
      </w:r>
      <w:r w:rsidRPr="4CB37362">
        <w:rPr>
          <w:rFonts w:ascii="Calibri" w:hAnsi="Calibri" w:eastAsia="Calibri" w:cs="Calibri"/>
          <w:color w:val="000000" w:themeColor="text1"/>
          <w:sz w:val="24"/>
          <w:szCs w:val="24"/>
        </w:rPr>
        <w:t xml:space="preserve">that </w:t>
      </w:r>
      <w:proofErr w:type="gramStart"/>
      <w:r w:rsidRPr="4CB37362">
        <w:rPr>
          <w:rFonts w:ascii="Calibri" w:hAnsi="Calibri" w:eastAsia="Calibri" w:cs="Calibri"/>
          <w:color w:val="000000" w:themeColor="text1"/>
          <w:sz w:val="24"/>
          <w:szCs w:val="24"/>
        </w:rPr>
        <w:t>a number of</w:t>
      </w:r>
      <w:proofErr w:type="gramEnd"/>
      <w:r w:rsidRPr="4CB37362">
        <w:rPr>
          <w:rFonts w:ascii="Calibri" w:hAnsi="Calibri" w:eastAsia="Calibri" w:cs="Calibri"/>
          <w:color w:val="000000" w:themeColor="text1"/>
          <w:sz w:val="24"/>
          <w:szCs w:val="24"/>
        </w:rPr>
        <w:t xml:space="preserve"> patients with CRPS </w:t>
      </w:r>
      <w:r w:rsidRPr="4CB37362" w:rsidR="5F377434">
        <w:rPr>
          <w:rFonts w:ascii="Calibri" w:hAnsi="Calibri" w:eastAsia="Calibri" w:cs="Calibri"/>
          <w:color w:val="000000" w:themeColor="text1"/>
          <w:sz w:val="24"/>
          <w:szCs w:val="24"/>
        </w:rPr>
        <w:t xml:space="preserve">will </w:t>
      </w:r>
      <w:r w:rsidRPr="4CB37362">
        <w:rPr>
          <w:rFonts w:ascii="Calibri" w:hAnsi="Calibri" w:eastAsia="Calibri" w:cs="Calibri"/>
          <w:color w:val="000000" w:themeColor="text1"/>
          <w:sz w:val="24"/>
          <w:szCs w:val="24"/>
        </w:rPr>
        <w:t xml:space="preserve">recover spontaneously within a few months and </w:t>
      </w:r>
      <w:r w:rsidRPr="4CB37362" w:rsidR="42367BCC">
        <w:rPr>
          <w:rFonts w:ascii="Calibri" w:hAnsi="Calibri" w:eastAsia="Calibri" w:cs="Calibri"/>
          <w:color w:val="000000" w:themeColor="text1"/>
          <w:sz w:val="24"/>
          <w:szCs w:val="24"/>
        </w:rPr>
        <w:t xml:space="preserve">that </w:t>
      </w:r>
      <w:r w:rsidRPr="4CB37362">
        <w:rPr>
          <w:rFonts w:ascii="Calibri" w:hAnsi="Calibri" w:eastAsia="Calibri" w:cs="Calibri"/>
          <w:color w:val="000000" w:themeColor="text1"/>
          <w:sz w:val="24"/>
          <w:szCs w:val="24"/>
        </w:rPr>
        <w:t>we are currently unable to explain this variable prognosis</w:t>
      </w:r>
      <w:r w:rsidRPr="4CB37362" w:rsidR="690F2C87">
        <w:rPr>
          <w:rFonts w:ascii="Calibri" w:hAnsi="Calibri" w:eastAsia="Calibri" w:cs="Calibri"/>
          <w:color w:val="000000" w:themeColor="text1"/>
          <w:sz w:val="24"/>
          <w:szCs w:val="24"/>
        </w:rPr>
        <w:t>, t</w:t>
      </w:r>
      <w:r w:rsidRPr="4CB37362" w:rsidR="3EBD0AC5">
        <w:rPr>
          <w:rFonts w:ascii="Calibri" w:hAnsi="Calibri" w:eastAsia="Calibri" w:cs="Calibri"/>
          <w:color w:val="000000" w:themeColor="text1"/>
          <w:sz w:val="24"/>
          <w:szCs w:val="24"/>
        </w:rPr>
        <w:t xml:space="preserve">he inclusion of </w:t>
      </w:r>
      <w:r w:rsidRPr="4CB37362" w:rsidR="3EBD0AC5">
        <w:rPr>
          <w:rFonts w:ascii="Calibri" w:hAnsi="Calibri" w:eastAsia="Calibri" w:cs="Calibri"/>
          <w:i/>
          <w:iCs/>
          <w:color w:val="000000" w:themeColor="text1"/>
          <w:sz w:val="24"/>
          <w:szCs w:val="24"/>
        </w:rPr>
        <w:t>very early</w:t>
      </w:r>
      <w:r w:rsidRPr="4CB37362" w:rsidR="3EBD0AC5">
        <w:rPr>
          <w:rFonts w:ascii="Calibri" w:hAnsi="Calibri" w:eastAsia="Calibri" w:cs="Calibri"/>
          <w:color w:val="000000" w:themeColor="text1"/>
          <w:sz w:val="24"/>
          <w:szCs w:val="24"/>
        </w:rPr>
        <w:t xml:space="preserve"> CRPS seemed relevant to achieve our research objective</w:t>
      </w:r>
      <w:r w:rsidRPr="4CB37362" w:rsidR="00C17023">
        <w:rPr>
          <w:rFonts w:ascii="Calibri" w:hAnsi="Calibri" w:eastAsia="Calibri" w:cs="Calibri"/>
          <w:color w:val="000000" w:themeColor="text1"/>
          <w:sz w:val="24"/>
          <w:szCs w:val="24"/>
        </w:rPr>
        <w:t>s</w:t>
      </w:r>
      <w:r w:rsidRPr="4CB37362" w:rsidR="005D1E8B">
        <w:rPr>
          <w:rFonts w:ascii="Calibri" w:hAnsi="Calibri" w:eastAsia="Calibri" w:cs="Calibri"/>
          <w:color w:val="000000" w:themeColor="text1"/>
          <w:sz w:val="24"/>
          <w:szCs w:val="24"/>
        </w:rPr>
        <w:t>.</w:t>
      </w:r>
      <w:r w:rsidRPr="4CB37362" w:rsidR="00265D63">
        <w:rPr>
          <w:rFonts w:ascii="Calibri" w:hAnsi="Calibri" w:eastAsia="Calibri" w:cs="Calibri"/>
          <w:color w:val="000000" w:themeColor="text1"/>
          <w:sz w:val="24"/>
          <w:szCs w:val="24"/>
        </w:rPr>
        <w:t xml:space="preserve"> </w:t>
      </w:r>
    </w:p>
    <w:p w:rsidRPr="00265D63" w:rsidR="005C5A4A" w:rsidP="0BEC6559" w:rsidRDefault="005C5A4A" w14:paraId="6D2C42EB" w14:textId="21D756C6">
      <w:pPr>
        <w:spacing w:line="480" w:lineRule="auto"/>
        <w:jc w:val="both"/>
        <w:rPr>
          <w:rFonts w:ascii="Calibri" w:hAnsi="Calibri" w:eastAsia="Calibri" w:cs="Calibri"/>
          <w:color w:val="000000" w:themeColor="text1"/>
          <w:sz w:val="24"/>
          <w:szCs w:val="24"/>
        </w:rPr>
      </w:pPr>
      <w:r w:rsidRPr="792AD32B" w:rsidR="005C5A4A">
        <w:rPr>
          <w:rFonts w:ascii="Calibri" w:hAnsi="Calibri" w:eastAsia="Calibri" w:cs="Calibri"/>
          <w:color w:val="FF0000"/>
          <w:sz w:val="24"/>
          <w:szCs w:val="24"/>
        </w:rPr>
        <w:t xml:space="preserve">As there is no consensus on the definition of early CRPS </w:t>
      </w:r>
      <w:r w:rsidRPr="792AD32B">
        <w:rPr>
          <w:rFonts w:ascii="Calibri" w:hAnsi="Calibri" w:eastAsia="Calibri" w:cs="Calibri"/>
          <w:color w:val="FF0000"/>
          <w:sz w:val="24"/>
          <w:szCs w:val="24"/>
        </w:rPr>
        <w:fldChar w:fldCharType="begin"/>
      </w:r>
      <w:r w:rsidRPr="792AD32B">
        <w:rPr>
          <w:rFonts w:ascii="Calibri" w:hAnsi="Calibri" w:eastAsia="Calibri" w:cs="Calibri"/>
          <w:color w:val="FF0000"/>
          <w:sz w:val="24"/>
          <w:szCs w:val="24"/>
        </w:rPr>
        <w:instrText xml:space="preserve"> ADDIN ZOTERO_ITEM CSL_CITATION {"citationID":"ToAadqB2","properties":{"formattedCitation":"(Goebel et al., 2019)","plainCitation":"(Goebel et al., 2019)","noteIndex":0},"citationItems":[{"id":85,"uris":["http://zotero.org/users/8514361/items/8HYCFMRG"],"itemData":{"id":85,"type":"article-journal","abstract":"Background Complex regional pain syndrome is a painful and disabling post-traumatic primary pain disorder. Acute and chronic complex regional pain syndrome (CRPS) are major clinical challenges. In Europe, progress is hampered by significant heterogeneity in clinical practice. We sought to establish standards for the diagnosis and management of CRPS. Methods The European Pain Federation established a pan-European task force of experts in CRPS who followed a four-stage consensus challenge process to produce mandatory quality standards worded as grammatically imperative (must-do) statements. Results We developed 17 standards in 8 areas of care. There are 2 standards in diagnosis, 1 in multidisciplinary care, 1 in assessment, 3 for care pathways, 1 in information and education, 4 in pain management, 3 in physical rehabilitation and 2 on distress management. The standards are presented and summarized, and their generation and consequences were discussed. Also presented are domains of practice for which no agreement on a standard could be reached. Areas of research needed to improve the validity and uptake of these standards are discussed. Conclusion The European Pain Federation task force present 17 standards of the diagnosis and management of CRPS for use in Europe. These are considered achievable for most countries and aspirational for a minority of countries depending on their healthcare resource and structures. Significance This position statement summarizes expert opinion on acceptable standards for CRPS care in Europe.","container-title":"European Journal of Pain","DOI":"10.1002/ejp.1362","ISSN":"1532-2149","issue":"4","language":"en","license":"© 2019 The Authors. European Journal of Pain published by John Wiley &amp; Sons Ltd on behalf of European Pain Federation - EFIC®","note":"_eprint: https://onlinelibrary.wiley.com/doi/pdf/10.1002/ejp.1362","page":"641-651","source":"Wiley Online Library","title":"Standards for the diagnosis and management of complex regional pain syndrome: Results of a European Pain Federation task force","title-short":"Standards for the diagnosis and management of complex regional pain syndrome","volume":"23","author":[{"family":"Goebel","given":"Andreas"},{"family":"Barker","given":"Chris"},{"family":"Birklein","given":"Frank"},{"family":"Brunner","given":"Florian"},{"family":"Casale","given":"Roberto"},{"family":"Eccleston","given":"Chris"},{"family":"Eisenberg","given":"E."},{"family":"McCabe","given":"Candy S."},{"family":"Moseley","given":"G. Lorimer"},{"family":"Perez","given":"R."},{"family":"Perrot","given":"Serge"},{"family":"Terkelsen","given":"Astrid"},{"family":"Thomassen","given":"Ilona"},{"family":"Zyluk","given":"Andrzey"},{"family":"Wells","given":"Chris"}],"issued":{"date-parts":[["2019"]]}}}],"schema":"https://github.com/citation-style-language/schema/raw/master/csl-citation.json"} </w:instrText>
      </w:r>
      <w:r w:rsidRPr="792AD32B">
        <w:rPr>
          <w:rFonts w:ascii="Calibri" w:hAnsi="Calibri" w:eastAsia="Calibri" w:cs="Calibri"/>
          <w:color w:val="FF0000"/>
          <w:sz w:val="24"/>
          <w:szCs w:val="24"/>
        </w:rPr>
        <w:fldChar w:fldCharType="separate"/>
      </w:r>
      <w:r w:rsidRPr="792AD32B" w:rsidR="005C5A4A">
        <w:rPr>
          <w:rFonts w:ascii="Calibri" w:hAnsi="Calibri" w:cs="Calibri"/>
          <w:sz w:val="24"/>
          <w:szCs w:val="24"/>
        </w:rPr>
        <w:t>(Goebel et al., 2019)</w:t>
      </w:r>
      <w:r w:rsidRPr="792AD32B">
        <w:rPr>
          <w:rFonts w:ascii="Calibri" w:hAnsi="Calibri" w:eastAsia="Calibri" w:cs="Calibri"/>
          <w:color w:val="FF0000"/>
          <w:sz w:val="24"/>
          <w:szCs w:val="24"/>
        </w:rPr>
        <w:fldChar w:fldCharType="end"/>
      </w:r>
      <w:r w:rsidRPr="792AD32B" w:rsidR="005C5A4A">
        <w:rPr>
          <w:rFonts w:ascii="Calibri" w:hAnsi="Calibri" w:eastAsia="Calibri" w:cs="Calibri"/>
          <w:color w:val="FF0000"/>
          <w:sz w:val="24"/>
          <w:szCs w:val="24"/>
        </w:rPr>
        <w:t>, we ch</w:t>
      </w:r>
      <w:r w:rsidRPr="792AD32B" w:rsidR="7DBB58B6">
        <w:rPr>
          <w:rFonts w:ascii="Calibri" w:hAnsi="Calibri" w:eastAsia="Calibri" w:cs="Calibri"/>
          <w:color w:val="FF0000"/>
          <w:sz w:val="24"/>
          <w:szCs w:val="24"/>
        </w:rPr>
        <w:t>o</w:t>
      </w:r>
      <w:r w:rsidRPr="792AD32B" w:rsidR="005C5A4A">
        <w:rPr>
          <w:rFonts w:ascii="Calibri" w:hAnsi="Calibri" w:eastAsia="Calibri" w:cs="Calibri"/>
          <w:color w:val="FF0000"/>
          <w:sz w:val="24"/>
          <w:szCs w:val="24"/>
        </w:rPr>
        <w:t xml:space="preserve">ose to use a duration &lt;6 months for </w:t>
      </w:r>
      <w:r w:rsidRPr="792AD32B" w:rsidR="005C5A4A">
        <w:rPr>
          <w:rFonts w:ascii="Calibri" w:hAnsi="Calibri" w:eastAsia="Calibri" w:cs="Calibri"/>
          <w:i w:val="1"/>
          <w:iCs w:val="1"/>
          <w:color w:val="FF0000"/>
          <w:sz w:val="24"/>
          <w:szCs w:val="24"/>
        </w:rPr>
        <w:t xml:space="preserve">early </w:t>
      </w:r>
      <w:r w:rsidRPr="792AD32B" w:rsidR="005C5A4A">
        <w:rPr>
          <w:rFonts w:ascii="Calibri" w:hAnsi="Calibri" w:eastAsia="Calibri" w:cs="Calibri"/>
          <w:color w:val="FF0000"/>
          <w:sz w:val="24"/>
          <w:szCs w:val="24"/>
        </w:rPr>
        <w:t xml:space="preserve">CRPS, and &lt;3 months for </w:t>
      </w:r>
      <w:r w:rsidRPr="792AD32B" w:rsidR="005C5A4A">
        <w:rPr>
          <w:rFonts w:ascii="Calibri" w:hAnsi="Calibri" w:eastAsia="Calibri" w:cs="Calibri"/>
          <w:i w:val="1"/>
          <w:iCs w:val="1"/>
          <w:color w:val="FF0000"/>
          <w:sz w:val="24"/>
          <w:szCs w:val="24"/>
        </w:rPr>
        <w:t>very early</w:t>
      </w:r>
      <w:r w:rsidRPr="792AD32B" w:rsidR="005C5A4A">
        <w:rPr>
          <w:rFonts w:ascii="Calibri" w:hAnsi="Calibri" w:eastAsia="Calibri" w:cs="Calibri"/>
          <w:color w:val="FF0000"/>
          <w:sz w:val="24"/>
          <w:szCs w:val="24"/>
        </w:rPr>
        <w:t xml:space="preserve"> CRPS.</w:t>
      </w:r>
    </w:p>
    <w:p w:rsidRPr="00171B6F" w:rsidR="00577A6D" w:rsidP="560E2E1C" w:rsidRDefault="2749ADDA" w14:paraId="0234AA2F" w14:textId="71725101">
      <w:pPr>
        <w:pStyle w:val="ListParagraph"/>
        <w:numPr>
          <w:ilvl w:val="0"/>
          <w:numId w:val="20"/>
        </w:numPr>
        <w:spacing w:line="480" w:lineRule="auto"/>
        <w:jc w:val="both"/>
        <w:rPr>
          <w:b/>
          <w:bCs/>
          <w:sz w:val="24"/>
          <w:szCs w:val="24"/>
        </w:rPr>
      </w:pPr>
      <w:r w:rsidRPr="3613E1E1">
        <w:rPr>
          <w:b/>
          <w:bCs/>
          <w:sz w:val="24"/>
          <w:szCs w:val="24"/>
        </w:rPr>
        <w:t>Procedure</w:t>
      </w:r>
      <w:r w:rsidRPr="3613E1E1" w:rsidR="26730A17">
        <w:rPr>
          <w:b/>
          <w:bCs/>
          <w:sz w:val="24"/>
          <w:szCs w:val="24"/>
        </w:rPr>
        <w:t>s</w:t>
      </w:r>
    </w:p>
    <w:p w:rsidRPr="00171B6F" w:rsidR="00F90FBC" w:rsidP="3BDBDF46" w:rsidRDefault="4D230F3F" w14:paraId="06C1281D" w14:textId="1FD2DAE2">
      <w:pPr>
        <w:spacing w:line="480" w:lineRule="auto"/>
        <w:jc w:val="both"/>
        <w:rPr>
          <w:rFonts w:ascii="Calibri" w:hAnsi="Calibri" w:eastAsia="Calibri" w:cs="Calibri"/>
          <w:sz w:val="24"/>
          <w:szCs w:val="24"/>
        </w:rPr>
      </w:pPr>
      <w:r w:rsidRPr="4EF8719D">
        <w:rPr>
          <w:rFonts w:ascii="Calibri" w:hAnsi="Calibri" w:eastAsia="Calibri" w:cs="Calibri"/>
          <w:color w:val="000000" w:themeColor="text1"/>
          <w:sz w:val="24"/>
          <w:szCs w:val="24"/>
        </w:rPr>
        <w:t>Pa</w:t>
      </w:r>
      <w:r w:rsidRPr="4EF8719D" w:rsidR="600EFB4F">
        <w:rPr>
          <w:rFonts w:ascii="Calibri" w:hAnsi="Calibri" w:eastAsia="Calibri" w:cs="Calibri"/>
          <w:color w:val="000000" w:themeColor="text1"/>
          <w:sz w:val="24"/>
          <w:szCs w:val="24"/>
        </w:rPr>
        <w:t>rticipant</w:t>
      </w:r>
      <w:r w:rsidRPr="4EF8719D" w:rsidR="7941AAB2">
        <w:rPr>
          <w:rFonts w:ascii="Calibri" w:hAnsi="Calibri" w:eastAsia="Calibri" w:cs="Calibri"/>
          <w:color w:val="000000" w:themeColor="text1"/>
          <w:sz w:val="24"/>
          <w:szCs w:val="24"/>
        </w:rPr>
        <w:t>s</w:t>
      </w:r>
      <w:r w:rsidRPr="4EF8719D" w:rsidR="600EFB4F">
        <w:rPr>
          <w:rFonts w:ascii="Calibri" w:hAnsi="Calibri" w:eastAsia="Calibri" w:cs="Calibri"/>
          <w:color w:val="000000" w:themeColor="text1"/>
          <w:sz w:val="24"/>
          <w:szCs w:val="24"/>
        </w:rPr>
        <w:t xml:space="preserve"> were invited to </w:t>
      </w:r>
      <w:r w:rsidRPr="4EF8719D">
        <w:rPr>
          <w:rFonts w:ascii="Calibri" w:hAnsi="Calibri" w:eastAsia="Calibri" w:cs="Calibri"/>
          <w:color w:val="000000" w:themeColor="text1"/>
          <w:sz w:val="24"/>
          <w:szCs w:val="24"/>
        </w:rPr>
        <w:t>att</w:t>
      </w:r>
      <w:r w:rsidRPr="4EF8719D">
        <w:rPr>
          <w:rFonts w:ascii="Calibri" w:hAnsi="Calibri" w:eastAsia="Calibri" w:cs="Calibri"/>
          <w:sz w:val="24"/>
          <w:szCs w:val="24"/>
        </w:rPr>
        <w:t xml:space="preserve">end </w:t>
      </w:r>
      <w:r w:rsidRPr="4EF8719D" w:rsidR="22A24B2F">
        <w:rPr>
          <w:rFonts w:ascii="Calibri" w:hAnsi="Calibri" w:eastAsia="Calibri" w:cs="Calibri"/>
          <w:sz w:val="24"/>
          <w:szCs w:val="24"/>
        </w:rPr>
        <w:t>the</w:t>
      </w:r>
      <w:r w:rsidRPr="4EF8719D" w:rsidR="1369C8C3">
        <w:rPr>
          <w:rFonts w:ascii="Calibri" w:hAnsi="Calibri" w:eastAsia="Calibri" w:cs="Calibri"/>
          <w:sz w:val="24"/>
          <w:szCs w:val="24"/>
        </w:rPr>
        <w:t xml:space="preserve"> </w:t>
      </w:r>
      <w:r w:rsidRPr="4EF8719D" w:rsidR="14FCC2DA">
        <w:rPr>
          <w:rFonts w:ascii="Calibri" w:hAnsi="Calibri" w:eastAsia="Calibri" w:cs="Calibri"/>
          <w:sz w:val="24"/>
          <w:szCs w:val="24"/>
        </w:rPr>
        <w:t>assessment</w:t>
      </w:r>
      <w:r w:rsidRPr="4EF8719D" w:rsidR="600EFB4F">
        <w:rPr>
          <w:rFonts w:ascii="Calibri" w:hAnsi="Calibri" w:eastAsia="Calibri" w:cs="Calibri"/>
          <w:sz w:val="24"/>
          <w:szCs w:val="24"/>
        </w:rPr>
        <w:t xml:space="preserve"> </w:t>
      </w:r>
      <w:r w:rsidRPr="4EF8719D" w:rsidR="3E5CE6C3">
        <w:rPr>
          <w:rFonts w:ascii="Calibri" w:hAnsi="Calibri" w:eastAsia="Calibri" w:cs="Calibri"/>
          <w:sz w:val="24"/>
          <w:szCs w:val="24"/>
        </w:rPr>
        <w:t>as soon as possible</w:t>
      </w:r>
      <w:r w:rsidRPr="4EF8719D" w:rsidR="3C64EF5C">
        <w:rPr>
          <w:rFonts w:ascii="Calibri" w:hAnsi="Calibri" w:eastAsia="Calibri" w:cs="Calibri"/>
          <w:sz w:val="24"/>
          <w:szCs w:val="24"/>
        </w:rPr>
        <w:t>.</w:t>
      </w:r>
      <w:r w:rsidRPr="4EF8719D" w:rsidR="50D5C770">
        <w:rPr>
          <w:rFonts w:ascii="Calibri" w:hAnsi="Calibri" w:eastAsia="Calibri" w:cs="Calibri"/>
          <w:sz w:val="24"/>
          <w:szCs w:val="24"/>
        </w:rPr>
        <w:t xml:space="preserve"> They were then </w:t>
      </w:r>
      <w:r w:rsidRPr="4EF8719D" w:rsidR="5E13A4B0">
        <w:rPr>
          <w:rFonts w:ascii="Calibri" w:hAnsi="Calibri" w:eastAsia="Calibri" w:cs="Calibri"/>
          <w:sz w:val="24"/>
          <w:szCs w:val="24"/>
        </w:rPr>
        <w:t>included</w:t>
      </w:r>
      <w:r w:rsidRPr="4EF8719D" w:rsidR="50D5C770">
        <w:rPr>
          <w:rFonts w:ascii="Calibri" w:hAnsi="Calibri" w:eastAsia="Calibri" w:cs="Calibri"/>
          <w:sz w:val="24"/>
          <w:szCs w:val="24"/>
        </w:rPr>
        <w:t xml:space="preserve"> in a 1-year </w:t>
      </w:r>
      <w:r w:rsidRPr="4EF8719D" w:rsidR="0C794C72">
        <w:rPr>
          <w:rFonts w:ascii="Calibri" w:hAnsi="Calibri" w:eastAsia="Calibri" w:cs="Calibri"/>
          <w:sz w:val="24"/>
          <w:szCs w:val="24"/>
        </w:rPr>
        <w:t xml:space="preserve">prospective </w:t>
      </w:r>
      <w:r w:rsidRPr="4EF8719D" w:rsidR="50D5C770">
        <w:rPr>
          <w:rFonts w:ascii="Calibri" w:hAnsi="Calibri" w:eastAsia="Calibri" w:cs="Calibri"/>
          <w:sz w:val="24"/>
          <w:szCs w:val="24"/>
        </w:rPr>
        <w:t>follow-up study</w:t>
      </w:r>
      <w:r w:rsidRPr="4EF8719D" w:rsidR="41667715">
        <w:rPr>
          <w:rFonts w:ascii="Calibri" w:hAnsi="Calibri" w:eastAsia="Calibri" w:cs="Calibri"/>
          <w:sz w:val="24"/>
          <w:szCs w:val="24"/>
        </w:rPr>
        <w:t xml:space="preserve"> </w:t>
      </w:r>
      <w:r w:rsidRPr="00E55DF8" w:rsidR="34A1FB71">
        <w:rPr>
          <w:rFonts w:ascii="Calibri" w:hAnsi="Calibri" w:eastAsia="Calibri" w:cs="Calibri"/>
          <w:color w:val="FF0000"/>
          <w:sz w:val="24"/>
          <w:szCs w:val="24"/>
        </w:rPr>
        <w:t>(</w:t>
      </w:r>
      <w:r w:rsidRPr="00E55DF8" w:rsidR="41667715">
        <w:rPr>
          <w:rFonts w:ascii="Calibri" w:hAnsi="Calibri" w:eastAsia="Calibri" w:cs="Calibri"/>
          <w:color w:val="FF0000"/>
          <w:sz w:val="24"/>
          <w:szCs w:val="24"/>
        </w:rPr>
        <w:t>the data of</w:t>
      </w:r>
      <w:r w:rsidRPr="00E55DF8" w:rsidR="50D5C770">
        <w:rPr>
          <w:rFonts w:ascii="Calibri" w:hAnsi="Calibri" w:eastAsia="Calibri" w:cs="Calibri"/>
          <w:color w:val="FF0000"/>
          <w:sz w:val="24"/>
          <w:szCs w:val="24"/>
        </w:rPr>
        <w:t xml:space="preserve"> </w:t>
      </w:r>
      <w:r w:rsidRPr="00E55DF8" w:rsidR="00C2236D">
        <w:rPr>
          <w:rFonts w:ascii="Calibri" w:hAnsi="Calibri" w:eastAsia="Calibri" w:cs="Calibri"/>
          <w:color w:val="FF0000"/>
          <w:sz w:val="24"/>
          <w:szCs w:val="24"/>
        </w:rPr>
        <w:t>which is</w:t>
      </w:r>
      <w:r w:rsidRPr="00E55DF8" w:rsidR="50A69EC3">
        <w:rPr>
          <w:rFonts w:ascii="Calibri" w:hAnsi="Calibri" w:eastAsia="Calibri" w:cs="Calibri"/>
          <w:color w:val="FF0000"/>
          <w:sz w:val="24"/>
          <w:szCs w:val="24"/>
        </w:rPr>
        <w:t xml:space="preserve"> </w:t>
      </w:r>
      <w:r w:rsidRPr="00E55DF8" w:rsidR="59997F25">
        <w:rPr>
          <w:rFonts w:ascii="Calibri" w:hAnsi="Calibri" w:eastAsia="Calibri" w:cs="Calibri"/>
          <w:color w:val="FF0000"/>
          <w:sz w:val="24"/>
          <w:szCs w:val="24"/>
        </w:rPr>
        <w:t xml:space="preserve">not covered by the present </w:t>
      </w:r>
      <w:r w:rsidRPr="00E55DF8" w:rsidR="57F2AB7D">
        <w:rPr>
          <w:rFonts w:ascii="Calibri" w:hAnsi="Calibri" w:eastAsia="Calibri" w:cs="Calibri"/>
          <w:color w:val="FF0000"/>
          <w:sz w:val="24"/>
          <w:szCs w:val="24"/>
        </w:rPr>
        <w:t>manuscript</w:t>
      </w:r>
      <w:r w:rsidRPr="4EF8719D" w:rsidR="6344FD93">
        <w:rPr>
          <w:rFonts w:ascii="Calibri" w:hAnsi="Calibri" w:eastAsia="Calibri" w:cs="Calibri"/>
          <w:sz w:val="24"/>
          <w:szCs w:val="24"/>
        </w:rPr>
        <w:t xml:space="preserve">; </w:t>
      </w:r>
      <w:r w:rsidRPr="4EF8719D" w:rsidR="7495984A">
        <w:rPr>
          <w:rFonts w:ascii="Calibri" w:hAnsi="Calibri" w:eastAsia="Calibri" w:cs="Calibri"/>
          <w:sz w:val="24"/>
          <w:szCs w:val="24"/>
        </w:rPr>
        <w:t>completion date</w:t>
      </w:r>
      <w:r w:rsidRPr="4EF8719D" w:rsidR="0D9570FD">
        <w:rPr>
          <w:rFonts w:ascii="Calibri" w:hAnsi="Calibri" w:eastAsia="Calibri" w:cs="Calibri"/>
          <w:sz w:val="24"/>
          <w:szCs w:val="24"/>
        </w:rPr>
        <w:t xml:space="preserve"> is scheduled for</w:t>
      </w:r>
      <w:r w:rsidRPr="4EF8719D" w:rsidR="7495984A">
        <w:rPr>
          <w:rFonts w:ascii="Calibri" w:hAnsi="Calibri" w:eastAsia="Calibri" w:cs="Calibri"/>
          <w:sz w:val="24"/>
          <w:szCs w:val="24"/>
        </w:rPr>
        <w:t xml:space="preserve"> December 2024)</w:t>
      </w:r>
      <w:r w:rsidRPr="4EF8719D" w:rsidR="50D5C770">
        <w:rPr>
          <w:rFonts w:ascii="Calibri" w:hAnsi="Calibri" w:eastAsia="Calibri" w:cs="Calibri"/>
          <w:sz w:val="24"/>
          <w:szCs w:val="24"/>
        </w:rPr>
        <w:t>.</w:t>
      </w:r>
      <w:r w:rsidRPr="4EF8719D" w:rsidR="3C64EF5C">
        <w:rPr>
          <w:rFonts w:ascii="Calibri" w:hAnsi="Calibri" w:eastAsia="Calibri" w:cs="Calibri"/>
          <w:sz w:val="24"/>
          <w:szCs w:val="24"/>
        </w:rPr>
        <w:t xml:space="preserve"> T</w:t>
      </w:r>
      <w:r w:rsidRPr="4EF8719D" w:rsidR="673C36FC">
        <w:rPr>
          <w:rFonts w:ascii="Calibri" w:hAnsi="Calibri" w:eastAsia="Calibri" w:cs="Calibri"/>
          <w:sz w:val="24"/>
          <w:szCs w:val="24"/>
        </w:rPr>
        <w:t>he</w:t>
      </w:r>
      <w:r w:rsidRPr="4EF8719D" w:rsidR="4C237559">
        <w:rPr>
          <w:rFonts w:ascii="Calibri" w:hAnsi="Calibri" w:eastAsia="Calibri" w:cs="Calibri"/>
          <w:sz w:val="24"/>
          <w:szCs w:val="24"/>
        </w:rPr>
        <w:t xml:space="preserve"> </w:t>
      </w:r>
      <w:r w:rsidRPr="4EF8719D">
        <w:rPr>
          <w:rFonts w:ascii="Calibri" w:hAnsi="Calibri" w:eastAsia="Calibri" w:cs="Calibri"/>
          <w:sz w:val="24"/>
          <w:szCs w:val="24"/>
        </w:rPr>
        <w:t xml:space="preserve">study </w:t>
      </w:r>
      <w:r w:rsidRPr="4EF8719D" w:rsidR="673C36FC">
        <w:rPr>
          <w:rFonts w:ascii="Calibri" w:hAnsi="Calibri" w:eastAsia="Calibri" w:cs="Calibri"/>
          <w:sz w:val="24"/>
          <w:szCs w:val="24"/>
        </w:rPr>
        <w:t>investigator</w:t>
      </w:r>
      <w:r w:rsidRPr="4EF8719D" w:rsidR="60F5907A">
        <w:rPr>
          <w:rFonts w:ascii="Calibri" w:hAnsi="Calibri" w:eastAsia="Calibri" w:cs="Calibri"/>
          <w:sz w:val="24"/>
          <w:szCs w:val="24"/>
        </w:rPr>
        <w:t xml:space="preserve"> (</w:t>
      </w:r>
      <w:proofErr w:type="spellStart"/>
      <w:r w:rsidRPr="4EF8719D" w:rsidR="60F5907A">
        <w:rPr>
          <w:rFonts w:ascii="Calibri" w:hAnsi="Calibri" w:eastAsia="Calibri" w:cs="Calibri"/>
          <w:sz w:val="24"/>
          <w:szCs w:val="24"/>
        </w:rPr>
        <w:t>MHL</w:t>
      </w:r>
      <w:proofErr w:type="spellEnd"/>
      <w:r w:rsidRPr="4EF8719D" w:rsidR="60F5907A">
        <w:rPr>
          <w:rFonts w:ascii="Calibri" w:hAnsi="Calibri" w:eastAsia="Calibri" w:cs="Calibri"/>
          <w:sz w:val="24"/>
          <w:szCs w:val="24"/>
        </w:rPr>
        <w:t>)</w:t>
      </w:r>
      <w:r w:rsidRPr="4EF8719D" w:rsidR="673C36FC">
        <w:rPr>
          <w:rFonts w:ascii="Calibri" w:hAnsi="Calibri" w:eastAsia="Calibri" w:cs="Calibri"/>
          <w:sz w:val="24"/>
          <w:szCs w:val="24"/>
        </w:rPr>
        <w:t xml:space="preserve"> </w:t>
      </w:r>
      <w:r w:rsidRPr="4EF8719D" w:rsidR="600EFB4F">
        <w:rPr>
          <w:rFonts w:ascii="Calibri" w:hAnsi="Calibri" w:eastAsia="Calibri" w:cs="Calibri"/>
          <w:sz w:val="24"/>
          <w:szCs w:val="24"/>
        </w:rPr>
        <w:t>collected demographic and clinical data</w:t>
      </w:r>
      <w:r w:rsidRPr="4EF8719D" w:rsidR="3931345A">
        <w:rPr>
          <w:rFonts w:ascii="Calibri" w:hAnsi="Calibri" w:eastAsia="Calibri" w:cs="Calibri"/>
          <w:sz w:val="24"/>
          <w:szCs w:val="24"/>
        </w:rPr>
        <w:t xml:space="preserve">, </w:t>
      </w:r>
      <w:r w:rsidRPr="4EF8719D" w:rsidR="600EFB4F">
        <w:rPr>
          <w:rFonts w:ascii="Calibri" w:hAnsi="Calibri" w:eastAsia="Calibri" w:cs="Calibri"/>
          <w:sz w:val="24"/>
          <w:szCs w:val="24"/>
        </w:rPr>
        <w:t>performed Quantitative Sensory Testing (QST)</w:t>
      </w:r>
      <w:r w:rsidRPr="4EF8719D" w:rsidR="4F761FD5">
        <w:rPr>
          <w:rFonts w:ascii="Calibri" w:hAnsi="Calibri" w:eastAsia="Calibri" w:cs="Calibri"/>
          <w:sz w:val="24"/>
          <w:szCs w:val="24"/>
        </w:rPr>
        <w:t xml:space="preserve"> </w:t>
      </w:r>
      <w:r w:rsidRPr="4EF8719D" w:rsidR="004C89E4">
        <w:rPr>
          <w:rFonts w:ascii="Calibri" w:hAnsi="Calibri" w:eastAsia="Calibri" w:cs="Calibri"/>
        </w:rPr>
        <w:fldChar w:fldCharType="begin"/>
      </w:r>
      <w:r w:rsidR="00A03CF2">
        <w:rPr>
          <w:rFonts w:ascii="Calibri" w:hAnsi="Calibri" w:eastAsia="Calibri" w:cs="Calibri"/>
        </w:rPr>
        <w:instrText xml:space="preserve"> ADDIN ZOTERO_ITEM CSL_CITATION {"citationID":"inwdWd0o","properties":{"formattedCitation":"(Rolke et al., 2006b)","plainCitation":"(Rolke et al., 2006b)","noteIndex":0},"citationItems":[{"id":107,"uris":["http://zotero.org/users/8514361/items/V3WG2GYJ"],"itemData":{"id":107,"type":"article-journal","abstract":"We have compiled a comprehensive QST protocol as part of the German Research Network on Neuropathic Pain (DFNS) using well established tests for nearly all aspects of somatosensation. This protocol encompasses thermal as well as mechanical testing procedures. Our rationale was to test for patterns of sensory loss (small and large nerve fiber functions) or gain (hyperalgesia, allodynia, hyperpathia), and to assess both cutaneous and deep pain sensitivity. The practicality of the QST protocol was tested in 18 healthy subjects, 21-58 years, half of them female. All subjects were tested bilaterally over face, hand and foot. We determined thermal detection and pain thresholds including a test for the presence of paradoxical heat sensations, mechanical detection thresholds to von Frey filaments and a 64-Hz tuning fork, mechanical pain thresholds to pinprick stimuli and blunt pressure, stimulus-response-functions for pinprick and dynamic mechanical allodynia (pain to light touch), and pain summation (wind-up ratio) using repetitive pinprick stimulation. The full protocol took 27+/-2.3 min per test area. The majority of QST parameters were normally distributed only after logarithmic transformation (secondary normalization) except for the frequency of paradoxical heat sensations, cold and heat pain thresholds, and for vibration detection thresholds. Thresholds were usually lowest over face, followed by hand, and then foot. Only thermal pain thresholds, wind-up ratio and vibration detection thresholds were not significantly dependent on the body region. There was no significant right-to-left difference for any of the QST parameters; left-to-right correlation coefficients ranged between 0.78 and 0.97, thus explaining between 61% and 94% of the variance. This study has shown that a complete somatosensory profile of one affected area and one unaffected control area, which will be necessary to characterize patients with a variety of diseases, can be obtained within 1 h. Case examples of selected patients illustrate the value of z-transformed QST data for an easy survey of individual symptom profiles.","container-title":"European Journal of Pain (London, England)","DOI":"10.1016/j.ejpain.2005.02.003","ISSN":"1090-3801","issue":"1","journalAbbreviation":"Eur J Pain","language":"eng","note":"PMID: 16291301","page":"77-88","source":"PubMed","title":"Quantitative sensory testing: a comprehensive protocol for clinical trials","title-short":"Quantitative sensory testing","volume":"10","author":[{"family":"Rolke","given":"R."},{"family":"Magerl","given":"W."},{"family":"Campbell","given":"K. Andrews"},{"family":"Schalber","given":"C."},{"family":"Caspari","given":"S."},{"family":"Birklein","given":"F."},{"family":"Treede","given":"R.-D."}],"issued":{"date-parts":[["2006",1]]}}}],"schema":"https://github.com/citation-style-language/schema/raw/master/csl-citation.json"} </w:instrText>
      </w:r>
      <w:r w:rsidRPr="4EF8719D" w:rsidR="004C89E4">
        <w:rPr>
          <w:rFonts w:ascii="Calibri" w:hAnsi="Calibri" w:eastAsia="Calibri" w:cs="Calibri"/>
        </w:rPr>
        <w:fldChar w:fldCharType="separate"/>
      </w:r>
      <w:r w:rsidRPr="008425F7" w:rsidR="008425F7">
        <w:rPr>
          <w:rFonts w:ascii="Calibri" w:hAnsi="Calibri" w:cs="Calibri"/>
          <w:sz w:val="24"/>
        </w:rPr>
        <w:t>(Rolke et al., 2006b)</w:t>
      </w:r>
      <w:r w:rsidRPr="4EF8719D" w:rsidR="004C89E4">
        <w:rPr>
          <w:rFonts w:ascii="Calibri" w:hAnsi="Calibri" w:eastAsia="Calibri" w:cs="Calibri"/>
        </w:rPr>
        <w:fldChar w:fldCharType="end"/>
      </w:r>
      <w:r w:rsidRPr="4EF8719D" w:rsidR="3931345A">
        <w:rPr>
          <w:rFonts w:ascii="Calibri" w:hAnsi="Calibri" w:eastAsia="Calibri" w:cs="Calibri"/>
          <w:sz w:val="24"/>
          <w:szCs w:val="24"/>
        </w:rPr>
        <w:t>,</w:t>
      </w:r>
      <w:r w:rsidRPr="4EF8719D" w:rsidR="600EFB4F">
        <w:rPr>
          <w:rFonts w:ascii="Calibri" w:hAnsi="Calibri" w:eastAsia="Calibri" w:cs="Calibri"/>
          <w:sz w:val="24"/>
          <w:szCs w:val="24"/>
        </w:rPr>
        <w:t xml:space="preserve"> and a </w:t>
      </w:r>
      <w:r w:rsidRPr="4EF8719D" w:rsidR="3E5CE6C3">
        <w:rPr>
          <w:rFonts w:ascii="Calibri" w:hAnsi="Calibri" w:eastAsia="Calibri" w:cs="Calibri"/>
          <w:sz w:val="24"/>
          <w:szCs w:val="24"/>
        </w:rPr>
        <w:t xml:space="preserve">visuospatial </w:t>
      </w:r>
      <w:r w:rsidRPr="4EF8719D" w:rsidR="564B741B">
        <w:rPr>
          <w:rFonts w:ascii="Calibri" w:hAnsi="Calibri" w:eastAsia="Calibri" w:cs="Calibri"/>
          <w:sz w:val="24"/>
          <w:szCs w:val="24"/>
        </w:rPr>
        <w:t>perception</w:t>
      </w:r>
      <w:r w:rsidRPr="4EF8719D" w:rsidR="3E5CE6C3">
        <w:rPr>
          <w:rFonts w:ascii="Calibri" w:hAnsi="Calibri" w:eastAsia="Calibri" w:cs="Calibri"/>
          <w:sz w:val="24"/>
          <w:szCs w:val="24"/>
        </w:rPr>
        <w:t xml:space="preserve"> task (</w:t>
      </w:r>
      <w:r w:rsidRPr="4EF8719D" w:rsidR="600EFB4F">
        <w:rPr>
          <w:rFonts w:ascii="Calibri" w:hAnsi="Calibri" w:eastAsia="Calibri" w:cs="Calibri"/>
          <w:sz w:val="24"/>
          <w:szCs w:val="24"/>
        </w:rPr>
        <w:t>Temporal Order Judgement</w:t>
      </w:r>
      <w:r w:rsidRPr="4EF8719D" w:rsidR="11744176">
        <w:rPr>
          <w:rFonts w:ascii="Calibri" w:hAnsi="Calibri" w:eastAsia="Calibri" w:cs="Calibri"/>
          <w:sz w:val="24"/>
          <w:szCs w:val="24"/>
        </w:rPr>
        <w:t xml:space="preserve"> </w:t>
      </w:r>
      <w:r w:rsidRPr="4EF8719D" w:rsidR="600EFB4F">
        <w:rPr>
          <w:rFonts w:ascii="Calibri" w:hAnsi="Calibri" w:eastAsia="Calibri" w:cs="Calibri"/>
          <w:sz w:val="24"/>
          <w:szCs w:val="24"/>
        </w:rPr>
        <w:t>task</w:t>
      </w:r>
      <w:r w:rsidRPr="4EF8719D" w:rsidR="11744176">
        <w:rPr>
          <w:rFonts w:ascii="Calibri" w:hAnsi="Calibri" w:eastAsia="Calibri" w:cs="Calibri"/>
          <w:sz w:val="24"/>
          <w:szCs w:val="24"/>
        </w:rPr>
        <w:t xml:space="preserve"> [TOJ]</w:t>
      </w:r>
      <w:r w:rsidRPr="4EF8719D" w:rsidR="017876B8">
        <w:rPr>
          <w:rFonts w:ascii="Calibri" w:hAnsi="Calibri" w:eastAsia="Calibri" w:cs="Calibri"/>
          <w:sz w:val="24"/>
          <w:szCs w:val="24"/>
        </w:rPr>
        <w:t xml:space="preserve"> </w:t>
      </w:r>
      <w:r w:rsidRPr="4EF8719D" w:rsidR="004C89E4">
        <w:rPr>
          <w:rFonts w:ascii="Calibri" w:hAnsi="Calibri" w:eastAsia="Calibri" w:cs="Calibri"/>
        </w:rPr>
        <w:fldChar w:fldCharType="begin"/>
      </w:r>
      <w:r w:rsidR="00A03CF2">
        <w:rPr>
          <w:rFonts w:ascii="Calibri" w:hAnsi="Calibri" w:eastAsia="Calibri" w:cs="Calibri"/>
        </w:rPr>
        <w:instrText xml:space="preserve"> ADDIN ZOTERO_ITEM CSL_CITATION {"citationID":"xf1ldlYX","properties":{"formattedCitation":"(Filbrich et al., 2017)","plainCitation":"(Filbrich et al., 2017)","noteIndex":0},"citationItems":[{"id":"jyRXZ8R7/uIuEbU5W","uris":["http://zotero.org/users/8777725/items/WWWQ5C5W"],"itemData":{"id":91,"type":"article-journal","container-title":"Scientific Reports","DOI":"10.1038/s41598-017-10077-8","ISSN":"2045-2322","issue":"1","journalAbbreviation":"Sci Rep","language":"en","page":"9712","source":"DOI.org (Crossref)","title":"Biased visuospatial perception in complex regional pain syndrome","volume":"7","author":[{"family":"Filbrich","given":"Lieve"},{"family":"Alamia","given":"Andrea"},{"family":"Verfaille","given":"Charlotte"},{"family":"Berquin","given":"Anne"},{"family":"Barbier","given":"Olivier"},{"family":"Libouton","given":"Xavier"},{"family":"Fraselle","given":"Virginie"},{"family":"Mouraux","given":"Dominique"},{"family":"Legrain","given":"Valéry"}],"issued":{"date-parts":[["2017",12]]}}}],"schema":"https://github.com/citation-style-language/schema/raw/master/csl-citation.json"} </w:instrText>
      </w:r>
      <w:r w:rsidRPr="4EF8719D" w:rsidR="004C89E4">
        <w:rPr>
          <w:rFonts w:ascii="Calibri" w:hAnsi="Calibri" w:eastAsia="Calibri" w:cs="Calibri"/>
        </w:rPr>
        <w:fldChar w:fldCharType="separate"/>
      </w:r>
      <w:r w:rsidRPr="008425F7" w:rsidR="008425F7">
        <w:rPr>
          <w:rFonts w:ascii="Calibri" w:hAnsi="Calibri" w:cs="Calibri"/>
          <w:sz w:val="24"/>
        </w:rPr>
        <w:t>(Filbrich et al., 2017)</w:t>
      </w:r>
      <w:r w:rsidRPr="4EF8719D" w:rsidR="004C89E4">
        <w:rPr>
          <w:rFonts w:ascii="Calibri" w:hAnsi="Calibri" w:eastAsia="Calibri" w:cs="Calibri"/>
        </w:rPr>
        <w:fldChar w:fldCharType="end"/>
      </w:r>
      <w:r w:rsidRPr="4EF8719D" w:rsidR="3E5CE6C3">
        <w:rPr>
          <w:rFonts w:ascii="Calibri" w:hAnsi="Calibri" w:eastAsia="Calibri" w:cs="Calibri"/>
          <w:sz w:val="24"/>
          <w:szCs w:val="24"/>
        </w:rPr>
        <w:t>)</w:t>
      </w:r>
      <w:r w:rsidRPr="4EF8719D" w:rsidR="2C46D903">
        <w:rPr>
          <w:rFonts w:ascii="Calibri" w:hAnsi="Calibri" w:eastAsia="Calibri" w:cs="Calibri"/>
          <w:sz w:val="24"/>
          <w:szCs w:val="24"/>
        </w:rPr>
        <w:t xml:space="preserve"> </w:t>
      </w:r>
      <w:r w:rsidRPr="4EF8719D" w:rsidR="18C8357E">
        <w:rPr>
          <w:rFonts w:ascii="Calibri" w:hAnsi="Calibri" w:eastAsia="Calibri" w:cs="Calibri"/>
          <w:sz w:val="24"/>
          <w:szCs w:val="24"/>
        </w:rPr>
        <w:t xml:space="preserve">in </w:t>
      </w:r>
      <w:r w:rsidRPr="4EF8719D" w:rsidR="543116ED">
        <w:rPr>
          <w:rFonts w:ascii="Calibri" w:hAnsi="Calibri" w:eastAsia="Calibri" w:cs="Calibri"/>
          <w:sz w:val="24"/>
          <w:szCs w:val="24"/>
        </w:rPr>
        <w:t xml:space="preserve">a session of about </w:t>
      </w:r>
      <w:r w:rsidRPr="4EF8719D" w:rsidR="7A5603C2">
        <w:rPr>
          <w:rFonts w:ascii="Calibri" w:hAnsi="Calibri" w:eastAsia="Calibri" w:cs="Calibri"/>
          <w:sz w:val="24"/>
          <w:szCs w:val="24"/>
        </w:rPr>
        <w:t>two</w:t>
      </w:r>
      <w:r w:rsidRPr="4EF8719D" w:rsidR="2C46D903">
        <w:rPr>
          <w:rFonts w:ascii="Calibri" w:hAnsi="Calibri" w:eastAsia="Calibri" w:cs="Calibri"/>
          <w:sz w:val="24"/>
          <w:szCs w:val="24"/>
        </w:rPr>
        <w:t xml:space="preserve"> hours</w:t>
      </w:r>
      <w:r w:rsidRPr="4EF8719D" w:rsidR="600EFB4F">
        <w:rPr>
          <w:rFonts w:ascii="Calibri" w:hAnsi="Calibri" w:eastAsia="Calibri" w:cs="Calibri"/>
          <w:sz w:val="24"/>
          <w:szCs w:val="24"/>
        </w:rPr>
        <w:t>.</w:t>
      </w:r>
      <w:r w:rsidRPr="4EF8719D" w:rsidR="0B5BA7D5">
        <w:rPr>
          <w:rFonts w:ascii="Calibri" w:hAnsi="Calibri" w:eastAsia="Calibri" w:cs="Calibri"/>
          <w:sz w:val="24"/>
          <w:szCs w:val="24"/>
        </w:rPr>
        <w:t xml:space="preserve"> </w:t>
      </w:r>
      <w:r w:rsidRPr="4EF8719D" w:rsidR="4F96CA51">
        <w:rPr>
          <w:rFonts w:ascii="Calibri" w:hAnsi="Calibri" w:eastAsia="Calibri" w:cs="Calibri"/>
          <w:sz w:val="24"/>
          <w:szCs w:val="24"/>
        </w:rPr>
        <w:t>To reduce the risk of bias, the</w:t>
      </w:r>
      <w:r w:rsidRPr="4EF8719D" w:rsidR="72308196">
        <w:rPr>
          <w:rFonts w:ascii="Calibri" w:hAnsi="Calibri" w:eastAsia="Calibri" w:cs="Calibri"/>
          <w:sz w:val="24"/>
          <w:szCs w:val="24"/>
        </w:rPr>
        <w:t xml:space="preserve"> testing room</w:t>
      </w:r>
      <w:r w:rsidRPr="4EF8719D" w:rsidR="4DFAA7D1">
        <w:rPr>
          <w:rFonts w:ascii="Calibri" w:hAnsi="Calibri" w:eastAsia="Calibri" w:cs="Calibri"/>
          <w:sz w:val="24"/>
          <w:szCs w:val="24"/>
        </w:rPr>
        <w:t xml:space="preserve"> and the</w:t>
      </w:r>
      <w:r w:rsidRPr="4EF8719D" w:rsidR="01163D0B">
        <w:rPr>
          <w:rFonts w:ascii="Calibri" w:hAnsi="Calibri" w:eastAsia="Calibri" w:cs="Calibri"/>
          <w:sz w:val="24"/>
          <w:szCs w:val="24"/>
        </w:rPr>
        <w:t xml:space="preserve"> </w:t>
      </w:r>
      <w:r w:rsidRPr="4EF8719D" w:rsidR="4DFAA7D1">
        <w:rPr>
          <w:rFonts w:ascii="Calibri" w:hAnsi="Calibri" w:eastAsia="Calibri" w:cs="Calibri"/>
          <w:sz w:val="24"/>
          <w:szCs w:val="24"/>
        </w:rPr>
        <w:t xml:space="preserve">investigator </w:t>
      </w:r>
      <w:r w:rsidRPr="4EF8719D" w:rsidR="72308196">
        <w:rPr>
          <w:rFonts w:ascii="Calibri" w:hAnsi="Calibri" w:eastAsia="Calibri" w:cs="Calibri"/>
          <w:sz w:val="24"/>
          <w:szCs w:val="24"/>
        </w:rPr>
        <w:t>w</w:t>
      </w:r>
      <w:r w:rsidRPr="4EF8719D" w:rsidR="22CD0C79">
        <w:rPr>
          <w:rFonts w:ascii="Calibri" w:hAnsi="Calibri" w:eastAsia="Calibri" w:cs="Calibri"/>
          <w:sz w:val="24"/>
          <w:szCs w:val="24"/>
        </w:rPr>
        <w:t>ere</w:t>
      </w:r>
      <w:r w:rsidRPr="4EF8719D" w:rsidR="72308196">
        <w:rPr>
          <w:rFonts w:ascii="Calibri" w:hAnsi="Calibri" w:eastAsia="Calibri" w:cs="Calibri"/>
          <w:sz w:val="24"/>
          <w:szCs w:val="24"/>
        </w:rPr>
        <w:t xml:space="preserve"> identical </w:t>
      </w:r>
      <w:r w:rsidRPr="4EF8719D" w:rsidR="2F49F263">
        <w:rPr>
          <w:rFonts w:ascii="Calibri" w:hAnsi="Calibri" w:eastAsia="Calibri" w:cs="Calibri"/>
          <w:sz w:val="24"/>
          <w:szCs w:val="24"/>
        </w:rPr>
        <w:t xml:space="preserve">for </w:t>
      </w:r>
      <w:r w:rsidRPr="4EF8719D" w:rsidR="21DA5EDC">
        <w:rPr>
          <w:rFonts w:ascii="Calibri" w:hAnsi="Calibri" w:eastAsia="Calibri" w:cs="Calibri"/>
          <w:sz w:val="24"/>
          <w:szCs w:val="24"/>
        </w:rPr>
        <w:t xml:space="preserve">each </w:t>
      </w:r>
      <w:r w:rsidRPr="4EF8719D" w:rsidR="2F49F263">
        <w:rPr>
          <w:rFonts w:ascii="Calibri" w:hAnsi="Calibri" w:eastAsia="Calibri" w:cs="Calibri"/>
          <w:sz w:val="24"/>
          <w:szCs w:val="24"/>
        </w:rPr>
        <w:t>participant</w:t>
      </w:r>
      <w:r w:rsidRPr="4EF8719D" w:rsidR="72308196">
        <w:rPr>
          <w:rFonts w:ascii="Calibri" w:hAnsi="Calibri" w:eastAsia="Calibri" w:cs="Calibri"/>
          <w:sz w:val="24"/>
          <w:szCs w:val="24"/>
        </w:rPr>
        <w:t>.</w:t>
      </w:r>
      <w:r w:rsidRPr="4EF8719D" w:rsidR="648B3507">
        <w:rPr>
          <w:rFonts w:ascii="Calibri" w:hAnsi="Calibri" w:eastAsia="Calibri" w:cs="Calibri"/>
          <w:sz w:val="24"/>
          <w:szCs w:val="24"/>
        </w:rPr>
        <w:t xml:space="preserve"> </w:t>
      </w:r>
      <w:r w:rsidRPr="4EF8719D" w:rsidR="3426EB76">
        <w:rPr>
          <w:rFonts w:ascii="Calibri" w:hAnsi="Calibri" w:eastAsia="Calibri" w:cs="Calibri"/>
          <w:sz w:val="24"/>
          <w:szCs w:val="24"/>
        </w:rPr>
        <w:t xml:space="preserve">The </w:t>
      </w:r>
      <w:r w:rsidRPr="4EF8719D" w:rsidR="0B6620AA">
        <w:rPr>
          <w:rFonts w:ascii="Calibri" w:hAnsi="Calibri" w:eastAsia="Calibri" w:cs="Calibri"/>
          <w:sz w:val="24"/>
          <w:szCs w:val="24"/>
        </w:rPr>
        <w:t>p</w:t>
      </w:r>
      <w:r w:rsidRPr="4EF8719D" w:rsidR="3E3AF4DB">
        <w:rPr>
          <w:rFonts w:ascii="Calibri" w:hAnsi="Calibri" w:eastAsia="Calibri" w:cs="Calibri"/>
          <w:sz w:val="24"/>
          <w:szCs w:val="24"/>
        </w:rPr>
        <w:t xml:space="preserve">articipants </w:t>
      </w:r>
      <w:r w:rsidRPr="4EF8719D" w:rsidR="648B3507">
        <w:rPr>
          <w:rFonts w:ascii="Calibri" w:hAnsi="Calibri" w:eastAsia="Calibri" w:cs="Calibri"/>
          <w:sz w:val="24"/>
          <w:szCs w:val="24"/>
        </w:rPr>
        <w:t xml:space="preserve">received </w:t>
      </w:r>
      <w:r w:rsidRPr="4EF8719D" w:rsidR="648B3507">
        <w:rPr>
          <w:rFonts w:ascii="Calibri" w:hAnsi="Calibri" w:eastAsia="Calibri" w:cs="Calibri"/>
          <w:color w:val="000000" w:themeColor="text1"/>
          <w:sz w:val="24"/>
          <w:szCs w:val="24"/>
        </w:rPr>
        <w:t>financial compensation for their participation</w:t>
      </w:r>
      <w:r w:rsidRPr="4EF8719D">
        <w:rPr>
          <w:rFonts w:ascii="Calibri" w:hAnsi="Calibri" w:eastAsia="Calibri" w:cs="Calibri"/>
          <w:color w:val="000000" w:themeColor="text1"/>
          <w:sz w:val="24"/>
          <w:szCs w:val="24"/>
        </w:rPr>
        <w:t xml:space="preserve"> </w:t>
      </w:r>
      <w:r w:rsidRPr="2D740F7A">
        <w:rPr>
          <w:rFonts w:ascii="Calibri" w:hAnsi="Calibri" w:eastAsia="Calibri" w:cs="Calibri"/>
          <w:color w:val="000000" w:themeColor="text1"/>
          <w:sz w:val="24"/>
          <w:szCs w:val="24"/>
        </w:rPr>
        <w:t>(</w:t>
      </w:r>
      <w:r w:rsidRPr="2D740F7A" w:rsidR="30684247">
        <w:rPr>
          <w:rFonts w:ascii="Calibri" w:hAnsi="Calibri" w:eastAsia="Calibri" w:cs="Calibri"/>
          <w:color w:val="000000" w:themeColor="text1"/>
          <w:sz w:val="24"/>
          <w:szCs w:val="24"/>
        </w:rPr>
        <w:t>€</w:t>
      </w:r>
      <w:r w:rsidRPr="4EF8719D">
        <w:rPr>
          <w:rFonts w:ascii="Calibri" w:hAnsi="Calibri" w:eastAsia="Calibri" w:cs="Calibri"/>
          <w:color w:val="000000" w:themeColor="text1"/>
          <w:sz w:val="24"/>
          <w:szCs w:val="24"/>
        </w:rPr>
        <w:t>25</w:t>
      </w:r>
      <w:r w:rsidRPr="16DA2867">
        <w:rPr>
          <w:rFonts w:ascii="Calibri" w:hAnsi="Calibri" w:eastAsia="Calibri" w:cs="Calibri"/>
          <w:color w:val="000000" w:themeColor="text1"/>
          <w:sz w:val="24"/>
          <w:szCs w:val="24"/>
        </w:rPr>
        <w:t>)</w:t>
      </w:r>
      <w:r w:rsidRPr="16DA2867" w:rsidR="648B3507">
        <w:rPr>
          <w:rFonts w:ascii="Calibri" w:hAnsi="Calibri" w:eastAsia="Calibri" w:cs="Calibri"/>
          <w:color w:val="000000" w:themeColor="text1"/>
          <w:sz w:val="24"/>
          <w:szCs w:val="24"/>
        </w:rPr>
        <w:t>.</w:t>
      </w:r>
      <w:r w:rsidRPr="4EF8719D" w:rsidR="04752472">
        <w:rPr>
          <w:rFonts w:ascii="Calibri" w:hAnsi="Calibri" w:eastAsia="Calibri" w:cs="Calibri"/>
          <w:color w:val="000000" w:themeColor="text1"/>
          <w:sz w:val="24"/>
          <w:szCs w:val="24"/>
        </w:rPr>
        <w:t xml:space="preserve"> </w:t>
      </w:r>
      <w:r w:rsidRPr="4EF8719D" w:rsidR="60E6F757">
        <w:rPr>
          <w:rFonts w:ascii="Calibri" w:hAnsi="Calibri" w:eastAsia="Calibri" w:cs="Calibri"/>
          <w:sz w:val="24"/>
          <w:szCs w:val="24"/>
        </w:rPr>
        <w:t xml:space="preserve">If </w:t>
      </w:r>
      <w:r w:rsidRPr="4EF8719D" w:rsidR="4D93CC19">
        <w:rPr>
          <w:rFonts w:ascii="Calibri" w:hAnsi="Calibri" w:eastAsia="Calibri" w:cs="Calibri"/>
          <w:sz w:val="24"/>
          <w:szCs w:val="24"/>
        </w:rPr>
        <w:t xml:space="preserve">a </w:t>
      </w:r>
      <w:r w:rsidRPr="4EF8719D" w:rsidR="60E6F757">
        <w:rPr>
          <w:rFonts w:ascii="Calibri" w:hAnsi="Calibri" w:eastAsia="Calibri" w:cs="Calibri"/>
          <w:sz w:val="24"/>
          <w:szCs w:val="24"/>
        </w:rPr>
        <w:t xml:space="preserve">participant </w:t>
      </w:r>
      <w:r w:rsidRPr="4EF8719D" w:rsidR="2FE23525">
        <w:rPr>
          <w:rFonts w:ascii="Calibri" w:hAnsi="Calibri" w:eastAsia="Calibri" w:cs="Calibri"/>
          <w:sz w:val="24"/>
          <w:szCs w:val="24"/>
        </w:rPr>
        <w:t>was unable to attend</w:t>
      </w:r>
      <w:r w:rsidRPr="4EF8719D" w:rsidR="60E6F757">
        <w:rPr>
          <w:rFonts w:ascii="Calibri" w:hAnsi="Calibri" w:eastAsia="Calibri" w:cs="Calibri"/>
          <w:sz w:val="24"/>
          <w:szCs w:val="24"/>
        </w:rPr>
        <w:t>, a phone interview</w:t>
      </w:r>
      <w:r w:rsidRPr="4EF8719D" w:rsidR="73A473E0">
        <w:rPr>
          <w:rFonts w:ascii="Calibri" w:hAnsi="Calibri" w:eastAsia="Calibri" w:cs="Calibri"/>
          <w:sz w:val="24"/>
          <w:szCs w:val="24"/>
        </w:rPr>
        <w:t xml:space="preserve"> was </w:t>
      </w:r>
      <w:r w:rsidRPr="4EF8719D" w:rsidR="0A2DF505">
        <w:rPr>
          <w:rFonts w:ascii="Calibri" w:hAnsi="Calibri" w:eastAsia="Calibri" w:cs="Calibri"/>
          <w:sz w:val="24"/>
          <w:szCs w:val="24"/>
        </w:rPr>
        <w:t>conducted,</w:t>
      </w:r>
      <w:r w:rsidRPr="4EF8719D" w:rsidR="60E6F757">
        <w:rPr>
          <w:rFonts w:ascii="Calibri" w:hAnsi="Calibri" w:eastAsia="Calibri" w:cs="Calibri"/>
          <w:sz w:val="24"/>
          <w:szCs w:val="24"/>
        </w:rPr>
        <w:t xml:space="preserve"> and </w:t>
      </w:r>
      <w:r w:rsidRPr="4EF8719D" w:rsidR="1A6F7FFE">
        <w:rPr>
          <w:rFonts w:ascii="Calibri" w:hAnsi="Calibri" w:eastAsia="Calibri" w:cs="Calibri"/>
          <w:sz w:val="24"/>
          <w:szCs w:val="24"/>
        </w:rPr>
        <w:t>he/</w:t>
      </w:r>
      <w:r w:rsidRPr="4EF8719D" w:rsidR="3AD43F69">
        <w:rPr>
          <w:rFonts w:ascii="Calibri" w:hAnsi="Calibri" w:eastAsia="Calibri" w:cs="Calibri"/>
          <w:sz w:val="24"/>
          <w:szCs w:val="24"/>
        </w:rPr>
        <w:t>she was pr</w:t>
      </w:r>
      <w:r w:rsidRPr="4EF8719D" w:rsidR="594D12DC">
        <w:rPr>
          <w:rFonts w:ascii="Calibri" w:hAnsi="Calibri" w:eastAsia="Calibri" w:cs="Calibri"/>
          <w:sz w:val="24"/>
          <w:szCs w:val="24"/>
        </w:rPr>
        <w:t xml:space="preserve">oposed </w:t>
      </w:r>
      <w:r w:rsidRPr="4EF8719D" w:rsidR="60E6F757">
        <w:rPr>
          <w:rFonts w:ascii="Calibri" w:hAnsi="Calibri" w:eastAsia="Calibri" w:cs="Calibri"/>
          <w:sz w:val="24"/>
          <w:szCs w:val="24"/>
        </w:rPr>
        <w:t>to complete the survey at home.</w:t>
      </w:r>
    </w:p>
    <w:p w:rsidRPr="00171B6F" w:rsidR="005F24A6" w:rsidP="560E2E1C" w:rsidRDefault="13337F5B" w14:paraId="53156A9F" w14:textId="63AADBDC">
      <w:pPr>
        <w:spacing w:line="480" w:lineRule="auto"/>
        <w:jc w:val="both"/>
        <w:rPr>
          <w:rFonts w:ascii="Calibri" w:hAnsi="Calibri" w:eastAsia="Calibri" w:cs="Calibri"/>
          <w:color w:val="000000"/>
          <w:sz w:val="24"/>
          <w:szCs w:val="24"/>
        </w:rPr>
      </w:pPr>
      <w:r w:rsidRPr="3BDBDF46">
        <w:rPr>
          <w:rFonts w:ascii="Calibri" w:hAnsi="Calibri" w:eastAsia="Calibri" w:cs="Calibri"/>
          <w:color w:val="000000" w:themeColor="text1"/>
          <w:sz w:val="24"/>
          <w:szCs w:val="24"/>
        </w:rPr>
        <w:t xml:space="preserve">The day after </w:t>
      </w:r>
      <w:r w:rsidRPr="3BDBDF46" w:rsidR="6F8ACFCE">
        <w:rPr>
          <w:rFonts w:ascii="Calibri" w:hAnsi="Calibri" w:eastAsia="Calibri" w:cs="Calibri"/>
          <w:color w:val="000000" w:themeColor="text1"/>
          <w:sz w:val="24"/>
          <w:szCs w:val="24"/>
        </w:rPr>
        <w:t>the</w:t>
      </w:r>
      <w:r w:rsidRPr="3BDBDF46">
        <w:rPr>
          <w:rFonts w:ascii="Calibri" w:hAnsi="Calibri" w:eastAsia="Calibri" w:cs="Calibri"/>
          <w:color w:val="000000" w:themeColor="text1"/>
          <w:sz w:val="24"/>
          <w:szCs w:val="24"/>
        </w:rPr>
        <w:t xml:space="preserve"> experimental session, the </w:t>
      </w:r>
      <w:r w:rsidRPr="3BDBDF46" w:rsidR="6A8D2D16">
        <w:rPr>
          <w:rFonts w:ascii="Calibri" w:hAnsi="Calibri" w:eastAsia="Calibri" w:cs="Calibri"/>
          <w:color w:val="000000" w:themeColor="text1"/>
          <w:sz w:val="24"/>
          <w:szCs w:val="24"/>
        </w:rPr>
        <w:t>participants</w:t>
      </w:r>
      <w:r w:rsidRPr="3BDBDF46">
        <w:rPr>
          <w:rFonts w:ascii="Calibri" w:hAnsi="Calibri" w:eastAsia="Calibri" w:cs="Calibri"/>
          <w:color w:val="000000" w:themeColor="text1"/>
          <w:sz w:val="24"/>
          <w:szCs w:val="24"/>
        </w:rPr>
        <w:t xml:space="preserve"> were invited to complete a set of questionnaires at home. </w:t>
      </w:r>
      <w:r w:rsidRPr="3BDBDF46" w:rsidR="7D90C902">
        <w:rPr>
          <w:rFonts w:ascii="Calibri" w:hAnsi="Calibri" w:eastAsia="Calibri" w:cs="Calibri"/>
          <w:color w:val="000000" w:themeColor="text1"/>
          <w:sz w:val="24"/>
          <w:szCs w:val="24"/>
        </w:rPr>
        <w:t xml:space="preserve">They were informed that questionnaires should preferably be </w:t>
      </w:r>
      <w:r w:rsidRPr="3BDBDF46" w:rsidR="7D90C902">
        <w:rPr>
          <w:rFonts w:ascii="Calibri" w:hAnsi="Calibri" w:eastAsia="Calibri" w:cs="Calibri"/>
          <w:color w:val="000000" w:themeColor="text1"/>
          <w:sz w:val="24"/>
          <w:szCs w:val="24"/>
        </w:rPr>
        <w:lastRenderedPageBreak/>
        <w:t>completed in one session</w:t>
      </w:r>
      <w:r w:rsidRPr="3BDBDF46">
        <w:rPr>
          <w:rFonts w:ascii="Calibri" w:hAnsi="Calibri" w:eastAsia="Calibri" w:cs="Calibri"/>
          <w:color w:val="000000" w:themeColor="text1"/>
          <w:sz w:val="24"/>
          <w:szCs w:val="24"/>
        </w:rPr>
        <w:t xml:space="preserve">. </w:t>
      </w:r>
      <w:r w:rsidRPr="3BDBDF46" w:rsidR="7FD228F5">
        <w:rPr>
          <w:rFonts w:ascii="Calibri" w:hAnsi="Calibri" w:eastAsia="Calibri" w:cs="Calibri"/>
          <w:color w:val="000000" w:themeColor="text1"/>
          <w:sz w:val="24"/>
          <w:szCs w:val="24"/>
        </w:rPr>
        <w:t>A personal link to the q</w:t>
      </w:r>
      <w:r w:rsidRPr="3BDBDF46">
        <w:rPr>
          <w:rFonts w:ascii="Calibri" w:hAnsi="Calibri" w:eastAsia="Calibri" w:cs="Calibri"/>
          <w:color w:val="000000" w:themeColor="text1"/>
          <w:sz w:val="24"/>
          <w:szCs w:val="24"/>
        </w:rPr>
        <w:t xml:space="preserve">uestionnaires </w:t>
      </w:r>
      <w:r w:rsidRPr="3BDBDF46" w:rsidR="7FD228F5">
        <w:rPr>
          <w:rFonts w:ascii="Calibri" w:hAnsi="Calibri" w:eastAsia="Calibri" w:cs="Calibri"/>
          <w:color w:val="000000" w:themeColor="text1"/>
          <w:sz w:val="24"/>
          <w:szCs w:val="24"/>
        </w:rPr>
        <w:t>was</w:t>
      </w:r>
      <w:r w:rsidRPr="3BDBDF46">
        <w:rPr>
          <w:rFonts w:ascii="Calibri" w:hAnsi="Calibri" w:eastAsia="Calibri" w:cs="Calibri"/>
          <w:color w:val="000000" w:themeColor="text1"/>
          <w:sz w:val="24"/>
          <w:szCs w:val="24"/>
        </w:rPr>
        <w:t xml:space="preserve"> provided</w:t>
      </w:r>
      <w:r w:rsidRPr="3BDBDF46" w:rsidR="4BE9B6F2">
        <w:rPr>
          <w:rFonts w:ascii="Calibri" w:hAnsi="Calibri" w:eastAsia="Calibri" w:cs="Calibri"/>
          <w:color w:val="000000" w:themeColor="text1"/>
          <w:sz w:val="24"/>
          <w:szCs w:val="24"/>
        </w:rPr>
        <w:t xml:space="preserve"> by e-mail</w:t>
      </w:r>
      <w:r w:rsidRPr="3BDBDF46">
        <w:rPr>
          <w:rFonts w:ascii="Calibri" w:hAnsi="Calibri" w:eastAsia="Calibri" w:cs="Calibri"/>
          <w:color w:val="000000" w:themeColor="text1"/>
          <w:sz w:val="24"/>
          <w:szCs w:val="24"/>
        </w:rPr>
        <w:t xml:space="preserve"> to the pa</w:t>
      </w:r>
      <w:r w:rsidRPr="3BDBDF46" w:rsidR="0CC44438">
        <w:rPr>
          <w:rFonts w:ascii="Calibri" w:hAnsi="Calibri" w:eastAsia="Calibri" w:cs="Calibri"/>
          <w:color w:val="000000" w:themeColor="text1"/>
          <w:sz w:val="24"/>
          <w:szCs w:val="24"/>
        </w:rPr>
        <w:t xml:space="preserve">rticipants </w:t>
      </w:r>
      <w:r w:rsidRPr="3BDBDF46">
        <w:rPr>
          <w:rFonts w:ascii="Calibri" w:hAnsi="Calibri" w:eastAsia="Calibri" w:cs="Calibri"/>
          <w:color w:val="000000" w:themeColor="text1"/>
          <w:sz w:val="24"/>
          <w:szCs w:val="24"/>
        </w:rPr>
        <w:t xml:space="preserve">using the REDCap </w:t>
      </w:r>
      <w:r w:rsidRPr="3BDBDF46">
        <w:rPr>
          <w:rFonts w:ascii="Calibri" w:hAnsi="Calibri" w:eastAsia="Calibri" w:cs="Calibri"/>
          <w:sz w:val="24"/>
          <w:szCs w:val="24"/>
        </w:rPr>
        <w:t>platform.</w:t>
      </w:r>
      <w:r w:rsidRPr="3BDBDF46" w:rsidR="48D38F0D">
        <w:rPr>
          <w:sz w:val="24"/>
          <w:szCs w:val="24"/>
        </w:rPr>
        <w:t xml:space="preserve"> </w:t>
      </w:r>
      <w:r w:rsidRPr="3BDBDF46">
        <w:rPr>
          <w:sz w:val="24"/>
          <w:szCs w:val="24"/>
        </w:rPr>
        <w:t xml:space="preserve">Subjects </w:t>
      </w:r>
      <w:r w:rsidR="009764A2">
        <w:rPr>
          <w:sz w:val="24"/>
          <w:szCs w:val="24"/>
        </w:rPr>
        <w:t xml:space="preserve">who </w:t>
      </w:r>
      <w:r w:rsidRPr="3BDBDF46">
        <w:rPr>
          <w:rFonts w:ascii="Calibri" w:hAnsi="Calibri" w:eastAsia="Calibri" w:cs="Calibri"/>
          <w:sz w:val="24"/>
          <w:szCs w:val="24"/>
        </w:rPr>
        <w:t>wish</w:t>
      </w:r>
      <w:r w:rsidRPr="3BDBDF46" w:rsidR="20D405AE">
        <w:rPr>
          <w:rFonts w:ascii="Calibri" w:hAnsi="Calibri" w:eastAsia="Calibri" w:cs="Calibri"/>
          <w:sz w:val="24"/>
          <w:szCs w:val="24"/>
        </w:rPr>
        <w:t>ed</w:t>
      </w:r>
      <w:r w:rsidRPr="3BDBDF46">
        <w:rPr>
          <w:rFonts w:ascii="Calibri" w:hAnsi="Calibri" w:eastAsia="Calibri" w:cs="Calibri"/>
          <w:sz w:val="24"/>
          <w:szCs w:val="24"/>
        </w:rPr>
        <w:t xml:space="preserve"> to avoid using an online platform received the paper </w:t>
      </w:r>
      <w:r w:rsidRPr="3BDBDF46" w:rsidR="0CB551B4">
        <w:rPr>
          <w:rFonts w:ascii="Calibri" w:hAnsi="Calibri" w:eastAsia="Calibri" w:cs="Calibri"/>
          <w:sz w:val="24"/>
          <w:szCs w:val="24"/>
        </w:rPr>
        <w:t xml:space="preserve">versions of the </w:t>
      </w:r>
      <w:r w:rsidRPr="3BDBDF46">
        <w:rPr>
          <w:rFonts w:ascii="Calibri" w:hAnsi="Calibri" w:eastAsia="Calibri" w:cs="Calibri"/>
          <w:sz w:val="24"/>
          <w:szCs w:val="24"/>
        </w:rPr>
        <w:t>questionnaires</w:t>
      </w:r>
      <w:r w:rsidRPr="3BDBDF46">
        <w:rPr>
          <w:rFonts w:ascii="Calibri" w:hAnsi="Calibri" w:eastAsia="Calibri" w:cs="Calibri"/>
          <w:color w:val="000000" w:themeColor="text1"/>
          <w:sz w:val="24"/>
          <w:szCs w:val="24"/>
        </w:rPr>
        <w:t xml:space="preserve"> at the end of each assessment, with a pre-</w:t>
      </w:r>
      <w:r w:rsidRPr="3BDBDF46" w:rsidR="4576BFCB">
        <w:rPr>
          <w:rFonts w:ascii="Calibri" w:hAnsi="Calibri" w:eastAsia="Calibri" w:cs="Calibri"/>
          <w:color w:val="000000" w:themeColor="text1"/>
          <w:sz w:val="24"/>
          <w:szCs w:val="24"/>
        </w:rPr>
        <w:t xml:space="preserve">stamped </w:t>
      </w:r>
      <w:r w:rsidRPr="3BDBDF46">
        <w:rPr>
          <w:rFonts w:ascii="Calibri" w:hAnsi="Calibri" w:eastAsia="Calibri" w:cs="Calibri"/>
          <w:color w:val="000000" w:themeColor="text1"/>
          <w:sz w:val="24"/>
          <w:szCs w:val="24"/>
        </w:rPr>
        <w:t xml:space="preserve">envelope to send it back within one week. </w:t>
      </w:r>
    </w:p>
    <w:p w:rsidRPr="00171B6F" w:rsidR="04D9B1B6" w:rsidP="560E2E1C" w:rsidRDefault="61E51F0F" w14:paraId="6344A5F3" w14:textId="2F050F84">
      <w:pPr>
        <w:pStyle w:val="ListParagraph"/>
        <w:numPr>
          <w:ilvl w:val="0"/>
          <w:numId w:val="20"/>
        </w:numPr>
        <w:spacing w:line="480" w:lineRule="auto"/>
        <w:rPr>
          <w:rFonts w:ascii="Calibri" w:hAnsi="Calibri" w:eastAsia="Calibri" w:cs="Calibri"/>
          <w:b/>
          <w:bCs/>
          <w:color w:val="000000" w:themeColor="text1"/>
          <w:sz w:val="24"/>
          <w:szCs w:val="24"/>
        </w:rPr>
      </w:pPr>
      <w:r w:rsidRPr="560E2E1C">
        <w:rPr>
          <w:rFonts w:ascii="Calibri" w:hAnsi="Calibri" w:eastAsia="Calibri" w:cs="Calibri"/>
          <w:b/>
          <w:bCs/>
          <w:color w:val="000000" w:themeColor="text1"/>
          <w:sz w:val="24"/>
          <w:szCs w:val="24"/>
        </w:rPr>
        <w:t>Measures</w:t>
      </w:r>
    </w:p>
    <w:p w:rsidRPr="00171B6F" w:rsidR="00CC57C5" w:rsidP="560E2E1C" w:rsidRDefault="5E1127B0" w14:paraId="277DD0F0" w14:textId="7446E55F">
      <w:pPr>
        <w:pStyle w:val="Heading3"/>
        <w:spacing w:line="480" w:lineRule="auto"/>
        <w:rPr>
          <w:szCs w:val="24"/>
        </w:rPr>
      </w:pPr>
      <w:r w:rsidRPr="560E2E1C">
        <w:rPr>
          <w:szCs w:val="24"/>
        </w:rPr>
        <w:t>Demographic</w:t>
      </w:r>
      <w:r w:rsidRPr="560E2E1C" w:rsidR="6730B083">
        <w:rPr>
          <w:szCs w:val="24"/>
        </w:rPr>
        <w:t xml:space="preserve"> variables</w:t>
      </w:r>
    </w:p>
    <w:p w:rsidRPr="00171B6F" w:rsidR="00A870B9" w:rsidP="560E2E1C" w:rsidRDefault="7F07CAF6" w14:paraId="4F31BB1B" w14:textId="45BF371D">
      <w:pPr>
        <w:pStyle w:val="ListParagraph"/>
        <w:numPr>
          <w:ilvl w:val="0"/>
          <w:numId w:val="34"/>
        </w:numPr>
        <w:spacing w:line="480" w:lineRule="auto"/>
        <w:jc w:val="both"/>
        <w:rPr>
          <w:sz w:val="24"/>
          <w:szCs w:val="24"/>
        </w:rPr>
      </w:pPr>
      <w:r w:rsidRPr="4EF8719D">
        <w:rPr>
          <w:sz w:val="24"/>
          <w:szCs w:val="24"/>
        </w:rPr>
        <w:t xml:space="preserve">Age, sex, </w:t>
      </w:r>
      <w:r w:rsidRPr="4EF8719D" w:rsidR="5308D841">
        <w:rPr>
          <w:sz w:val="24"/>
          <w:szCs w:val="24"/>
        </w:rPr>
        <w:t>Body Mass In</w:t>
      </w:r>
      <w:r w:rsidRPr="4EF8719D" w:rsidR="33EF8309">
        <w:rPr>
          <w:sz w:val="24"/>
          <w:szCs w:val="24"/>
        </w:rPr>
        <w:t>d</w:t>
      </w:r>
      <w:r w:rsidRPr="4EF8719D" w:rsidR="5308D841">
        <w:rPr>
          <w:sz w:val="24"/>
          <w:szCs w:val="24"/>
        </w:rPr>
        <w:t>ex (</w:t>
      </w:r>
      <w:r w:rsidRPr="4EF8719D" w:rsidR="1547955D">
        <w:rPr>
          <w:sz w:val="24"/>
          <w:szCs w:val="24"/>
        </w:rPr>
        <w:t>BMI</w:t>
      </w:r>
      <w:r w:rsidRPr="4EF8719D" w:rsidR="47BF6F69">
        <w:rPr>
          <w:sz w:val="24"/>
          <w:szCs w:val="24"/>
        </w:rPr>
        <w:t>)</w:t>
      </w:r>
      <w:r w:rsidRPr="4EF8719D" w:rsidR="1547955D">
        <w:rPr>
          <w:sz w:val="24"/>
          <w:szCs w:val="24"/>
        </w:rPr>
        <w:t xml:space="preserve">, </w:t>
      </w:r>
      <w:r w:rsidRPr="4EF8719D">
        <w:rPr>
          <w:sz w:val="24"/>
          <w:szCs w:val="24"/>
        </w:rPr>
        <w:t xml:space="preserve">limb dominance, </w:t>
      </w:r>
      <w:r w:rsidRPr="4EF8719D" w:rsidR="66DEC572">
        <w:rPr>
          <w:sz w:val="24"/>
          <w:szCs w:val="24"/>
        </w:rPr>
        <w:t xml:space="preserve">participant-reported </w:t>
      </w:r>
      <w:r w:rsidRPr="4EF8719D" w:rsidR="7FFB4F4D">
        <w:rPr>
          <w:sz w:val="24"/>
          <w:szCs w:val="24"/>
        </w:rPr>
        <w:t xml:space="preserve">comorbidities and related treatments, </w:t>
      </w:r>
      <w:r w:rsidRPr="4EF8719D" w:rsidR="309CF7DF">
        <w:rPr>
          <w:sz w:val="24"/>
          <w:szCs w:val="24"/>
        </w:rPr>
        <w:t>addictions (smoking</w:t>
      </w:r>
      <w:r w:rsidRPr="4EF8719D" w:rsidR="5EF03059">
        <w:rPr>
          <w:sz w:val="24"/>
          <w:szCs w:val="24"/>
        </w:rPr>
        <w:t xml:space="preserve"> [</w:t>
      </w:r>
      <w:r w:rsidRPr="4EF8719D" w:rsidR="3D9DB9EC">
        <w:rPr>
          <w:sz w:val="24"/>
          <w:szCs w:val="24"/>
        </w:rPr>
        <w:t>currently smoking</w:t>
      </w:r>
      <w:r w:rsidRPr="4EF8719D" w:rsidR="5EF03059">
        <w:rPr>
          <w:sz w:val="24"/>
          <w:szCs w:val="24"/>
        </w:rPr>
        <w:t xml:space="preserve"> </w:t>
      </w:r>
      <w:r w:rsidRPr="4EF8719D" w:rsidR="0F65E6DE">
        <w:rPr>
          <w:sz w:val="24"/>
          <w:szCs w:val="24"/>
        </w:rPr>
        <w:t>and pack-year</w:t>
      </w:r>
      <w:r w:rsidRPr="4EF8719D" w:rsidR="3290E31A">
        <w:rPr>
          <w:sz w:val="24"/>
          <w:szCs w:val="24"/>
        </w:rPr>
        <w:t>]</w:t>
      </w:r>
      <w:r w:rsidRPr="4EF8719D" w:rsidR="309CF7DF">
        <w:rPr>
          <w:sz w:val="24"/>
          <w:szCs w:val="24"/>
        </w:rPr>
        <w:t>, alcohol</w:t>
      </w:r>
      <w:r w:rsidRPr="4EF8719D" w:rsidR="0F65E6DE">
        <w:rPr>
          <w:sz w:val="24"/>
          <w:szCs w:val="24"/>
        </w:rPr>
        <w:t xml:space="preserve"> [unit</w:t>
      </w:r>
      <w:r w:rsidRPr="4EF8719D" w:rsidR="000B6395">
        <w:rPr>
          <w:sz w:val="24"/>
          <w:szCs w:val="24"/>
        </w:rPr>
        <w:t>s</w:t>
      </w:r>
      <w:r w:rsidRPr="4EF8719D" w:rsidR="0F65E6DE">
        <w:rPr>
          <w:sz w:val="24"/>
          <w:szCs w:val="24"/>
        </w:rPr>
        <w:t xml:space="preserve"> per week</w:t>
      </w:r>
      <w:r w:rsidRPr="4EF8719D" w:rsidR="14C1E617">
        <w:rPr>
          <w:sz w:val="24"/>
          <w:szCs w:val="24"/>
        </w:rPr>
        <w:t>]</w:t>
      </w:r>
      <w:r w:rsidRPr="4EF8719D" w:rsidR="309CF7DF">
        <w:rPr>
          <w:sz w:val="24"/>
          <w:szCs w:val="24"/>
        </w:rPr>
        <w:t xml:space="preserve">, </w:t>
      </w:r>
      <w:r w:rsidRPr="4EF8719D" w:rsidR="57487923">
        <w:rPr>
          <w:sz w:val="24"/>
          <w:szCs w:val="24"/>
        </w:rPr>
        <w:t>narcotic abuse</w:t>
      </w:r>
      <w:r w:rsidRPr="4EF8719D" w:rsidR="309CF7DF">
        <w:rPr>
          <w:sz w:val="24"/>
          <w:szCs w:val="24"/>
        </w:rPr>
        <w:t>)</w:t>
      </w:r>
      <w:r w:rsidRPr="4EF8719D" w:rsidR="2E141903">
        <w:rPr>
          <w:sz w:val="24"/>
          <w:szCs w:val="24"/>
        </w:rPr>
        <w:t xml:space="preserve">, </w:t>
      </w:r>
    </w:p>
    <w:p w:rsidRPr="00171B6F" w:rsidR="00EF2859" w:rsidP="560E2E1C" w:rsidRDefault="6BCE27F5" w14:paraId="0244EBAE" w14:textId="5858920A">
      <w:pPr>
        <w:pStyle w:val="ListParagraph"/>
        <w:numPr>
          <w:ilvl w:val="0"/>
          <w:numId w:val="34"/>
        </w:numPr>
        <w:spacing w:line="480" w:lineRule="auto"/>
        <w:jc w:val="both"/>
        <w:rPr>
          <w:sz w:val="24"/>
          <w:szCs w:val="24"/>
        </w:rPr>
      </w:pPr>
      <w:r w:rsidRPr="560E2E1C">
        <w:rPr>
          <w:sz w:val="24"/>
          <w:szCs w:val="24"/>
        </w:rPr>
        <w:t>Education level</w:t>
      </w:r>
      <w:r w:rsidRPr="560E2E1C" w:rsidR="21812A45">
        <w:rPr>
          <w:sz w:val="24"/>
          <w:szCs w:val="24"/>
        </w:rPr>
        <w:t xml:space="preserve"> (number of school years completed after age 12).</w:t>
      </w:r>
    </w:p>
    <w:p w:rsidRPr="00171B6F" w:rsidR="00EF2859" w:rsidP="560E2E1C" w:rsidRDefault="6730B083" w14:paraId="0C450389" w14:textId="288BB88E">
      <w:pPr>
        <w:pStyle w:val="Heading3"/>
        <w:spacing w:line="480" w:lineRule="auto"/>
        <w:rPr>
          <w:szCs w:val="24"/>
        </w:rPr>
      </w:pPr>
      <w:r w:rsidRPr="560E2E1C">
        <w:rPr>
          <w:szCs w:val="24"/>
        </w:rPr>
        <w:t>Work-related variables</w:t>
      </w:r>
    </w:p>
    <w:p w:rsidRPr="00171B6F" w:rsidR="008F12FA" w:rsidP="560E2E1C" w:rsidRDefault="46E5532D" w14:paraId="6B6D024D" w14:textId="71155F68">
      <w:pPr>
        <w:pStyle w:val="ListParagraph"/>
        <w:numPr>
          <w:ilvl w:val="0"/>
          <w:numId w:val="34"/>
        </w:numPr>
        <w:spacing w:line="480" w:lineRule="auto"/>
        <w:jc w:val="both"/>
        <w:rPr>
          <w:sz w:val="24"/>
          <w:szCs w:val="24"/>
        </w:rPr>
      </w:pPr>
      <w:r w:rsidRPr="560E2E1C">
        <w:rPr>
          <w:sz w:val="24"/>
          <w:szCs w:val="24"/>
        </w:rPr>
        <w:t>Professional status</w:t>
      </w:r>
      <w:r w:rsidRPr="560E2E1C" w:rsidR="00171B6F">
        <w:rPr>
          <w:sz w:val="24"/>
          <w:szCs w:val="24"/>
        </w:rPr>
        <w:t>, w</w:t>
      </w:r>
      <w:r w:rsidRPr="560E2E1C">
        <w:rPr>
          <w:sz w:val="24"/>
          <w:szCs w:val="24"/>
        </w:rPr>
        <w:t xml:space="preserve">ork type based on the Work Demands Coding System </w:t>
      </w:r>
      <w:r w:rsidR="3EB7A6C1">
        <w:fldChar w:fldCharType="begin"/>
      </w:r>
      <w:r w:rsidR="00A03CF2">
        <w:instrText xml:space="preserve"> ADDIN ZOTERO_ITEM CSL_CITATION {"citationID":"8MWxt9mI","properties":{"formattedCitation":"(de Zwart et al., 1997)","plainCitation":"(de Zwart et al., 1997)","noteIndex":0},"citationItems":[{"id":"jyRXZ8R7/ekNqZmgn","uris":["http://zotero.org/users/8777725/items/A5V2SPAX"],"itemData":{"id":1026,"type":"article-journal","abstract":"The use of job title as crude exposure measure in epidemiological studies is often inevitable when the available exposure data is scarce. In this study, an existing classification scheme of all job titles in the Netherlands into six categories of physical and mental work demands, constructed by expert judgement, was evaluated. Furthermore, a revision of this classification scheme for a research project on the relation between age, physical work demands, and musculoskeletal complaints was proposed and evaluated as well. For the evaluation, self-reported work demands, derived from questionnaire data of 38,921 employees and quantified by a scale of physical work demands and mental work demands, were used. Based on comparison of the mean scale scores of the several categories of work demands at group level, both classification schemes showed construct validity. Notwithstanding several limitations, the use of the presented classification schemes in epidemiological studies seems particularly challenging and rewarding when analysing data at group level from large and heterogeneous occupational populations. These kind of exploratory studies may generate new hypothesis on the basic patterns concerning work-related disorders, and can also be informative from a policy making perspective.","container-title":"International Journal of Occupational Medicine and Environmental Health","ISSN":"1232-1087","issue":"3","journalAbbreviation":"Int J Occup Med Environ Health","language":"eng","note":"PMID: 9524406","page":"283-295","source":"PubMed","title":"Occupational classification according to work demands: an evaluation study","title-short":"Occupational classification according to work demands","volume":"10","author":[{"family":"Zwart","given":"B. C.","non-dropping-particle":"de"},{"family":"Broersen","given":"J. P."},{"family":"Beek","given":"A. J.","non-dropping-particle":"van der"},{"family":"Frings-Dresen","given":"M. H."},{"family":"Dijk","given":"F. J.","non-dropping-particle":"van"}],"issued":{"date-parts":[["1997"]]}}}],"schema":"https://github.com/citation-style-language/schema/raw/master/csl-citation.json"} </w:instrText>
      </w:r>
      <w:r w:rsidR="3EB7A6C1">
        <w:fldChar w:fldCharType="separate"/>
      </w:r>
      <w:r w:rsidRPr="008425F7" w:rsidR="008425F7">
        <w:rPr>
          <w:rFonts w:ascii="Calibri" w:hAnsi="Calibri" w:cs="Calibri"/>
          <w:sz w:val="24"/>
        </w:rPr>
        <w:t>(de Zwart et al., 1997)</w:t>
      </w:r>
      <w:r w:rsidR="3EB7A6C1">
        <w:fldChar w:fldCharType="end"/>
      </w:r>
      <w:r w:rsidRPr="560E2E1C" w:rsidR="3172CAC8">
        <w:rPr>
          <w:sz w:val="24"/>
          <w:szCs w:val="24"/>
        </w:rPr>
        <w:t>;</w:t>
      </w:r>
    </w:p>
    <w:p w:rsidRPr="00171B6F" w:rsidR="00EF2859" w:rsidP="560E2E1C" w:rsidRDefault="6113B916" w14:paraId="347845E9" w14:textId="4042AE26">
      <w:pPr>
        <w:pStyle w:val="ListParagraph"/>
        <w:numPr>
          <w:ilvl w:val="0"/>
          <w:numId w:val="34"/>
        </w:numPr>
        <w:spacing w:line="480" w:lineRule="auto"/>
        <w:jc w:val="both"/>
        <w:rPr>
          <w:sz w:val="24"/>
          <w:szCs w:val="24"/>
        </w:rPr>
      </w:pPr>
      <w:r w:rsidRPr="560E2E1C">
        <w:rPr>
          <w:sz w:val="24"/>
          <w:szCs w:val="24"/>
        </w:rPr>
        <w:t>Medico-legal conflict with employer or insurance company</w:t>
      </w:r>
      <w:r w:rsidRPr="560E2E1C" w:rsidR="00171B6F">
        <w:rPr>
          <w:sz w:val="24"/>
          <w:szCs w:val="24"/>
        </w:rPr>
        <w:t>, w</w:t>
      </w:r>
      <w:r w:rsidRPr="560E2E1C" w:rsidR="2623C0AF">
        <w:rPr>
          <w:sz w:val="24"/>
          <w:szCs w:val="24"/>
        </w:rPr>
        <w:t>ork injury.</w:t>
      </w:r>
    </w:p>
    <w:p w:rsidRPr="00171B6F" w:rsidR="00CC57C5" w:rsidP="560E2E1C" w:rsidRDefault="6730B083" w14:paraId="051EC8E6" w14:textId="77777777">
      <w:pPr>
        <w:spacing w:line="480" w:lineRule="auto"/>
        <w:jc w:val="both"/>
        <w:rPr>
          <w:i/>
          <w:iCs/>
          <w:sz w:val="24"/>
          <w:szCs w:val="24"/>
        </w:rPr>
      </w:pPr>
      <w:r w:rsidRPr="560E2E1C">
        <w:rPr>
          <w:i/>
          <w:iCs/>
          <w:sz w:val="24"/>
          <w:szCs w:val="24"/>
        </w:rPr>
        <w:t>CRPS history</w:t>
      </w:r>
    </w:p>
    <w:p w:rsidRPr="00171B6F" w:rsidR="00EF2859" w:rsidP="560E2E1C" w:rsidRDefault="7B3B4AE3" w14:paraId="090DDD73" w14:textId="6E822E9D">
      <w:pPr>
        <w:pStyle w:val="ListParagraph"/>
        <w:numPr>
          <w:ilvl w:val="0"/>
          <w:numId w:val="34"/>
        </w:numPr>
        <w:spacing w:line="480" w:lineRule="auto"/>
        <w:jc w:val="both"/>
        <w:rPr>
          <w:sz w:val="24"/>
          <w:szCs w:val="24"/>
        </w:rPr>
      </w:pPr>
      <w:r w:rsidRPr="560E2E1C">
        <w:rPr>
          <w:sz w:val="24"/>
          <w:szCs w:val="24"/>
        </w:rPr>
        <w:t>F</w:t>
      </w:r>
      <w:r w:rsidRPr="560E2E1C" w:rsidR="7252EB07">
        <w:rPr>
          <w:sz w:val="24"/>
          <w:szCs w:val="24"/>
        </w:rPr>
        <w:t>amily histo</w:t>
      </w:r>
      <w:r w:rsidRPr="560E2E1C" w:rsidR="625B3B99">
        <w:rPr>
          <w:sz w:val="24"/>
          <w:szCs w:val="24"/>
        </w:rPr>
        <w:t>ry of CRPS (1st and 2nd level</w:t>
      </w:r>
      <w:proofErr w:type="gramStart"/>
      <w:r w:rsidRPr="560E2E1C" w:rsidR="625B3B99">
        <w:rPr>
          <w:sz w:val="24"/>
          <w:szCs w:val="24"/>
        </w:rPr>
        <w:t>);</w:t>
      </w:r>
      <w:proofErr w:type="gramEnd"/>
    </w:p>
    <w:p w:rsidRPr="00171B6F" w:rsidR="00F6043E" w:rsidP="5F7DF4C4" w:rsidRDefault="48349770" w14:paraId="59B5371A" w14:textId="23C8B352">
      <w:pPr>
        <w:pStyle w:val="ListParagraph"/>
        <w:numPr>
          <w:ilvl w:val="0"/>
          <w:numId w:val="34"/>
        </w:numPr>
        <w:spacing w:line="480" w:lineRule="auto"/>
        <w:jc w:val="both"/>
        <w:rPr>
          <w:sz w:val="24"/>
          <w:szCs w:val="24"/>
        </w:rPr>
      </w:pPr>
      <w:r w:rsidRPr="4EF8719D">
        <w:rPr>
          <w:sz w:val="24"/>
          <w:szCs w:val="24"/>
        </w:rPr>
        <w:t xml:space="preserve">Triggering </w:t>
      </w:r>
      <w:r w:rsidRPr="4EF8719D" w:rsidR="001FF092">
        <w:rPr>
          <w:sz w:val="24"/>
          <w:szCs w:val="24"/>
        </w:rPr>
        <w:t>event:</w:t>
      </w:r>
      <w:r w:rsidRPr="4EF8719D" w:rsidR="10896939">
        <w:rPr>
          <w:sz w:val="24"/>
          <w:szCs w:val="24"/>
        </w:rPr>
        <w:t xml:space="preserve"> </w:t>
      </w:r>
      <w:r w:rsidRPr="4EF8719D" w:rsidR="75861250">
        <w:rPr>
          <w:sz w:val="24"/>
          <w:szCs w:val="24"/>
        </w:rPr>
        <w:t xml:space="preserve">as described in our </w:t>
      </w:r>
      <w:r w:rsidRPr="4EF8719D" w:rsidR="003A9A99">
        <w:rPr>
          <w:sz w:val="24"/>
          <w:szCs w:val="24"/>
        </w:rPr>
        <w:t>preregistered</w:t>
      </w:r>
      <w:r w:rsidRPr="4EF8719D" w:rsidR="75861250">
        <w:rPr>
          <w:sz w:val="24"/>
          <w:szCs w:val="24"/>
        </w:rPr>
        <w:t xml:space="preserve"> protocol</w:t>
      </w:r>
      <w:r w:rsidRPr="4EF8719D" w:rsidR="336BBD7B">
        <w:rPr>
          <w:sz w:val="24"/>
          <w:szCs w:val="24"/>
        </w:rPr>
        <w:t xml:space="preserve"> (</w:t>
      </w:r>
      <w:r w:rsidRPr="4EF8719D" w:rsidR="336BBD7B">
        <w:rPr>
          <w:rFonts w:ascii="Calibri" w:hAnsi="Calibri" w:eastAsia="Calibri" w:cs="Calibri"/>
          <w:sz w:val="24"/>
          <w:szCs w:val="24"/>
        </w:rPr>
        <w:t>NCT05337501)</w:t>
      </w:r>
      <w:r w:rsidRPr="4EF8719D" w:rsidR="75861250">
        <w:rPr>
          <w:sz w:val="24"/>
          <w:szCs w:val="24"/>
        </w:rPr>
        <w:t xml:space="preserve">, we </w:t>
      </w:r>
      <w:r w:rsidRPr="4EF8719D" w:rsidR="1CB655AD">
        <w:rPr>
          <w:sz w:val="24"/>
          <w:szCs w:val="24"/>
        </w:rPr>
        <w:t xml:space="preserve">had </w:t>
      </w:r>
      <w:r w:rsidRPr="4EF8719D" w:rsidR="75861250">
        <w:rPr>
          <w:sz w:val="24"/>
          <w:szCs w:val="24"/>
        </w:rPr>
        <w:t>initially chose</w:t>
      </w:r>
      <w:r w:rsidRPr="4EF8719D" w:rsidR="7AD37BF1">
        <w:rPr>
          <w:sz w:val="24"/>
          <w:szCs w:val="24"/>
        </w:rPr>
        <w:t>n</w:t>
      </w:r>
      <w:r w:rsidRPr="4EF8719D" w:rsidR="75861250">
        <w:rPr>
          <w:sz w:val="24"/>
          <w:szCs w:val="24"/>
        </w:rPr>
        <w:t xml:space="preserve"> to assess</w:t>
      </w:r>
      <w:r w:rsidRPr="4EF8719D" w:rsidR="79A59E8F">
        <w:rPr>
          <w:sz w:val="24"/>
          <w:szCs w:val="24"/>
        </w:rPr>
        <w:t xml:space="preserve"> </w:t>
      </w:r>
      <w:r w:rsidRPr="4EF8719D" w:rsidR="4A8F63EC">
        <w:rPr>
          <w:sz w:val="24"/>
          <w:szCs w:val="24"/>
        </w:rPr>
        <w:t xml:space="preserve">the </w:t>
      </w:r>
      <w:r w:rsidRPr="4EF8719D" w:rsidR="393B6134">
        <w:rPr>
          <w:sz w:val="24"/>
          <w:szCs w:val="24"/>
        </w:rPr>
        <w:t xml:space="preserve">physical </w:t>
      </w:r>
      <w:r w:rsidRPr="4EF8719D" w:rsidR="64E151F9">
        <w:rPr>
          <w:sz w:val="24"/>
          <w:szCs w:val="24"/>
        </w:rPr>
        <w:t xml:space="preserve">severity </w:t>
      </w:r>
      <w:r w:rsidRPr="4EF8719D" w:rsidR="1CAB467C">
        <w:rPr>
          <w:sz w:val="24"/>
          <w:szCs w:val="24"/>
        </w:rPr>
        <w:t xml:space="preserve">of the </w:t>
      </w:r>
      <w:r w:rsidRPr="4EF8719D" w:rsidR="6A6ED4BA">
        <w:rPr>
          <w:sz w:val="24"/>
          <w:szCs w:val="24"/>
        </w:rPr>
        <w:t xml:space="preserve">initiating </w:t>
      </w:r>
      <w:r w:rsidRPr="4EF8719D" w:rsidR="1CAB467C">
        <w:rPr>
          <w:sz w:val="24"/>
          <w:szCs w:val="24"/>
        </w:rPr>
        <w:t xml:space="preserve">event </w:t>
      </w:r>
      <w:r w:rsidRPr="4EF8719D" w:rsidR="3F3F8F11">
        <w:rPr>
          <w:sz w:val="24"/>
          <w:szCs w:val="24"/>
        </w:rPr>
        <w:t xml:space="preserve">using </w:t>
      </w:r>
      <w:r w:rsidRPr="4EF8719D" w:rsidR="79A59E8F">
        <w:rPr>
          <w:sz w:val="24"/>
          <w:szCs w:val="24"/>
        </w:rPr>
        <w:t xml:space="preserve">a </w:t>
      </w:r>
      <w:r w:rsidRPr="4EF8719D" w:rsidR="10896939">
        <w:rPr>
          <w:sz w:val="24"/>
          <w:szCs w:val="24"/>
        </w:rPr>
        <w:t>4-point</w:t>
      </w:r>
      <w:r w:rsidRPr="4EF8719D" w:rsidR="417C7D3F">
        <w:rPr>
          <w:sz w:val="24"/>
          <w:szCs w:val="24"/>
        </w:rPr>
        <w:t xml:space="preserve"> ordinal </w:t>
      </w:r>
      <w:r w:rsidRPr="4EF8719D" w:rsidR="10896939">
        <w:rPr>
          <w:sz w:val="24"/>
          <w:szCs w:val="24"/>
        </w:rPr>
        <w:t>scale</w:t>
      </w:r>
      <w:r w:rsidRPr="4EF8719D" w:rsidR="6E0440E1">
        <w:rPr>
          <w:sz w:val="24"/>
          <w:szCs w:val="24"/>
        </w:rPr>
        <w:t xml:space="preserve">: </w:t>
      </w:r>
      <w:r w:rsidRPr="4EF8719D" w:rsidR="001FF092">
        <w:rPr>
          <w:sz w:val="24"/>
          <w:szCs w:val="24"/>
        </w:rPr>
        <w:t xml:space="preserve">spontaneous, elective surgery, </w:t>
      </w:r>
      <w:r w:rsidRPr="4EF8719D" w:rsidR="3632D223">
        <w:rPr>
          <w:sz w:val="24"/>
          <w:szCs w:val="24"/>
        </w:rPr>
        <w:t xml:space="preserve">low </w:t>
      </w:r>
      <w:r w:rsidRPr="4EF8719D" w:rsidR="001FF092">
        <w:rPr>
          <w:sz w:val="24"/>
          <w:szCs w:val="24"/>
        </w:rPr>
        <w:t>energy trauma,</w:t>
      </w:r>
      <w:r w:rsidRPr="4EF8719D" w:rsidR="5D1D6B56">
        <w:rPr>
          <w:sz w:val="24"/>
          <w:szCs w:val="24"/>
        </w:rPr>
        <w:t xml:space="preserve"> and</w:t>
      </w:r>
      <w:r w:rsidRPr="4EF8719D" w:rsidR="001FF092">
        <w:rPr>
          <w:sz w:val="24"/>
          <w:szCs w:val="24"/>
        </w:rPr>
        <w:t xml:space="preserve"> </w:t>
      </w:r>
      <w:r w:rsidRPr="4EF8719D" w:rsidR="28990048">
        <w:rPr>
          <w:sz w:val="24"/>
          <w:szCs w:val="24"/>
        </w:rPr>
        <w:t xml:space="preserve">high </w:t>
      </w:r>
      <w:r w:rsidRPr="4EF8719D" w:rsidR="001FF092">
        <w:rPr>
          <w:sz w:val="24"/>
          <w:szCs w:val="24"/>
        </w:rPr>
        <w:t>energy trauma</w:t>
      </w:r>
      <w:r w:rsidRPr="4EF8719D" w:rsidR="1B97FF6A">
        <w:rPr>
          <w:sz w:val="24"/>
          <w:szCs w:val="24"/>
        </w:rPr>
        <w:t>.</w:t>
      </w:r>
      <w:r w:rsidRPr="4EF8719D" w:rsidR="13D46552">
        <w:rPr>
          <w:sz w:val="24"/>
          <w:szCs w:val="24"/>
        </w:rPr>
        <w:t xml:space="preserve"> </w:t>
      </w:r>
      <w:r w:rsidRPr="4EF8719D" w:rsidR="06739C00">
        <w:rPr>
          <w:sz w:val="24"/>
          <w:szCs w:val="24"/>
        </w:rPr>
        <w:t xml:space="preserve">The distinction between </w:t>
      </w:r>
      <w:r w:rsidRPr="4EF8719D" w:rsidR="06739C00">
        <w:rPr>
          <w:i/>
          <w:iCs/>
          <w:sz w:val="24"/>
          <w:szCs w:val="24"/>
        </w:rPr>
        <w:t>low</w:t>
      </w:r>
      <w:r w:rsidRPr="4EF8719D" w:rsidR="06739C00">
        <w:rPr>
          <w:sz w:val="24"/>
          <w:szCs w:val="24"/>
        </w:rPr>
        <w:t xml:space="preserve"> and </w:t>
      </w:r>
      <w:r w:rsidRPr="4EF8719D" w:rsidR="06739C00">
        <w:rPr>
          <w:i/>
          <w:iCs/>
          <w:sz w:val="24"/>
          <w:szCs w:val="24"/>
        </w:rPr>
        <w:t>high</w:t>
      </w:r>
      <w:r w:rsidRPr="4EF8719D" w:rsidR="06739C00">
        <w:rPr>
          <w:sz w:val="24"/>
          <w:szCs w:val="24"/>
        </w:rPr>
        <w:t xml:space="preserve"> energy trauma was based on a scale design</w:t>
      </w:r>
      <w:r w:rsidRPr="4EF8719D" w:rsidR="3E81B3B5">
        <w:rPr>
          <w:sz w:val="24"/>
          <w:szCs w:val="24"/>
        </w:rPr>
        <w:t>ed</w:t>
      </w:r>
      <w:r w:rsidRPr="4EF8719D" w:rsidR="06739C00">
        <w:rPr>
          <w:sz w:val="24"/>
          <w:szCs w:val="24"/>
        </w:rPr>
        <w:t xml:space="preserve"> for emergency </w:t>
      </w:r>
      <w:r w:rsidRPr="4EF8719D" w:rsidR="16EF8F12">
        <w:rPr>
          <w:sz w:val="24"/>
          <w:szCs w:val="24"/>
        </w:rPr>
        <w:t>medicine</w:t>
      </w:r>
      <w:r w:rsidRPr="4EF8719D" w:rsidR="742B4784">
        <w:rPr>
          <w:sz w:val="24"/>
          <w:szCs w:val="24"/>
        </w:rPr>
        <w:t xml:space="preserve"> </w:t>
      </w:r>
      <w:r w:rsidRPr="4EF8719D" w:rsidR="7F1DC69C">
        <w:rPr>
          <w:sz w:val="24"/>
          <w:szCs w:val="24"/>
        </w:rPr>
        <w:t xml:space="preserve">(available in the </w:t>
      </w:r>
      <w:r w:rsidRPr="4EF8719D" w:rsidR="478630BE">
        <w:rPr>
          <w:i/>
          <w:iCs/>
          <w:sz w:val="24"/>
          <w:szCs w:val="24"/>
        </w:rPr>
        <w:t xml:space="preserve">Supplementary </w:t>
      </w:r>
      <w:r w:rsidRPr="4EF8719D" w:rsidR="7DBA8FB0">
        <w:rPr>
          <w:i/>
          <w:iCs/>
          <w:sz w:val="24"/>
          <w:szCs w:val="24"/>
        </w:rPr>
        <w:t>materials</w:t>
      </w:r>
      <w:r w:rsidRPr="4EF8719D" w:rsidR="3C5545B2">
        <w:rPr>
          <w:i/>
          <w:iCs/>
          <w:sz w:val="24"/>
          <w:szCs w:val="24"/>
        </w:rPr>
        <w:t xml:space="preserve"> 1</w:t>
      </w:r>
      <w:r w:rsidR="007D1D0C">
        <w:rPr>
          <w:i/>
          <w:iCs/>
          <w:sz w:val="24"/>
          <w:szCs w:val="24"/>
        </w:rPr>
        <w:t xml:space="preserve"> [methodS1]</w:t>
      </w:r>
      <w:r w:rsidRPr="4EF8719D" w:rsidR="3C5545B2">
        <w:rPr>
          <w:sz w:val="24"/>
          <w:szCs w:val="24"/>
        </w:rPr>
        <w:t>,</w:t>
      </w:r>
      <w:r w:rsidRPr="4EF8719D" w:rsidR="7F1DC69C">
        <w:rPr>
          <w:sz w:val="24"/>
          <w:szCs w:val="24"/>
        </w:rPr>
        <w:t xml:space="preserve"> </w:t>
      </w:r>
      <w:r w:rsidR="1ACF559E">
        <w:fldChar w:fldCharType="begin"/>
      </w:r>
      <w:r w:rsidR="00A03CF2">
        <w:instrText xml:space="preserve"> ADDIN ZOTERO_ITEM CSL_CITATION {"citationID":"DiuIqac4","properties":{"formattedCitation":"(Snoek et al., 2013)","plainCitation":"(Snoek et al., 2013)","noteIndex":0},"citationItems":[{"id":"jyRXZ8R7/BMxbhcwZ","uris":["http://zotero.org/users/8777725/items/FBI4NEQL"],"itemData":{"id":804,"type":"article-journal","abstract":"OBJECTIVE: Tertiary trauma survey is widely implemented in trauma care to identify all injuries in trauma patients. However, various studies consistently show that some trauma patients have missed injuries. In this study, we developed a clinical decision model to identify patients who are at risk for delayed diagnosed injuries.\nMETHODS: During a period of 18 months, we collected the medical records of all the adult patients who presented after a high-energy trauma at the emergency department of a Dutch trauma centre. The type of trauma, patient characteristics, the radiology studies performed, Glasgow Coma Scale, Revised Trauma Score, and Injury Severity Score (ISS) were registered. We thoroughly screened all medical records for delayed diagnosed injuries. Stepwise logistic regression analysis was used to identify the variables associated with the outcome delayed diagnosed injuries and to develop a clinical prediction model.\nRESULTS: We included 475 patients. Thirteen (2.7%) patients with delayed diagnosed injuries were identified. Stepwise logistic regression analysis revealed several models with the ISS, ICU admittance, and CT-head as predictive variables. The model we proposed with the ISS could identify patients who are at a risk for delayed diagnosed injuries with a sensitivity of 92.3% and a specificity of 86.4%.\nCONCLUSION: Our newly developed clinical decision model can identify patients who are at a risk for delayed diagnosed injuries and who should undergo an intensified search for potential unidentified injuries.","container-title":"European Journal of Emergency Medicine: Official Journal of the European Society for Emergency Medicine","DOI":"10.1097/MEJ.0b013e328353d926","ISSN":"1473-5695","issue":"3","journalAbbreviation":"Eur J Emerg Med","language":"eng","note":"PMID: 22510539","page":"167-172","source":"PubMed","title":"A clinical decision model identifies patients at risk for delayed diagnosed injuries after high-energy trauma","volume":"20","author":[{"family":"Snoek","given":"Anniek"},{"family":"Dekker","given":"Maaike"},{"family":"Lagrand","given":"Tjerk"},{"family":"Epema","given":"Anniek"},{"family":"Ploeg","given":"Tjeerd","non-dropping-particle":"van der"},{"family":"Brand","given":"J. G. H.","non-dropping-particle":"van den"}],"issued":{"date-parts":[["2013",6]]}}}],"schema":"https://github.com/citation-style-language/schema/raw/master/csl-citation.json"} </w:instrText>
      </w:r>
      <w:r w:rsidR="1ACF559E">
        <w:fldChar w:fldCharType="separate"/>
      </w:r>
      <w:r w:rsidRPr="008425F7" w:rsidR="008425F7">
        <w:rPr>
          <w:rFonts w:ascii="Calibri" w:hAnsi="Calibri" w:cs="Calibri"/>
          <w:sz w:val="24"/>
        </w:rPr>
        <w:t>(Snoek et al., 2013)</w:t>
      </w:r>
      <w:r w:rsidR="1ACF559E">
        <w:fldChar w:fldCharType="end"/>
      </w:r>
      <w:r w:rsidRPr="4EF8719D" w:rsidR="164D9234">
        <w:rPr>
          <w:sz w:val="24"/>
          <w:szCs w:val="24"/>
        </w:rPr>
        <w:t>)</w:t>
      </w:r>
      <w:r w:rsidRPr="4EF8719D" w:rsidR="06739C00">
        <w:rPr>
          <w:sz w:val="24"/>
          <w:szCs w:val="24"/>
        </w:rPr>
        <w:t xml:space="preserve">. </w:t>
      </w:r>
      <w:r w:rsidRPr="4EF8719D" w:rsidR="0F21D3C1">
        <w:rPr>
          <w:sz w:val="24"/>
          <w:szCs w:val="24"/>
        </w:rPr>
        <w:t>However,</w:t>
      </w:r>
      <w:r w:rsidRPr="4EF8719D" w:rsidR="642D85D6">
        <w:rPr>
          <w:sz w:val="24"/>
          <w:szCs w:val="24"/>
        </w:rPr>
        <w:t xml:space="preserve"> </w:t>
      </w:r>
      <w:r w:rsidRPr="4EF8719D" w:rsidR="198A4D5D">
        <w:rPr>
          <w:sz w:val="24"/>
          <w:szCs w:val="24"/>
        </w:rPr>
        <w:t>w</w:t>
      </w:r>
      <w:r w:rsidRPr="4EF8719D" w:rsidR="13D46552">
        <w:rPr>
          <w:sz w:val="24"/>
          <w:szCs w:val="24"/>
        </w:rPr>
        <w:t>e o</w:t>
      </w:r>
      <w:r w:rsidRPr="4EF8719D" w:rsidR="75861250">
        <w:rPr>
          <w:sz w:val="24"/>
          <w:szCs w:val="24"/>
        </w:rPr>
        <w:t xml:space="preserve">bserved a ceiling effect </w:t>
      </w:r>
      <w:r w:rsidRPr="4EF8719D" w:rsidR="7FD362D7">
        <w:rPr>
          <w:sz w:val="24"/>
          <w:szCs w:val="24"/>
        </w:rPr>
        <w:t>–</w:t>
      </w:r>
      <w:r w:rsidR="00C2236D">
        <w:rPr>
          <w:sz w:val="24"/>
          <w:szCs w:val="24"/>
        </w:rPr>
        <w:t xml:space="preserve"> </w:t>
      </w:r>
      <w:r w:rsidRPr="4EF8719D" w:rsidR="57C8E293">
        <w:rPr>
          <w:sz w:val="24"/>
          <w:szCs w:val="24"/>
        </w:rPr>
        <w:t xml:space="preserve">almost </w:t>
      </w:r>
      <w:r w:rsidRPr="4EF8719D" w:rsidR="5F0A6F88">
        <w:rPr>
          <w:sz w:val="24"/>
          <w:szCs w:val="24"/>
        </w:rPr>
        <w:t xml:space="preserve">all </w:t>
      </w:r>
      <w:r w:rsidRPr="4EF8719D" w:rsidR="65AF7C21">
        <w:rPr>
          <w:sz w:val="24"/>
          <w:szCs w:val="24"/>
        </w:rPr>
        <w:t>traumas</w:t>
      </w:r>
      <w:r w:rsidRPr="4EF8719D" w:rsidR="5F0A6F88">
        <w:rPr>
          <w:sz w:val="24"/>
          <w:szCs w:val="24"/>
        </w:rPr>
        <w:t xml:space="preserve"> were </w:t>
      </w:r>
      <w:r w:rsidRPr="4EF8719D" w:rsidR="1E0A27D1">
        <w:rPr>
          <w:sz w:val="24"/>
          <w:szCs w:val="24"/>
        </w:rPr>
        <w:t xml:space="preserve">considered </w:t>
      </w:r>
      <w:r w:rsidRPr="4EF8719D" w:rsidR="1E0A27D1">
        <w:rPr>
          <w:sz w:val="24"/>
          <w:szCs w:val="24"/>
        </w:rPr>
        <w:lastRenderedPageBreak/>
        <w:t>as</w:t>
      </w:r>
      <w:r w:rsidRPr="4EF8719D" w:rsidR="7D200252">
        <w:rPr>
          <w:sz w:val="24"/>
          <w:szCs w:val="24"/>
        </w:rPr>
        <w:t xml:space="preserve"> </w:t>
      </w:r>
      <w:r w:rsidRPr="4EF8719D" w:rsidR="2EE5302D">
        <w:rPr>
          <w:i/>
          <w:iCs/>
          <w:sz w:val="24"/>
          <w:szCs w:val="24"/>
        </w:rPr>
        <w:t xml:space="preserve">low </w:t>
      </w:r>
      <w:r w:rsidRPr="4EF8719D" w:rsidR="2EE5302D">
        <w:rPr>
          <w:sz w:val="24"/>
          <w:szCs w:val="24"/>
        </w:rPr>
        <w:t>energy</w:t>
      </w:r>
      <w:r w:rsidRPr="4EF8719D" w:rsidR="75861250">
        <w:rPr>
          <w:sz w:val="24"/>
          <w:szCs w:val="24"/>
        </w:rPr>
        <w:t xml:space="preserve">. </w:t>
      </w:r>
      <w:r w:rsidRPr="4EF8719D" w:rsidR="0910598B">
        <w:rPr>
          <w:sz w:val="24"/>
          <w:szCs w:val="24"/>
        </w:rPr>
        <w:t>We have therefore ch</w:t>
      </w:r>
      <w:r w:rsidRPr="4EF8719D" w:rsidR="51BB7F10">
        <w:rPr>
          <w:sz w:val="24"/>
          <w:szCs w:val="24"/>
        </w:rPr>
        <w:t xml:space="preserve">osen </w:t>
      </w:r>
      <w:r w:rsidRPr="4EF8719D" w:rsidR="5F0A6F88">
        <w:rPr>
          <w:sz w:val="24"/>
          <w:szCs w:val="24"/>
        </w:rPr>
        <w:t xml:space="preserve">to </w:t>
      </w:r>
      <w:r w:rsidRPr="4EF8719D" w:rsidR="1FF671F0">
        <w:rPr>
          <w:sz w:val="24"/>
          <w:szCs w:val="24"/>
        </w:rPr>
        <w:t>use</w:t>
      </w:r>
      <w:r w:rsidRPr="4EF8719D" w:rsidR="7AEE0F26">
        <w:rPr>
          <w:sz w:val="24"/>
          <w:szCs w:val="24"/>
        </w:rPr>
        <w:t xml:space="preserve"> a</w:t>
      </w:r>
      <w:r w:rsidRPr="4EF8719D" w:rsidR="75861250">
        <w:rPr>
          <w:sz w:val="24"/>
          <w:szCs w:val="24"/>
        </w:rPr>
        <w:t>nother</w:t>
      </w:r>
      <w:r w:rsidRPr="4EF8719D" w:rsidR="7AEE0F26">
        <w:rPr>
          <w:sz w:val="24"/>
          <w:szCs w:val="24"/>
        </w:rPr>
        <w:t xml:space="preserve"> 5-</w:t>
      </w:r>
      <w:r w:rsidRPr="4EF8719D" w:rsidR="676B2D2E">
        <w:rPr>
          <w:sz w:val="24"/>
          <w:szCs w:val="24"/>
        </w:rPr>
        <w:t>point scale</w:t>
      </w:r>
      <w:r w:rsidRPr="4EF8719D" w:rsidR="5F0A6F88">
        <w:rPr>
          <w:sz w:val="24"/>
          <w:szCs w:val="24"/>
        </w:rPr>
        <w:t xml:space="preserve"> </w:t>
      </w:r>
      <w:r w:rsidRPr="4EF8719D" w:rsidR="59137745">
        <w:rPr>
          <w:sz w:val="24"/>
          <w:szCs w:val="24"/>
        </w:rPr>
        <w:t>previously</w:t>
      </w:r>
      <w:r w:rsidRPr="4EF8719D" w:rsidR="0441C45E">
        <w:rPr>
          <w:sz w:val="24"/>
          <w:szCs w:val="24"/>
        </w:rPr>
        <w:t xml:space="preserve"> </w:t>
      </w:r>
      <w:r w:rsidRPr="4EF8719D" w:rsidR="65219267">
        <w:rPr>
          <w:sz w:val="24"/>
          <w:szCs w:val="24"/>
        </w:rPr>
        <w:t xml:space="preserve">used </w:t>
      </w:r>
      <w:r w:rsidRPr="4EF8719D" w:rsidR="7AEE0F26">
        <w:rPr>
          <w:sz w:val="24"/>
          <w:szCs w:val="24"/>
        </w:rPr>
        <w:t xml:space="preserve">in </w:t>
      </w:r>
      <w:r w:rsidRPr="4EF8719D" w:rsidR="6B2BF50B">
        <w:rPr>
          <w:sz w:val="24"/>
          <w:szCs w:val="24"/>
        </w:rPr>
        <w:t>CRPS research</w:t>
      </w:r>
      <w:r w:rsidRPr="4EF8719D" w:rsidR="49017052">
        <w:rPr>
          <w:sz w:val="24"/>
          <w:szCs w:val="24"/>
        </w:rPr>
        <w:t xml:space="preserve"> </w:t>
      </w:r>
      <w:r w:rsidR="1ACF559E">
        <w:fldChar w:fldCharType="begin"/>
      </w:r>
      <w:r w:rsidR="00A03CF2">
        <w:instrText xml:space="preserve"> ADDIN ZOTERO_ITEM CSL_CITATION {"citationID":"lhh4vEo5","properties":{"formattedCitation":"(Bean et al., 2016a)","plainCitation":"(Bean et al., 2016a)","noteIndex":0},"citationItems":[{"id":"jyRXZ8R7/NjknmWCn","uris":["http://zotero.org/users/8777725/items/IVFPSY5Y"],"itemData":{"id":125,"type":"article-journal","abstract":"Background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R."}],"issued":{"date-parts":[["2016",7]]}}}],"schema":"https://github.com/citation-style-language/schema/raw/master/csl-citation.json"} </w:instrText>
      </w:r>
      <w:r w:rsidR="1ACF559E">
        <w:fldChar w:fldCharType="separate"/>
      </w:r>
      <w:r w:rsidRPr="008425F7" w:rsidR="008425F7">
        <w:rPr>
          <w:rFonts w:ascii="Calibri" w:hAnsi="Calibri" w:cs="Calibri"/>
          <w:sz w:val="24"/>
        </w:rPr>
        <w:t>(Bean et al., 2016a)</w:t>
      </w:r>
      <w:r w:rsidR="1ACF559E">
        <w:fldChar w:fldCharType="end"/>
      </w:r>
      <w:r w:rsidRPr="4EF8719D" w:rsidR="2A1891E4">
        <w:rPr>
          <w:sz w:val="24"/>
          <w:szCs w:val="24"/>
        </w:rPr>
        <w:t xml:space="preserve">: </w:t>
      </w:r>
      <w:r w:rsidRPr="4EF8719D" w:rsidR="28EEC308">
        <w:rPr>
          <w:sz w:val="24"/>
          <w:szCs w:val="24"/>
        </w:rPr>
        <w:t xml:space="preserve">minor incident/no known tissue injury, </w:t>
      </w:r>
      <w:r w:rsidRPr="4EF8719D" w:rsidR="6456E52F">
        <w:rPr>
          <w:sz w:val="24"/>
          <w:szCs w:val="24"/>
        </w:rPr>
        <w:t>soft tissue injury, minor surgical procedure (</w:t>
      </w:r>
      <w:r w:rsidRPr="4EF8719D" w:rsidR="0AAA3026">
        <w:rPr>
          <w:sz w:val="24"/>
          <w:szCs w:val="24"/>
        </w:rPr>
        <w:t xml:space="preserve">i.e., </w:t>
      </w:r>
      <w:r w:rsidRPr="4EF8719D" w:rsidR="6456E52F">
        <w:rPr>
          <w:sz w:val="24"/>
          <w:szCs w:val="24"/>
        </w:rPr>
        <w:t>elective surgery), fracture not requiring surgical repair</w:t>
      </w:r>
      <w:r w:rsidRPr="4EF8719D" w:rsidR="28EEC308">
        <w:rPr>
          <w:sz w:val="24"/>
          <w:szCs w:val="24"/>
        </w:rPr>
        <w:t>, and major injury requiring surgical repair.</w:t>
      </w:r>
    </w:p>
    <w:p w:rsidRPr="00171B6F" w:rsidR="00EF2859" w:rsidP="560E2E1C" w:rsidRDefault="477C38C1" w14:paraId="6A5826F0" w14:textId="719E2556">
      <w:pPr>
        <w:pStyle w:val="ListParagraph"/>
        <w:numPr>
          <w:ilvl w:val="0"/>
          <w:numId w:val="34"/>
        </w:numPr>
        <w:spacing w:line="480" w:lineRule="auto"/>
        <w:jc w:val="both"/>
        <w:rPr>
          <w:sz w:val="24"/>
          <w:szCs w:val="24"/>
        </w:rPr>
      </w:pPr>
      <w:r w:rsidRPr="4EF8719D">
        <w:rPr>
          <w:sz w:val="24"/>
          <w:szCs w:val="24"/>
        </w:rPr>
        <w:t xml:space="preserve">Potential immobilization, type </w:t>
      </w:r>
      <w:r w:rsidRPr="4EF8719D" w:rsidR="58D961CA">
        <w:rPr>
          <w:sz w:val="24"/>
          <w:szCs w:val="24"/>
        </w:rPr>
        <w:t xml:space="preserve">(splint vs. cast) </w:t>
      </w:r>
      <w:r w:rsidRPr="4EF8719D">
        <w:rPr>
          <w:sz w:val="24"/>
          <w:szCs w:val="24"/>
        </w:rPr>
        <w:t>and duration</w:t>
      </w:r>
      <w:r w:rsidRPr="4EF8719D" w:rsidR="4085254F">
        <w:rPr>
          <w:sz w:val="24"/>
          <w:szCs w:val="24"/>
        </w:rPr>
        <w:t xml:space="preserve"> of strict </w:t>
      </w:r>
      <w:proofErr w:type="gramStart"/>
      <w:r w:rsidRPr="4EF8719D" w:rsidR="4085254F">
        <w:rPr>
          <w:sz w:val="24"/>
          <w:szCs w:val="24"/>
        </w:rPr>
        <w:t>immobilization</w:t>
      </w:r>
      <w:r w:rsidRPr="4EF8719D" w:rsidR="58D961CA">
        <w:rPr>
          <w:sz w:val="24"/>
          <w:szCs w:val="24"/>
        </w:rPr>
        <w:t>;</w:t>
      </w:r>
      <w:proofErr w:type="gramEnd"/>
    </w:p>
    <w:p w:rsidRPr="00171B6F" w:rsidR="00EF2859" w:rsidP="560E2E1C" w:rsidRDefault="5231903A" w14:paraId="52DAC085" w14:textId="7E8DF08D">
      <w:pPr>
        <w:pStyle w:val="ListParagraph"/>
        <w:numPr>
          <w:ilvl w:val="0"/>
          <w:numId w:val="34"/>
        </w:numPr>
        <w:spacing w:line="480" w:lineRule="auto"/>
        <w:jc w:val="both"/>
        <w:rPr>
          <w:sz w:val="24"/>
          <w:szCs w:val="24"/>
        </w:rPr>
      </w:pPr>
      <w:r w:rsidRPr="4CB37362">
        <w:rPr>
          <w:sz w:val="24"/>
          <w:szCs w:val="24"/>
        </w:rPr>
        <w:t>CRPS duration at inclusion</w:t>
      </w:r>
      <w:r w:rsidRPr="4CB37362" w:rsidR="344FF55C">
        <w:rPr>
          <w:sz w:val="24"/>
          <w:szCs w:val="24"/>
        </w:rPr>
        <w:t>, i.e.</w:t>
      </w:r>
      <w:r w:rsidRPr="4CB37362">
        <w:rPr>
          <w:sz w:val="24"/>
          <w:szCs w:val="24"/>
        </w:rPr>
        <w:t xml:space="preserve"> </w:t>
      </w:r>
      <w:r w:rsidRPr="4CB37362" w:rsidR="2609E45B">
        <w:rPr>
          <w:sz w:val="24"/>
          <w:szCs w:val="24"/>
        </w:rPr>
        <w:t xml:space="preserve">since </w:t>
      </w:r>
      <w:r w:rsidRPr="4CB37362">
        <w:rPr>
          <w:sz w:val="24"/>
          <w:szCs w:val="24"/>
        </w:rPr>
        <w:t xml:space="preserve">the beginning of the </w:t>
      </w:r>
      <w:r w:rsidRPr="4CB37362" w:rsidR="793A766F">
        <w:rPr>
          <w:sz w:val="24"/>
          <w:szCs w:val="24"/>
        </w:rPr>
        <w:t>sympt</w:t>
      </w:r>
      <w:r w:rsidRPr="4CB37362" w:rsidR="793A766F">
        <w:rPr>
          <w:rFonts w:eastAsiaTheme="minorEastAsia"/>
          <w:sz w:val="24"/>
          <w:szCs w:val="24"/>
        </w:rPr>
        <w:t>oms</w:t>
      </w:r>
      <w:r w:rsidRPr="4CB37362">
        <w:rPr>
          <w:rFonts w:eastAsiaTheme="minorEastAsia"/>
          <w:sz w:val="24"/>
          <w:szCs w:val="24"/>
        </w:rPr>
        <w:t xml:space="preserve"> and the </w:t>
      </w:r>
      <w:r w:rsidRPr="4CB37362" w:rsidR="60BC88F6">
        <w:rPr>
          <w:rFonts w:eastAsiaTheme="minorEastAsia"/>
          <w:sz w:val="24"/>
          <w:szCs w:val="24"/>
        </w:rPr>
        <w:t xml:space="preserve">duration since </w:t>
      </w:r>
      <w:r w:rsidRPr="4CB37362">
        <w:rPr>
          <w:rFonts w:eastAsiaTheme="minorEastAsia"/>
          <w:sz w:val="24"/>
          <w:szCs w:val="24"/>
        </w:rPr>
        <w:t>the initial event</w:t>
      </w:r>
      <w:r w:rsidRPr="4CB37362" w:rsidR="3C6FFA76">
        <w:rPr>
          <w:rFonts w:eastAsiaTheme="minorEastAsia"/>
          <w:sz w:val="24"/>
          <w:szCs w:val="24"/>
        </w:rPr>
        <w:t xml:space="preserve">. In case of </w:t>
      </w:r>
      <w:r w:rsidRPr="4CB37362" w:rsidR="7961FFD6">
        <w:rPr>
          <w:rFonts w:eastAsiaTheme="minorEastAsia"/>
          <w:sz w:val="24"/>
          <w:szCs w:val="24"/>
        </w:rPr>
        <w:t>presumed symptoms onset during cast immobilization, we added two weeks after the cast removal to determine the dat</w:t>
      </w:r>
      <w:r w:rsidRPr="4CB37362" w:rsidR="13B1CE4E">
        <w:rPr>
          <w:rFonts w:eastAsiaTheme="minorEastAsia"/>
          <w:sz w:val="24"/>
          <w:szCs w:val="24"/>
        </w:rPr>
        <w:t>e</w:t>
      </w:r>
      <w:r w:rsidRPr="4CB37362" w:rsidR="7961FFD6">
        <w:rPr>
          <w:rFonts w:eastAsiaTheme="minorEastAsia"/>
          <w:sz w:val="24"/>
          <w:szCs w:val="24"/>
        </w:rPr>
        <w:t xml:space="preserve"> of t</w:t>
      </w:r>
      <w:r w:rsidRPr="4CB37362" w:rsidR="7961FFD6">
        <w:rPr>
          <w:sz w:val="24"/>
          <w:szCs w:val="24"/>
        </w:rPr>
        <w:t>he CRPS onset</w:t>
      </w:r>
      <w:r w:rsidRPr="4CB37362" w:rsidR="1E0A27D1">
        <w:rPr>
          <w:sz w:val="24"/>
          <w:szCs w:val="24"/>
        </w:rPr>
        <w:t>. The aim was to ensure that</w:t>
      </w:r>
      <w:r w:rsidR="1E0A27D1">
        <w:t xml:space="preserve"> </w:t>
      </w:r>
      <w:r w:rsidRPr="4CB37362" w:rsidR="1E0A27D1">
        <w:rPr>
          <w:sz w:val="24"/>
          <w:szCs w:val="24"/>
        </w:rPr>
        <w:t xml:space="preserve">removal of the cast had not altered the </w:t>
      </w:r>
      <w:proofErr w:type="gramStart"/>
      <w:r w:rsidRPr="4CB37362" w:rsidR="1E0A27D1">
        <w:rPr>
          <w:sz w:val="24"/>
          <w:szCs w:val="24"/>
        </w:rPr>
        <w:t>symptoms</w:t>
      </w:r>
      <w:r w:rsidRPr="4CB37362" w:rsidR="6370776D">
        <w:rPr>
          <w:sz w:val="24"/>
          <w:szCs w:val="24"/>
        </w:rPr>
        <w:t>;</w:t>
      </w:r>
      <w:proofErr w:type="gramEnd"/>
    </w:p>
    <w:p w:rsidRPr="00171B6F" w:rsidR="00EF2859" w:rsidP="560E2E1C" w:rsidRDefault="50FBD3B2" w14:paraId="2D188768" w14:textId="622169CB">
      <w:pPr>
        <w:pStyle w:val="ListParagraph"/>
        <w:numPr>
          <w:ilvl w:val="0"/>
          <w:numId w:val="34"/>
        </w:numPr>
        <w:spacing w:line="480" w:lineRule="auto"/>
        <w:jc w:val="both"/>
        <w:rPr>
          <w:sz w:val="24"/>
          <w:szCs w:val="24"/>
        </w:rPr>
      </w:pPr>
      <w:r w:rsidRPr="4EF8719D">
        <w:rPr>
          <w:sz w:val="24"/>
          <w:szCs w:val="24"/>
        </w:rPr>
        <w:t>Bone scintigraphy results (if performed [</w:t>
      </w:r>
      <w:r w:rsidRPr="4EF8719D" w:rsidR="6370776D">
        <w:rPr>
          <w:sz w:val="24"/>
          <w:szCs w:val="24"/>
        </w:rPr>
        <w:t xml:space="preserve">positive vs. </w:t>
      </w:r>
      <w:r w:rsidRPr="4EF8719D" w:rsidR="7C997DA9">
        <w:rPr>
          <w:sz w:val="24"/>
          <w:szCs w:val="24"/>
        </w:rPr>
        <w:t>n</w:t>
      </w:r>
      <w:r w:rsidRPr="4EF8719D" w:rsidR="61B1A4F9">
        <w:rPr>
          <w:sz w:val="24"/>
          <w:szCs w:val="24"/>
        </w:rPr>
        <w:t>o argument for CRPS diagnosis</w:t>
      </w:r>
      <w:r w:rsidRPr="4EF8719D" w:rsidR="5D6AEA57">
        <w:rPr>
          <w:sz w:val="24"/>
          <w:szCs w:val="24"/>
        </w:rPr>
        <w:t>]</w:t>
      </w:r>
      <w:r w:rsidRPr="4EF8719D" w:rsidR="1119CD76">
        <w:rPr>
          <w:sz w:val="24"/>
          <w:szCs w:val="24"/>
        </w:rPr>
        <w:t>)</w:t>
      </w:r>
      <w:r w:rsidRPr="4EF8719D" w:rsidR="6370776D">
        <w:rPr>
          <w:sz w:val="24"/>
          <w:szCs w:val="24"/>
        </w:rPr>
        <w:t>.</w:t>
      </w:r>
      <w:r w:rsidRPr="4EF8719D" w:rsidR="56640693">
        <w:rPr>
          <w:sz w:val="24"/>
          <w:szCs w:val="24"/>
        </w:rPr>
        <w:t xml:space="preserve"> </w:t>
      </w:r>
      <w:r w:rsidRPr="4EF8719D" w:rsidR="497D86DA">
        <w:rPr>
          <w:sz w:val="24"/>
          <w:szCs w:val="24"/>
        </w:rPr>
        <w:t xml:space="preserve">Although bone </w:t>
      </w:r>
      <w:r w:rsidRPr="4EF8719D" w:rsidR="094DCE35">
        <w:rPr>
          <w:sz w:val="24"/>
          <w:szCs w:val="24"/>
        </w:rPr>
        <w:t>scan</w:t>
      </w:r>
      <w:r w:rsidRPr="4EF8719D" w:rsidR="497D86DA">
        <w:rPr>
          <w:sz w:val="24"/>
          <w:szCs w:val="24"/>
        </w:rPr>
        <w:t xml:space="preserve"> is not recommended for diagnosing CRPS</w:t>
      </w:r>
      <w:r w:rsidRPr="4EF8719D" w:rsidR="79DA3B71">
        <w:rPr>
          <w:sz w:val="24"/>
          <w:szCs w:val="24"/>
        </w:rPr>
        <w:t xml:space="preserve"> </w:t>
      </w:r>
      <w:r w:rsidRPr="4EF8719D" w:rsidR="6730B083">
        <w:rPr>
          <w:sz w:val="24"/>
          <w:szCs w:val="24"/>
        </w:rPr>
        <w:fldChar w:fldCharType="begin"/>
      </w:r>
      <w:r w:rsidR="00A03CF2">
        <w:rPr>
          <w:sz w:val="24"/>
          <w:szCs w:val="24"/>
        </w:rPr>
        <w:instrText xml:space="preserve"> ADDIN ZOTERO_ITEM CSL_CITATION {"citationID":"cF15p3Iy","properties":{"formattedCitation":"(Goebel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4EF8719D" w:rsidR="6730B083">
        <w:rPr>
          <w:sz w:val="24"/>
          <w:szCs w:val="24"/>
        </w:rPr>
        <w:fldChar w:fldCharType="separate"/>
      </w:r>
      <w:r w:rsidRPr="008425F7" w:rsidR="008425F7">
        <w:rPr>
          <w:rFonts w:ascii="Calibri" w:hAnsi="Calibri" w:cs="Calibri"/>
          <w:sz w:val="24"/>
        </w:rPr>
        <w:t>(Goebel et al., 2021)</w:t>
      </w:r>
      <w:r w:rsidRPr="4EF8719D" w:rsidR="6730B083">
        <w:rPr>
          <w:sz w:val="24"/>
          <w:szCs w:val="24"/>
        </w:rPr>
        <w:fldChar w:fldCharType="end"/>
      </w:r>
      <w:r w:rsidRPr="4EF8719D" w:rsidR="497D86DA">
        <w:rPr>
          <w:sz w:val="24"/>
          <w:szCs w:val="24"/>
        </w:rPr>
        <w:t xml:space="preserve">, it is commonly used by some clinicians (despite the presumed </w:t>
      </w:r>
      <w:r w:rsidRPr="005C5A4A" w:rsidR="497D86DA">
        <w:rPr>
          <w:sz w:val="24"/>
          <w:szCs w:val="24"/>
        </w:rPr>
        <w:t xml:space="preserve">poor </w:t>
      </w:r>
      <w:r w:rsidRPr="005C5A4A" w:rsidR="002735B0">
        <w:rPr>
          <w:sz w:val="24"/>
          <w:szCs w:val="24"/>
        </w:rPr>
        <w:t>sensitivity</w:t>
      </w:r>
      <w:r w:rsidRPr="005C5A4A" w:rsidR="497D86DA">
        <w:rPr>
          <w:sz w:val="24"/>
          <w:szCs w:val="24"/>
        </w:rPr>
        <w:t xml:space="preserve">, </w:t>
      </w:r>
      <w:r w:rsidRPr="4EF8719D" w:rsidR="497D86DA">
        <w:rPr>
          <w:sz w:val="24"/>
          <w:szCs w:val="24"/>
        </w:rPr>
        <w:t xml:space="preserve">inducing false negative and misunderstanding </w:t>
      </w:r>
      <w:r w:rsidRPr="4EF8719D" w:rsidR="6730B083">
        <w:rPr>
          <w:sz w:val="24"/>
          <w:szCs w:val="24"/>
        </w:rPr>
        <w:fldChar w:fldCharType="begin"/>
      </w:r>
      <w:r w:rsidR="00A03CF2">
        <w:rPr>
          <w:sz w:val="24"/>
          <w:szCs w:val="24"/>
        </w:rPr>
        <w:instrText xml:space="preserve"> ADDIN ZOTERO_ITEM CSL_CITATION {"citationID":"68FAdHKI","properties":{"formattedCitation":"(Wertli et al., 2017)","plainCitation":"(Wertli et al., 2017)","noteIndex":0},"citationItems":[{"id":198,"uris":["http://zotero.org/users/8514361/items/8SSZ4MTU"],"itemData":{"id":198,"type":"article-journal","abstract":"Background\nSince 2007, the Budapest criteria are recommended for the diagnosis of Complex Regional Pain Syndrome (CRPS) 1. The usefulness of bone scintigraphy (BS, index test) for the diagnosis of CRPS 1 remains controversial. Imperfect reference tests (RT) result in underestimation of the diagnostic accuracy of BS. Further, biased results can occur when a dependency between the RT and BS exists., The objective was to assess the impact of different RTs, specifically the Budapest criteria, and the assumed imperfect nature of the RT on the diagnostic accuracy of BS. Further, we analyzed the association between baseline characteristics and positive BS in patients with CRPS 1.\n\nMethods\nSystematic literature review and Bayesian meta-analysis to assess the test accuracy of BS with and without accounting for the imperfect nature of the RT. We examined correlations (Spearman correlation coefficients / Wilcoxon tests) between baseline characteristics and the proportion of positive BS in patients with CRPS 1.\n\nResults\nThe pooled sensitivity was 0.804 (95% credible interval (CI) 0.225–1.0, 21 studies) and specificity 0.853 (95%CI 0.278–1.00). Sensitivity and specificity of BS increased when accounting for the imperfect nature of the RT. However, in studies using Budapest criteria as reference, the sensitivity decreased (0.551; 95% CI 0.046–1) and the specificity increased (0.935; 95% CI 0.306–1). Shorter disease duration and a higher proportion of males were associated with a higher proportion of positive BS (27 studies, disease duration &lt;52 weeks Wilcoxon test p = 0.047, female proportion Spearman correlation −0.63, p = 0.009).\n\nConclusion\nCompared to the accepted Budapest diagnostic criteria BS cannot be used to rule-in the diagnosis of CRPS 1. In patients with negative BS CRPS 1 is less likely the underlying illness. Studies using older or no diagnostic criteria should not be used to evaluate the diagnostic accuracy of BS in CRPS 1.","container-title":"PLoS ONE","DOI":"10.1371/journal.pone.0173688","ISSN":"1932-6203","issue":"3","journalAbbreviation":"PLoS One","note":"PMID: 28301606\nPMCID: PMC5354289","page":"e0173688","source":"PubMed Central","title":"Usefulness of bone scintigraphy for the diagnosis of Complex Regional Pain Syndrome 1: A systematic review and Bayesian meta-analysis","title-short":"Usefulness of bone scintigraphy for the diagnosis of Complex Regional Pain Syndrome 1","volume":"12","author":[{"family":"Wertli","given":"Maria M."},{"family":"Brunner","given":"Florian"},{"family":"Steurer","given":"Johann"},{"family":"Held","given":"Ulrike"}],"issued":{"date-parts":[["2017",3,16]]}}}],"schema":"https://github.com/citation-style-language/schema/raw/master/csl-citation.json"} </w:instrText>
      </w:r>
      <w:r w:rsidRPr="4EF8719D" w:rsidR="6730B083">
        <w:rPr>
          <w:sz w:val="24"/>
          <w:szCs w:val="24"/>
        </w:rPr>
        <w:fldChar w:fldCharType="separate"/>
      </w:r>
      <w:r w:rsidRPr="008425F7" w:rsidR="008425F7">
        <w:rPr>
          <w:rFonts w:ascii="Calibri" w:hAnsi="Calibri" w:cs="Calibri"/>
          <w:sz w:val="24"/>
        </w:rPr>
        <w:t>(Wertli et al., 2017)</w:t>
      </w:r>
      <w:r w:rsidRPr="4EF8719D" w:rsidR="6730B083">
        <w:rPr>
          <w:sz w:val="24"/>
          <w:szCs w:val="24"/>
        </w:rPr>
        <w:fldChar w:fldCharType="end"/>
      </w:r>
      <w:r w:rsidRPr="4EF8719D" w:rsidR="497D86DA">
        <w:rPr>
          <w:sz w:val="24"/>
          <w:szCs w:val="24"/>
        </w:rPr>
        <w:t>).</w:t>
      </w:r>
    </w:p>
    <w:p w:rsidRPr="00171B6F" w:rsidR="00EF2859" w:rsidP="560E2E1C" w:rsidRDefault="6730B083" w14:paraId="210F7980" w14:textId="77777777">
      <w:pPr>
        <w:spacing w:line="480" w:lineRule="auto"/>
        <w:jc w:val="both"/>
        <w:rPr>
          <w:i/>
          <w:iCs/>
          <w:sz w:val="24"/>
          <w:szCs w:val="24"/>
        </w:rPr>
      </w:pPr>
      <w:r w:rsidRPr="560E2E1C">
        <w:rPr>
          <w:i/>
          <w:iCs/>
          <w:sz w:val="24"/>
          <w:szCs w:val="24"/>
        </w:rPr>
        <w:t>CRPS clinical variables</w:t>
      </w:r>
    </w:p>
    <w:p w:rsidRPr="003A591E" w:rsidR="003A591E" w:rsidP="560E2E1C" w:rsidRDefault="744768AF" w14:paraId="7D681813" w14:textId="48F3CB14">
      <w:pPr>
        <w:pStyle w:val="ListParagraph"/>
        <w:numPr>
          <w:ilvl w:val="0"/>
          <w:numId w:val="34"/>
        </w:numPr>
        <w:spacing w:line="480" w:lineRule="auto"/>
        <w:jc w:val="both"/>
        <w:rPr>
          <w:sz w:val="24"/>
          <w:szCs w:val="24"/>
        </w:rPr>
      </w:pPr>
      <w:r w:rsidRPr="560E2E1C">
        <w:rPr>
          <w:sz w:val="24"/>
          <w:szCs w:val="24"/>
        </w:rPr>
        <w:t>Localization</w:t>
      </w:r>
      <w:r w:rsidRPr="560E2E1C" w:rsidR="001F6BFC">
        <w:rPr>
          <w:sz w:val="24"/>
          <w:szCs w:val="24"/>
        </w:rPr>
        <w:t xml:space="preserve">, and spreading of the initial localization to another part of the body, as defined by Goebel et al. </w:t>
      </w:r>
      <w:r w:rsidR="003A591E">
        <w:fldChar w:fldCharType="begin"/>
      </w:r>
      <w:r w:rsidR="00A03CF2">
        <w:instrText xml:space="preserve"> ADDIN ZOTERO_ITEM CSL_CITATION {"citationID":"6kDP462m","properties":{"formattedCitation":"(Goebel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003A591E">
        <w:fldChar w:fldCharType="separate"/>
      </w:r>
      <w:r w:rsidRPr="008425F7" w:rsidR="008425F7">
        <w:rPr>
          <w:rFonts w:ascii="Calibri" w:hAnsi="Calibri" w:cs="Calibri"/>
          <w:sz w:val="24"/>
        </w:rPr>
        <w:t>(Goebel et al., 2021)</w:t>
      </w:r>
      <w:r w:rsidR="003A591E">
        <w:fldChar w:fldCharType="end"/>
      </w:r>
      <w:r w:rsidRPr="560E2E1C" w:rsidR="001F6BFC">
        <w:rPr>
          <w:sz w:val="24"/>
          <w:szCs w:val="24"/>
        </w:rPr>
        <w:t>;</w:t>
      </w:r>
    </w:p>
    <w:p w:rsidRPr="005C5A4A" w:rsidR="00A870B9" w:rsidP="560E2E1C" w:rsidRDefault="00AB7D2E" w14:paraId="66DB25A9" w14:textId="04B79189">
      <w:pPr>
        <w:pStyle w:val="ListParagraph"/>
        <w:numPr>
          <w:ilvl w:val="0"/>
          <w:numId w:val="34"/>
        </w:numPr>
        <w:spacing w:line="480" w:lineRule="auto"/>
        <w:jc w:val="both"/>
        <w:rPr>
          <w:sz w:val="24"/>
          <w:szCs w:val="24"/>
        </w:rPr>
      </w:pPr>
      <w:r>
        <w:rPr>
          <w:sz w:val="24"/>
          <w:szCs w:val="24"/>
        </w:rPr>
        <w:t>R</w:t>
      </w:r>
      <w:r w:rsidRPr="4A67528F" w:rsidR="482740BB">
        <w:rPr>
          <w:sz w:val="24"/>
          <w:szCs w:val="24"/>
        </w:rPr>
        <w:t xml:space="preserve">esearch Budapest criteria and </w:t>
      </w:r>
      <w:r w:rsidRPr="0C2EDE46" w:rsidR="1F3596F5">
        <w:rPr>
          <w:sz w:val="24"/>
          <w:szCs w:val="24"/>
        </w:rPr>
        <w:t xml:space="preserve">CRPS severity </w:t>
      </w:r>
      <w:r w:rsidRPr="005C5A4A" w:rsidR="1F3596F5">
        <w:rPr>
          <w:sz w:val="24"/>
          <w:szCs w:val="24"/>
        </w:rPr>
        <w:t>score</w:t>
      </w:r>
      <w:r w:rsidRPr="005C5A4A" w:rsidR="667A9C4E">
        <w:rPr>
          <w:sz w:val="24"/>
          <w:szCs w:val="24"/>
        </w:rPr>
        <w:t xml:space="preserve"> </w:t>
      </w:r>
      <w:r w:rsidRPr="005C5A4A" w:rsidR="1417D7A1">
        <w:rPr>
          <w:sz w:val="24"/>
          <w:szCs w:val="24"/>
        </w:rPr>
        <w:t>(CSS)</w:t>
      </w:r>
      <w:r w:rsidRPr="005C5A4A" w:rsidR="4D20B3EA">
        <w:rPr>
          <w:sz w:val="24"/>
          <w:szCs w:val="24"/>
        </w:rPr>
        <w:t xml:space="preserve"> </w:t>
      </w:r>
      <w:r w:rsidRPr="005C5A4A" w:rsidR="53114E03">
        <w:fldChar w:fldCharType="begin"/>
      </w:r>
      <w:r w:rsidRPr="005C5A4A" w:rsidR="00A03CF2">
        <w:instrText xml:space="preserve"> ADDIN ZOTERO_ITEM CSL_CITATION {"citationID":"JyuPrWrV","properties":{"formattedCitation":"(Harden et al., 2017)","plainCitation":"(Harden et al., 2017)","noteIndex":0},"citationItems":[{"id":"jyRXZ8R7/NopSkdZR","uris":["http://zotero.org/users/8777725/items/FJKK5TAH"],"itemData":{"id":884,"type":"article-journal","abstract":"Clinical diagnosis of complex regional pain syndrome (CRPS) is a dichotomous (yes/no) categorization, a format necessary for clinical decision making. Such dichotomous diagnostic categories do not convey an individual's subtle gradations in the severity of the condition over time and have poor statistical power when used as an outcome measure in research. This prospective, international, multicenter study slightly modified and further evaluated the validity of the CRPS Severity Score (CSS), a continuous index of CRPS severity. Using a prospective design, medical evaluations were conducted in 156 patients with CRPS to compare changes over time in CSS scores between patients initiating a new treatment program and patients on stable treatment regimens. New vs stable categorizations were supported by greater changes in pain and function in the former. Results indicated that CSS values in the stable CRPS treatment group exhibited much less change over time relative to the new treatment group, with intraclass correlations nearly twice as large in the former. A calculated smallest real difference value revealed that a change in the CSS of ≥4.9 scale points would indicate real differences in CRPS symptomatology (with 95% confidence). Across groups, larger changes in CRPS features on the CSS over time were associated in the expected direction with greater changes in pain intensity, fatigue, social functioning, ability to engage in physical roles, and general well-being. The overall pattern of findings further supports the validity of the CSS as a measure of CRPS severity and suggests it may prove useful in clinical monitoring and outcomes research.","container-title":"Pain","DOI":"10.1097/j.pain.0000000000000927","ISSN":"1872-6623","issue":"8","journalAbbreviation":"Pain","language":"eng","note":"PMID: 28715350","page":"1430-1436","source":"PubMed","title":"A prospective, multisite, international validation of the Complex Regional Pain Syndrome Severity Score","volume":"158","author":[{"family":"Harden","given":"R. Norman"},{"family":"Maihofner","given":"Christian"},{"family":"Abousaad","given":"Elias"},{"family":"Vatine","given":"Jean-Jacques"},{"family":"Kirsling","given":"Amy"},{"family":"Perez","given":"Roberto S. G. M."},{"family":"Kuroda","given":"Maxine"},{"family":"Brunner","given":"Florian"},{"family":"Stanton-Hicks","given":"Michael"},{"family":"Marinus","given":"Johan"},{"family":"Hilten","given":"Jacobus J.","non-dropping-particle":"van"},{"family":"Mackey","given":"Sean"},{"family":"Birklein","given":"Frank"},{"family":"Schlereth","given":"Tanja"},{"family":"Mailis-Gagnon","given":"Angela"},{"family":"Graciosa","given":"Joe"},{"family":"Connoly","given":"Sara B."},{"family":"Dayanim","given":"David"},{"family":"Massey","given":"Michael"},{"family":"Frank","given":"Hadas"},{"family":"Livshitz","given":"Anatoly"},{"family":"Bruehl","given":"Stephen"}],"issued":{"date-parts":[["2017",8]]}}}],"schema":"https://github.com/citation-style-language/schema/raw/master/csl-citation.json"} </w:instrText>
      </w:r>
      <w:r w:rsidRPr="005C5A4A" w:rsidR="53114E03">
        <w:fldChar w:fldCharType="separate"/>
      </w:r>
      <w:r w:rsidRPr="005C5A4A" w:rsidR="00AE5EAD">
        <w:rPr>
          <w:rFonts w:ascii="Calibri" w:hAnsi="Calibri" w:cs="Calibri"/>
          <w:sz w:val="24"/>
        </w:rPr>
        <w:t>(Harden et al., 2017)</w:t>
      </w:r>
      <w:r w:rsidRPr="005C5A4A" w:rsidR="53114E03">
        <w:fldChar w:fldCharType="end"/>
      </w:r>
      <w:r w:rsidRPr="005C5A4A" w:rsidR="00AE5EAD">
        <w:t>;</w:t>
      </w:r>
    </w:p>
    <w:p w:rsidRPr="00171B6F" w:rsidR="3B671027" w:rsidP="560E2E1C" w:rsidRDefault="1FE98982" w14:paraId="738818EA" w14:textId="54131595">
      <w:pPr>
        <w:pStyle w:val="ListParagraph"/>
        <w:numPr>
          <w:ilvl w:val="0"/>
          <w:numId w:val="34"/>
        </w:numPr>
        <w:spacing w:line="480" w:lineRule="auto"/>
        <w:jc w:val="both"/>
        <w:rPr>
          <w:sz w:val="24"/>
          <w:szCs w:val="24"/>
        </w:rPr>
      </w:pPr>
      <w:r w:rsidRPr="560E2E1C">
        <w:rPr>
          <w:sz w:val="24"/>
          <w:szCs w:val="24"/>
        </w:rPr>
        <w:t>Neuropathic si</w:t>
      </w:r>
      <w:r w:rsidRPr="560E2E1C" w:rsidR="6D0D6C1A">
        <w:rPr>
          <w:sz w:val="24"/>
          <w:szCs w:val="24"/>
        </w:rPr>
        <w:t xml:space="preserve">gns </w:t>
      </w:r>
      <w:r w:rsidR="1795A73C">
        <w:fldChar w:fldCharType="begin"/>
      </w:r>
      <w:r w:rsidR="00A03CF2">
        <w:instrText xml:space="preserve"> ADDIN ZOTERO_ITEM CSL_CITATION {"citationID":"dV8QCJmh","properties":{"formattedCitation":"(Goebel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1795A73C">
        <w:fldChar w:fldCharType="separate"/>
      </w:r>
      <w:r w:rsidRPr="008425F7" w:rsidR="008425F7">
        <w:rPr>
          <w:rFonts w:ascii="Calibri" w:hAnsi="Calibri" w:cs="Calibri"/>
          <w:sz w:val="24"/>
        </w:rPr>
        <w:t>(Goebel et al., 2021)</w:t>
      </w:r>
      <w:r w:rsidR="1795A73C">
        <w:fldChar w:fldCharType="end"/>
      </w:r>
      <w:r w:rsidRPr="560E2E1C">
        <w:rPr>
          <w:sz w:val="24"/>
          <w:szCs w:val="24"/>
        </w:rPr>
        <w:t>: hypoalgesia, allodynia (to touch, pressure, cold, and joint mobilisation)</w:t>
      </w:r>
      <w:r w:rsidRPr="560E2E1C" w:rsidR="2A76282B">
        <w:rPr>
          <w:sz w:val="24"/>
          <w:szCs w:val="24"/>
        </w:rPr>
        <w:t>, hyperalgesia to pinprick</w:t>
      </w:r>
      <w:r w:rsidRPr="4A67528F" w:rsidR="534B7CD1">
        <w:rPr>
          <w:sz w:val="24"/>
          <w:szCs w:val="24"/>
        </w:rPr>
        <w:t xml:space="preserve"> stimul</w:t>
      </w:r>
      <w:r w:rsidR="00AB7D2E">
        <w:rPr>
          <w:sz w:val="24"/>
          <w:szCs w:val="24"/>
        </w:rPr>
        <w:t>us</w:t>
      </w:r>
      <w:r w:rsidRPr="4A67528F" w:rsidR="125B5603">
        <w:rPr>
          <w:sz w:val="24"/>
          <w:szCs w:val="24"/>
        </w:rPr>
        <w:t>;</w:t>
      </w:r>
    </w:p>
    <w:p w:rsidRPr="00171B6F" w:rsidR="38B0DA8A" w:rsidP="560E2E1C" w:rsidRDefault="55972556" w14:paraId="792D3A8E" w14:textId="663736B9">
      <w:pPr>
        <w:pStyle w:val="ListParagraph"/>
        <w:numPr>
          <w:ilvl w:val="0"/>
          <w:numId w:val="34"/>
        </w:numPr>
        <w:spacing w:line="480" w:lineRule="auto"/>
        <w:jc w:val="both"/>
        <w:rPr>
          <w:sz w:val="24"/>
          <w:szCs w:val="24"/>
        </w:rPr>
      </w:pPr>
      <w:r w:rsidRPr="560E2E1C">
        <w:rPr>
          <w:sz w:val="24"/>
          <w:szCs w:val="24"/>
        </w:rPr>
        <w:t>Vasomotor</w:t>
      </w:r>
      <w:r w:rsidRPr="4A67528F" w:rsidR="4FBD223D">
        <w:rPr>
          <w:sz w:val="24"/>
          <w:szCs w:val="24"/>
        </w:rPr>
        <w:t xml:space="preserve"> signs</w:t>
      </w:r>
      <w:r w:rsidRPr="560E2E1C">
        <w:rPr>
          <w:sz w:val="24"/>
          <w:szCs w:val="24"/>
        </w:rPr>
        <w:t>:</w:t>
      </w:r>
      <w:r w:rsidRPr="560E2E1C">
        <w:rPr>
          <w:b/>
          <w:bCs/>
          <w:sz w:val="24"/>
          <w:szCs w:val="24"/>
        </w:rPr>
        <w:t xml:space="preserve"> </w:t>
      </w:r>
      <w:r w:rsidRPr="560E2E1C">
        <w:rPr>
          <w:sz w:val="24"/>
          <w:szCs w:val="24"/>
        </w:rPr>
        <w:t xml:space="preserve"> skin temperature </w:t>
      </w:r>
      <w:r w:rsidRPr="560E2E1C" w:rsidR="232152DF">
        <w:rPr>
          <w:sz w:val="24"/>
          <w:szCs w:val="24"/>
        </w:rPr>
        <w:t xml:space="preserve">difference between </w:t>
      </w:r>
      <w:r w:rsidRPr="560E2E1C">
        <w:rPr>
          <w:sz w:val="24"/>
          <w:szCs w:val="24"/>
        </w:rPr>
        <w:t>the affected and contralateral limb (mean of 3 measures at the same point using a digital infrared thermometer</w:t>
      </w:r>
      <w:r w:rsidRPr="560E2E1C" w:rsidR="232152DF">
        <w:rPr>
          <w:sz w:val="24"/>
          <w:szCs w:val="24"/>
        </w:rPr>
        <w:t xml:space="preserve"> </w:t>
      </w:r>
      <w:r w:rsidRPr="560E2E1C" w:rsidR="48EE9FEA">
        <w:rPr>
          <w:sz w:val="24"/>
          <w:szCs w:val="24"/>
        </w:rPr>
        <w:t>[</w:t>
      </w:r>
      <w:proofErr w:type="spellStart"/>
      <w:r w:rsidRPr="560E2E1C" w:rsidR="06EC3A26">
        <w:rPr>
          <w:sz w:val="24"/>
          <w:szCs w:val="24"/>
        </w:rPr>
        <w:t>Tempett</w:t>
      </w:r>
      <w:proofErr w:type="spellEnd"/>
      <w:r w:rsidRPr="560E2E1C" w:rsidR="06EC3A26">
        <w:rPr>
          <w:sz w:val="24"/>
          <w:szCs w:val="24"/>
        </w:rPr>
        <w:t xml:space="preserve">, </w:t>
      </w:r>
      <w:proofErr w:type="spellStart"/>
      <w:r w:rsidRPr="560E2E1C" w:rsidR="06EC3A26">
        <w:rPr>
          <w:sz w:val="24"/>
          <w:szCs w:val="24"/>
        </w:rPr>
        <w:t>SENSELab</w:t>
      </w:r>
      <w:proofErr w:type="spellEnd"/>
      <w:r w:rsidRPr="560E2E1C" w:rsidR="06EC3A26">
        <w:rPr>
          <w:sz w:val="24"/>
          <w:szCs w:val="24"/>
        </w:rPr>
        <w:t>, Sweden]</w:t>
      </w:r>
      <w:r w:rsidRPr="560E2E1C">
        <w:rPr>
          <w:sz w:val="24"/>
          <w:szCs w:val="24"/>
        </w:rPr>
        <w:t xml:space="preserve">), skin </w:t>
      </w:r>
      <w:proofErr w:type="spellStart"/>
      <w:r w:rsidRPr="560E2E1C">
        <w:rPr>
          <w:sz w:val="24"/>
          <w:szCs w:val="24"/>
        </w:rPr>
        <w:t>color</w:t>
      </w:r>
      <w:proofErr w:type="spellEnd"/>
      <w:r w:rsidRPr="560E2E1C">
        <w:rPr>
          <w:sz w:val="24"/>
          <w:szCs w:val="24"/>
        </w:rPr>
        <w:t xml:space="preserve"> asymmetry (reddish, pale, bluish, </w:t>
      </w:r>
      <w:r w:rsidRPr="560E2E1C" w:rsidR="4C112303">
        <w:rPr>
          <w:sz w:val="24"/>
          <w:szCs w:val="24"/>
        </w:rPr>
        <w:t xml:space="preserve">or </w:t>
      </w:r>
      <w:r w:rsidRPr="560E2E1C">
        <w:rPr>
          <w:sz w:val="24"/>
          <w:szCs w:val="24"/>
        </w:rPr>
        <w:t>mottled</w:t>
      </w:r>
      <w:proofErr w:type="gramStart"/>
      <w:r w:rsidRPr="560E2E1C">
        <w:rPr>
          <w:sz w:val="24"/>
          <w:szCs w:val="24"/>
        </w:rPr>
        <w:t>)</w:t>
      </w:r>
      <w:r w:rsidRPr="560E2E1C" w:rsidR="198627C7">
        <w:rPr>
          <w:sz w:val="24"/>
          <w:szCs w:val="24"/>
        </w:rPr>
        <w:t>;</w:t>
      </w:r>
      <w:proofErr w:type="gramEnd"/>
    </w:p>
    <w:p w:rsidRPr="00171B6F" w:rsidR="38B0DA8A" w:rsidP="560E2E1C" w:rsidRDefault="2DAD4CD4" w14:paraId="2E688101" w14:textId="12425BFC">
      <w:pPr>
        <w:pStyle w:val="ListParagraph"/>
        <w:numPr>
          <w:ilvl w:val="0"/>
          <w:numId w:val="34"/>
        </w:numPr>
        <w:spacing w:line="480" w:lineRule="auto"/>
        <w:jc w:val="both"/>
        <w:rPr>
          <w:sz w:val="24"/>
          <w:szCs w:val="24"/>
        </w:rPr>
      </w:pPr>
      <w:r w:rsidRPr="560E2E1C">
        <w:rPr>
          <w:sz w:val="24"/>
          <w:szCs w:val="24"/>
        </w:rPr>
        <w:t>Sudomotor</w:t>
      </w:r>
      <w:r w:rsidRPr="4A67528F" w:rsidR="7B2D3129">
        <w:rPr>
          <w:sz w:val="24"/>
          <w:szCs w:val="24"/>
        </w:rPr>
        <w:t xml:space="preserve"> signs</w:t>
      </w:r>
      <w:r w:rsidRPr="560E2E1C">
        <w:rPr>
          <w:sz w:val="24"/>
          <w:szCs w:val="24"/>
        </w:rPr>
        <w:t xml:space="preserve">: swelling or sweating </w:t>
      </w:r>
      <w:proofErr w:type="gramStart"/>
      <w:r w:rsidRPr="560E2E1C">
        <w:rPr>
          <w:sz w:val="24"/>
          <w:szCs w:val="24"/>
        </w:rPr>
        <w:t>asymmetry</w:t>
      </w:r>
      <w:r w:rsidRPr="560E2E1C" w:rsidR="4234FAE5">
        <w:rPr>
          <w:sz w:val="24"/>
          <w:szCs w:val="24"/>
        </w:rPr>
        <w:t>;</w:t>
      </w:r>
      <w:proofErr w:type="gramEnd"/>
    </w:p>
    <w:p w:rsidRPr="00171B6F" w:rsidR="1E8E505A" w:rsidP="0C2EDE46" w:rsidRDefault="3D29618D" w14:paraId="638871DF" w14:textId="6B61B9AD">
      <w:pPr>
        <w:pStyle w:val="ListParagraph"/>
        <w:numPr>
          <w:ilvl w:val="0"/>
          <w:numId w:val="34"/>
        </w:numPr>
        <w:spacing w:line="480" w:lineRule="auto"/>
        <w:jc w:val="both"/>
        <w:rPr>
          <w:sz w:val="24"/>
          <w:szCs w:val="24"/>
        </w:rPr>
      </w:pPr>
      <w:r w:rsidRPr="0C2EDE46">
        <w:rPr>
          <w:sz w:val="24"/>
          <w:szCs w:val="24"/>
        </w:rPr>
        <w:lastRenderedPageBreak/>
        <w:t>Trophic signs: skin disturbance (e.g., ulcer), hyper</w:t>
      </w:r>
      <w:r w:rsidR="00A85D80">
        <w:rPr>
          <w:sz w:val="24"/>
          <w:szCs w:val="24"/>
        </w:rPr>
        <w:t>/hypo</w:t>
      </w:r>
      <w:r w:rsidRPr="0C2EDE46">
        <w:rPr>
          <w:sz w:val="24"/>
          <w:szCs w:val="24"/>
        </w:rPr>
        <w:t>trichosis, increased/decreased</w:t>
      </w:r>
      <w:r w:rsidRPr="0C2EDE46">
        <w:rPr>
          <w:rFonts w:eastAsiaTheme="minorEastAsia"/>
          <w:sz w:val="24"/>
          <w:szCs w:val="24"/>
        </w:rPr>
        <w:t xml:space="preserve"> growth of </w:t>
      </w:r>
      <w:proofErr w:type="gramStart"/>
      <w:r w:rsidRPr="0C2EDE46">
        <w:rPr>
          <w:rFonts w:eastAsiaTheme="minorEastAsia"/>
          <w:sz w:val="24"/>
          <w:szCs w:val="24"/>
        </w:rPr>
        <w:t>fingernails</w:t>
      </w:r>
      <w:r w:rsidRPr="0C2EDE46" w:rsidR="4DCEFB16">
        <w:rPr>
          <w:rFonts w:eastAsiaTheme="minorEastAsia"/>
          <w:sz w:val="24"/>
          <w:szCs w:val="24"/>
        </w:rPr>
        <w:t>;</w:t>
      </w:r>
      <w:proofErr w:type="gramEnd"/>
    </w:p>
    <w:p w:rsidRPr="00171B6F" w:rsidR="00A870B9" w:rsidP="4EF8719D" w:rsidRDefault="2CAF3F00" w14:paraId="0040C4FA" w14:textId="447B9EE7">
      <w:pPr>
        <w:pStyle w:val="ListParagraph"/>
        <w:numPr>
          <w:ilvl w:val="0"/>
          <w:numId w:val="34"/>
        </w:numPr>
        <w:spacing w:line="480" w:lineRule="auto"/>
        <w:jc w:val="both"/>
        <w:rPr>
          <w:color w:val="FF0000"/>
          <w:sz w:val="24"/>
          <w:szCs w:val="24"/>
        </w:rPr>
      </w:pPr>
      <w:r w:rsidRPr="4EF8719D">
        <w:rPr>
          <w:rFonts w:eastAsiaTheme="minorEastAsia"/>
          <w:sz w:val="24"/>
          <w:szCs w:val="24"/>
        </w:rPr>
        <w:t xml:space="preserve">Motor </w:t>
      </w:r>
      <w:r w:rsidRPr="4EF8719D" w:rsidR="6F204394">
        <w:rPr>
          <w:rFonts w:eastAsiaTheme="minorEastAsia"/>
          <w:sz w:val="24"/>
          <w:szCs w:val="24"/>
        </w:rPr>
        <w:t>signs</w:t>
      </w:r>
      <w:r w:rsidRPr="4EF8719D">
        <w:rPr>
          <w:rFonts w:eastAsiaTheme="minorEastAsia"/>
          <w:sz w:val="24"/>
          <w:szCs w:val="24"/>
        </w:rPr>
        <w:t>:</w:t>
      </w:r>
      <w:r w:rsidRPr="4EF8719D" w:rsidR="7DD72D04">
        <w:rPr>
          <w:rFonts w:eastAsiaTheme="minorEastAsia"/>
          <w:sz w:val="24"/>
          <w:szCs w:val="24"/>
        </w:rPr>
        <w:t xml:space="preserve"> tremor, dystonia, </w:t>
      </w:r>
      <w:r w:rsidRPr="4EF8719D" w:rsidR="227450CC">
        <w:rPr>
          <w:rFonts w:eastAsiaTheme="minorEastAsia"/>
          <w:sz w:val="24"/>
          <w:szCs w:val="24"/>
        </w:rPr>
        <w:t xml:space="preserve">restricted </w:t>
      </w:r>
      <w:r w:rsidRPr="4EF8719D" w:rsidR="7DD72D04">
        <w:rPr>
          <w:rFonts w:eastAsiaTheme="minorEastAsia"/>
          <w:sz w:val="24"/>
          <w:szCs w:val="24"/>
        </w:rPr>
        <w:t xml:space="preserve">passive </w:t>
      </w:r>
      <w:r w:rsidRPr="4EF8719D" w:rsidR="5FF19F0E">
        <w:rPr>
          <w:rFonts w:eastAsiaTheme="minorEastAsia"/>
          <w:sz w:val="24"/>
          <w:szCs w:val="24"/>
        </w:rPr>
        <w:t>r</w:t>
      </w:r>
      <w:r w:rsidRPr="4EF8719D" w:rsidR="7DD72D04">
        <w:rPr>
          <w:rFonts w:eastAsiaTheme="minorEastAsia"/>
          <w:sz w:val="24"/>
          <w:szCs w:val="24"/>
        </w:rPr>
        <w:t xml:space="preserve">ange of </w:t>
      </w:r>
      <w:r w:rsidRPr="4EF8719D" w:rsidR="7039EC66">
        <w:rPr>
          <w:rFonts w:eastAsiaTheme="minorEastAsia"/>
          <w:sz w:val="24"/>
          <w:szCs w:val="24"/>
        </w:rPr>
        <w:t>m</w:t>
      </w:r>
      <w:r w:rsidRPr="4EF8719D" w:rsidR="7DD72D04">
        <w:rPr>
          <w:rFonts w:eastAsiaTheme="minorEastAsia"/>
          <w:sz w:val="24"/>
          <w:szCs w:val="24"/>
        </w:rPr>
        <w:t>otion (</w:t>
      </w:r>
      <w:proofErr w:type="spellStart"/>
      <w:r w:rsidRPr="4EF8719D" w:rsidR="7DD72D04">
        <w:rPr>
          <w:rFonts w:eastAsiaTheme="minorEastAsia"/>
          <w:sz w:val="24"/>
          <w:szCs w:val="24"/>
        </w:rPr>
        <w:t>RoM</w:t>
      </w:r>
      <w:proofErr w:type="spellEnd"/>
      <w:r w:rsidRPr="4EF8719D" w:rsidR="7DD72D04">
        <w:rPr>
          <w:rFonts w:eastAsiaTheme="minorEastAsia"/>
          <w:sz w:val="24"/>
          <w:szCs w:val="24"/>
        </w:rPr>
        <w:t>), weakness (</w:t>
      </w:r>
      <w:r w:rsidRPr="4EF8719D" w:rsidR="27C93188">
        <w:rPr>
          <w:rFonts w:eastAsiaTheme="minorEastAsia"/>
          <w:sz w:val="24"/>
          <w:szCs w:val="24"/>
        </w:rPr>
        <w:t xml:space="preserve">defined as a </w:t>
      </w:r>
      <w:r w:rsidRPr="4EF8719D" w:rsidR="381ECB3E">
        <w:rPr>
          <w:rFonts w:eastAsiaTheme="minorEastAsia"/>
          <w:sz w:val="24"/>
          <w:szCs w:val="24"/>
        </w:rPr>
        <w:t xml:space="preserve">Medical </w:t>
      </w:r>
      <w:r w:rsidRPr="4EF8719D" w:rsidR="4E865C3C">
        <w:rPr>
          <w:rFonts w:eastAsiaTheme="minorEastAsia"/>
          <w:sz w:val="24"/>
          <w:szCs w:val="24"/>
        </w:rPr>
        <w:t>Research</w:t>
      </w:r>
      <w:r w:rsidRPr="4EF8719D" w:rsidR="381ECB3E">
        <w:rPr>
          <w:rFonts w:eastAsiaTheme="minorEastAsia"/>
          <w:sz w:val="24"/>
          <w:szCs w:val="24"/>
        </w:rPr>
        <w:t xml:space="preserve"> Council (</w:t>
      </w:r>
      <w:r w:rsidRPr="4EF8719D" w:rsidR="206B8487">
        <w:rPr>
          <w:rFonts w:eastAsiaTheme="minorEastAsia"/>
          <w:sz w:val="24"/>
          <w:szCs w:val="24"/>
        </w:rPr>
        <w:t>MRC</w:t>
      </w:r>
      <w:r w:rsidRPr="4EF8719D" w:rsidR="27A26CFE">
        <w:rPr>
          <w:rFonts w:eastAsiaTheme="minorEastAsia"/>
          <w:sz w:val="24"/>
          <w:szCs w:val="24"/>
        </w:rPr>
        <w:t>)</w:t>
      </w:r>
      <w:r w:rsidRPr="4EF8719D" w:rsidR="206B8487">
        <w:rPr>
          <w:rFonts w:eastAsiaTheme="minorEastAsia"/>
          <w:sz w:val="24"/>
          <w:szCs w:val="24"/>
        </w:rPr>
        <w:t xml:space="preserve"> </w:t>
      </w:r>
      <w:r w:rsidRPr="4EF8719D" w:rsidR="7DD72D04">
        <w:rPr>
          <w:rFonts w:eastAsiaTheme="minorEastAsia"/>
          <w:sz w:val="24"/>
          <w:szCs w:val="24"/>
        </w:rPr>
        <w:t>scale</w:t>
      </w:r>
      <w:r w:rsidRPr="4EF8719D" w:rsidR="527E627A">
        <w:rPr>
          <w:rFonts w:eastAsiaTheme="minorEastAsia"/>
          <w:sz w:val="24"/>
          <w:szCs w:val="24"/>
        </w:rPr>
        <w:t xml:space="preserve"> </w:t>
      </w:r>
      <w:r w:rsidRPr="4EF8719D" w:rsidR="6C662DE2">
        <w:rPr>
          <w:rFonts w:eastAsiaTheme="minorEastAsia"/>
          <w:sz w:val="24"/>
          <w:szCs w:val="24"/>
        </w:rPr>
        <w:t>&lt;</w:t>
      </w:r>
      <w:r w:rsidRPr="4EF8719D" w:rsidR="527E627A">
        <w:rPr>
          <w:rFonts w:eastAsiaTheme="minorEastAsia"/>
          <w:sz w:val="24"/>
          <w:szCs w:val="24"/>
        </w:rPr>
        <w:t xml:space="preserve"> 5/5)</w:t>
      </w:r>
      <w:r w:rsidRPr="4EF8719D" w:rsidR="2B0B6BD7">
        <w:rPr>
          <w:rFonts w:eastAsiaTheme="minorEastAsia"/>
          <w:sz w:val="24"/>
          <w:szCs w:val="24"/>
        </w:rPr>
        <w:t xml:space="preserve">. We also </w:t>
      </w:r>
      <w:r w:rsidRPr="4EF8719D">
        <w:rPr>
          <w:rFonts w:eastAsiaTheme="minorEastAsia"/>
          <w:sz w:val="24"/>
          <w:szCs w:val="24"/>
        </w:rPr>
        <w:t xml:space="preserve">quantitatively </w:t>
      </w:r>
      <w:r w:rsidRPr="4EF8719D" w:rsidR="554D0C8F">
        <w:rPr>
          <w:rFonts w:eastAsiaTheme="minorEastAsia"/>
          <w:sz w:val="24"/>
          <w:szCs w:val="24"/>
        </w:rPr>
        <w:t xml:space="preserve">measured </w:t>
      </w:r>
      <w:r w:rsidR="00A85D80">
        <w:rPr>
          <w:rFonts w:eastAsiaTheme="minorEastAsia"/>
          <w:sz w:val="24"/>
          <w:szCs w:val="24"/>
        </w:rPr>
        <w:t>muscle</w:t>
      </w:r>
      <w:r w:rsidRPr="4EF8719D" w:rsidR="00A85D80">
        <w:rPr>
          <w:rFonts w:eastAsiaTheme="minorEastAsia"/>
          <w:sz w:val="24"/>
          <w:szCs w:val="24"/>
        </w:rPr>
        <w:t xml:space="preserve"> </w:t>
      </w:r>
      <w:r w:rsidRPr="4EF8719D" w:rsidR="5D8E09FC">
        <w:rPr>
          <w:rFonts w:eastAsiaTheme="minorEastAsia"/>
          <w:sz w:val="24"/>
          <w:szCs w:val="24"/>
        </w:rPr>
        <w:t xml:space="preserve">strength using </w:t>
      </w:r>
      <w:r w:rsidRPr="4EF8719D" w:rsidR="56F8D717">
        <w:rPr>
          <w:rFonts w:eastAsiaTheme="minorEastAsia"/>
          <w:sz w:val="24"/>
          <w:szCs w:val="24"/>
        </w:rPr>
        <w:t>a</w:t>
      </w:r>
      <w:r w:rsidRPr="4EF8719D" w:rsidR="2B0B6BD7">
        <w:rPr>
          <w:rFonts w:eastAsiaTheme="minorEastAsia"/>
          <w:sz w:val="24"/>
          <w:szCs w:val="24"/>
        </w:rPr>
        <w:t xml:space="preserve"> Jamar </w:t>
      </w:r>
      <w:r w:rsidRPr="4EF8719D" w:rsidR="452C1B90">
        <w:rPr>
          <w:rFonts w:eastAsiaTheme="minorEastAsia"/>
          <w:sz w:val="24"/>
          <w:szCs w:val="24"/>
        </w:rPr>
        <w:t xml:space="preserve">dynamometer </w:t>
      </w:r>
      <w:r w:rsidRPr="4EF8719D" w:rsidR="2B0B6BD7">
        <w:rPr>
          <w:rFonts w:eastAsiaTheme="minorEastAsia"/>
          <w:sz w:val="24"/>
          <w:szCs w:val="24"/>
        </w:rPr>
        <w:t xml:space="preserve">for </w:t>
      </w:r>
      <w:r w:rsidRPr="4EF8719D" w:rsidR="4B15A309">
        <w:rPr>
          <w:rFonts w:eastAsiaTheme="minorEastAsia"/>
          <w:sz w:val="24"/>
          <w:szCs w:val="24"/>
        </w:rPr>
        <w:t>upper extremity (</w:t>
      </w:r>
      <w:r w:rsidRPr="4EF8719D" w:rsidR="2B0B6BD7">
        <w:rPr>
          <w:rFonts w:eastAsiaTheme="minorEastAsia"/>
          <w:sz w:val="24"/>
          <w:szCs w:val="24"/>
        </w:rPr>
        <w:t>UE</w:t>
      </w:r>
      <w:r w:rsidRPr="4EF8719D" w:rsidR="5868F903">
        <w:rPr>
          <w:rFonts w:eastAsiaTheme="minorEastAsia"/>
          <w:sz w:val="24"/>
          <w:szCs w:val="24"/>
        </w:rPr>
        <w:t>)</w:t>
      </w:r>
      <w:r w:rsidRPr="4EF8719D" w:rsidR="5D8E09FC">
        <w:rPr>
          <w:rFonts w:eastAsiaTheme="minorEastAsia"/>
          <w:sz w:val="24"/>
          <w:szCs w:val="24"/>
        </w:rPr>
        <w:t xml:space="preserve"> CRPS</w:t>
      </w:r>
      <w:r w:rsidRPr="4EF8719D" w:rsidR="3BBA740F">
        <w:rPr>
          <w:rFonts w:eastAsiaTheme="minorEastAsia"/>
          <w:sz w:val="24"/>
          <w:szCs w:val="24"/>
        </w:rPr>
        <w:t>,</w:t>
      </w:r>
      <w:r w:rsidRPr="4EF8719D" w:rsidR="2B0B6BD7">
        <w:rPr>
          <w:rFonts w:eastAsiaTheme="minorEastAsia"/>
          <w:sz w:val="24"/>
          <w:szCs w:val="24"/>
        </w:rPr>
        <w:t xml:space="preserve"> </w:t>
      </w:r>
      <w:r w:rsidRPr="4EF8719D" w:rsidR="6380D522">
        <w:rPr>
          <w:rFonts w:eastAsiaTheme="minorEastAsia"/>
          <w:sz w:val="24"/>
          <w:szCs w:val="24"/>
        </w:rPr>
        <w:t xml:space="preserve">and </w:t>
      </w:r>
      <w:r w:rsidRPr="4EF8719D" w:rsidR="72F62606">
        <w:rPr>
          <w:rFonts w:eastAsiaTheme="minorEastAsia"/>
          <w:sz w:val="24"/>
          <w:szCs w:val="24"/>
        </w:rPr>
        <w:t xml:space="preserve">a </w:t>
      </w:r>
      <w:r w:rsidRPr="4EF8719D" w:rsidR="452C1B90">
        <w:rPr>
          <w:rFonts w:eastAsiaTheme="minorEastAsia"/>
          <w:sz w:val="24"/>
          <w:szCs w:val="24"/>
        </w:rPr>
        <w:t>hand-</w:t>
      </w:r>
      <w:r w:rsidRPr="4EF8719D" w:rsidR="459A274D">
        <w:rPr>
          <w:rFonts w:eastAsiaTheme="minorEastAsia"/>
          <w:sz w:val="24"/>
          <w:szCs w:val="24"/>
        </w:rPr>
        <w:t>dynamometer</w:t>
      </w:r>
      <w:r w:rsidRPr="4EF8719D" w:rsidR="452C1B90">
        <w:rPr>
          <w:rFonts w:eastAsiaTheme="minorEastAsia"/>
          <w:sz w:val="24"/>
          <w:szCs w:val="24"/>
        </w:rPr>
        <w:t xml:space="preserve"> (</w:t>
      </w:r>
      <w:r w:rsidRPr="4EF8719D" w:rsidR="6638F5CA">
        <w:rPr>
          <w:rFonts w:eastAsiaTheme="minorEastAsia"/>
          <w:sz w:val="24"/>
          <w:szCs w:val="24"/>
        </w:rPr>
        <w:t xml:space="preserve">quadriceps strength, </w:t>
      </w:r>
      <w:r w:rsidRPr="4EF8719D" w:rsidR="452C1B90">
        <w:rPr>
          <w:rFonts w:eastAsiaTheme="minorEastAsia"/>
          <w:sz w:val="24"/>
          <w:szCs w:val="24"/>
        </w:rPr>
        <w:t>isometric</w:t>
      </w:r>
      <w:r w:rsidRPr="4EF8719D" w:rsidR="6638F5CA">
        <w:rPr>
          <w:rFonts w:eastAsiaTheme="minorEastAsia"/>
          <w:sz w:val="24"/>
          <w:szCs w:val="24"/>
        </w:rPr>
        <w:t xml:space="preserve"> </w:t>
      </w:r>
      <w:r w:rsidRPr="4EF8719D" w:rsidR="452C1B90">
        <w:rPr>
          <w:rFonts w:eastAsiaTheme="minorEastAsia"/>
          <w:sz w:val="24"/>
          <w:szCs w:val="24"/>
        </w:rPr>
        <w:t xml:space="preserve">position at 60°) for </w:t>
      </w:r>
      <w:r w:rsidRPr="4EF8719D" w:rsidR="682950F7">
        <w:rPr>
          <w:rFonts w:eastAsiaTheme="minorEastAsia"/>
          <w:sz w:val="24"/>
          <w:szCs w:val="24"/>
        </w:rPr>
        <w:t>lower extremity (</w:t>
      </w:r>
      <w:r w:rsidRPr="4EF8719D" w:rsidR="452C1B90">
        <w:rPr>
          <w:rFonts w:eastAsiaTheme="minorEastAsia"/>
          <w:sz w:val="24"/>
          <w:szCs w:val="24"/>
        </w:rPr>
        <w:t>LE</w:t>
      </w:r>
      <w:r w:rsidRPr="4EF8719D" w:rsidR="5637B705">
        <w:rPr>
          <w:rFonts w:eastAsiaTheme="minorEastAsia"/>
          <w:sz w:val="24"/>
          <w:szCs w:val="24"/>
        </w:rPr>
        <w:t>)</w:t>
      </w:r>
      <w:r w:rsidRPr="4EF8719D" w:rsidR="6638F5CA">
        <w:rPr>
          <w:rFonts w:eastAsiaTheme="minorEastAsia"/>
          <w:sz w:val="24"/>
          <w:szCs w:val="24"/>
        </w:rPr>
        <w:t xml:space="preserve"> CRPS</w:t>
      </w:r>
      <w:r w:rsidRPr="4EF8719D" w:rsidR="452C1B90">
        <w:rPr>
          <w:rFonts w:eastAsiaTheme="minorEastAsia"/>
          <w:sz w:val="24"/>
          <w:szCs w:val="24"/>
        </w:rPr>
        <w:t>.</w:t>
      </w:r>
      <w:r w:rsidRPr="4EF8719D" w:rsidR="7D06F24B">
        <w:rPr>
          <w:rFonts w:eastAsiaTheme="minorEastAsia"/>
          <w:sz w:val="24"/>
          <w:szCs w:val="24"/>
        </w:rPr>
        <w:t xml:space="preserve"> </w:t>
      </w:r>
      <w:r w:rsidRPr="4EF8719D" w:rsidR="576DB139">
        <w:rPr>
          <w:rFonts w:eastAsiaTheme="minorEastAsia"/>
          <w:sz w:val="24"/>
          <w:szCs w:val="24"/>
        </w:rPr>
        <w:t>G</w:t>
      </w:r>
      <w:r w:rsidRPr="4EF8719D" w:rsidR="0E372F71">
        <w:rPr>
          <w:rFonts w:eastAsiaTheme="minorEastAsia"/>
          <w:sz w:val="24"/>
          <w:szCs w:val="24"/>
        </w:rPr>
        <w:t xml:space="preserve">rip testing </w:t>
      </w:r>
      <w:r w:rsidRPr="4EF8719D" w:rsidR="1F4F545F">
        <w:rPr>
          <w:rFonts w:eastAsiaTheme="minorEastAsia"/>
          <w:sz w:val="24"/>
          <w:szCs w:val="24"/>
        </w:rPr>
        <w:t>of UE</w:t>
      </w:r>
      <w:r w:rsidRPr="4EF8719D" w:rsidR="0E372F71">
        <w:rPr>
          <w:rFonts w:eastAsiaTheme="minorEastAsia"/>
          <w:sz w:val="24"/>
          <w:szCs w:val="24"/>
        </w:rPr>
        <w:t xml:space="preserve"> is commonly </w:t>
      </w:r>
      <w:r w:rsidRPr="4EF8719D" w:rsidR="4FA0BF87">
        <w:rPr>
          <w:rFonts w:eastAsiaTheme="minorEastAsia"/>
          <w:sz w:val="24"/>
          <w:szCs w:val="24"/>
        </w:rPr>
        <w:t>assessed</w:t>
      </w:r>
      <w:r w:rsidRPr="4EF8719D" w:rsidR="0E372F71">
        <w:rPr>
          <w:rFonts w:eastAsiaTheme="minorEastAsia"/>
          <w:sz w:val="24"/>
          <w:szCs w:val="24"/>
        </w:rPr>
        <w:t xml:space="preserve"> in CRPS</w:t>
      </w:r>
      <w:r w:rsidRPr="4EF8719D" w:rsidR="397275BC">
        <w:rPr>
          <w:rFonts w:eastAsiaTheme="minorEastAsia"/>
          <w:sz w:val="24"/>
          <w:szCs w:val="24"/>
        </w:rPr>
        <w:t xml:space="preserve"> </w:t>
      </w:r>
      <w:r w:rsidR="00A85D80">
        <w:rPr>
          <w:rFonts w:eastAsiaTheme="minorEastAsia"/>
          <w:sz w:val="24"/>
          <w:szCs w:val="24"/>
        </w:rPr>
        <w:t>research</w:t>
      </w:r>
      <w:r w:rsidRPr="4EF8719D" w:rsidR="4FA0BF87">
        <w:rPr>
          <w:rFonts w:eastAsiaTheme="minorEastAsia"/>
          <w:sz w:val="24"/>
          <w:szCs w:val="24"/>
        </w:rPr>
        <w:t xml:space="preserve">(e.g., </w:t>
      </w:r>
      <w:r w:rsidRPr="4EF8719D" w:rsidR="213A27BE">
        <w:rPr>
          <w:sz w:val="24"/>
          <w:szCs w:val="24"/>
        </w:rPr>
        <w:fldChar w:fldCharType="begin"/>
      </w:r>
      <w:r w:rsidR="00A03CF2">
        <w:rPr>
          <w:sz w:val="24"/>
          <w:szCs w:val="24"/>
        </w:rPr>
        <w:instrText xml:space="preserve"> ADDIN ZOTERO_ITEM CSL_CITATION {"citationID":"EwG2JbJe","properties":{"formattedCitation":"(Guti\\uc0\\u233{}rrez-Espinoza et al., 2022)","plainCitation":"(Gutiérrez-Espinoza et al., 2022)","noteIndex":0},"citationItems":[{"id":199,"uris":["http://zotero.org/users/8514361/items/5RIB3KQI"],"itemData":{"id":199,"type":"article-journal","abstract":"Background:\nNo published prospective studies have reported the clinical effects of\nphysiotherapy at 1-year follow-up in patients with complex regional pain\nsyndrome type I (CRPS I) after distal radius fracture (DRF). The purpose of\nthis study was to evaluate at 1-year follow-up the functional effects of\nphysiotherapy program in elderly patients with CRPS I after extra-articular\nDRF.\n\nMethods:\nA total of 72 patients with CRPS I after DRF were prospectively recruited.\nAll patients were treated with a 6-week supervised physiotherapy treatment.\nThree evaluations were performed: at the beginning, at the end of the\ntreatment, and at 1-year follow-up. Wrist function, upper limb function,\ngrip strength, and pain intensity were assessed with the Patient-Rated Wrist\nEvaluation (PRWE), Disabilities of the Arm, Shoulder, and Hand (DASH), Jamar\ndynamometer, and Visual Analogue Scale (VAS), respectively.\n\nResults:\nAt 1-year follow-up, the PRWE showed a decrease of 21.6 points (Cohen’s\nd = 2.8; 95% confidence interval [CI] = 18.6-24.6;\nP &lt; .05); the DASH showed a decrease of 23.8 points\n(Cohen’s d = 2.9; 95% CI = 20.8-26.7; P\n&lt; .05); grip strength showed an increase of 40.6% (Cohen’s\nd = 5.0; 95% CI = 43.5-37.6; P &lt;\n.05); and the VAS showed a decrease of 2.6 cm (Cohen’s d =\n1.9; 95% CI = 2.11-3.16; P &lt; .05).\n\nConclusion:\nAt 1-year follow-up, a physiotherapy program showed clinically and\nstatistically significant results in all functional outcomes in elderly\npatients with CRPS I after extra-articular DRF.","container-title":"Hand (New York, N.Y.)","DOI":"10.1177/15589447211063578","ISSN":"1558-9447","issue":"1 Suppl","journalAbbreviation":"Hand (N Y)","note":"PMID: 34963345\nPMCID: PMC9793620","page":"81S-86S","source":"PubMed Central","title":"Functional Outcomes After a Physiotherapy Program in Elderly Patients With Complex Regional Pain Syndrome Type I After Distal Radius Fracture: A Prospective Observational Study","title-short":"Functional Outcomes After a Physiotherapy Program in Elderly Patients With Complex Regional Pain Syndrome Type I After Distal Radius Fracture","volume":"17","author":[{"family":"Gutiérrez-Espinoza","given":"Héctor"},{"family":"Zavala-González","given":"Jonathan"},{"family":"Gutiérrez-Monclus","given":"Rodrigo"},{"family":"Araya-Quintanilla","given":"Felipe"}],"issued":{"date-parts":[["2022",12]]}}}],"schema":"https://github.com/citation-style-language/schema/raw/master/csl-citation.json"} </w:instrText>
      </w:r>
      <w:r w:rsidRPr="4EF8719D" w:rsidR="213A27BE">
        <w:rPr>
          <w:sz w:val="24"/>
          <w:szCs w:val="24"/>
        </w:rPr>
        <w:fldChar w:fldCharType="separate"/>
      </w:r>
      <w:r w:rsidRPr="008425F7" w:rsidR="008425F7">
        <w:rPr>
          <w:rFonts w:ascii="Calibri" w:hAnsi="Calibri" w:cs="Calibri"/>
          <w:sz w:val="24"/>
        </w:rPr>
        <w:t>(Gutiérrez-Espinoza et al., 2022)</w:t>
      </w:r>
      <w:r w:rsidRPr="4EF8719D" w:rsidR="213A27BE">
        <w:rPr>
          <w:sz w:val="24"/>
          <w:szCs w:val="24"/>
        </w:rPr>
        <w:fldChar w:fldCharType="end"/>
      </w:r>
      <w:r w:rsidRPr="4EF8719D" w:rsidR="4FA0BF87">
        <w:rPr>
          <w:rFonts w:eastAsiaTheme="minorEastAsia"/>
          <w:sz w:val="24"/>
          <w:szCs w:val="24"/>
        </w:rPr>
        <w:t>)</w:t>
      </w:r>
      <w:r w:rsidRPr="4EF8719D" w:rsidR="0E372F71">
        <w:rPr>
          <w:rFonts w:eastAsiaTheme="minorEastAsia"/>
          <w:sz w:val="24"/>
          <w:szCs w:val="24"/>
        </w:rPr>
        <w:t xml:space="preserve">, </w:t>
      </w:r>
      <w:r w:rsidRPr="4EF8719D" w:rsidR="6596CCF0">
        <w:rPr>
          <w:rFonts w:eastAsiaTheme="minorEastAsia"/>
          <w:sz w:val="24"/>
          <w:szCs w:val="24"/>
        </w:rPr>
        <w:t>we followed the instruction of the American Society of Hand Therapists</w:t>
      </w:r>
      <w:r w:rsidRPr="4EF8719D" w:rsidR="6E09BE21">
        <w:rPr>
          <w:rFonts w:eastAsiaTheme="minorEastAsia"/>
          <w:sz w:val="24"/>
          <w:szCs w:val="24"/>
        </w:rPr>
        <w:t xml:space="preserve"> </w:t>
      </w:r>
      <w:r w:rsidRPr="4EF8719D" w:rsidR="213A27BE">
        <w:rPr>
          <w:sz w:val="24"/>
          <w:szCs w:val="24"/>
        </w:rPr>
        <w:fldChar w:fldCharType="begin"/>
      </w:r>
      <w:r w:rsidR="00A03CF2">
        <w:rPr>
          <w:sz w:val="24"/>
          <w:szCs w:val="24"/>
        </w:rPr>
        <w:instrText xml:space="preserve"> ADDIN ZOTERO_ITEM CSL_CITATION {"citationID":"nlpiiwqE","properties":{"formattedCitation":"(Richards and Palmiter-Thomas, 1996)","plainCitation":"(Richards and Palmiter-Thomas, 1996)","noteIndex":0},"citationItems":[{"id":200,"uris":["http://zotero.org/users/8514361/items/VXL6EI6S"],"itemData":{"id":200,"type":"article-journal","abstract":"Isometric grip strength can be correlated with upper extremity and overall body strength. Changes in grip strength can be good indicators of the need for and th...","container-title":"Critical Reviews&amp;trade; in Physical and Rehabilitation Medicine","DOI":"10.1615/CritRevPhysRehabilMed.v8.i1-2.50","ISSN":"0896-2960, 2162-6553","issue":"1-2","journalAbbreviation":"CRP","language":"English","note":"publisher: Begel House Inc.","source":"www.dl.begellhouse.com","title":"Grip Strength Measurement: A Critical Review of Tools, Methods, and Clinical Utility","title-short":"Grip Strength Measurement","URL":"https://www.dl.begellhouse.com/journals/757fcb0219d89390,0d0bf4920727d6ec,4f8e35b4688aa08e.html","volume":"8","author":[{"family":"Richards","given":"Lorie"},{"family":"Palmiter-Thomas","given":"Pamela"}],"accessed":{"date-parts":[["2024",5,29]]},"issued":{"date-parts":[["1996"]]}}}],"schema":"https://github.com/citation-style-language/schema/raw/master/csl-citation.json"} </w:instrText>
      </w:r>
      <w:r w:rsidRPr="4EF8719D" w:rsidR="213A27BE">
        <w:rPr>
          <w:sz w:val="24"/>
          <w:szCs w:val="24"/>
        </w:rPr>
        <w:fldChar w:fldCharType="separate"/>
      </w:r>
      <w:r w:rsidRPr="008425F7" w:rsidR="008425F7">
        <w:rPr>
          <w:rFonts w:ascii="Calibri" w:hAnsi="Calibri" w:cs="Calibri"/>
          <w:sz w:val="24"/>
        </w:rPr>
        <w:t>(Richards and Palmiter-Thomas, 1996)</w:t>
      </w:r>
      <w:r w:rsidRPr="4EF8719D" w:rsidR="213A27BE">
        <w:rPr>
          <w:sz w:val="24"/>
          <w:szCs w:val="24"/>
        </w:rPr>
        <w:fldChar w:fldCharType="end"/>
      </w:r>
      <w:r w:rsidRPr="4EF8719D" w:rsidR="456E6232">
        <w:rPr>
          <w:rFonts w:eastAsiaTheme="minorEastAsia"/>
          <w:sz w:val="24"/>
          <w:szCs w:val="24"/>
        </w:rPr>
        <w:t xml:space="preserve">. </w:t>
      </w:r>
      <w:r w:rsidRPr="4EF8719D" w:rsidR="5E9FBB2D">
        <w:rPr>
          <w:rFonts w:eastAsiaTheme="minorEastAsia"/>
          <w:sz w:val="24"/>
          <w:szCs w:val="24"/>
        </w:rPr>
        <w:t>For LE, it has been show</w:t>
      </w:r>
      <w:r w:rsidRPr="4EF8719D" w:rsidR="0830CB4A">
        <w:rPr>
          <w:rFonts w:eastAsiaTheme="minorEastAsia"/>
          <w:sz w:val="24"/>
          <w:szCs w:val="24"/>
        </w:rPr>
        <w:t>n</w:t>
      </w:r>
      <w:r w:rsidRPr="4EF8719D" w:rsidR="5E9FBB2D">
        <w:rPr>
          <w:rFonts w:eastAsiaTheme="minorEastAsia"/>
          <w:sz w:val="24"/>
          <w:szCs w:val="24"/>
        </w:rPr>
        <w:t xml:space="preserve"> that </w:t>
      </w:r>
      <w:r w:rsidRPr="4EF8719D" w:rsidR="07A72E4F">
        <w:rPr>
          <w:rFonts w:eastAsiaTheme="minorEastAsia"/>
          <w:sz w:val="24"/>
          <w:szCs w:val="24"/>
        </w:rPr>
        <w:t xml:space="preserve">lower limb CRPS </w:t>
      </w:r>
      <w:r w:rsidRPr="4EF8719D" w:rsidR="5C8A3B97">
        <w:rPr>
          <w:rFonts w:eastAsiaTheme="minorEastAsia"/>
          <w:sz w:val="24"/>
          <w:szCs w:val="24"/>
        </w:rPr>
        <w:t xml:space="preserve">present a deficit of the knee extensor, even if this joint </w:t>
      </w:r>
      <w:r w:rsidRPr="4EF8719D" w:rsidR="2183BB8E">
        <w:rPr>
          <w:rFonts w:eastAsiaTheme="minorEastAsia"/>
          <w:sz w:val="24"/>
          <w:szCs w:val="24"/>
        </w:rPr>
        <w:t xml:space="preserve">is </w:t>
      </w:r>
      <w:r w:rsidRPr="4EF8719D" w:rsidR="5C8A3B97">
        <w:rPr>
          <w:rFonts w:eastAsiaTheme="minorEastAsia"/>
          <w:sz w:val="24"/>
          <w:szCs w:val="24"/>
        </w:rPr>
        <w:t xml:space="preserve">not directly involved (e.g. CRPS of the ankle) </w:t>
      </w:r>
      <w:r w:rsidRPr="4EF8719D" w:rsidR="213A27BE">
        <w:rPr>
          <w:sz w:val="24"/>
          <w:szCs w:val="24"/>
        </w:rPr>
        <w:fldChar w:fldCharType="begin"/>
      </w:r>
      <w:r w:rsidR="00A03CF2">
        <w:rPr>
          <w:sz w:val="24"/>
          <w:szCs w:val="24"/>
        </w:rPr>
        <w:instrText xml:space="preserve"> ADDIN ZOTERO_ITEM CSL_CITATION {"citationID":"h2Kmqbfy","properties":{"formattedCitation":"(Mouraux et al., 2021)","plainCitation":"(Mouraux et al., 2021)","noteIndex":0},"citationItems":[{"id":201,"uris":["http://zotero.org/users/8514361/items/9C4IFMIT"],"itemData":{"id":201,"type":"article-journal","abstract":"To study the long-term evolution of patients with lower-limb Complex Regional Pain Syndrome (CRPS), focusing on functional and proprioceptive aspects and quality of life. In 20 patients suffering from chronic distal lower-limb CRPS diagnosed using Budapest criteria, we assessed joint position sense and strength of the knee muscles at the CRPS and unaffected leg, functional exercise capacity, pain, CRPS severity score, quality of life and kinesiophobia. Similar assessments were performed in 20 age-matched controls. The joint position performance (at 45°) was significantly lower for the CRPS leg as compared to controls. The knee extensor strength of the CRPS leg was significantly reduced as compared to the unaffected leg (−27%) and controls (−42%). CRPS patients showed significantly reduced performance at the 6 min-walk test as compared to their age group predicted value and controls. Patients suffering from CRPS for 3.8 years in average still exhibit high pain, severity and kinesiophobia scores. Long-term deficits in strength and proprioceptive impairments are observed at the knee joint of the CRPS leg. This persistent functional disability has significant repercussions on the quality of life. We highlight the importance of including strength and proprioceptive exercises in the therapeutic approaches for CPRS patients.IMPLICATIONS FOR REHABILITATIONThe long-term evolution of patients suffering from lower-limb Complex Regional Pain Syndrome is associated with persistent disability, pain and impacts the quality of life.Strength, proprioceptive, functional and subjective assessments are necessary to better identify deficits.Rehabilitation should focus on the overall deficit of the affected and contralateral limb. The long-term evolution of patients suffering from lower-limb Complex Regional Pain Syndrome is associated with persistent disability, pain and impacts the quality of life. Strength, proprioceptive, functional and subjective assessments are necessary to better identify deficits. Rehabilitation should focus on the overall deficit of the affected and contralateral limb.","container-title":"Disability and Rehabilitation","DOI":"10.1080/09638288.2019.1650295","ISSN":"0963-8288","issue":"7","note":"publisher: Taylor &amp; Francis\n_eprint: https://doi.org/10.1080/09638288.2019.1650295\nPMID: 31411910","page":"967–975","source":"Taylor and Francis+NEJM","title":"The long-term effect of complex regional pain syndrome type 1 on disability and quality of life after foot injury","volume":"43","author":[{"family":"Mouraux","given":"Dominique"},{"family":"Lenoir","given":"Cédric"},{"family":"Tuna","given":"Turgay"},{"family":"Brassinne","given":"Eric"},{"family":"Sobczak","given":"Stéphane"}],"issued":{"date-parts":[["2021",3,27]]}}}],"schema":"https://github.com/citation-style-language/schema/raw/master/csl-citation.json"} </w:instrText>
      </w:r>
      <w:r w:rsidRPr="4EF8719D" w:rsidR="213A27BE">
        <w:rPr>
          <w:sz w:val="24"/>
          <w:szCs w:val="24"/>
        </w:rPr>
        <w:fldChar w:fldCharType="separate"/>
      </w:r>
      <w:r w:rsidRPr="008425F7" w:rsidR="008425F7">
        <w:rPr>
          <w:rFonts w:ascii="Calibri" w:hAnsi="Calibri" w:cs="Calibri"/>
          <w:sz w:val="24"/>
        </w:rPr>
        <w:t>(Mouraux et al., 2021)</w:t>
      </w:r>
      <w:r w:rsidRPr="4EF8719D" w:rsidR="213A27BE">
        <w:rPr>
          <w:sz w:val="24"/>
          <w:szCs w:val="24"/>
        </w:rPr>
        <w:fldChar w:fldCharType="end"/>
      </w:r>
      <w:r w:rsidRPr="4EF8719D" w:rsidR="07A72E4F">
        <w:rPr>
          <w:rFonts w:eastAsiaTheme="minorEastAsia"/>
          <w:sz w:val="24"/>
          <w:szCs w:val="24"/>
        </w:rPr>
        <w:t xml:space="preserve">. </w:t>
      </w:r>
      <w:r w:rsidRPr="4EF8719D" w:rsidR="08576484">
        <w:rPr>
          <w:rFonts w:eastAsiaTheme="minorEastAsia"/>
          <w:sz w:val="24"/>
          <w:szCs w:val="24"/>
        </w:rPr>
        <w:t>We therefore ch</w:t>
      </w:r>
      <w:r w:rsidRPr="4EF8719D" w:rsidR="591589D1">
        <w:rPr>
          <w:rFonts w:eastAsiaTheme="minorEastAsia"/>
          <w:sz w:val="24"/>
          <w:szCs w:val="24"/>
        </w:rPr>
        <w:t>o</w:t>
      </w:r>
      <w:r w:rsidRPr="4EF8719D" w:rsidR="08576484">
        <w:rPr>
          <w:rFonts w:eastAsiaTheme="minorEastAsia"/>
          <w:sz w:val="24"/>
          <w:szCs w:val="24"/>
        </w:rPr>
        <w:t xml:space="preserve">ose to assess quadriceps strength, which is essential for walking ability and gait control. </w:t>
      </w:r>
      <w:r w:rsidRPr="4EF8719D" w:rsidR="452C1B90">
        <w:rPr>
          <w:rFonts w:eastAsiaTheme="minorEastAsia"/>
          <w:sz w:val="24"/>
          <w:szCs w:val="24"/>
        </w:rPr>
        <w:t>The highest value of three trials was recorded</w:t>
      </w:r>
      <w:r w:rsidRPr="4EF8719D" w:rsidR="0D11C226">
        <w:rPr>
          <w:rFonts w:eastAsiaTheme="minorEastAsia"/>
          <w:sz w:val="24"/>
          <w:szCs w:val="24"/>
        </w:rPr>
        <w:t>.</w:t>
      </w:r>
      <w:r w:rsidRPr="4EF8719D" w:rsidR="219C3A66">
        <w:rPr>
          <w:rFonts w:eastAsiaTheme="minorEastAsia"/>
          <w:sz w:val="24"/>
          <w:szCs w:val="24"/>
        </w:rPr>
        <w:t xml:space="preserve"> </w:t>
      </w:r>
      <w:r w:rsidRPr="4EF8719D" w:rsidR="5F597768">
        <w:rPr>
          <w:rFonts w:eastAsiaTheme="minorEastAsia"/>
          <w:sz w:val="24"/>
          <w:szCs w:val="24"/>
        </w:rPr>
        <w:t xml:space="preserve">Then, </w:t>
      </w:r>
      <w:r w:rsidRPr="4EF8719D" w:rsidR="41F5C72B">
        <w:rPr>
          <w:rFonts w:eastAsiaTheme="minorEastAsia"/>
          <w:sz w:val="24"/>
          <w:szCs w:val="24"/>
        </w:rPr>
        <w:t xml:space="preserve">we computed a percentage relative to the unaffected side. </w:t>
      </w:r>
      <w:r w:rsidRPr="4EF8719D" w:rsidR="07182626">
        <w:rPr>
          <w:rFonts w:eastAsiaTheme="minorEastAsia"/>
          <w:sz w:val="24"/>
          <w:szCs w:val="24"/>
        </w:rPr>
        <w:t xml:space="preserve">These two continuous measures were </w:t>
      </w:r>
      <w:r w:rsidRPr="4EF8719D" w:rsidR="275DF1A4">
        <w:rPr>
          <w:rFonts w:eastAsiaTheme="minorEastAsia"/>
          <w:sz w:val="24"/>
          <w:szCs w:val="24"/>
        </w:rPr>
        <w:t>added after</w:t>
      </w:r>
      <w:r w:rsidRPr="4EF8719D" w:rsidR="07182626">
        <w:rPr>
          <w:rFonts w:eastAsiaTheme="minorEastAsia"/>
          <w:sz w:val="24"/>
          <w:szCs w:val="24"/>
        </w:rPr>
        <w:t xml:space="preserve"> the start of the study and were therefore not collected for all </w:t>
      </w:r>
      <w:proofErr w:type="gramStart"/>
      <w:r w:rsidRPr="4EF8719D" w:rsidR="07182626">
        <w:rPr>
          <w:sz w:val="24"/>
          <w:szCs w:val="24"/>
        </w:rPr>
        <w:t>participants</w:t>
      </w:r>
      <w:r w:rsidRPr="4EF8719D" w:rsidR="53B86970">
        <w:rPr>
          <w:sz w:val="24"/>
          <w:szCs w:val="24"/>
        </w:rPr>
        <w:t>;</w:t>
      </w:r>
      <w:proofErr w:type="gramEnd"/>
    </w:p>
    <w:p w:rsidRPr="00171B6F" w:rsidR="00171B6F" w:rsidP="560E2E1C" w:rsidRDefault="00171B6F" w14:paraId="3E7E9A53" w14:textId="199CD038">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sz w:val="24"/>
          <w:szCs w:val="24"/>
        </w:rPr>
        <w:t>Current treatment</w:t>
      </w:r>
      <w:r w:rsidRPr="560E2E1C" w:rsidR="2D7BE84C">
        <w:rPr>
          <w:rFonts w:ascii="Calibri" w:hAnsi="Calibri" w:eastAsia="Calibri" w:cs="Calibri"/>
          <w:sz w:val="24"/>
          <w:szCs w:val="24"/>
        </w:rPr>
        <w:t>.</w:t>
      </w:r>
    </w:p>
    <w:p w:rsidRPr="00171B6F" w:rsidR="00EF2859" w:rsidP="560E2E1C" w:rsidRDefault="5B293520" w14:paraId="635B2BAC" w14:textId="33A48E55">
      <w:pPr>
        <w:spacing w:line="480" w:lineRule="auto"/>
        <w:jc w:val="both"/>
        <w:rPr>
          <w:i/>
          <w:iCs/>
          <w:sz w:val="24"/>
          <w:szCs w:val="24"/>
        </w:rPr>
      </w:pPr>
      <w:r w:rsidRPr="560E2E1C">
        <w:rPr>
          <w:i/>
          <w:iCs/>
          <w:sz w:val="24"/>
          <w:szCs w:val="24"/>
        </w:rPr>
        <w:t>Revised-Bath-Complex Regional Pain Syndrome-Body Perception Disturbance Scale (</w:t>
      </w:r>
      <w:r w:rsidRPr="560E2E1C">
        <w:rPr>
          <w:rFonts w:ascii="Calibri" w:hAnsi="Calibri" w:eastAsia="Calibri" w:cs="Calibri"/>
          <w:i/>
          <w:iCs/>
          <w:color w:val="000000" w:themeColor="text1"/>
          <w:sz w:val="24"/>
          <w:szCs w:val="24"/>
        </w:rPr>
        <w:t>r-B-CRPS-</w:t>
      </w:r>
      <w:proofErr w:type="spellStart"/>
      <w:r w:rsidRPr="560E2E1C">
        <w:rPr>
          <w:rFonts w:ascii="Calibri" w:hAnsi="Calibri" w:eastAsia="Calibri" w:cs="Calibri"/>
          <w:i/>
          <w:iCs/>
          <w:color w:val="000000" w:themeColor="text1"/>
          <w:sz w:val="24"/>
          <w:szCs w:val="24"/>
        </w:rPr>
        <w:t>BPDS</w:t>
      </w:r>
      <w:proofErr w:type="spellEnd"/>
      <w:r w:rsidRPr="560E2E1C">
        <w:rPr>
          <w:rFonts w:ascii="Calibri" w:hAnsi="Calibri" w:eastAsia="Calibri" w:cs="Calibri"/>
          <w:i/>
          <w:iCs/>
          <w:color w:val="000000" w:themeColor="text1"/>
          <w:sz w:val="24"/>
          <w:szCs w:val="24"/>
        </w:rPr>
        <w:t>)</w:t>
      </w:r>
    </w:p>
    <w:p w:rsidRPr="00171B6F" w:rsidR="00EF2859" w:rsidP="0BEC6559" w:rsidRDefault="09CFB396" w14:paraId="4EC6C9C2" w14:textId="40E13B94">
      <w:pPr>
        <w:spacing w:before="120" w:after="0" w:line="480" w:lineRule="auto"/>
        <w:jc w:val="both"/>
        <w:rPr>
          <w:rFonts w:ascii="Calibri" w:hAnsi="Calibri" w:eastAsia="Calibri"/>
          <w:sz w:val="24"/>
          <w:szCs w:val="24"/>
        </w:rPr>
      </w:pPr>
      <w:r w:rsidRPr="00EDB706">
        <w:rPr>
          <w:rFonts w:ascii="Calibri" w:hAnsi="Calibri" w:eastAsia="Calibri" w:cs="Calibri"/>
          <w:color w:val="000000" w:themeColor="text1"/>
          <w:sz w:val="24"/>
          <w:szCs w:val="24"/>
        </w:rPr>
        <w:t xml:space="preserve">During the </w:t>
      </w:r>
      <w:r w:rsidR="00A85D80">
        <w:rPr>
          <w:rFonts w:ascii="Calibri" w:hAnsi="Calibri" w:eastAsia="Calibri" w:cs="Calibri"/>
          <w:color w:val="000000" w:themeColor="text1"/>
          <w:sz w:val="24"/>
          <w:szCs w:val="24"/>
        </w:rPr>
        <w:t xml:space="preserve">evaluation </w:t>
      </w:r>
      <w:r w:rsidRPr="00EDB706">
        <w:rPr>
          <w:rFonts w:ascii="Calibri" w:hAnsi="Calibri" w:eastAsia="Calibri" w:cs="Calibri"/>
          <w:color w:val="000000" w:themeColor="text1"/>
          <w:sz w:val="24"/>
          <w:szCs w:val="24"/>
        </w:rPr>
        <w:t>session, the p</w:t>
      </w:r>
      <w:r w:rsidRPr="00EDB706" w:rsidR="45157F4E">
        <w:rPr>
          <w:rFonts w:ascii="Calibri" w:hAnsi="Calibri" w:eastAsia="Calibri" w:cs="Calibri"/>
          <w:color w:val="000000" w:themeColor="text1"/>
          <w:sz w:val="24"/>
          <w:szCs w:val="24"/>
        </w:rPr>
        <w:t>articipants</w:t>
      </w:r>
      <w:r w:rsidRPr="00EDB706">
        <w:rPr>
          <w:rFonts w:ascii="Calibri" w:hAnsi="Calibri" w:eastAsia="Calibri" w:cs="Calibri"/>
          <w:color w:val="000000" w:themeColor="text1"/>
          <w:sz w:val="24"/>
          <w:szCs w:val="24"/>
        </w:rPr>
        <w:t xml:space="preserve"> filled in the </w:t>
      </w:r>
      <w:r w:rsidRPr="00EDB706" w:rsidR="72D3E9C2">
        <w:rPr>
          <w:rFonts w:ascii="Calibri" w:hAnsi="Calibri" w:eastAsia="Calibri" w:cs="Calibri"/>
          <w:color w:val="000000" w:themeColor="text1"/>
          <w:sz w:val="24"/>
          <w:szCs w:val="24"/>
        </w:rPr>
        <w:t>French-Canadian</w:t>
      </w:r>
      <w:r w:rsidRPr="00EDB706">
        <w:rPr>
          <w:rFonts w:ascii="Calibri" w:hAnsi="Calibri" w:eastAsia="Calibri" w:cs="Calibri"/>
          <w:color w:val="000000" w:themeColor="text1"/>
          <w:sz w:val="24"/>
          <w:szCs w:val="24"/>
        </w:rPr>
        <w:t xml:space="preserve"> version</w:t>
      </w:r>
      <w:r w:rsidRPr="00EDB706" w:rsidR="5615DFA4">
        <w:rPr>
          <w:rFonts w:ascii="Calibri" w:hAnsi="Calibri" w:cs="Calibri"/>
          <w:sz w:val="24"/>
          <w:szCs w:val="24"/>
        </w:rPr>
        <w:t xml:space="preserve"> [14]</w:t>
      </w:r>
      <w:r w:rsidRPr="00EDB706">
        <w:rPr>
          <w:rFonts w:ascii="Calibri" w:hAnsi="Calibri" w:eastAsia="Calibri" w:cs="Calibri"/>
          <w:color w:val="000000" w:themeColor="text1"/>
          <w:sz w:val="24"/>
          <w:szCs w:val="24"/>
        </w:rPr>
        <w:t xml:space="preserve"> of the </w:t>
      </w:r>
      <w:r w:rsidRPr="00EDB706" w:rsidR="365A244F">
        <w:rPr>
          <w:rFonts w:ascii="Calibri" w:hAnsi="Calibri" w:eastAsia="Calibri" w:cs="Calibri"/>
          <w:color w:val="000000" w:themeColor="text1"/>
          <w:sz w:val="24"/>
          <w:szCs w:val="24"/>
        </w:rPr>
        <w:t xml:space="preserve">recently revised </w:t>
      </w:r>
      <w:r w:rsidRPr="00EDB706">
        <w:rPr>
          <w:rFonts w:ascii="Calibri" w:hAnsi="Calibri" w:eastAsia="Calibri" w:cs="Calibri"/>
          <w:color w:val="000000" w:themeColor="text1"/>
          <w:sz w:val="24"/>
          <w:szCs w:val="24"/>
        </w:rPr>
        <w:t>B-CRPS-</w:t>
      </w:r>
      <w:proofErr w:type="spellStart"/>
      <w:r w:rsidRPr="00EDB706">
        <w:rPr>
          <w:rFonts w:ascii="Calibri" w:hAnsi="Calibri" w:eastAsia="Calibri" w:cs="Calibri"/>
          <w:color w:val="000000" w:themeColor="text1"/>
          <w:sz w:val="24"/>
          <w:szCs w:val="24"/>
        </w:rPr>
        <w:t>BPDS</w:t>
      </w:r>
      <w:proofErr w:type="spellEnd"/>
      <w:r w:rsidRPr="00EDB706">
        <w:rPr>
          <w:rFonts w:ascii="Calibri" w:hAnsi="Calibri" w:eastAsia="Calibri" w:cs="Calibri"/>
          <w:color w:val="000000" w:themeColor="text1"/>
          <w:sz w:val="24"/>
          <w:szCs w:val="24"/>
        </w:rPr>
        <w:t xml:space="preserve"> </w:t>
      </w:r>
      <w:r w:rsidRPr="00EDB706">
        <w:rPr>
          <w:rFonts w:ascii="Calibri" w:hAnsi="Calibri" w:eastAsia="Calibri"/>
        </w:rPr>
        <w:fldChar w:fldCharType="begin"/>
      </w:r>
      <w:r w:rsidR="00A03CF2">
        <w:rPr>
          <w:rFonts w:ascii="Calibri" w:hAnsi="Calibri" w:eastAsia="Calibri"/>
        </w:rPr>
        <w:instrText xml:space="preserve"> ADDIN ZOTERO_ITEM CSL_CITATION {"citationID":"1NtLpfIj","properties":{"formattedCitation":"[14]","plainCitation":"[14]","dontUpdate":true,"noteIndex":0},"citationItems":[{"id":"jyRXZ8R7/PWSTknkz","uris":["http://zotero.org/users/8777725/items/F9MFSUJG"],"itemData":{"id":858,"type":"article-journal","abstract":"Chronic pain is often accompanied by patient-reported distorted body perception and an altered kinesthesia (referring to the senses of limb position and limb movement), but the association between these deficits is unknown. The objectives of this study were to assess body perception and the senses of limb position and limb movement in complex regional pain syndrome (CRPS) and to test whether these variables are related to each other and to pain intensity. Thirteen patients with upper limb CRPS (mean pain intensity, 4.2 ± 2.4 out of 10) and 13 controls were recruited. Body perception was self-reported with a questionnaire, and the senses of limb position (task 1) and of limb movement (task 2) were assessed with a robotic system combined with a 2D virtual reality display. The results showed altered kinesthesia in the patients with CRPS compared with controls (all P &lt; .05). Moreover, in the CRPS group, greater pain intensity was associated with lower performance on task 2 (r = -.60; P &lt; .05). Although alterations in participants’ sense of limb position and limb movement were associated with each other (r = -.70, P &lt; .01), they were not related to the altered body perception (all P &gt; .26). Therefore, the results suggest that kinesthesia and body perception should be considered and evaluated separately in patients with CRPS.\nPerspective\nSenses of limb position and movement rely on sensorimotor integration. Both are altered in complex regional pain syndrome. However, they are not related to the subjective perception of the painful limb, and thus they should be assessed separately in rehabilitation.","container-title":"The Journal of Pain","DOI":"10.1016/j.jpain.2018.07.008","ISSN":"1526-5900","issue":"1","journalAbbreviation":"The Journal of Pain","language":"en","page":"17-27","source":"ScienceDirect","title":"Exploring the Relationships Between Altered Body Perception, Limb Position Sense, and Limb Movement Sense in Complex Regional Pain Syndrome","volume":"20","author":[{"family":"Brun","given":"Clémentine"},{"family":"Giorgi","given":"Nicolas"},{"family":"Pinard","given":"Anne-Marie"},{"family":"Gagné","given":"Martin"},{"family":"McCabe","given":"Candida S."},{"family":"Mercier","given":"Catherine"}],"issued":{"date-parts":[["2019",1,1]]}}}],"schema":"https://github.com/citation-style-language/schema/raw/master/csl-citation.json"} </w:instrText>
      </w:r>
      <w:r w:rsidRPr="00EDB706">
        <w:rPr>
          <w:rFonts w:ascii="Calibri" w:hAnsi="Calibri" w:eastAsia="Calibri"/>
        </w:rPr>
        <w:fldChar w:fldCharType="separate"/>
      </w:r>
      <w:r>
        <w:fldChar w:fldCharType="begin"/>
      </w:r>
      <w:r w:rsidR="00A03CF2">
        <w:instrText xml:space="preserve"> ADDIN ZOTERO_ITEM CSL_CITATION {"citationID":"mRFwXlSN","properties":{"formattedCitation":"(Ten Brink et al., 2021a)","plainCitation":"(Ten Brink et al., 2021a)","noteIndex":0},"citationItems":[{"id":"jyRXZ8R7/Cw69VMGX","uris":["http://zotero.org/users/8777725/items/DXA324BL"],"itemData":{"id":497,"type":"article-journal","abstract":"The Bath Complex Regional Pain Syndrome Body Perception Disturbance Scale (\"B-CRPS-BPDS\") measures alterations in body perception. We assessed its internal consistency, known group validity, construct validity, and associations with demographic and clinical characteristics. We also evaluated changes in, and baseline predictors of B-CRPS-BPDS scores at follow-up. We included people with CRPS (N = 114) and pain-free controls (N = 69). People with CRPS obtained higher scores than pain-free controls on all B-CRPS-BPDS items, except the item on attention. Because this item also had an insufficient corrected item-total correlation, we propose a revised B-CRPS-BPDS (r-B-CRPS-BPDS) excluding this item. The internal consistency of the r-B-CRPS-BPDS was good. The r-B-CRPS-BPDS showed a large positive relationship with \"motor neglect-like symptoms\", indicating good construct validity. The r-B-CRPS-BPDS showed positive relationships with pain intensity, fear of movement, depression, and upper limb disability. There were no independent relationships with handedness, affected side, affected limb, disease duration, CRPS severity score, tension, anger, fatigue, confusion, and vigour. Finally, r-B-CRPS-BPDS scores did not consistently change over time. Our results demonstrate the utility of the r-B-CRPS-BPDS for measuring body perception disturbances in CRPS. PERSPECTIVE: This article evaluates the validity of the Bath Complex Regional Pain Syndrome Body Perception Disturbance Scale (\"B-CRPS-BPDS\") in CRPS, and assesses relationships with demographic and clinical variables. The proposed revised B-CRPS-BPDS appears to be a valid measure of body perception disturbances in CRPS.","container-title":"The Journal of Pain","DOI":"10.1016/j.jpain.2021.04.007","ISSN":"1528-8447","issue":"11","journalAbbreviation":"J Pain","language":"eng","note":"PMID: 33964412","page":"1371-1384","source":"PubMed","title":"Validation of the Bath CRPS Body Perception Disturbance Scale","volume":"22","author":[{"family":"Ten Brink","given":"Antonia F."},{"family":"Halicka","given":"Monika"},{"family":"Vittersø","given":"Axel D."},{"family":"Jones","given":"Hannah G."},{"family":"Stanton","given":"Tasha R."},{"family":"Bultitude","given":"Janet H."}],"issued":{"date-parts":[["2021",11]]}}}],"schema":"https://github.com/citation-style-language/schema/raw/master/csl-citation.json"} </w:instrText>
      </w:r>
      <w:r>
        <w:fldChar w:fldCharType="separate"/>
      </w:r>
      <w:r w:rsidRPr="008425F7" w:rsidR="008425F7">
        <w:rPr>
          <w:rFonts w:ascii="Calibri" w:hAnsi="Calibri" w:cs="Calibri"/>
          <w:sz w:val="24"/>
        </w:rPr>
        <w:t>(Ten Brink et al., 2021a)</w:t>
      </w:r>
      <w:r>
        <w:fldChar w:fldCharType="end"/>
      </w:r>
      <w:r w:rsidRPr="00EDB706" w:rsidR="420F184A">
        <w:rPr>
          <w:rFonts w:ascii="Calibri" w:hAnsi="Calibri" w:eastAsia="Calibri" w:cs="Calibri"/>
          <w:color w:val="000000" w:themeColor="text1"/>
          <w:sz w:val="24"/>
          <w:szCs w:val="24"/>
        </w:rPr>
        <w:t xml:space="preserve"> </w:t>
      </w:r>
      <w:r w:rsidRPr="00EDB706" w:rsidR="6832146B">
        <w:rPr>
          <w:rFonts w:ascii="Calibri" w:hAnsi="Calibri" w:cs="Calibri"/>
          <w:sz w:val="24"/>
          <w:szCs w:val="24"/>
        </w:rPr>
        <w:t xml:space="preserve">to assess CRPS-specific </w:t>
      </w:r>
      <w:r w:rsidRPr="00EDB706">
        <w:rPr>
          <w:rFonts w:ascii="Calibri" w:hAnsi="Calibri" w:eastAsia="Calibri"/>
        </w:rPr>
        <w:fldChar w:fldCharType="end"/>
      </w:r>
      <w:r w:rsidRPr="00EDB706" w:rsidR="53F3DF0E">
        <w:rPr>
          <w:rFonts w:ascii="Calibri" w:hAnsi="Calibri" w:eastAsia="Calibri"/>
          <w:sz w:val="24"/>
          <w:szCs w:val="24"/>
        </w:rPr>
        <w:t xml:space="preserve">perceptual abnormalities of the painful limb </w:t>
      </w:r>
      <w:r w:rsidRPr="00EDB706">
        <w:rPr>
          <w:rFonts w:ascii="Calibri" w:hAnsi="Calibri" w:eastAsia="Calibri"/>
        </w:rPr>
        <w:fldChar w:fldCharType="begin"/>
      </w:r>
      <w:r w:rsidR="00A03CF2">
        <w:rPr>
          <w:rFonts w:ascii="Calibri" w:hAnsi="Calibri" w:eastAsia="Calibri"/>
        </w:rPr>
        <w:instrText xml:space="preserve"> ADDIN ZOTERO_ITEM CSL_CITATION {"citationID":"pBGteaWE","properties":{"formattedCitation":"(Lewis et al., 2007)","plainCitation":"(Lewis et al., 2007)","noteIndex":0},"citationItems":[{"id":"jyRXZ8R7/9fR8ozZr","uris":["http://zotero.org/users/8777725/items/BZBNGWRT"],"itemData":{"id":838,"type":"article-journal","abstract":"In spite of pain in the CRPS limb, clinical observations show patients pay little attention to, and fail to care for, their affected limb as if it were not part of their body. Literature describes this phenomenon in terms of neurological neglect-like symptoms. This qualitative study sought to explore the nature of the phenomenon with a view to providing insights into central mechanisms and the relationship with pain. Twenty-seven participants who met the IASP CRPS classification were interviewed using qualitative methods to explore feelings and perceptions about their affected body parts. These semi-structured interviews were analysed utilising principles of grounded theory. Participants revealed bizarre perceptions about a part of their body and expressed a desperate desire to amputate this part despite the prospect of further pain and functional loss. A mismatch was experienced between the sensation of the limb and how it looked. Anatomical parts of the CRPS limb were erased in mental representations of the affected area. Pain generated a raised consciousness of the limb yet there was a lack of awareness as to its position. These feelings were about the CRPS limb only as the remaining unaffected body was felt to be normal. Findings suggest that there is a complex interaction between pain, disturbances in body perception and central remapping. Clinically, findings support the use of treatments that target cortical areas, which may reduce body perception disturbance and pain. We propose that body perception disturbance is a more appropriate term than 'neglect-like' symptoms to describe this phenomenon.","container-title":"Pain","DOI":"10.1016/j.pain.2007.03.013","ISSN":"1872-6623","issue":"1-3","journalAbbreviation":"Pain","language":"eng","note":"PMID: 17509761","page":"111-119","source":"PubMed","title":"Body perception disturbance: a contribution to pain in complex regional pain syndrome (CRPS)","title-short":"Body perception disturbance","volume":"133","author":[{"family":"Lewis","given":"Jennifer S."},{"family":"Kersten","given":"Paula"},{"family":"McCabe","given":"Candida S."},{"family":"McPherson","given":"Kathryn M."},{"family":"Blake","given":"David R."}],"issued":{"date-parts":[["2007",12,15]]}}}],"schema":"https://github.com/citation-style-language/schema/raw/master/csl-citation.json"} </w:instrText>
      </w:r>
      <w:r w:rsidRPr="00EDB706">
        <w:rPr>
          <w:rFonts w:ascii="Calibri" w:hAnsi="Calibri" w:eastAsia="Calibri"/>
        </w:rPr>
        <w:fldChar w:fldCharType="separate"/>
      </w:r>
      <w:r w:rsidRPr="008425F7" w:rsidR="008425F7">
        <w:rPr>
          <w:rFonts w:ascii="Calibri" w:hAnsi="Calibri" w:cs="Calibri"/>
          <w:sz w:val="24"/>
        </w:rPr>
        <w:t>(Lewis et al., 2007)</w:t>
      </w:r>
      <w:r w:rsidRPr="00EDB706">
        <w:rPr>
          <w:rFonts w:ascii="Calibri" w:hAnsi="Calibri" w:eastAsia="Calibri"/>
        </w:rPr>
        <w:fldChar w:fldCharType="end"/>
      </w:r>
      <w:r w:rsidRPr="00EDB706" w:rsidR="2B588B70">
        <w:rPr>
          <w:rFonts w:ascii="Calibri" w:hAnsi="Calibri" w:eastAsia="Calibri" w:cs="Calibri"/>
          <w:color w:val="000000" w:themeColor="text1"/>
          <w:sz w:val="24"/>
          <w:szCs w:val="24"/>
        </w:rPr>
        <w:t>.</w:t>
      </w:r>
      <w:r w:rsidRPr="00EDB706" w:rsidR="4882FD38">
        <w:rPr>
          <w:rFonts w:ascii="Calibri" w:hAnsi="Calibri" w:eastAsia="Calibri"/>
          <w:sz w:val="24"/>
          <w:szCs w:val="24"/>
        </w:rPr>
        <w:t xml:space="preserve"> </w:t>
      </w:r>
      <w:r w:rsidRPr="00EDB706" w:rsidR="13E8BE4D">
        <w:rPr>
          <w:rFonts w:ascii="Calibri" w:hAnsi="Calibri" w:eastAsia="Calibri"/>
          <w:sz w:val="24"/>
          <w:szCs w:val="24"/>
        </w:rPr>
        <w:t>As the investigator ha</w:t>
      </w:r>
      <w:r w:rsidR="00A85D80">
        <w:rPr>
          <w:rFonts w:ascii="Calibri" w:hAnsi="Calibri" w:eastAsia="Calibri"/>
          <w:sz w:val="24"/>
          <w:szCs w:val="24"/>
        </w:rPr>
        <w:t>d</w:t>
      </w:r>
      <w:r w:rsidRPr="00EDB706" w:rsidR="13E8BE4D">
        <w:rPr>
          <w:rFonts w:ascii="Calibri" w:hAnsi="Calibri" w:eastAsia="Calibri"/>
          <w:sz w:val="24"/>
          <w:szCs w:val="24"/>
        </w:rPr>
        <w:t xml:space="preserve"> to draw the mental representation of the participant's limbs, the questionnaire was completed exclusively during the face-to-face assessment.</w:t>
      </w:r>
    </w:p>
    <w:p w:rsidRPr="00171B6F" w:rsidR="00EF2859" w:rsidP="560E2E1C" w:rsidRDefault="5B293520" w14:paraId="0987383D" w14:textId="510515F9">
      <w:pPr>
        <w:spacing w:before="120" w:after="0" w:line="480" w:lineRule="auto"/>
        <w:jc w:val="both"/>
        <w:rPr>
          <w:i/>
          <w:iCs/>
          <w:sz w:val="24"/>
          <w:szCs w:val="24"/>
        </w:rPr>
      </w:pPr>
      <w:r w:rsidRPr="560E2E1C">
        <w:rPr>
          <w:i/>
          <w:iCs/>
          <w:sz w:val="24"/>
          <w:szCs w:val="24"/>
        </w:rPr>
        <w:lastRenderedPageBreak/>
        <w:t>Quantitative Sensory Testing (QST)</w:t>
      </w:r>
    </w:p>
    <w:p w:rsidRPr="00171B6F" w:rsidR="0022E2AA" w:rsidP="5F7DF4C4" w:rsidRDefault="5FA25313" w14:paraId="29CA1A8C" w14:textId="1BAD0C07">
      <w:pPr>
        <w:spacing w:line="480" w:lineRule="auto"/>
        <w:jc w:val="both"/>
        <w:rPr>
          <w:rFonts w:ascii="Calibri" w:hAnsi="Calibri" w:eastAsia="Calibri" w:cs="Calibri"/>
          <w:sz w:val="24"/>
          <w:szCs w:val="24"/>
        </w:rPr>
      </w:pPr>
      <w:r w:rsidRPr="4EF8719D">
        <w:rPr>
          <w:sz w:val="24"/>
          <w:szCs w:val="24"/>
        </w:rPr>
        <w:t>A</w:t>
      </w:r>
      <w:r w:rsidRPr="4EF8719D" w:rsidR="2CAF3F00">
        <w:rPr>
          <w:sz w:val="24"/>
          <w:szCs w:val="24"/>
        </w:rPr>
        <w:t xml:space="preserve"> Quantitative Sensory Testing (QST) </w:t>
      </w:r>
      <w:r w:rsidRPr="4EF8719D" w:rsidR="3D22312E">
        <w:rPr>
          <w:sz w:val="24"/>
          <w:szCs w:val="24"/>
        </w:rPr>
        <w:t xml:space="preserve">was performed </w:t>
      </w:r>
      <w:r w:rsidRPr="4EF8719D" w:rsidR="2CAF3F00">
        <w:rPr>
          <w:sz w:val="24"/>
          <w:szCs w:val="24"/>
        </w:rPr>
        <w:t>based on the German Research Network on N</w:t>
      </w:r>
      <w:r w:rsidRPr="4EF8719D" w:rsidR="6A40D95E">
        <w:rPr>
          <w:sz w:val="24"/>
          <w:szCs w:val="24"/>
        </w:rPr>
        <w:t>europathic Pain (DFNS) protocol</w:t>
      </w:r>
      <w:r w:rsidRPr="4EF8719D" w:rsidR="18BE4E10">
        <w:rPr>
          <w:sz w:val="24"/>
          <w:szCs w:val="24"/>
        </w:rPr>
        <w:t xml:space="preserve"> (version 2.1 – 08.07.2010)</w:t>
      </w:r>
      <w:r w:rsidRPr="4EF8719D" w:rsidR="6A40D95E">
        <w:rPr>
          <w:sz w:val="24"/>
          <w:szCs w:val="24"/>
        </w:rPr>
        <w:t xml:space="preserve"> </w:t>
      </w:r>
      <w:r w:rsidR="0DF49999">
        <w:fldChar w:fldCharType="begin"/>
      </w:r>
      <w:r w:rsidR="00A03CF2">
        <w:instrText xml:space="preserve"> ADDIN ZOTERO_ITEM CSL_CITATION {"citationID":"UIP8kQlY","properties":{"formattedCitation":"(M\\uc0\\u252{}cke et al., 2021; Rolke et al., 2006a)","plainCitation":"(Mücke et al., 2021; Rolke et al., 2006a)","noteIndex":0},"citationItems":[{"id":"jyRXZ8R7/TMnQ4A0h","uris":["http://zotero.org/users/8777725/items/Q46WZKD4"],"itemData":{"id":427,"type":"article-journal","abstract":"The nationwide multicenter trials of the German Research Network on Neuropathic Pain (DFNS) aim to characterize the somatosensory phenotype of patients with neuropathic pain. For this purpose, we have implemented a standardized quantitative sensory testing (QST) protocol giving a complete profile for one region within 30 min. To judge plus or minus signs in patients we have now established age- and gender-matched absolute and relative QST reference values from 180 healthy subjects, assessed bilaterally over face, hand and foot. We determined thermal detection and pain thresholds including a test for paradoxical heat sensations, mechanical detection thresholds to von Frey filaments and a 64 Hz tuning fork, mechanical pain thresholds to pinprick stimuli and blunt pressure, stimulus/response-functions for pinprick and dynamic mechanical allodynia, and pain summation (wind-up ratio). QST parameters were region specific and age dependent. Pain thresholds were significantly lower in women than men. Detection thresholds were generally independent of gender. Reference data were normalized to the specific group means and variances (region, age, gender) by calculating z-scores. Due to confidence limits close to the respective limits of the possible data range, heat hypoalgesia, cold hypoalgesia, and mechanical hyperesthesia can hardly be diagnosed. Nevertheless, these parameters can be used for group comparisons. Sensitivity is enhanced by side-to-side comparisons by a factor ranging from 1.1 to 2.5. Relative comparisons across body regions do not offer advantages over absolute reference values. Application of this standardized QST protocol in patients and human surrogate models will allow to infer underlying mechanisms from somatosensory phenotypes.","container-title":"Pain","DOI":"10.1016/j.pain.2006.01.041","ISSN":"1872-6623","issue":"3","journalAbbreviation":"Pain","language":"eng","note":"PMID: 16697110","page":"231-243","source":"PubMed","title":"Quantitative sensory testing in the German Research Network on Neuropathic Pain (DFNS): standardized protocol and reference values","title-short":"Quantitative sensory testing in the German Research Network on Neuropathic Pain (DFNS)","volume":"123","author":[{"family":"Rolke","given":"R."},{"family":"Baron","given":"R."},{"family":"Maier","given":"C."},{"family":"Tölle","given":"T. R."},{"family":"Treede","given":"-D. R."},{"family":"Beyer","given":"A."},{"family":"Binder","given":"A."},{"family":"Birbaumer","given":"N."},{"family":"Birklein","given":"F."},{"family":"Bötefür","given":"I. C."},{"family":"Braune","given":"S."},{"family":"Flor","given":"H."},{"family":"Huge","given":"V."},{"family":"Klug","given":"R."},{"family":"Landwehrmeyer","given":"G. B."},{"family":"Magerl","given":"W."},{"family":"Maihöfner","given":"C."},{"family":"Rolko","given":"C."},{"family":"Schaub","given":"C."},{"family":"Scherens","given":"A."},{"family":"Sprenger","given":"T."},{"family":"Valet","given":"M."},{"family":"Wasserka","given":"B."}],"issued":{"date-parts":[["2006",8]]}}},{"id":"jyRXZ8R7/jKPkfWp0","uris":["http://zotero.org/users/8777725/items/QSBLW22W"],"itemData":{"id":1171,"type":"article-journal","abstract":"Quantitative sensory testing (QST) is a standardized and formalized clinical sensitivity test. Testing describes a subjective (psychophysical) method that entails a cooperation of the person to be examined. Within its framework, calibrated stimuli are applied to capture perception and pain thresholds, thus providing information on the presence of sensory plus or minus signs. The presented QST battery imitates natural thermal or mechanical stimuli. The aim is to acquire symptom patterns of sensory loss (for the functioning of the thick and thin nerve fibers) as well as a gain of function (hyperalgesia, allodynia, hyperpathia) with a simultaneous detection of cutaneous and deep tissue sensibility. Most of the tested QST parameters are normally distributed only after a logarithmic transformation (secondary normal distribution)—except the number of paradoxical heat sensations, of cold and heat pain thresholds, and vibration detection thresholds. A complete QST profile can be measured within 1 h. QST is suitable not only for clinical trials but also in practice as a diagnostic method to characterize the function of the somatosensory system—from the peripheral nerve fiber receptor to the projection pathways to the brain.","container-title":"Der Schmerz","DOI":"10.1007/s00482-015-0093-2","ISSN":"1432-2129","issue":"3","journalAbbreviation":"Schmerz","language":"en","page":"153-160","source":"Springer Link","title":"Quantitative sensory testing (QST). English version","volume":"35","author":[{"family":"Mücke","given":"M."},{"family":"Cuhls","given":"H."},{"family":"Radbruch","given":"L."},{"family":"Baron","given":"R."},{"family":"Maier","given":"C."},{"family":"Tölle","given":"T."},{"family":"Treede","given":"R.-D."},{"family":"Rolke","given":"R."}],"issued":{"date-parts":[["2021",11,1]]}}}],"schema":"https://github.com/citation-style-language/schema/raw/master/csl-citation.json"} </w:instrText>
      </w:r>
      <w:r w:rsidR="0DF49999">
        <w:fldChar w:fldCharType="separate"/>
      </w:r>
      <w:r w:rsidRPr="008425F7" w:rsidR="008425F7">
        <w:rPr>
          <w:rFonts w:ascii="Calibri" w:hAnsi="Calibri" w:cs="Calibri"/>
          <w:sz w:val="24"/>
        </w:rPr>
        <w:t>(Mücke et al., 2021; Rolke et al., 2006a)</w:t>
      </w:r>
      <w:r w:rsidR="0DF49999">
        <w:fldChar w:fldCharType="end"/>
      </w:r>
      <w:r w:rsidRPr="4EF8719D" w:rsidR="6A40D95E">
        <w:rPr>
          <w:sz w:val="24"/>
          <w:szCs w:val="24"/>
        </w:rPr>
        <w:t xml:space="preserve">. </w:t>
      </w:r>
      <w:r w:rsidRPr="4EF8719D" w:rsidR="2CAF3F00">
        <w:rPr>
          <w:sz w:val="24"/>
          <w:szCs w:val="24"/>
        </w:rPr>
        <w:t xml:space="preserve"> </w:t>
      </w:r>
      <w:r w:rsidRPr="4EF8719D" w:rsidR="7DD72D04">
        <w:rPr>
          <w:sz w:val="24"/>
          <w:szCs w:val="24"/>
        </w:rPr>
        <w:t>The instructions</w:t>
      </w:r>
      <w:r w:rsidRPr="4EF8719D" w:rsidR="2CAF3F00">
        <w:rPr>
          <w:sz w:val="24"/>
          <w:szCs w:val="24"/>
        </w:rPr>
        <w:t xml:space="preserve"> </w:t>
      </w:r>
      <w:r w:rsidRPr="4EF8719D" w:rsidR="06705AC4">
        <w:rPr>
          <w:sz w:val="24"/>
          <w:szCs w:val="24"/>
        </w:rPr>
        <w:t xml:space="preserve">were </w:t>
      </w:r>
      <w:r w:rsidRPr="4EF8719D" w:rsidR="4F82EFEE">
        <w:rPr>
          <w:sz w:val="24"/>
          <w:szCs w:val="24"/>
        </w:rPr>
        <w:t xml:space="preserve">freely </w:t>
      </w:r>
      <w:r w:rsidRPr="4EF8719D" w:rsidR="06705AC4">
        <w:rPr>
          <w:sz w:val="24"/>
          <w:szCs w:val="24"/>
        </w:rPr>
        <w:t>translated and adapted to French</w:t>
      </w:r>
      <w:r w:rsidRPr="4EF8719D" w:rsidR="4C3C76DF">
        <w:rPr>
          <w:sz w:val="24"/>
          <w:szCs w:val="24"/>
        </w:rPr>
        <w:t>-</w:t>
      </w:r>
      <w:r w:rsidRPr="4EF8719D" w:rsidR="06705AC4">
        <w:rPr>
          <w:sz w:val="24"/>
          <w:szCs w:val="24"/>
        </w:rPr>
        <w:t>speaker</w:t>
      </w:r>
      <w:r w:rsidRPr="4EF8719D" w:rsidR="65298B28">
        <w:rPr>
          <w:sz w:val="24"/>
          <w:szCs w:val="24"/>
        </w:rPr>
        <w:t>s</w:t>
      </w:r>
      <w:r w:rsidRPr="4EF8719D" w:rsidR="06705AC4">
        <w:rPr>
          <w:sz w:val="24"/>
          <w:szCs w:val="24"/>
        </w:rPr>
        <w:t xml:space="preserve">. </w:t>
      </w:r>
      <w:r w:rsidRPr="4EF8719D" w:rsidR="6A40D95E">
        <w:rPr>
          <w:sz w:val="24"/>
          <w:szCs w:val="24"/>
        </w:rPr>
        <w:t xml:space="preserve">We </w:t>
      </w:r>
      <w:r w:rsidRPr="4EF8719D" w:rsidR="7E35AA2F">
        <w:rPr>
          <w:sz w:val="24"/>
          <w:szCs w:val="24"/>
        </w:rPr>
        <w:t>measure</w:t>
      </w:r>
      <w:r w:rsidRPr="4EF8719D" w:rsidR="720AC79B">
        <w:rPr>
          <w:sz w:val="24"/>
          <w:szCs w:val="24"/>
        </w:rPr>
        <w:t>d</w:t>
      </w:r>
      <w:r w:rsidRPr="4EF8719D" w:rsidR="6A40D95E">
        <w:rPr>
          <w:sz w:val="24"/>
          <w:szCs w:val="24"/>
        </w:rPr>
        <w:t xml:space="preserve"> the following </w:t>
      </w:r>
      <w:r w:rsidRPr="4EF8719D" w:rsidR="1D9B9B39">
        <w:rPr>
          <w:sz w:val="24"/>
          <w:szCs w:val="24"/>
        </w:rPr>
        <w:t xml:space="preserve">parameters </w:t>
      </w:r>
      <w:r w:rsidRPr="4EF8719D" w:rsidR="720AC79B">
        <w:rPr>
          <w:sz w:val="24"/>
          <w:szCs w:val="24"/>
        </w:rPr>
        <w:t>on</w:t>
      </w:r>
      <w:r w:rsidRPr="4EF8719D" w:rsidR="6F0B52C8">
        <w:rPr>
          <w:sz w:val="24"/>
          <w:szCs w:val="24"/>
        </w:rPr>
        <w:t xml:space="preserve"> the most painful area of</w:t>
      </w:r>
      <w:r w:rsidRPr="4EF8719D" w:rsidR="6A40D95E">
        <w:rPr>
          <w:sz w:val="24"/>
          <w:szCs w:val="24"/>
        </w:rPr>
        <w:t xml:space="preserve"> the affected </w:t>
      </w:r>
      <w:r w:rsidRPr="4EF8719D" w:rsidR="2F8A0516">
        <w:rPr>
          <w:sz w:val="24"/>
          <w:szCs w:val="24"/>
        </w:rPr>
        <w:t xml:space="preserve">limb </w:t>
      </w:r>
      <w:r w:rsidRPr="4EF8719D" w:rsidR="6A40D95E">
        <w:rPr>
          <w:sz w:val="24"/>
          <w:szCs w:val="24"/>
        </w:rPr>
        <w:t>and</w:t>
      </w:r>
      <w:r w:rsidRPr="4EF8719D" w:rsidR="55D0A799">
        <w:rPr>
          <w:sz w:val="24"/>
          <w:szCs w:val="24"/>
        </w:rPr>
        <w:t xml:space="preserve"> </w:t>
      </w:r>
      <w:r w:rsidRPr="4EF8719D" w:rsidR="720AC79B">
        <w:rPr>
          <w:sz w:val="24"/>
          <w:szCs w:val="24"/>
        </w:rPr>
        <w:t>on</w:t>
      </w:r>
      <w:r w:rsidRPr="4EF8719D" w:rsidR="13CD2D5A">
        <w:rPr>
          <w:sz w:val="24"/>
          <w:szCs w:val="24"/>
        </w:rPr>
        <w:t xml:space="preserve"> the </w:t>
      </w:r>
      <w:r w:rsidRPr="4EF8719D" w:rsidR="05F2F08D">
        <w:rPr>
          <w:sz w:val="24"/>
          <w:szCs w:val="24"/>
        </w:rPr>
        <w:t xml:space="preserve">homologous </w:t>
      </w:r>
      <w:r w:rsidRPr="4EF8719D" w:rsidR="55D0A799">
        <w:rPr>
          <w:sz w:val="24"/>
          <w:szCs w:val="24"/>
        </w:rPr>
        <w:t>area of the</w:t>
      </w:r>
      <w:r w:rsidRPr="4EF8719D" w:rsidR="6A40D95E">
        <w:rPr>
          <w:sz w:val="24"/>
          <w:szCs w:val="24"/>
        </w:rPr>
        <w:t xml:space="preserve"> contralateral </w:t>
      </w:r>
      <w:r w:rsidRPr="4EF8719D" w:rsidR="08C3A9D2">
        <w:rPr>
          <w:sz w:val="24"/>
          <w:szCs w:val="24"/>
        </w:rPr>
        <w:t>limb</w:t>
      </w:r>
      <w:r w:rsidRPr="4EF8719D" w:rsidR="6A40D95E">
        <w:rPr>
          <w:sz w:val="24"/>
          <w:szCs w:val="24"/>
        </w:rPr>
        <w:t xml:space="preserve">: Cold Detection Threshold (CDT), </w:t>
      </w:r>
      <w:r w:rsidRPr="4EF8719D" w:rsidR="2AB16B73">
        <w:rPr>
          <w:sz w:val="24"/>
          <w:szCs w:val="24"/>
        </w:rPr>
        <w:t xml:space="preserve">Warm </w:t>
      </w:r>
      <w:r w:rsidRPr="4EF8719D" w:rsidR="6A40D95E">
        <w:rPr>
          <w:sz w:val="24"/>
          <w:szCs w:val="24"/>
        </w:rPr>
        <w:t>Detection Threshold (</w:t>
      </w:r>
      <w:proofErr w:type="spellStart"/>
      <w:r w:rsidRPr="4EF8719D" w:rsidR="5917F5B6">
        <w:rPr>
          <w:sz w:val="24"/>
          <w:szCs w:val="24"/>
        </w:rPr>
        <w:t>W</w:t>
      </w:r>
      <w:r w:rsidRPr="4EF8719D" w:rsidR="6A40D95E">
        <w:rPr>
          <w:sz w:val="24"/>
          <w:szCs w:val="24"/>
        </w:rPr>
        <w:t>DT</w:t>
      </w:r>
      <w:proofErr w:type="spellEnd"/>
      <w:r w:rsidRPr="4EF8719D" w:rsidR="6A40D95E">
        <w:rPr>
          <w:sz w:val="24"/>
          <w:szCs w:val="24"/>
        </w:rPr>
        <w:t>), Thermal Sensory Limen (</w:t>
      </w:r>
      <w:proofErr w:type="spellStart"/>
      <w:r w:rsidRPr="4EF8719D" w:rsidR="6A40D95E">
        <w:rPr>
          <w:sz w:val="24"/>
          <w:szCs w:val="24"/>
        </w:rPr>
        <w:t>TSL</w:t>
      </w:r>
      <w:proofErr w:type="spellEnd"/>
      <w:r w:rsidRPr="4EF8719D" w:rsidR="6A40D95E">
        <w:rPr>
          <w:sz w:val="24"/>
          <w:szCs w:val="24"/>
        </w:rPr>
        <w:t>) Parad</w:t>
      </w:r>
      <w:r w:rsidRPr="4EF8719D" w:rsidR="365F5433">
        <w:rPr>
          <w:sz w:val="24"/>
          <w:szCs w:val="24"/>
        </w:rPr>
        <w:t>oxical Heat S</w:t>
      </w:r>
      <w:r w:rsidRPr="4EF8719D" w:rsidR="3A079A50">
        <w:rPr>
          <w:sz w:val="24"/>
          <w:szCs w:val="24"/>
        </w:rPr>
        <w:t xml:space="preserve">ensation </w:t>
      </w:r>
      <w:r w:rsidRPr="4EF8719D" w:rsidR="365F5433">
        <w:rPr>
          <w:sz w:val="24"/>
          <w:szCs w:val="24"/>
        </w:rPr>
        <w:t xml:space="preserve">(PHS), </w:t>
      </w:r>
      <w:r w:rsidRPr="4EF8719D" w:rsidR="6A40D95E">
        <w:rPr>
          <w:sz w:val="24"/>
          <w:szCs w:val="24"/>
        </w:rPr>
        <w:t xml:space="preserve">Cold Pain Threshold (CPT), Heat Pain Threshold (HPT), Mechanical Detection Threshold (MDT), Mechanical Pain Threshold (MPT), Mechanical Pain Sensitivity (MPS), Dynamic Mechanical Allodynia (DMA), </w:t>
      </w:r>
      <w:r w:rsidRPr="4EF8719D" w:rsidR="4DAA301E">
        <w:rPr>
          <w:sz w:val="24"/>
          <w:szCs w:val="24"/>
        </w:rPr>
        <w:t>Vibration Detection Threshold (VDT)</w:t>
      </w:r>
      <w:r w:rsidRPr="4EF8719D" w:rsidR="176DA1AC">
        <w:rPr>
          <w:sz w:val="24"/>
          <w:szCs w:val="24"/>
        </w:rPr>
        <w:t>,</w:t>
      </w:r>
      <w:r w:rsidRPr="4EF8719D" w:rsidR="4DAA301E">
        <w:rPr>
          <w:sz w:val="24"/>
          <w:szCs w:val="24"/>
        </w:rPr>
        <w:t xml:space="preserve"> and Pressure Pain Threshold (PPT).</w:t>
      </w:r>
      <w:r w:rsidRPr="4EF8719D" w:rsidR="66E60776">
        <w:rPr>
          <w:sz w:val="24"/>
          <w:szCs w:val="24"/>
        </w:rPr>
        <w:t xml:space="preserve"> </w:t>
      </w:r>
      <w:r w:rsidRPr="4EF8719D" w:rsidR="7282AC7D">
        <w:rPr>
          <w:sz w:val="24"/>
          <w:szCs w:val="24"/>
        </w:rPr>
        <w:t>QST was assessed using:</w:t>
      </w:r>
      <w:r w:rsidRPr="4EF8719D" w:rsidR="0945DFD7">
        <w:rPr>
          <w:sz w:val="24"/>
          <w:szCs w:val="24"/>
        </w:rPr>
        <w:t xml:space="preserve"> (1)</w:t>
      </w:r>
      <w:r w:rsidRPr="4EF8719D" w:rsidR="201D42FF">
        <w:rPr>
          <w:sz w:val="24"/>
          <w:szCs w:val="24"/>
        </w:rPr>
        <w:t xml:space="preserve"> a</w:t>
      </w:r>
      <w:r w:rsidRPr="4EF8719D" w:rsidR="0945DFD7">
        <w:rPr>
          <w:sz w:val="24"/>
          <w:szCs w:val="24"/>
        </w:rPr>
        <w:t xml:space="preserve"> </w:t>
      </w:r>
      <w:r w:rsidRPr="4EF8719D" w:rsidR="7629E110">
        <w:rPr>
          <w:sz w:val="24"/>
          <w:szCs w:val="24"/>
        </w:rPr>
        <w:t xml:space="preserve">contact </w:t>
      </w:r>
      <w:r w:rsidRPr="4EF8719D" w:rsidR="78AAA9C1">
        <w:rPr>
          <w:sz w:val="24"/>
          <w:szCs w:val="24"/>
        </w:rPr>
        <w:t xml:space="preserve">heat and cold </w:t>
      </w:r>
      <w:r w:rsidRPr="4EF8719D" w:rsidR="7629E110">
        <w:rPr>
          <w:sz w:val="24"/>
          <w:szCs w:val="24"/>
        </w:rPr>
        <w:t>stimulator</w:t>
      </w:r>
      <w:r w:rsidRPr="4EF8719D" w:rsidR="22824C85">
        <w:rPr>
          <w:sz w:val="24"/>
          <w:szCs w:val="24"/>
        </w:rPr>
        <w:t xml:space="preserve"> (TCS II, </w:t>
      </w:r>
      <w:proofErr w:type="spellStart"/>
      <w:r w:rsidRPr="4EF8719D" w:rsidR="22824C85">
        <w:rPr>
          <w:sz w:val="24"/>
          <w:szCs w:val="24"/>
        </w:rPr>
        <w:t>QST.Lab</w:t>
      </w:r>
      <w:proofErr w:type="spellEnd"/>
      <w:r w:rsidRPr="4EF8719D" w:rsidR="22824C85">
        <w:rPr>
          <w:sz w:val="24"/>
          <w:szCs w:val="24"/>
        </w:rPr>
        <w:t xml:space="preserve">, Strasbourg, France) </w:t>
      </w:r>
      <w:r w:rsidRPr="4EF8719D" w:rsidR="1B4E1D13">
        <w:rPr>
          <w:sz w:val="24"/>
          <w:szCs w:val="24"/>
        </w:rPr>
        <w:t xml:space="preserve">with </w:t>
      </w:r>
      <w:r w:rsidRPr="4EF8719D" w:rsidR="22824C85">
        <w:rPr>
          <w:sz w:val="24"/>
          <w:szCs w:val="24"/>
        </w:rPr>
        <w:t>a 10</w:t>
      </w:r>
      <w:r w:rsidRPr="4EF8719D" w:rsidR="25551ADF">
        <w:rPr>
          <w:sz w:val="24"/>
          <w:szCs w:val="24"/>
        </w:rPr>
        <w:t>-</w:t>
      </w:r>
      <w:r w:rsidRPr="4EF8719D" w:rsidR="22824C85">
        <w:rPr>
          <w:sz w:val="24"/>
          <w:szCs w:val="24"/>
        </w:rPr>
        <w:t>cm</w:t>
      </w:r>
      <w:r w:rsidRPr="4EF8719D" w:rsidR="22824C85">
        <w:rPr>
          <w:sz w:val="24"/>
          <w:szCs w:val="24"/>
          <w:vertAlign w:val="superscript"/>
        </w:rPr>
        <w:t>2</w:t>
      </w:r>
      <w:r w:rsidRPr="4EF8719D" w:rsidR="22824C85">
        <w:rPr>
          <w:sz w:val="24"/>
          <w:szCs w:val="24"/>
        </w:rPr>
        <w:t xml:space="preserve"> probe </w:t>
      </w:r>
      <w:r w:rsidRPr="4EF8719D" w:rsidR="65F46A7F">
        <w:rPr>
          <w:sz w:val="24"/>
          <w:szCs w:val="24"/>
        </w:rPr>
        <w:t xml:space="preserve">(T06, </w:t>
      </w:r>
      <w:proofErr w:type="spellStart"/>
      <w:r w:rsidRPr="4EF8719D" w:rsidR="65F46A7F">
        <w:rPr>
          <w:sz w:val="24"/>
          <w:szCs w:val="24"/>
        </w:rPr>
        <w:t>QST.Lab</w:t>
      </w:r>
      <w:proofErr w:type="spellEnd"/>
      <w:r w:rsidRPr="4EF8719D" w:rsidR="65F46A7F">
        <w:rPr>
          <w:sz w:val="24"/>
          <w:szCs w:val="24"/>
        </w:rPr>
        <w:t xml:space="preserve">, </w:t>
      </w:r>
      <w:r w:rsidRPr="4EF8719D" w:rsidR="28026F8B">
        <w:rPr>
          <w:sz w:val="24"/>
          <w:szCs w:val="24"/>
        </w:rPr>
        <w:t>Strasbourg</w:t>
      </w:r>
      <w:r w:rsidRPr="4EF8719D" w:rsidR="65F46A7F">
        <w:rPr>
          <w:sz w:val="24"/>
          <w:szCs w:val="24"/>
        </w:rPr>
        <w:t>, France)</w:t>
      </w:r>
      <w:r w:rsidRPr="4EF8719D" w:rsidR="22824C85">
        <w:rPr>
          <w:sz w:val="24"/>
          <w:szCs w:val="24"/>
        </w:rPr>
        <w:t xml:space="preserve"> for thermal stimuli,</w:t>
      </w:r>
      <w:r w:rsidRPr="4EF8719D" w:rsidR="13268D23">
        <w:rPr>
          <w:sz w:val="24"/>
          <w:szCs w:val="24"/>
        </w:rPr>
        <w:t xml:space="preserve"> </w:t>
      </w:r>
      <w:r w:rsidRPr="4EF8719D" w:rsidR="6C956669">
        <w:rPr>
          <w:rFonts w:ascii="Calibri" w:hAnsi="Calibri" w:eastAsia="Calibri" w:cs="Calibri"/>
          <w:sz w:val="24"/>
          <w:szCs w:val="24"/>
        </w:rPr>
        <w:t xml:space="preserve">(2) </w:t>
      </w:r>
      <w:r w:rsidRPr="4EF8719D" w:rsidR="13268D23">
        <w:rPr>
          <w:rFonts w:ascii="Calibri" w:hAnsi="Calibri" w:eastAsia="Calibri" w:cs="Calibri"/>
          <w:sz w:val="24"/>
          <w:szCs w:val="24"/>
        </w:rPr>
        <w:t xml:space="preserve">a standardized set of modified von Frey hair (Optihair2-Set, </w:t>
      </w:r>
      <w:r w:rsidRPr="4EF8719D" w:rsidR="6E53FDBE">
        <w:rPr>
          <w:rFonts w:ascii="Calibri" w:hAnsi="Calibri" w:eastAsia="Calibri" w:cs="Calibri"/>
          <w:sz w:val="24"/>
          <w:szCs w:val="24"/>
        </w:rPr>
        <w:t>MRC Systems GmbH,</w:t>
      </w:r>
      <w:r w:rsidRPr="4EF8719D" w:rsidR="13268D23">
        <w:rPr>
          <w:rFonts w:ascii="Calibri" w:hAnsi="Calibri" w:eastAsia="Calibri" w:cs="Calibri"/>
          <w:sz w:val="24"/>
          <w:szCs w:val="24"/>
        </w:rPr>
        <w:t xml:space="preserve"> </w:t>
      </w:r>
      <w:r w:rsidRPr="4EF8719D" w:rsidR="073D2B29">
        <w:rPr>
          <w:rFonts w:ascii="Calibri" w:hAnsi="Calibri" w:eastAsia="Calibri" w:cs="Calibri"/>
          <w:sz w:val="24"/>
          <w:szCs w:val="24"/>
        </w:rPr>
        <w:t>Heide</w:t>
      </w:r>
      <w:r w:rsidRPr="4EF8719D" w:rsidR="6E53FDBE">
        <w:rPr>
          <w:rFonts w:ascii="Calibri" w:hAnsi="Calibri" w:eastAsia="Calibri" w:cs="Calibri"/>
          <w:sz w:val="24"/>
          <w:szCs w:val="24"/>
        </w:rPr>
        <w:t>lberg</w:t>
      </w:r>
      <w:r w:rsidRPr="4EF8719D" w:rsidR="13268D23">
        <w:rPr>
          <w:rFonts w:ascii="Calibri" w:hAnsi="Calibri" w:eastAsia="Calibri" w:cs="Calibri"/>
          <w:sz w:val="24"/>
          <w:szCs w:val="24"/>
        </w:rPr>
        <w:t>, Germany) for MDT</w:t>
      </w:r>
      <w:r w:rsidRPr="4EF8719D" w:rsidR="00EA5460">
        <w:rPr>
          <w:sz w:val="24"/>
          <w:szCs w:val="24"/>
        </w:rPr>
        <w:t>,</w:t>
      </w:r>
      <w:r w:rsidRPr="4EF8719D" w:rsidR="22824C85">
        <w:rPr>
          <w:sz w:val="24"/>
          <w:szCs w:val="24"/>
        </w:rPr>
        <w:t xml:space="preserve"> </w:t>
      </w:r>
      <w:r w:rsidRPr="4EF8719D" w:rsidR="49974E05">
        <w:rPr>
          <w:sz w:val="24"/>
          <w:szCs w:val="24"/>
        </w:rPr>
        <w:t xml:space="preserve">(3) </w:t>
      </w:r>
      <w:r w:rsidRPr="4EF8719D" w:rsidR="026230C6">
        <w:rPr>
          <w:sz w:val="24"/>
          <w:szCs w:val="24"/>
        </w:rPr>
        <w:t xml:space="preserve">a set of </w:t>
      </w:r>
      <w:r w:rsidRPr="4EF8719D" w:rsidR="207CC0A9">
        <w:rPr>
          <w:rFonts w:ascii="Calibri" w:hAnsi="Calibri" w:eastAsia="Calibri" w:cs="Calibri"/>
          <w:sz w:val="24"/>
          <w:szCs w:val="24"/>
        </w:rPr>
        <w:t xml:space="preserve">weighted pinprick stimuli with fixed stimulus intensities (the </w:t>
      </w:r>
      <w:proofErr w:type="spellStart"/>
      <w:r w:rsidRPr="4EF8719D" w:rsidR="207CC0A9">
        <w:rPr>
          <w:rFonts w:ascii="Calibri" w:hAnsi="Calibri" w:eastAsia="Calibri" w:cs="Calibri"/>
          <w:sz w:val="24"/>
          <w:szCs w:val="24"/>
        </w:rPr>
        <w:t>PinPrick</w:t>
      </w:r>
      <w:proofErr w:type="spellEnd"/>
      <w:r w:rsidRPr="4EF8719D" w:rsidR="207CC0A9">
        <w:rPr>
          <w:rFonts w:ascii="Calibri" w:hAnsi="Calibri" w:eastAsia="Calibri" w:cs="Calibri"/>
          <w:sz w:val="24"/>
          <w:szCs w:val="24"/>
        </w:rPr>
        <w:t>; MRC Systems GmbH, Heidelberg, Germany)</w:t>
      </w:r>
      <w:r w:rsidRPr="4EF8719D" w:rsidR="207CC0A9">
        <w:rPr>
          <w:sz w:val="24"/>
          <w:szCs w:val="24"/>
        </w:rPr>
        <w:t xml:space="preserve"> for MPT, MPS and WUR,</w:t>
      </w:r>
      <w:r w:rsidRPr="4EF8719D" w:rsidR="207CC0A9">
        <w:rPr>
          <w:rFonts w:ascii="Calibri" w:hAnsi="Calibri" w:eastAsia="Calibri" w:cs="Calibri"/>
          <w:sz w:val="24"/>
          <w:szCs w:val="24"/>
        </w:rPr>
        <w:t xml:space="preserve"> </w:t>
      </w:r>
      <w:r w:rsidRPr="4EF8719D" w:rsidR="40B570A7">
        <w:rPr>
          <w:rFonts w:ascii="Calibri" w:hAnsi="Calibri" w:eastAsia="Calibri" w:cs="Calibri"/>
          <w:sz w:val="24"/>
          <w:szCs w:val="24"/>
        </w:rPr>
        <w:t xml:space="preserve">(4) </w:t>
      </w:r>
      <w:r w:rsidRPr="4EF8719D" w:rsidR="207CC0A9">
        <w:rPr>
          <w:rFonts w:ascii="Calibri" w:hAnsi="Calibri" w:eastAsia="Calibri" w:cs="Calibri"/>
          <w:sz w:val="24"/>
          <w:szCs w:val="24"/>
        </w:rPr>
        <w:t>a cotton wisp (∼3mN), a cotton wool tip fixed to an elastic strip (∼100mN) and a brush (∼200–400mN)</w:t>
      </w:r>
      <w:r w:rsidRPr="4EF8719D" w:rsidR="3DB6A5F6">
        <w:rPr>
          <w:rFonts w:ascii="Calibri" w:hAnsi="Calibri" w:eastAsia="Calibri" w:cs="Calibri"/>
          <w:sz w:val="24"/>
          <w:szCs w:val="24"/>
        </w:rPr>
        <w:t xml:space="preserve"> for DMA</w:t>
      </w:r>
      <w:r w:rsidRPr="4EF8719D" w:rsidR="6B3659B8">
        <w:rPr>
          <w:sz w:val="24"/>
          <w:szCs w:val="24"/>
        </w:rPr>
        <w:t>,</w:t>
      </w:r>
      <w:r w:rsidRPr="4EF8719D" w:rsidR="2D1CC220">
        <w:rPr>
          <w:sz w:val="24"/>
          <w:szCs w:val="24"/>
        </w:rPr>
        <w:t xml:space="preserve"> </w:t>
      </w:r>
      <w:r w:rsidRPr="4EF8719D" w:rsidR="1630D79B">
        <w:rPr>
          <w:sz w:val="24"/>
          <w:szCs w:val="24"/>
        </w:rPr>
        <w:t xml:space="preserve">(5) a </w:t>
      </w:r>
      <w:r w:rsidRPr="4EF8719D" w:rsidR="1630D79B">
        <w:rPr>
          <w:rFonts w:ascii="Calibri" w:hAnsi="Calibri" w:eastAsia="Calibri" w:cs="Calibri"/>
          <w:sz w:val="24"/>
          <w:szCs w:val="24"/>
        </w:rPr>
        <w:t>Rydel–Seiffert tuning fork (64Hz, 8/8 scale)</w:t>
      </w:r>
      <w:r w:rsidRPr="4EF8719D" w:rsidR="1630D79B">
        <w:rPr>
          <w:sz w:val="24"/>
          <w:szCs w:val="24"/>
        </w:rPr>
        <w:t xml:space="preserve"> for </w:t>
      </w:r>
      <w:r w:rsidRPr="4EF8719D" w:rsidR="7744EE6F">
        <w:rPr>
          <w:sz w:val="24"/>
          <w:szCs w:val="24"/>
        </w:rPr>
        <w:t>VDT</w:t>
      </w:r>
      <w:r w:rsidRPr="4EF8719D" w:rsidR="1630D79B">
        <w:rPr>
          <w:sz w:val="24"/>
          <w:szCs w:val="24"/>
        </w:rPr>
        <w:t>, and (6) a</w:t>
      </w:r>
      <w:r w:rsidRPr="4EF8719D" w:rsidR="76D31593">
        <w:rPr>
          <w:sz w:val="24"/>
          <w:szCs w:val="24"/>
        </w:rPr>
        <w:t xml:space="preserve"> calibrated</w:t>
      </w:r>
      <w:r w:rsidRPr="4EF8719D" w:rsidR="1630D79B">
        <w:rPr>
          <w:sz w:val="24"/>
          <w:szCs w:val="24"/>
        </w:rPr>
        <w:t xml:space="preserve"> </w:t>
      </w:r>
      <w:r w:rsidRPr="4EF8719D" w:rsidR="1630D79B">
        <w:rPr>
          <w:rFonts w:ascii="Calibri" w:hAnsi="Calibri" w:eastAsia="Calibri" w:cs="Calibri"/>
          <w:sz w:val="24"/>
          <w:szCs w:val="24"/>
        </w:rPr>
        <w:t>pressure gauge device (</w:t>
      </w:r>
      <w:r w:rsidRPr="4EF8719D" w:rsidR="154134B3">
        <w:rPr>
          <w:rFonts w:ascii="Calibri" w:hAnsi="Calibri" w:eastAsia="Calibri" w:cs="Calibri"/>
          <w:sz w:val="24"/>
          <w:szCs w:val="24"/>
        </w:rPr>
        <w:t>FDIX50</w:t>
      </w:r>
      <w:r w:rsidRPr="4EF8719D" w:rsidR="1630D79B">
        <w:rPr>
          <w:rFonts w:ascii="Calibri" w:hAnsi="Calibri" w:eastAsia="Calibri" w:cs="Calibri"/>
          <w:sz w:val="24"/>
          <w:szCs w:val="24"/>
        </w:rPr>
        <w:t>, Wagner Instruments, Greenwich, CT, USA) for PPT.</w:t>
      </w:r>
    </w:p>
    <w:p w:rsidRPr="00171B6F" w:rsidR="0041193F" w:rsidP="560E2E1C" w:rsidRDefault="0CE75C0F" w14:paraId="46144250" w14:textId="77777777">
      <w:pPr>
        <w:spacing w:line="480" w:lineRule="auto"/>
        <w:jc w:val="both"/>
        <w:rPr>
          <w:i/>
          <w:iCs/>
          <w:sz w:val="24"/>
          <w:szCs w:val="24"/>
        </w:rPr>
      </w:pPr>
      <w:r w:rsidRPr="560E2E1C">
        <w:rPr>
          <w:i/>
          <w:iCs/>
          <w:sz w:val="24"/>
          <w:szCs w:val="24"/>
        </w:rPr>
        <w:t>Temporal Order Judgement</w:t>
      </w:r>
      <w:r w:rsidRPr="560E2E1C" w:rsidR="34F29EE2">
        <w:rPr>
          <w:i/>
          <w:iCs/>
          <w:sz w:val="24"/>
          <w:szCs w:val="24"/>
        </w:rPr>
        <w:t xml:space="preserve"> </w:t>
      </w:r>
      <w:r w:rsidRPr="560E2E1C" w:rsidR="78AEA983">
        <w:rPr>
          <w:i/>
          <w:iCs/>
          <w:sz w:val="24"/>
          <w:szCs w:val="24"/>
        </w:rPr>
        <w:t xml:space="preserve">(TOJ) </w:t>
      </w:r>
      <w:r w:rsidRPr="560E2E1C" w:rsidR="34F29EE2">
        <w:rPr>
          <w:i/>
          <w:iCs/>
          <w:sz w:val="24"/>
          <w:szCs w:val="24"/>
        </w:rPr>
        <w:t>task</w:t>
      </w:r>
      <w:r w:rsidRPr="560E2E1C">
        <w:rPr>
          <w:i/>
          <w:iCs/>
          <w:sz w:val="24"/>
          <w:szCs w:val="24"/>
        </w:rPr>
        <w:t xml:space="preserve"> </w:t>
      </w:r>
    </w:p>
    <w:p w:rsidRPr="00171B6F" w:rsidR="0041193F" w:rsidP="5F7DF4C4" w:rsidRDefault="6148C661" w14:paraId="7A4FEFE8" w14:textId="030E2EE4">
      <w:pPr>
        <w:spacing w:line="480" w:lineRule="auto"/>
        <w:jc w:val="both"/>
        <w:rPr>
          <w:sz w:val="24"/>
          <w:szCs w:val="24"/>
        </w:rPr>
      </w:pPr>
      <w:r w:rsidRPr="4EF8719D">
        <w:rPr>
          <w:sz w:val="24"/>
          <w:szCs w:val="24"/>
        </w:rPr>
        <w:t>T</w:t>
      </w:r>
      <w:r w:rsidRPr="4EF8719D" w:rsidR="24A14911">
        <w:rPr>
          <w:sz w:val="24"/>
          <w:szCs w:val="24"/>
        </w:rPr>
        <w:t>he participant</w:t>
      </w:r>
      <w:r w:rsidRPr="4EF8719D" w:rsidR="243346B6">
        <w:rPr>
          <w:sz w:val="24"/>
          <w:szCs w:val="24"/>
        </w:rPr>
        <w:t>s</w:t>
      </w:r>
      <w:r w:rsidRPr="4EF8719D" w:rsidR="24A14911">
        <w:rPr>
          <w:sz w:val="24"/>
          <w:szCs w:val="24"/>
        </w:rPr>
        <w:t xml:space="preserve"> performed </w:t>
      </w:r>
      <w:r w:rsidRPr="4EF8719D" w:rsidR="6BFC1083">
        <w:rPr>
          <w:sz w:val="24"/>
          <w:szCs w:val="24"/>
        </w:rPr>
        <w:t xml:space="preserve">a </w:t>
      </w:r>
      <w:r w:rsidRPr="4EF8719D" w:rsidR="72DDDD4D">
        <w:rPr>
          <w:sz w:val="24"/>
          <w:szCs w:val="24"/>
        </w:rPr>
        <w:t>visual TOJ</w:t>
      </w:r>
      <w:r w:rsidRPr="4EF8719D" w:rsidR="51FBD72F">
        <w:rPr>
          <w:sz w:val="24"/>
          <w:szCs w:val="24"/>
        </w:rPr>
        <w:t xml:space="preserve"> task</w:t>
      </w:r>
      <w:r w:rsidRPr="4EF8719D" w:rsidR="6BFC1083">
        <w:rPr>
          <w:sz w:val="24"/>
          <w:szCs w:val="24"/>
        </w:rPr>
        <w:t xml:space="preserve">, </w:t>
      </w:r>
      <w:r w:rsidRPr="4EF8719D" w:rsidR="444B48CC">
        <w:rPr>
          <w:sz w:val="24"/>
          <w:szCs w:val="24"/>
        </w:rPr>
        <w:t xml:space="preserve">that </w:t>
      </w:r>
      <w:r w:rsidRPr="4EF8719D" w:rsidR="6BFC1083">
        <w:rPr>
          <w:sz w:val="24"/>
          <w:szCs w:val="24"/>
        </w:rPr>
        <w:t xml:space="preserve">consists of discriminating the temporal order of two </w:t>
      </w:r>
      <w:r w:rsidRPr="4EF8719D" w:rsidR="38F478B9">
        <w:rPr>
          <w:sz w:val="24"/>
          <w:szCs w:val="24"/>
        </w:rPr>
        <w:t xml:space="preserve">lateralized </w:t>
      </w:r>
      <w:r w:rsidRPr="4EF8719D" w:rsidR="3855CB23">
        <w:rPr>
          <w:sz w:val="24"/>
          <w:szCs w:val="24"/>
        </w:rPr>
        <w:t xml:space="preserve">visual </w:t>
      </w:r>
      <w:r w:rsidRPr="4EF8719D" w:rsidR="38F478B9">
        <w:rPr>
          <w:sz w:val="24"/>
          <w:szCs w:val="24"/>
        </w:rPr>
        <w:t xml:space="preserve">stimuli </w:t>
      </w:r>
      <w:r w:rsidRPr="4EF8719D" w:rsidR="6BFC1083">
        <w:rPr>
          <w:sz w:val="24"/>
          <w:szCs w:val="24"/>
        </w:rPr>
        <w:t xml:space="preserve">presented in a rapid temporal </w:t>
      </w:r>
      <w:r w:rsidRPr="4EF8719D" w:rsidR="101AB016">
        <w:rPr>
          <w:rFonts w:ascii="Calibri" w:hAnsi="Calibri" w:eastAsia="Calibri" w:cs="Calibri"/>
          <w:sz w:val="24"/>
          <w:szCs w:val="24"/>
        </w:rPr>
        <w:t xml:space="preserve">succession (see </w:t>
      </w:r>
      <w:r w:rsidRPr="4EF8719D" w:rsidR="7E55D6DE">
        <w:rPr>
          <w:i/>
          <w:iCs/>
          <w:sz w:val="24"/>
          <w:szCs w:val="24"/>
        </w:rPr>
        <w:t>Supplementary materials</w:t>
      </w:r>
      <w:r w:rsidRPr="4EF8719D" w:rsidR="7E55D6DE">
        <w:rPr>
          <w:rFonts w:ascii="Calibri" w:hAnsi="Calibri" w:eastAsia="Calibri" w:cs="Calibri"/>
          <w:i/>
          <w:iCs/>
          <w:color w:val="000000" w:themeColor="text1"/>
          <w:sz w:val="24"/>
          <w:szCs w:val="24"/>
        </w:rPr>
        <w:t xml:space="preserve"> </w:t>
      </w:r>
      <w:r w:rsidRPr="4EF8719D" w:rsidR="101AB016">
        <w:rPr>
          <w:rFonts w:ascii="Calibri" w:hAnsi="Calibri" w:eastAsia="Calibri" w:cs="Calibri"/>
          <w:i/>
          <w:iCs/>
          <w:color w:val="000000" w:themeColor="text1"/>
          <w:sz w:val="24"/>
          <w:szCs w:val="24"/>
        </w:rPr>
        <w:t xml:space="preserve">2. TOJ </w:t>
      </w:r>
      <w:r w:rsidRPr="007D1D0C" w:rsidR="101AB016">
        <w:rPr>
          <w:rFonts w:ascii="Calibri" w:hAnsi="Calibri" w:eastAsia="Calibri" w:cs="Calibri"/>
          <w:i/>
          <w:iCs/>
          <w:color w:val="000000" w:themeColor="text1"/>
          <w:sz w:val="24"/>
          <w:szCs w:val="24"/>
        </w:rPr>
        <w:t xml:space="preserve">procedure </w:t>
      </w:r>
      <w:r w:rsidRPr="007D1D0C" w:rsidR="007D1D0C">
        <w:rPr>
          <w:rFonts w:ascii="Calibri" w:hAnsi="Calibri" w:eastAsia="Calibri" w:cs="Calibri"/>
          <w:i/>
          <w:iCs/>
          <w:color w:val="000000" w:themeColor="text1"/>
          <w:sz w:val="24"/>
          <w:szCs w:val="24"/>
        </w:rPr>
        <w:t>[methodS2]</w:t>
      </w:r>
      <w:r w:rsidR="007D1D0C">
        <w:rPr>
          <w:rFonts w:ascii="Calibri" w:hAnsi="Calibri" w:eastAsia="Calibri" w:cs="Calibri"/>
          <w:color w:val="000000" w:themeColor="text1"/>
          <w:sz w:val="24"/>
          <w:szCs w:val="24"/>
        </w:rPr>
        <w:t xml:space="preserve"> </w:t>
      </w:r>
      <w:r w:rsidRPr="4EF8719D" w:rsidR="101AB016">
        <w:rPr>
          <w:rFonts w:ascii="Calibri" w:hAnsi="Calibri" w:eastAsia="Calibri" w:cs="Calibri"/>
          <w:color w:val="000000" w:themeColor="text1"/>
          <w:sz w:val="24"/>
          <w:szCs w:val="24"/>
        </w:rPr>
        <w:t>for a detailed description)</w:t>
      </w:r>
      <w:r w:rsidRPr="4EF8719D" w:rsidR="6BFC1083">
        <w:rPr>
          <w:sz w:val="24"/>
          <w:szCs w:val="24"/>
        </w:rPr>
        <w:t>.</w:t>
      </w:r>
      <w:r w:rsidRPr="4EF8719D" w:rsidR="6C4E4DE4">
        <w:rPr>
          <w:sz w:val="24"/>
          <w:szCs w:val="24"/>
        </w:rPr>
        <w:t xml:space="preserve"> Those </w:t>
      </w:r>
      <w:r w:rsidRPr="4EF8719D" w:rsidR="3044F836">
        <w:rPr>
          <w:sz w:val="24"/>
          <w:szCs w:val="24"/>
        </w:rPr>
        <w:t>psychophysic</w:t>
      </w:r>
      <w:r w:rsidRPr="4EF8719D" w:rsidR="5B55DF67">
        <w:rPr>
          <w:sz w:val="24"/>
          <w:szCs w:val="24"/>
        </w:rPr>
        <w:t>al</w:t>
      </w:r>
      <w:r w:rsidRPr="4EF8719D" w:rsidR="3044F836">
        <w:rPr>
          <w:sz w:val="24"/>
          <w:szCs w:val="24"/>
        </w:rPr>
        <w:t xml:space="preserve"> </w:t>
      </w:r>
      <w:r w:rsidRPr="4EF8719D" w:rsidR="6C4E4DE4">
        <w:rPr>
          <w:sz w:val="24"/>
          <w:szCs w:val="24"/>
        </w:rPr>
        <w:t xml:space="preserve">tasks are classically used to investigate </w:t>
      </w:r>
      <w:r w:rsidRPr="4EF8719D" w:rsidR="3244BDA9">
        <w:rPr>
          <w:sz w:val="24"/>
          <w:szCs w:val="24"/>
        </w:rPr>
        <w:t xml:space="preserve">perceptual </w:t>
      </w:r>
      <w:r w:rsidRPr="4EF8719D" w:rsidR="1239DCA4">
        <w:rPr>
          <w:sz w:val="24"/>
          <w:szCs w:val="24"/>
        </w:rPr>
        <w:t>abilities and</w:t>
      </w:r>
      <w:r w:rsidRPr="4EF8719D" w:rsidR="789C83D0">
        <w:rPr>
          <w:sz w:val="24"/>
          <w:szCs w:val="24"/>
        </w:rPr>
        <w:t xml:space="preserve"> were recently </w:t>
      </w:r>
      <w:r w:rsidRPr="4EF8719D" w:rsidR="789C83D0">
        <w:rPr>
          <w:sz w:val="24"/>
          <w:szCs w:val="24"/>
        </w:rPr>
        <w:lastRenderedPageBreak/>
        <w:t xml:space="preserve">used to </w:t>
      </w:r>
      <w:r w:rsidRPr="4EF8719D" w:rsidR="733B9E02">
        <w:rPr>
          <w:sz w:val="24"/>
          <w:szCs w:val="24"/>
        </w:rPr>
        <w:t xml:space="preserve">evidence </w:t>
      </w:r>
      <w:r w:rsidRPr="4EF8719D" w:rsidR="3AECF016">
        <w:rPr>
          <w:sz w:val="24"/>
          <w:szCs w:val="24"/>
        </w:rPr>
        <w:t>perceptual biases in CRPS patients</w:t>
      </w:r>
      <w:r w:rsidRPr="4EF8719D" w:rsidR="1239DCA4">
        <w:rPr>
          <w:sz w:val="24"/>
          <w:szCs w:val="24"/>
        </w:rPr>
        <w:t xml:space="preserve"> </w:t>
      </w:r>
      <w:r w:rsidR="7FC45ECA">
        <w:fldChar w:fldCharType="begin"/>
      </w:r>
      <w:r w:rsidR="00A03CF2">
        <w:instrText xml:space="preserve"> ADDIN ZOTERO_ITEM CSL_CITATION {"citationID":"lwqHHKMD","properties":{"formattedCitation":"(Filbrich et al., 2023; Halicka et al., 2020)","plainCitation":"(Filbrich et al., 2023; Halicka et al., 2020)","noteIndex":0},"citationItems":[{"id":76,"uris":["http://zotero.org/users/8514361/items/4B5Q2YXC"],"itemData":{"id":76,"type":"article-journal","abstract":"BACKGROUND: Patients suffering from complex regional pain syndrome (CRPS) are increasingly shown to be affected by cognitive difficulties. While these cognitive symptoms were initially described as limited to the perception, representation and use of the body, that is, the somatic space, they were recently shown to also extend to the perception of extra-somatic space. CRPS patients seem indeed to pay less attention to visual stimuli occurring in the same side of space as their affected limb and especially those occurring close to that limb. The aim of the present study was to more precisely characterize these visuospatial biases, by investigating whether they may be dependent on the visually perceived proximity between the visual stimuli and the affected limb.\nMETHODS: Upper-limb CRPS patients and matched control participants performed temporal order judgements on visual stimuli, one presented in either side of space, while they could either see their hands near the visual stimuli or not.\nRESULTS: Visuospatial biases were not modulated by the availability of visual feedback about the hands. However, secondary analyses revealed that these biases depended on the type of rehabilitation program that the patients followed: whereas patients who did not follow any specific program presented significant biases to the detriment of visual stimuli in the affected side of space, patients who did follow a CRPS-specialized program did not.\nCONCLUSIONS: Patients' cognitive strategies will be important to consider when studying inter-individual differences in the cognitive symptomatology and associated cognitive-based rehabilitation procedures in CRPS.\nSIGNIFICANCE: The existence of biases in visuospatial perception in Complex Regional Pain Syndrome has been reported but not always systematically replicated. We show that these biases might depend on the type of general rehabilitation program that the patients follow. Patients' individual cognitive strategies will be important to consider when studying the cognitive symptomatology of CRPS.","container-title":"European Journal of Pain (London, England)","DOI":"10.1002/ejp.2118","ISSN":"1532-2149","issue":"7","journalAbbreviation":"Eur J Pain","language":"eng","note":"PMID: 37085955","page":"871-883","source":"PubMed","title":"Characterizing biased visuospatial perception in complex regional pain syndrome","volume":"27","author":[{"family":"Filbrich","given":"Lieve"},{"family":"Kuzminova","given":"Avgustina"},{"family":"Molitor","given":"Victoria"},{"family":"Verfaille","given":"Charlotte"},{"family":"Mouraux","given":"Dominique"},{"family":"Berquin","given":"Anne"},{"family":"Barbier","given":"Olivier"},{"family":"Libouton","given":"Xavier"},{"family":"Legrain","given":"Valéry"}],"issued":{"date-parts":[["2023",8]]}}},{"id":"jyRXZ8R7/vY9sqDBl","uris":["http://zotero.org/users/8777725/items/K7NIDTCY"],"itemData":{"id":62,"type":"article-journal","abstract":"Complex Regional Pain Syndrome (CRPS) is a poorly understood chronic pain condition of multifactorial origin. CRPS involves sensory, motor, and autonomic symptoms primarily affecting one extremity. Patients can also present with neuropsychological changes such as reduced attention to the CRPS-affected extremity, reminiscent of hemispatial neglect, yet in the absence of any brain lesions. However, this \"neglect-like\" framework is not sufficient to characterise the range of higher cognitive functions that can be altered in CRPS. This comprehensive literature review synthesises evidence of neuropsychological changes in CRPS in the context of potential central mechanisms of the disorder. The affected neuropsychological functions constitute three distinct but not independent groups: distorted body representation, deficits in lateralised spatial cognition, and impairment of non-spatially-lateralised higher cognitive functions. We suggest that many of these symptoms appear to be consistent with a broader disruption to parietal function beyond merely what could be considered \"neglect-like.\" Moreover, the extent of neuropsychological symptoms might be related to the clinical signs of CRPS, and rehabilitation methods that target the neuropsychological changes can improve clinical outcomes in CRPS and other chronic pain conditions. Based on the limitations and gaps in the reviewed literature, we provide several suggestions to improve further research on neuropsychological changes in chronic pain.","container-title":"Behavioural Neurology","DOI":"10.1155/2020/4561831","ISSN":"1875-8584","journalAbbreviation":"Behav Neurol","language":"eng","note":"PMID: 32399082\nPMCID: PMC7201816","page":"4561831","source":"PubMed","title":"Neuropsychological Changes in Complex Regional Pain Syndrome (CRPS)","volume":"2020","author":[{"family":"Halicka","given":"Monika"},{"family":"Vittersø","given":"Axel D."},{"family":"Proulx","given":"Michael J."},{"family":"Bultitude","given":"Janet H."}],"issued":{"date-parts":[["2020"]]}}}],"schema":"https://github.com/citation-style-language/schema/raw/master/csl-citation.json"} </w:instrText>
      </w:r>
      <w:r w:rsidR="7FC45ECA">
        <w:fldChar w:fldCharType="separate"/>
      </w:r>
      <w:r w:rsidRPr="008425F7" w:rsidR="008425F7">
        <w:rPr>
          <w:rFonts w:ascii="Calibri" w:hAnsi="Calibri" w:cs="Calibri"/>
          <w:sz w:val="24"/>
        </w:rPr>
        <w:t>(Filbrich et al., 2023; Halicka et al., 2020)</w:t>
      </w:r>
      <w:r w:rsidR="7FC45ECA">
        <w:fldChar w:fldCharType="end"/>
      </w:r>
      <w:r w:rsidRPr="4EF8719D" w:rsidR="6C4E4DE4">
        <w:rPr>
          <w:sz w:val="24"/>
          <w:szCs w:val="24"/>
        </w:rPr>
        <w:t>.</w:t>
      </w:r>
      <w:r w:rsidRPr="4EF8719D" w:rsidR="243346B6">
        <w:rPr>
          <w:sz w:val="24"/>
          <w:szCs w:val="24"/>
        </w:rPr>
        <w:t xml:space="preserve"> </w:t>
      </w:r>
      <w:r w:rsidRPr="4EF8719D" w:rsidR="3707518C">
        <w:rPr>
          <w:sz w:val="24"/>
          <w:szCs w:val="24"/>
        </w:rPr>
        <w:t>They are</w:t>
      </w:r>
      <w:r w:rsidRPr="4EF8719D" w:rsidR="547C7602">
        <w:rPr>
          <w:sz w:val="24"/>
          <w:szCs w:val="24"/>
        </w:rPr>
        <w:t xml:space="preserve"> based on the idea that paying attention to a stimulus </w:t>
      </w:r>
      <w:r w:rsidRPr="4EF8719D" w:rsidR="2F1C516F">
        <w:rPr>
          <w:sz w:val="24"/>
          <w:szCs w:val="24"/>
        </w:rPr>
        <w:t>facilitates its detection</w:t>
      </w:r>
      <w:r w:rsidRPr="4EF8719D" w:rsidR="547C7602">
        <w:rPr>
          <w:sz w:val="24"/>
          <w:szCs w:val="24"/>
        </w:rPr>
        <w:t>.</w:t>
      </w:r>
      <w:r w:rsidRPr="4EF8719D" w:rsidR="7DF785C7">
        <w:rPr>
          <w:color w:val="000000" w:themeColor="text1"/>
          <w:sz w:val="24"/>
          <w:szCs w:val="24"/>
        </w:rPr>
        <w:t xml:space="preserve"> </w:t>
      </w:r>
      <w:r w:rsidRPr="4EF8719D" w:rsidR="2485DC08">
        <w:rPr>
          <w:color w:val="000000" w:themeColor="text1"/>
          <w:sz w:val="24"/>
          <w:szCs w:val="24"/>
        </w:rPr>
        <w:t>T</w:t>
      </w:r>
      <w:r w:rsidRPr="4EF8719D" w:rsidR="243346B6">
        <w:rPr>
          <w:color w:val="000000" w:themeColor="text1"/>
          <w:sz w:val="24"/>
          <w:szCs w:val="24"/>
        </w:rPr>
        <w:t xml:space="preserve">he </w:t>
      </w:r>
      <w:r w:rsidRPr="4EF8719D" w:rsidR="0869EB5D">
        <w:rPr>
          <w:sz w:val="24"/>
          <w:szCs w:val="24"/>
        </w:rPr>
        <w:t>materials</w:t>
      </w:r>
      <w:r w:rsidRPr="4EF8719D" w:rsidR="294F41FE">
        <w:rPr>
          <w:sz w:val="24"/>
          <w:szCs w:val="24"/>
        </w:rPr>
        <w:t xml:space="preserve"> and procedure</w:t>
      </w:r>
      <w:r w:rsidRPr="4EF8719D" w:rsidR="0D1ADAF0">
        <w:rPr>
          <w:sz w:val="24"/>
          <w:szCs w:val="24"/>
        </w:rPr>
        <w:t>s</w:t>
      </w:r>
      <w:r w:rsidRPr="4EF8719D" w:rsidR="243346B6">
        <w:rPr>
          <w:sz w:val="24"/>
          <w:szCs w:val="24"/>
        </w:rPr>
        <w:t xml:space="preserve"> </w:t>
      </w:r>
      <w:r w:rsidRPr="4EF8719D" w:rsidR="7EF835CF">
        <w:rPr>
          <w:sz w:val="24"/>
          <w:szCs w:val="24"/>
        </w:rPr>
        <w:t xml:space="preserve">were </w:t>
      </w:r>
      <w:r w:rsidRPr="4EF8719D" w:rsidR="44A5E91C">
        <w:rPr>
          <w:sz w:val="24"/>
          <w:szCs w:val="24"/>
        </w:rPr>
        <w:t xml:space="preserve">the same </w:t>
      </w:r>
      <w:r w:rsidRPr="4EF8719D" w:rsidR="266ADA83">
        <w:rPr>
          <w:sz w:val="24"/>
          <w:szCs w:val="24"/>
        </w:rPr>
        <w:t>as</w:t>
      </w:r>
      <w:r w:rsidRPr="4EF8719D" w:rsidR="44A5E91C">
        <w:rPr>
          <w:sz w:val="24"/>
          <w:szCs w:val="24"/>
        </w:rPr>
        <w:t xml:space="preserve"> those used in</w:t>
      </w:r>
      <w:r w:rsidRPr="4EF8719D" w:rsidR="243346B6">
        <w:rPr>
          <w:sz w:val="24"/>
          <w:szCs w:val="24"/>
        </w:rPr>
        <w:t xml:space="preserve"> </w:t>
      </w:r>
      <w:r w:rsidR="7FC45ECA">
        <w:fldChar w:fldCharType="begin"/>
      </w:r>
      <w:r w:rsidR="00A03CF2">
        <w:instrText xml:space="preserve"> ADDIN ZOTERO_ITEM CSL_CITATION {"citationID":"BXEJ0sZ9","properties":{"formattedCitation":"(Filbrich et al., 2017, 2023)","plainCitation":"(Filbrich et al., 2017, 2023)","noteIndex":0},"citationItems":[{"id":"jyRXZ8R7/uIuEbU5W","uris":["http://zotero.org/users/8777725/items/WWWQ5C5W"],"itemData":{"id":91,"type":"article-journal","container-title":"Scientific Reports","DOI":"10.1038/s41598-017-10077-8","ISSN":"2045-2322","issue":"1","journalAbbreviation":"Sci Rep","language":"en","page":"9712","source":"DOI.org (Crossref)","title":"Biased visuospatial perception in complex regional pain syndrome","volume":"7","author":[{"family":"Filbrich","given":"Lieve"},{"family":"Alamia","given":"Andrea"},{"family":"Verfaille","given":"Charlotte"},{"family":"Berquin","given":"Anne"},{"family":"Barbier","given":"Olivier"},{"family":"Libouton","given":"Xavier"},{"family":"Fraselle","given":"Virginie"},{"family":"Mouraux","given":"Dominique"},{"family":"Legrain","given":"Valéry"}],"issued":{"date-parts":[["2017",12]]}}},{"id":76,"uris":["http://zotero.org/users/8514361/items/4B5Q2YXC"],"itemData":{"id":76,"type":"article-journal","abstract":"BACKGROUND: Patients suffering from complex regional pain syndrome (CRPS) are increasingly shown to be affected by cognitive difficulties. While these cognitive symptoms were initially described as limited to the perception, representation and use of the body, that is, the somatic space, they were recently shown to also extend to the perception of extra-somatic space. CRPS patients seem indeed to pay less attention to visual stimuli occurring in the same side of space as their affected limb and especially those occurring close to that limb. The aim of the present study was to more precisely characterize these visuospatial biases, by investigating whether they may be dependent on the visually perceived proximity between the visual stimuli and the affected limb.\nMETHODS: Upper-limb CRPS patients and matched control participants performed temporal order judgements on visual stimuli, one presented in either side of space, while they could either see their hands near the visual stimuli or not.\nRESULTS: Visuospatial biases were not modulated by the availability of visual feedback about the hands. However, secondary analyses revealed that these biases depended on the type of rehabilitation program that the patients followed: whereas patients who did not follow any specific program presented significant biases to the detriment of visual stimuli in the affected side of space, patien</w:instrText>
      </w:r>
      <w:r w:rsidRPr="00A03CF2" w:rsidR="00A03CF2">
        <w:rPr>
          <w:lang w:val="fr-FR"/>
        </w:rPr>
        <w:instrText xml:space="preserve">ts who did follow a CRPS-specialized program did not.\nCONCLUSIONS: Patients' cognitive strategies will be important to consider when studying inter-individual differences in the cognitive symptomatology and associated cognitive-based rehabilitation procedures in CRPS.\nSIGNIFICANCE: The existence of biases in visuospatial perception in Complex Regional Pain Syndrome has been reported but not always systematically replicated. We show that these biases might depend on the type of general rehabilitation program that the patients follow. Patients' individual cognitive strategies will be important to consider when studying the cognitive symptomatology of CRPS.","container-title":"European Journal of Pain (London, England)","DOI":"10.1002/ejp.2118","ISSN":"1532-2149","issue":"7","journalAbbreviation":"Eur J Pain","language":"eng","note":"PMID: 37085955","page":"871-883","source":"PubMed","title":"Characterizing biased visuospatial perception in complex regional pain syndrome","volume":"27","author":[{"family":"Filbrich","given":"Lieve"},{"family":"Kuzminova","given":"Avgustina"},{"family":"Molitor","given":"Victoria"},{"family":"Verfaille","given":"Charlotte"},{"family":"Mouraux","given":"Dominique"},{"family":"Berquin","given":"Anne"},{"family":"Barbier","given":"Olivier"},{"family":"Libouton","given":"Xavier"},{"family":"Legrain","given":"Valéry"}],"issued":{"date-parts":[["2023",8]]}}}],"schema":"https://github.com/citation-style-language/schema/raw/master/csl-citation.json"} </w:instrText>
      </w:r>
      <w:r w:rsidR="7FC45ECA">
        <w:fldChar w:fldCharType="separate"/>
      </w:r>
      <w:r w:rsidRPr="001A19EB" w:rsidR="00F9583A">
        <w:rPr>
          <w:rFonts w:ascii="Calibri" w:hAnsi="Calibri" w:cs="Calibri"/>
          <w:sz w:val="24"/>
          <w:lang w:val="fr-FR"/>
        </w:rPr>
        <w:t>(Filbrich et al., 2017, 2023)</w:t>
      </w:r>
      <w:r w:rsidR="7FC45ECA">
        <w:fldChar w:fldCharType="end"/>
      </w:r>
      <w:r w:rsidRPr="00E55DF8" w:rsidR="294F41FE">
        <w:rPr>
          <w:sz w:val="24"/>
          <w:szCs w:val="24"/>
          <w:lang w:val="fr-FR"/>
        </w:rPr>
        <w:t xml:space="preserve"> </w:t>
      </w:r>
      <w:r w:rsidR="7FC45ECA">
        <w:fldChar w:fldCharType="begin"/>
      </w:r>
      <w:r w:rsidR="00A03CF2">
        <w:rPr>
          <w:lang w:val="fr-BE"/>
        </w:rPr>
        <w:instrText xml:space="preserve"> ADDIN ZOTERO_ITEM CSL_CITATION {"citationID":"jwcRWKjt","properties":{"formattedCitation":"[21]","plainCitation":"[21]","dontUpdate":true,"noteIndex":0},"citationItems":[{"id":76,"uris":["http://zotero.org/users/8514361/items/4B5Q2YXC"],"itemData":{"id":76,"type":"article-journal","abstract":"BACKGROUND: Patients suffering from complex regional pain syndrome (CRPS) are increasingly shown to be affected by cognitive difficulties. While these cognitive symptoms were initially described as limited to the perception, representation and use of the body, that is, the somatic space, they were recently shown to also extend to the perception of extra-somatic space. CRPS patients seem indeed to pay less attention to visual stimuli occurring in the same side of space as their affected limb and especially those occurring close to that limb. The aim of the present study was to more precisely characterize these visuospatial biases, by investigating whether they may be dependent on the visually perceived proximity between the visual stimuli and the affected limb.\nMETHODS: Upper-limb CRPS patients and matched control participants performed temporal order judgements on visual stimuli, one presented in either side of space, while they could either see their hands near the visual stimuli or not.\nRESULTS: Visuospatial biases were not modulated by the availability of visual feedback about the hands. However, secondary analyses revealed that these biases depended on the type of rehabilitation program that the patients followed: whereas patients who did not follow any specific program presented significant biases to the detriment of visual stimuli in the affected side of space, patients who did follow a CRPS-specialized program did not.\nCONCLUSIONS: Patients' cognitive strategies will be important to consider when studying inter-individual differences in the cognitive symptomatology and associated cognitive-based rehabilitation procedures in CRPS.\nSIGNIFICANCE: The existence of biases in visuospatial perception in Complex Regional Pain Syndrome has been reported but not always systematically replicated. We show that these biases might depend on the type of general rehabilitation program that the patients follow. Patients' individual cognitive strategies will be important to consider when studying the cognitive symptomatology of CRPS.","container-title":"European Journal of Pain (London, England)","DOI":"10.1002/ejp.2118","ISSN":"1532-2149","issue":"7","journalAbbreviation":"Eur J Pain","language":"eng","note":"PMID: 37085955","page":"871-883","source":"PubMed","title":"Characterizing biased visuospatial perception in complex regional pain syndrome","volume":"27","author":[{"family":"Filbrich","given":"Lieve"},{"family":"Kuzminova","given":"Avgustina"},{"family":"Molitor","given":"Victoria"},{"family":"Verfaille","given":"Charlotte"},{"family":"Mouraux","given":"Dominique"},{"family":"Berquin","given":"Anne"},{"family":"Barbier","given":"Olivier"},{"family":"Libouton","given":"Xavier"},{"family":"Legrain","given":"Valéry"}],"issued":{"date-parts":[["2023",8]]}}}],"schema":"https://github.com/citation-style-language/schema/raw/master/csl-citation.json"} </w:instrText>
      </w:r>
      <w:r w:rsidR="7FC45ECA">
        <w:fldChar w:fldCharType="separate"/>
      </w:r>
      <w:r w:rsidRPr="00E55DF8" w:rsidR="03C2EA00">
        <w:rPr>
          <w:rFonts w:ascii="Calibri" w:hAnsi="Calibri" w:cs="Calibri"/>
          <w:sz w:val="24"/>
          <w:szCs w:val="24"/>
          <w:lang w:val="fr-FR"/>
        </w:rPr>
        <w:t xml:space="preserve"> with the exception tha</w:t>
      </w:r>
      <w:r w:rsidRPr="00E55DF8" w:rsidR="298DF70D">
        <w:rPr>
          <w:rFonts w:ascii="Calibri" w:hAnsi="Calibri" w:cs="Calibri"/>
          <w:sz w:val="24"/>
          <w:szCs w:val="24"/>
          <w:lang w:val="fr-FR"/>
        </w:rPr>
        <w:t xml:space="preserve">t visual stimuli were presented near the feet for patients with </w:t>
      </w:r>
      <w:r w:rsidRPr="00E55DF8" w:rsidR="0D49D29D">
        <w:rPr>
          <w:rFonts w:ascii="Calibri" w:hAnsi="Calibri" w:cs="Calibri"/>
          <w:sz w:val="24"/>
          <w:szCs w:val="24"/>
          <w:lang w:val="fr-FR"/>
        </w:rPr>
        <w:t>LE</w:t>
      </w:r>
      <w:r w:rsidRPr="00E55DF8" w:rsidR="298DF70D">
        <w:rPr>
          <w:rFonts w:ascii="Calibri" w:hAnsi="Calibri" w:cs="Calibri"/>
          <w:sz w:val="24"/>
          <w:szCs w:val="24"/>
          <w:lang w:val="fr-FR"/>
        </w:rPr>
        <w:t xml:space="preserve"> CRPS</w:t>
      </w:r>
      <w:r w:rsidRPr="00E55DF8" w:rsidR="0D49D29D">
        <w:rPr>
          <w:rFonts w:ascii="Calibri" w:hAnsi="Calibri" w:cs="Calibri"/>
          <w:sz w:val="24"/>
          <w:szCs w:val="24"/>
          <w:lang w:val="fr-FR"/>
        </w:rPr>
        <w:t>.</w:t>
      </w:r>
      <w:r w:rsidRPr="00E55DF8" w:rsidR="03C2EA00">
        <w:rPr>
          <w:rFonts w:ascii="Calibri" w:hAnsi="Calibri" w:cs="Calibri"/>
          <w:sz w:val="24"/>
          <w:szCs w:val="24"/>
          <w:lang w:val="fr-FR"/>
        </w:rPr>
        <w:t xml:space="preserve"> </w:t>
      </w:r>
      <w:r w:rsidR="7FC45ECA">
        <w:fldChar w:fldCharType="end"/>
      </w:r>
      <w:r w:rsidRPr="00E55DF8" w:rsidR="108F6CCB">
        <w:rPr>
          <w:sz w:val="24"/>
          <w:szCs w:val="24"/>
          <w:lang w:val="fr-FR"/>
        </w:rPr>
        <w:t xml:space="preserve"> </w:t>
      </w:r>
      <w:r w:rsidRPr="4EF8719D" w:rsidR="297E29FB">
        <w:rPr>
          <w:sz w:val="24"/>
          <w:szCs w:val="24"/>
        </w:rPr>
        <w:t xml:space="preserve">Two parameters of the </w:t>
      </w:r>
      <w:r w:rsidRPr="4EF8719D" w:rsidR="5D6BA987">
        <w:rPr>
          <w:sz w:val="24"/>
          <w:szCs w:val="24"/>
        </w:rPr>
        <w:t xml:space="preserve">psychometric </w:t>
      </w:r>
      <w:r w:rsidRPr="4EF8719D" w:rsidR="297E29FB">
        <w:rPr>
          <w:sz w:val="24"/>
          <w:szCs w:val="24"/>
        </w:rPr>
        <w:t xml:space="preserve">function used to </w:t>
      </w:r>
      <w:r w:rsidRPr="4EF8719D" w:rsidR="19931183">
        <w:rPr>
          <w:sz w:val="24"/>
          <w:szCs w:val="24"/>
        </w:rPr>
        <w:t xml:space="preserve">fit participants’ </w:t>
      </w:r>
      <w:r w:rsidRPr="4EF8719D" w:rsidR="1BA70067">
        <w:rPr>
          <w:sz w:val="24"/>
          <w:szCs w:val="24"/>
        </w:rPr>
        <w:t>performance</w:t>
      </w:r>
      <w:r w:rsidRPr="4EF8719D" w:rsidR="1300ED81">
        <w:rPr>
          <w:sz w:val="24"/>
          <w:szCs w:val="24"/>
        </w:rPr>
        <w:t xml:space="preserve"> were analysed, its thre</w:t>
      </w:r>
      <w:r w:rsidRPr="4EF8719D" w:rsidR="59C9E933">
        <w:rPr>
          <w:sz w:val="24"/>
          <w:szCs w:val="24"/>
        </w:rPr>
        <w:t>s</w:t>
      </w:r>
      <w:r w:rsidRPr="4EF8719D" w:rsidR="1300ED81">
        <w:rPr>
          <w:sz w:val="24"/>
          <w:szCs w:val="24"/>
        </w:rPr>
        <w:t xml:space="preserve">hold </w:t>
      </w:r>
      <w:r w:rsidRPr="4EF8719D" w:rsidR="0C41B33C">
        <w:rPr>
          <w:sz w:val="24"/>
          <w:szCs w:val="24"/>
        </w:rPr>
        <w:t>and its slope</w:t>
      </w:r>
      <w:r w:rsidRPr="4EF8719D" w:rsidR="56D2DE73">
        <w:rPr>
          <w:sz w:val="24"/>
          <w:szCs w:val="24"/>
        </w:rPr>
        <w:t xml:space="preserve">. The threshold measures </w:t>
      </w:r>
      <w:r w:rsidRPr="4EF8719D" w:rsidR="1BA70067">
        <w:rPr>
          <w:sz w:val="24"/>
          <w:szCs w:val="24"/>
        </w:rPr>
        <w:t>the</w:t>
      </w:r>
      <w:r w:rsidRPr="4EF8719D" w:rsidR="34DF1487">
        <w:rPr>
          <w:sz w:val="24"/>
          <w:szCs w:val="24"/>
        </w:rPr>
        <w:t xml:space="preserve"> point of subjective simultaneity (</w:t>
      </w:r>
      <w:r w:rsidRPr="4EF8719D" w:rsidR="443DAC6F">
        <w:rPr>
          <w:sz w:val="24"/>
          <w:szCs w:val="24"/>
        </w:rPr>
        <w:t>PSS)</w:t>
      </w:r>
      <w:r w:rsidRPr="4EF8719D" w:rsidR="0BB7C5FE">
        <w:rPr>
          <w:sz w:val="24"/>
          <w:szCs w:val="24"/>
        </w:rPr>
        <w:t xml:space="preserve"> and is used to index </w:t>
      </w:r>
      <w:r w:rsidRPr="4EF8719D" w:rsidR="4C062175">
        <w:rPr>
          <w:sz w:val="24"/>
          <w:szCs w:val="24"/>
        </w:rPr>
        <w:t xml:space="preserve">whether the </w:t>
      </w:r>
      <w:r w:rsidRPr="4EF8719D" w:rsidR="610D788A">
        <w:rPr>
          <w:sz w:val="24"/>
          <w:szCs w:val="24"/>
        </w:rPr>
        <w:t>participant</w:t>
      </w:r>
      <w:r w:rsidRPr="4EF8719D" w:rsidR="6FE37472">
        <w:rPr>
          <w:sz w:val="24"/>
          <w:szCs w:val="24"/>
        </w:rPr>
        <w:t>s'</w:t>
      </w:r>
      <w:r w:rsidRPr="4EF8719D" w:rsidR="4C062175">
        <w:rPr>
          <w:sz w:val="24"/>
          <w:szCs w:val="24"/>
        </w:rPr>
        <w:t xml:space="preserve"> judgments are </w:t>
      </w:r>
      <w:r w:rsidRPr="4EF8719D" w:rsidR="6F4C093E">
        <w:rPr>
          <w:sz w:val="24"/>
          <w:szCs w:val="24"/>
        </w:rPr>
        <w:t xml:space="preserve">biased </w:t>
      </w:r>
      <w:r w:rsidRPr="4EF8719D" w:rsidR="4C062175">
        <w:rPr>
          <w:sz w:val="24"/>
          <w:szCs w:val="24"/>
        </w:rPr>
        <w:t xml:space="preserve">to the advantage </w:t>
      </w:r>
      <w:r w:rsidRPr="4EF8719D" w:rsidR="649DEB57">
        <w:rPr>
          <w:sz w:val="24"/>
          <w:szCs w:val="24"/>
        </w:rPr>
        <w:t>of the visual stimul</w:t>
      </w:r>
      <w:r w:rsidRPr="4EF8719D" w:rsidR="240C63E4">
        <w:rPr>
          <w:sz w:val="24"/>
          <w:szCs w:val="24"/>
        </w:rPr>
        <w:t>us</w:t>
      </w:r>
      <w:r w:rsidRPr="4EF8719D" w:rsidR="649DEB57">
        <w:rPr>
          <w:sz w:val="24"/>
          <w:szCs w:val="24"/>
        </w:rPr>
        <w:t xml:space="preserve"> presented in one </w:t>
      </w:r>
      <w:proofErr w:type="gramStart"/>
      <w:r w:rsidRPr="4EF8719D" w:rsidR="26C05E1C">
        <w:rPr>
          <w:sz w:val="24"/>
          <w:szCs w:val="24"/>
        </w:rPr>
        <w:t xml:space="preserve">particular </w:t>
      </w:r>
      <w:r w:rsidRPr="4EF8719D" w:rsidR="649DEB57">
        <w:rPr>
          <w:sz w:val="24"/>
          <w:szCs w:val="24"/>
        </w:rPr>
        <w:t>side</w:t>
      </w:r>
      <w:proofErr w:type="gramEnd"/>
      <w:r w:rsidRPr="4EF8719D" w:rsidR="649DEB57">
        <w:rPr>
          <w:sz w:val="24"/>
          <w:szCs w:val="24"/>
        </w:rPr>
        <w:t xml:space="preserve"> of space</w:t>
      </w:r>
      <w:r w:rsidRPr="4EF8719D" w:rsidR="652C616C">
        <w:rPr>
          <w:sz w:val="24"/>
          <w:szCs w:val="24"/>
        </w:rPr>
        <w:t xml:space="preserve">. </w:t>
      </w:r>
      <w:r w:rsidRPr="4EF8719D" w:rsidR="42E779DB">
        <w:rPr>
          <w:sz w:val="24"/>
          <w:szCs w:val="24"/>
        </w:rPr>
        <w:t>T</w:t>
      </w:r>
      <w:r w:rsidRPr="4EF8719D" w:rsidR="649DEB57">
        <w:rPr>
          <w:sz w:val="24"/>
          <w:szCs w:val="24"/>
        </w:rPr>
        <w:t>he slope relates to the precision of the pa</w:t>
      </w:r>
      <w:r w:rsidRPr="4EF8719D" w:rsidR="47C68186">
        <w:rPr>
          <w:sz w:val="24"/>
          <w:szCs w:val="24"/>
        </w:rPr>
        <w:t>rticipants</w:t>
      </w:r>
      <w:r w:rsidRPr="4EF8719D" w:rsidR="649DEB57">
        <w:rPr>
          <w:sz w:val="24"/>
          <w:szCs w:val="24"/>
        </w:rPr>
        <w:t>’ responses</w:t>
      </w:r>
      <w:r w:rsidRPr="4EF8719D" w:rsidR="0A394886">
        <w:rPr>
          <w:sz w:val="24"/>
          <w:szCs w:val="24"/>
        </w:rPr>
        <w:t xml:space="preserve"> (f</w:t>
      </w:r>
      <w:r w:rsidRPr="4EF8719D" w:rsidR="705892F3">
        <w:rPr>
          <w:sz w:val="24"/>
          <w:szCs w:val="24"/>
        </w:rPr>
        <w:t>o</w:t>
      </w:r>
      <w:r w:rsidRPr="4EF8719D" w:rsidR="0A394886">
        <w:rPr>
          <w:sz w:val="24"/>
          <w:szCs w:val="24"/>
        </w:rPr>
        <w:t xml:space="preserve">r furthers explanations, </w:t>
      </w:r>
      <w:r w:rsidRPr="4EF8719D" w:rsidR="6BE4247E">
        <w:rPr>
          <w:sz w:val="24"/>
          <w:szCs w:val="24"/>
        </w:rPr>
        <w:t>see</w:t>
      </w:r>
      <w:r w:rsidRPr="4EF8719D" w:rsidR="5BDF6ED8">
        <w:rPr>
          <w:sz w:val="24"/>
          <w:szCs w:val="24"/>
        </w:rPr>
        <w:t xml:space="preserve"> </w:t>
      </w:r>
      <w:r w:rsidRPr="4EF8719D" w:rsidR="7FC45ECA">
        <w:rPr>
          <w:sz w:val="24"/>
          <w:szCs w:val="24"/>
        </w:rPr>
        <w:fldChar w:fldCharType="begin"/>
      </w:r>
      <w:r w:rsidR="00A03CF2">
        <w:rPr>
          <w:sz w:val="24"/>
          <w:szCs w:val="24"/>
        </w:rPr>
        <w:instrText xml:space="preserve"> ADDIN ZOTERO_ITEM CSL_CITATION {"citationID":"I5TRCqqt","properties":{"formattedCitation":"(Filbrich et al., 2016)","plainCitation":"(Filbrich et al., 2016)","noteIndex":0},"citationItems":[{"id":190,"uris":["http://zotero.org/users/8514361/items/GRL3XNEQ"],"itemData":{"id":190,"type":"article-journal","abstract":"Recently, Vanden Bulcke, Crombez, Durnez, and Van Damme (2015) investigated whether the attentional prioritization of a specific location due to the anticipation of pain is modality specific or multisensory. They used a temporal order judgment task in which participants judged the order of either two tactile or two visual stimuli, one presented on each hand. Additionally, participants either expected the occurrence of a painful stimulus on one hand or the absence of any pain. Results showed that participants' judgments were biased to the advantage of the stimuli, tactile or visual, presented at the location where pain was expected. The authors concluded that the anticipation of pain leads to a multisensory prioritization of information presented at the threatened spatial location. Here, we would like to question their conclusion in terms of a genuine attentional modulation of multisensory nature, based on methodological and theoretical grounds.","container-title":"Consciousness and Cognition","DOI":"10.1016/j.concog.2016.02.008","ISSN":"1090-2376","journalAbbreviation":"Conscious Cogn","language":"eng","note":"PMID: 26922311","page":"135-138","source":"PubMed","title":"Using temporal order judgments to investigate attention bias toward pain and threat-related information. Methodological and theoretical issues","volume":"41","author":[{"family":"Filbrich","given":"Lieve"},{"family":"Torta","given":"Diana M."},{"family":"Vanderclausen","given":"Camille"},{"family":"Azañón","given":"Elena"},{"family":"Legrain","given":"Valéry"}],"issued":{"date-parts":[["2016",4]]}}}],"schema":"https://github.com/citation-style-language/schema/raw/master/csl-citation.json"} </w:instrText>
      </w:r>
      <w:r w:rsidRPr="4EF8719D" w:rsidR="7FC45ECA">
        <w:rPr>
          <w:sz w:val="24"/>
          <w:szCs w:val="24"/>
        </w:rPr>
        <w:fldChar w:fldCharType="separate"/>
      </w:r>
      <w:r w:rsidRPr="008425F7" w:rsidR="008425F7">
        <w:rPr>
          <w:rFonts w:ascii="Calibri" w:hAnsi="Calibri" w:cs="Calibri"/>
          <w:sz w:val="24"/>
        </w:rPr>
        <w:t>(Filbrich et al., 2016)</w:t>
      </w:r>
      <w:r w:rsidRPr="4EF8719D" w:rsidR="7FC45ECA">
        <w:rPr>
          <w:sz w:val="24"/>
          <w:szCs w:val="24"/>
        </w:rPr>
        <w:fldChar w:fldCharType="end"/>
      </w:r>
      <w:r w:rsidRPr="4EF8719D" w:rsidR="6BE4247E">
        <w:rPr>
          <w:rFonts w:ascii="Calibri" w:hAnsi="Calibri" w:cs="Calibri"/>
          <w:sz w:val="24"/>
          <w:szCs w:val="24"/>
        </w:rPr>
        <w:t>)</w:t>
      </w:r>
      <w:r w:rsidRPr="4EF8719D" w:rsidR="649DEB57">
        <w:rPr>
          <w:sz w:val="24"/>
          <w:szCs w:val="24"/>
        </w:rPr>
        <w:t>.</w:t>
      </w:r>
    </w:p>
    <w:p w:rsidRPr="00171B6F" w:rsidR="0041193F" w:rsidP="560E2E1C" w:rsidRDefault="0CE75C0F" w14:paraId="67B391C9" w14:textId="11E49D95">
      <w:pPr>
        <w:pStyle w:val="Heading3"/>
        <w:spacing w:line="480" w:lineRule="auto"/>
        <w:rPr>
          <w:rFonts w:ascii="Calibri" w:hAnsi="Calibri" w:eastAsia="Calibri" w:cs="Calibri"/>
          <w:szCs w:val="24"/>
        </w:rPr>
      </w:pPr>
      <w:r w:rsidRPr="560E2E1C">
        <w:rPr>
          <w:szCs w:val="24"/>
        </w:rPr>
        <w:t>Survey at home</w:t>
      </w:r>
    </w:p>
    <w:p w:rsidRPr="00171B6F" w:rsidR="00CF2462" w:rsidP="560E2E1C" w:rsidRDefault="6B57FC33" w14:paraId="6EECCB9F" w14:textId="74B71DDC">
      <w:pPr>
        <w:spacing w:line="480" w:lineRule="auto"/>
        <w:jc w:val="both"/>
        <w:rPr>
          <w:rFonts w:cs="Arial"/>
          <w:sz w:val="24"/>
          <w:szCs w:val="24"/>
        </w:rPr>
      </w:pPr>
      <w:r w:rsidRPr="560E2E1C">
        <w:rPr>
          <w:rFonts w:ascii="Calibri" w:hAnsi="Calibri" w:eastAsia="Calibri" w:cs="Calibri"/>
          <w:color w:val="000000" w:themeColor="text1"/>
          <w:sz w:val="24"/>
          <w:szCs w:val="24"/>
        </w:rPr>
        <w:t xml:space="preserve">At home, the participants completed several questionnaires </w:t>
      </w:r>
      <w:r w:rsidRPr="560E2E1C" w:rsidR="588A3ADF">
        <w:rPr>
          <w:rFonts w:cs="Arial"/>
          <w:sz w:val="24"/>
          <w:szCs w:val="24"/>
        </w:rPr>
        <w:t>assessing functional, psychological and social variables</w:t>
      </w:r>
      <w:r w:rsidRPr="560E2E1C" w:rsidR="3F03AB85">
        <w:rPr>
          <w:rFonts w:cs="Arial"/>
          <w:sz w:val="24"/>
          <w:szCs w:val="24"/>
        </w:rPr>
        <w:t>:</w:t>
      </w:r>
    </w:p>
    <w:p w:rsidRPr="00171B6F" w:rsidR="00CF2462" w:rsidP="560E2E1C" w:rsidRDefault="7FAD17A4" w14:paraId="49DAABA7" w14:textId="0B762A9F">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t xml:space="preserve">(1) </w:t>
      </w:r>
      <w:r w:rsidRPr="560E2E1C" w:rsidR="25B95F3E">
        <w:rPr>
          <w:rFonts w:ascii="Calibri" w:hAnsi="Calibri" w:eastAsia="Calibri" w:cs="Calibri"/>
          <w:color w:val="000000" w:themeColor="text1"/>
          <w:sz w:val="24"/>
          <w:szCs w:val="24"/>
        </w:rPr>
        <w:t>D</w:t>
      </w:r>
      <w:r w:rsidRPr="560E2E1C">
        <w:rPr>
          <w:rFonts w:ascii="Calibri" w:hAnsi="Calibri" w:eastAsia="Calibri" w:cs="Calibri"/>
          <w:color w:val="000000" w:themeColor="text1"/>
          <w:sz w:val="24"/>
          <w:szCs w:val="24"/>
        </w:rPr>
        <w:t>isability (</w:t>
      </w:r>
      <w:proofErr w:type="spellStart"/>
      <w:r w:rsidRPr="560E2E1C">
        <w:rPr>
          <w:rFonts w:ascii="Calibri" w:hAnsi="Calibri" w:eastAsia="Calibri" w:cs="Calibri"/>
          <w:sz w:val="24"/>
          <w:szCs w:val="24"/>
        </w:rPr>
        <w:t>QuickDASH</w:t>
      </w:r>
      <w:proofErr w:type="spellEnd"/>
      <w:r w:rsidRPr="560E2E1C">
        <w:rPr>
          <w:rFonts w:ascii="Calibri" w:hAnsi="Calibri" w:eastAsia="Calibri" w:cs="Calibri"/>
          <w:sz w:val="24"/>
          <w:szCs w:val="24"/>
        </w:rPr>
        <w:t xml:space="preserve"> for UE </w:t>
      </w:r>
      <w:r w:rsidRPr="560E2E1C" w:rsidR="77ABD496">
        <w:rPr>
          <w:rFonts w:ascii="Calibri" w:hAnsi="Calibri" w:eastAsia="Calibri" w:cs="Calibri"/>
        </w:rPr>
        <w:fldChar w:fldCharType="begin"/>
      </w:r>
      <w:r w:rsidR="00A03CF2">
        <w:rPr>
          <w:rFonts w:ascii="Calibri" w:hAnsi="Calibri" w:eastAsia="Calibri" w:cs="Calibri"/>
        </w:rPr>
        <w:instrText xml:space="preserve"> ADDIN ZOTERO_ITEM CSL_CITATION {"citationID":"n60iAWI4","properties":{"formattedCitation":"(Beaton et al., 2005)","plainCitation":"(Beaton et al., 2005)","noteIndex":0},"citationItems":[{"id":"jyRXZ8R7/Wn6AszFj","uris":["http://zotero.org/users/8777725/items/DKRGTK3G"],"itemData":{"id":794,"type":"article-journal","abstract":"Background: The purpose of this study was to develop a short, reliable, and valid measure of physical function and symptoms related to upper-limb musculoskeletal disorders by shortening the full, thirty-item DASH (Disabilities of the Arm, Shoulder and Hand) Outcome Measure. Methods: Three item-reduction techniques were used on the cross-sectional field-testing data derived from a study of 407 patients with various upper-limb conditions. These techniques were the concept-retention method, the equidiscriminative item-total correlation, and the item response theory (Rasch modeling). Three eleven-item scales were created. Data from a longitudinal cohort study in which the DASH questionnaire was administered to 200 patients with shoulder and wrist/hand disorders were then used to assess the reliability (Cronbach alpha and test-retest reliability) and validity (cross-sectional and longitudinal construct) of the three scales. Results were compared with those derived with the full DASH. Results: The three versions were comparable with regard to their measurement properties. All had a Cronbach alpha of ≥0.92 and an intraclass correlation coefficient of ≥0.94. Evidence of construct validity was established (r ≥ 0.64 with single-item indices of pain and function). The concept-retention method, the most subjective of the approaches to item reduction, ranked highest in terms of its similarity to the original DASH. Conclusions: The concept-retention version is named the QuickDASH. It contains eleven items and is similar with regard to scores and properties to the full DASH. A comparison of item-reduction approaches suggested that the retention of clinically sensible and important content produced a comparable, if not slightly better, instrument than did more statistically driven approaches. Clinical Relevance: The QuickDASH is a more efficient version of the DASH outcome measure that appears to retain its measurement properties. Copyright © 2005 by The Journal of Bone and Joint Surgery, Incorporated.","archive":"Scopus","container-title":"Journal of Bone and Joint Surgery - Series A","DOI":"10.2106/JBJS.D.02060","ISSN":"0021-9355","issue":"5","language":"English","page":"1038-1046","source":"Scopus","title":"Development of the QuickDASH: COmparison of three item-reduction approaches","title-short":"Development of the QuickDASH","volume":"87","author":[{"family":"Beaton","given":"D.E."},{"family":"Wright","given":"J.G."},{"family":"Katz","given":"J.N."},{"family":"Amadio","given":"P."},{"family":"Bombardier","given":"C."},{"family":"Cole","given":"D."},{"family":"Davis","given":"A."},{"family":"Hudak","given":"P."},{"family":"Marx","given":"R."},{"family":"Hawker","given":"G."},{"family":"Makela","given":"M."},{"family":"Punnett","given":"L."}],"issued":{"date-parts":[["2005"]]}}}],"schema":"https://github.com/citation-style-language/schema/raw/master/csl-citation.json"} </w:instrText>
      </w:r>
      <w:r w:rsidRPr="560E2E1C" w:rsidR="77ABD496">
        <w:rPr>
          <w:rFonts w:ascii="Calibri" w:hAnsi="Calibri" w:eastAsia="Calibri" w:cs="Calibri"/>
        </w:rPr>
        <w:fldChar w:fldCharType="separate"/>
      </w:r>
      <w:r w:rsidRPr="008425F7" w:rsidR="008425F7">
        <w:rPr>
          <w:rFonts w:ascii="Calibri" w:hAnsi="Calibri" w:cs="Calibri"/>
          <w:sz w:val="24"/>
        </w:rPr>
        <w:t>(Beaton et al., 2005)</w:t>
      </w:r>
      <w:r w:rsidRPr="560E2E1C" w:rsidR="77ABD496">
        <w:rPr>
          <w:rFonts w:ascii="Calibri" w:hAnsi="Calibri" w:eastAsia="Calibri" w:cs="Calibri"/>
        </w:rPr>
        <w:fldChar w:fldCharType="end"/>
      </w:r>
      <w:r w:rsidRPr="560E2E1C">
        <w:rPr>
          <w:rFonts w:ascii="Calibri" w:hAnsi="Calibri" w:eastAsia="Calibri" w:cs="Calibri"/>
          <w:sz w:val="24"/>
          <w:szCs w:val="24"/>
        </w:rPr>
        <w:t>, Lower Extre</w:t>
      </w:r>
      <w:r w:rsidRPr="560E2E1C" w:rsidR="5FAA8EA3">
        <w:rPr>
          <w:rFonts w:ascii="Calibri" w:hAnsi="Calibri" w:eastAsia="Calibri" w:cs="Calibri"/>
          <w:sz w:val="24"/>
          <w:szCs w:val="24"/>
        </w:rPr>
        <w:t xml:space="preserve">mity functional scale </w:t>
      </w:r>
      <w:r w:rsidRPr="560E2E1C" w:rsidR="3CB40CDB">
        <w:rPr>
          <w:rFonts w:ascii="Calibri" w:hAnsi="Calibri" w:eastAsia="Calibri" w:cs="Calibri"/>
          <w:sz w:val="24"/>
          <w:szCs w:val="24"/>
        </w:rPr>
        <w:t>[</w:t>
      </w:r>
      <w:proofErr w:type="spellStart"/>
      <w:r w:rsidRPr="560E2E1C" w:rsidR="5FAA8EA3">
        <w:rPr>
          <w:rFonts w:ascii="Calibri" w:hAnsi="Calibri" w:eastAsia="Calibri" w:cs="Calibri"/>
          <w:sz w:val="24"/>
          <w:szCs w:val="24"/>
        </w:rPr>
        <w:t>LEFS</w:t>
      </w:r>
      <w:proofErr w:type="spellEnd"/>
      <w:r w:rsidRPr="560E2E1C" w:rsidR="5DAC0EE9">
        <w:rPr>
          <w:rFonts w:ascii="Calibri" w:hAnsi="Calibri" w:eastAsia="Calibri" w:cs="Calibri"/>
          <w:sz w:val="24"/>
          <w:szCs w:val="24"/>
        </w:rPr>
        <w:t>]</w:t>
      </w:r>
      <w:r w:rsidRPr="560E2E1C" w:rsidR="5FAA8EA3">
        <w:rPr>
          <w:rFonts w:ascii="Calibri" w:hAnsi="Calibri" w:eastAsia="Calibri" w:cs="Calibri"/>
          <w:sz w:val="24"/>
          <w:szCs w:val="24"/>
        </w:rPr>
        <w:t xml:space="preserve"> for LE</w:t>
      </w:r>
      <w:r w:rsidRPr="560E2E1C">
        <w:rPr>
          <w:rFonts w:ascii="Calibri" w:hAnsi="Calibri" w:eastAsia="Calibri" w:cs="Calibri"/>
          <w:color w:val="000000" w:themeColor="text1"/>
          <w:sz w:val="24"/>
          <w:szCs w:val="24"/>
        </w:rPr>
        <w:t xml:space="preserve"> </w:t>
      </w:r>
      <w:r w:rsidRPr="560E2E1C" w:rsidR="77ABD496">
        <w:rPr>
          <w:rFonts w:ascii="Calibri" w:hAnsi="Calibri" w:eastAsia="Calibri" w:cs="Calibri"/>
          <w:color w:val="000000" w:themeColor="text1"/>
        </w:rPr>
        <w:fldChar w:fldCharType="begin"/>
      </w:r>
      <w:r w:rsidR="00A03CF2">
        <w:rPr>
          <w:rFonts w:ascii="Calibri" w:hAnsi="Calibri" w:eastAsia="Calibri" w:cs="Calibri"/>
          <w:color w:val="000000" w:themeColor="text1"/>
        </w:rPr>
        <w:instrText xml:space="preserve"> ADDIN ZOTERO_ITEM CSL_CITATION {"citationID":"QfyCFPBq","properties":{"formattedCitation":"(Herdman et al., 2011)","plainCitation":"(Herdman et al., 2011)","noteIndex":0},"citationItems":[{"id":"jyRXZ8R7/T9rxDhAn","uris":["http://zotero.org/users/8777725/items/HW6V4ZHH"],"itemData":{"id":860,"type":"article-journal","abstract":"PURPOSE: This article introduces the new 5-level EQ-5D (EQ-5D-5L) health status measure.\nMETHODS: EQ-5D currently measures health using three levels of severity in five dimensions. A EuroQol Group task force was established to find ways of improving the instrument's sensitivity and reducing ceiling effects by increasing the number of severity levels. The study was performed in the United Kingdom and Spain. Severity labels for 5 levels in each dimension were identified using response scaling. Focus groups were used to investigate the face and content validity of the new versions, including hypothetical health states generated from those versions.\nRESULTS: Selecting labels at approximately the 25th, 50th, and 75th centiles produced two alternative 5-level versions. Focus group work showed a slight preference for the wording 'slight-moderate-severe' problems, with anchors of 'no problems' and 'unable to do' in the EQ-5D functional dimensions. Similar wording was used in the Pain/Discomfort and Anxiety/Depression dimensions. Hypothetical health states were well understood though participants stressed the need for the internal coherence of health states.\nCONCLUSIONS: A 5-level version of the EQ-5D has been developed by the EuroQol Group. Further testing is required to determine whether the new version improves sensitivity and reduces ceiling effects.","container-title":"Quality of Life Research: An International Journal of Quality of Life Aspects of Treatment, Care and Rehabilitation","DOI":"10.1007/s11136-011-9903-x","ISSN":"1573-2649","issue":"10","journalAbbreviation":"Qual Life Res","language":"eng","note":"PMID: 21479777\nPMCID: PMC3220807","page":"1727-1736","source":"PubMed","title":"Development and preliminary testing of the new five-level version of EQ-5D (EQ-5D-5L)","volume":"20","author":[{"family":"Herdman","given":"M."},{"family":"Gudex","given":"C."},{"family":"Lloyd","given":"A."},{"family":"Janssen","given":"Mf"},{"family":"Kind","given":"P."},{"family":"Parkin","given":"D."},{"family":"Bonsel","given":"G."},{"family":"Badia","given":"X."}],"issued":{"date-parts":[["2011",12]]}}}],"schema":"https://github.com/citation-style-language/schema/raw/master/csl-citation.json"} </w:instrText>
      </w:r>
      <w:r w:rsidRPr="560E2E1C" w:rsidR="77ABD496">
        <w:rPr>
          <w:rFonts w:ascii="Calibri" w:hAnsi="Calibri" w:eastAsia="Calibri" w:cs="Calibri"/>
          <w:color w:val="000000" w:themeColor="text1"/>
        </w:rPr>
        <w:fldChar w:fldCharType="separate"/>
      </w:r>
      <w:r w:rsidRPr="008425F7" w:rsidR="008425F7">
        <w:rPr>
          <w:rFonts w:ascii="Calibri" w:hAnsi="Calibri" w:cs="Calibri"/>
          <w:sz w:val="24"/>
        </w:rPr>
        <w:t>(Herdman et al., 2011)</w:t>
      </w:r>
      <w:r w:rsidRPr="560E2E1C" w:rsidR="77ABD496">
        <w:rPr>
          <w:rFonts w:ascii="Calibri" w:hAnsi="Calibri" w:eastAsia="Calibri" w:cs="Calibri"/>
          <w:color w:val="000000" w:themeColor="text1"/>
        </w:rPr>
        <w:fldChar w:fldCharType="end"/>
      </w:r>
      <w:r w:rsidRPr="560E2E1C" w:rsidR="21A4BE4A">
        <w:rPr>
          <w:rFonts w:ascii="Calibri" w:hAnsi="Calibri" w:eastAsia="Calibri" w:cs="Calibri"/>
          <w:color w:val="000000" w:themeColor="text1"/>
          <w:sz w:val="24"/>
          <w:szCs w:val="24"/>
        </w:rPr>
        <w:t>)</w:t>
      </w:r>
      <w:r w:rsidRPr="560E2E1C">
        <w:rPr>
          <w:rFonts w:ascii="Calibri" w:hAnsi="Calibri" w:eastAsia="Calibri" w:cs="Calibri"/>
          <w:color w:val="000000" w:themeColor="text1"/>
          <w:sz w:val="24"/>
          <w:szCs w:val="24"/>
        </w:rPr>
        <w:t xml:space="preserve">, </w:t>
      </w:r>
    </w:p>
    <w:p w:rsidRPr="00171B6F" w:rsidR="00332A2A" w:rsidP="560E2E1C" w:rsidRDefault="5E4DCD7A" w14:paraId="01C5BA86" w14:textId="579028D6">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sz w:val="24"/>
          <w:szCs w:val="24"/>
        </w:rPr>
        <w:t xml:space="preserve">(2) Quality </w:t>
      </w:r>
      <w:r w:rsidRPr="560E2E1C">
        <w:rPr>
          <w:rFonts w:ascii="Calibri" w:hAnsi="Calibri" w:eastAsia="Calibri" w:cs="Calibri"/>
          <w:color w:val="000000" w:themeColor="text1"/>
          <w:sz w:val="24"/>
          <w:szCs w:val="24"/>
        </w:rPr>
        <w:t>of Life (QoL)-Participation (EuroQol-5</w:t>
      </w:r>
      <w:r w:rsidRPr="560E2E1C" w:rsidR="5BE4F140">
        <w:rPr>
          <w:rFonts w:ascii="Calibri" w:hAnsi="Calibri" w:eastAsia="Calibri" w:cs="Calibri"/>
          <w:color w:val="000000" w:themeColor="text1"/>
          <w:sz w:val="24"/>
          <w:szCs w:val="24"/>
        </w:rPr>
        <w:t xml:space="preserve"> dimensions – 5 </w:t>
      </w:r>
      <w:r w:rsidRPr="560E2E1C" w:rsidR="09F51D41">
        <w:rPr>
          <w:rFonts w:ascii="Calibri" w:hAnsi="Calibri" w:eastAsia="Calibri" w:cs="Calibri"/>
          <w:color w:val="000000" w:themeColor="text1"/>
          <w:sz w:val="24"/>
          <w:szCs w:val="24"/>
        </w:rPr>
        <w:t>levels</w:t>
      </w:r>
      <w:r w:rsidRPr="560E2E1C">
        <w:rPr>
          <w:rFonts w:ascii="Calibri" w:hAnsi="Calibri" w:eastAsia="Calibri" w:cs="Calibri"/>
          <w:color w:val="000000" w:themeColor="text1"/>
          <w:sz w:val="24"/>
          <w:szCs w:val="24"/>
        </w:rPr>
        <w:t xml:space="preserve"> [EQ-5D-5L]</w:t>
      </w:r>
      <w:r w:rsidRPr="560E2E1C" w:rsidR="23943651">
        <w:rPr>
          <w:rFonts w:ascii="Calibri" w:hAnsi="Calibri" w:eastAsia="Calibri" w:cs="Calibri"/>
          <w:sz w:val="24"/>
          <w:szCs w:val="24"/>
        </w:rPr>
        <w:t xml:space="preserve"> </w:t>
      </w:r>
      <w:r w:rsidRPr="560E2E1C" w:rsidR="19C1D4E2">
        <w:rPr>
          <w:rFonts w:ascii="Calibri" w:hAnsi="Calibri" w:eastAsia="Calibri" w:cs="Calibri"/>
        </w:rPr>
        <w:fldChar w:fldCharType="begin"/>
      </w:r>
      <w:r w:rsidR="00A03CF2">
        <w:rPr>
          <w:rFonts w:ascii="Calibri" w:hAnsi="Calibri" w:eastAsia="Calibri" w:cs="Calibri"/>
        </w:rPr>
        <w:instrText xml:space="preserve"> ADDIN ZOTERO_ITEM CSL_CITATION {"citationID":"Gq0HOOwg","properties":{"formattedCitation":"(Binkley et al., 1999)","plainCitation":"(Binkley et al., 1999)","noteIndex":0},"citationItems":[{"id":"jyRXZ8R7/TsEvCNzW","uris":["http://zotero.org/users/8777725/items/9EMCUHUE"],"itemData":{"id":1207,"type":"article-journal","abstract":"BACKGROUND AND PURPOSE: The purpose of this study was to assess the reliability, construct validity, and sensitivity to change of the Lower Extremity Functional Scale (LEFS).\nSUBJECTS AND METHODS: The LEFS was administered to 107 patients with lower-extremity musculoskeletal dysfunction referred to 12 outpatient physical therapy clinics.\nMETHODS: The LEFS was administered during the initial assessment, 24 to 48 hours following the initial assessment, and then at weekly intervals for 4 weeks. The SF-36 (acute version) was administered during the initial assessment and at weekly intervals. A type 2,1 intraclass correlation coefficient was used to estimate test-retest reliability. Pearson correlations and one-way analyses of variance were used to examine construct validity. Spearman rank-order correlation coefficients were used to examine the relationship between an independent prognostic rating of change for each patient and change in the LEFS and SF-36 scores.\nRESULTS: Test-retest reliability of the LEFS scores was excellent (R = .94 [95% lower limit confidence interval (CI) = .89]). Correlations between the LEFS and the SF-36 physical function subscale and physical component score were r=.80 (95% lower limit CI = .73) and r = .64 (95% lower limit CI = .54), respectively. There was a higher correlation between the prognostic rating of change and the LEFS than between the prognostic rating of change and the SF-36 physical function score. The potential error associated with a score on the LEFS at a given point in time is +/-5.3 scale points (90% CI), the minimal detectable change is 9 scale points (90% CI), and the minimal clinically important difference is 9 scale points (90% CI).\nCONCLUSION AND DISCUSSION: The LEFS is reliable, and construct validity was supported by comparison with the SF-36. The sensitivity to change of the LEFS was superior to that of the SF-36 in this population. The LEFS is efficient to administer and score and is applicable for research purposes and clinical decision making for individual patients.","container-title":"Physical Therapy","ISSN":"0031-9023","issue":"4","journalAbbreviation":"Phys Ther","language":"eng","note":"PMID: 10201543","page":"371-383","source":"PubMed","title":"The Lower Extremity Functional Scale (LEFS): scale development, measurement properties, and clinical application. North American Orthopaedic Rehabilitation Research Network","title-short":"The Lower Extremity Functional Scale (LEFS)","volume":"79","author":[{"family":"Binkley","given":"J. M."},{"family":"Stratford","given":"P. W."},{"family":"Lott","given":"S. A."},{"family":"Riddle","given":"D. L."}],"issued":{"date-parts":[["1999",4]]}}}],"schema":"https://github.com/citation-style-language/schema/raw/master/csl-citation.json"} </w:instrText>
      </w:r>
      <w:r w:rsidRPr="560E2E1C" w:rsidR="19C1D4E2">
        <w:rPr>
          <w:rFonts w:ascii="Calibri" w:hAnsi="Calibri" w:eastAsia="Calibri" w:cs="Calibri"/>
        </w:rPr>
        <w:fldChar w:fldCharType="separate"/>
      </w:r>
      <w:r w:rsidRPr="008425F7" w:rsidR="008425F7">
        <w:rPr>
          <w:rFonts w:ascii="Calibri" w:hAnsi="Calibri" w:cs="Calibri"/>
          <w:sz w:val="24"/>
        </w:rPr>
        <w:t>(Binkley et al., 1999)</w:t>
      </w:r>
      <w:r w:rsidRPr="560E2E1C" w:rsidR="19C1D4E2">
        <w:rPr>
          <w:rFonts w:ascii="Calibri" w:hAnsi="Calibri" w:eastAsia="Calibri" w:cs="Calibri"/>
        </w:rPr>
        <w:fldChar w:fldCharType="end"/>
      </w:r>
      <w:r w:rsidRPr="560E2E1C" w:rsidR="5C50FDA5">
        <w:rPr>
          <w:rFonts w:ascii="Calibri" w:hAnsi="Calibri" w:eastAsia="Calibri" w:cs="Calibri"/>
          <w:color w:val="000000" w:themeColor="text1"/>
          <w:sz w:val="24"/>
          <w:szCs w:val="24"/>
        </w:rPr>
        <w:t>)</w:t>
      </w:r>
      <w:r w:rsidRPr="560E2E1C">
        <w:rPr>
          <w:rFonts w:ascii="Calibri" w:hAnsi="Calibri" w:eastAsia="Calibri" w:cs="Calibri"/>
          <w:color w:val="000000" w:themeColor="text1"/>
          <w:sz w:val="24"/>
          <w:szCs w:val="24"/>
        </w:rPr>
        <w:t xml:space="preserve">, </w:t>
      </w:r>
    </w:p>
    <w:p w:rsidRPr="00171B6F" w:rsidR="00CF2462" w:rsidP="560E2E1C" w:rsidRDefault="7FAD17A4" w14:paraId="613F86B3" w14:textId="06EED5FB">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t xml:space="preserve">(3) </w:t>
      </w:r>
      <w:r w:rsidRPr="560E2E1C" w:rsidR="25B95F3E">
        <w:rPr>
          <w:rFonts w:ascii="Calibri" w:hAnsi="Calibri" w:eastAsia="Calibri" w:cs="Calibri"/>
          <w:color w:val="000000" w:themeColor="text1"/>
          <w:sz w:val="24"/>
          <w:szCs w:val="24"/>
        </w:rPr>
        <w:t>P</w:t>
      </w:r>
      <w:r w:rsidRPr="560E2E1C" w:rsidR="41EC208D">
        <w:rPr>
          <w:rFonts w:ascii="Calibri" w:hAnsi="Calibri" w:eastAsia="Calibri" w:cs="Calibri"/>
          <w:color w:val="000000" w:themeColor="text1"/>
          <w:sz w:val="24"/>
          <w:szCs w:val="24"/>
        </w:rPr>
        <w:t>ain</w:t>
      </w:r>
      <w:r w:rsidRPr="560E2E1C" w:rsidR="0A793BD7">
        <w:rPr>
          <w:rFonts w:ascii="Calibri" w:hAnsi="Calibri" w:eastAsia="Calibri" w:cs="Calibri"/>
          <w:color w:val="000000" w:themeColor="text1"/>
          <w:sz w:val="24"/>
          <w:szCs w:val="24"/>
        </w:rPr>
        <w:t xml:space="preserve"> severity and interference</w:t>
      </w:r>
      <w:r w:rsidRPr="560E2E1C">
        <w:rPr>
          <w:rFonts w:ascii="Calibri" w:hAnsi="Calibri" w:eastAsia="Calibri" w:cs="Calibri"/>
          <w:color w:val="000000" w:themeColor="text1"/>
          <w:sz w:val="24"/>
          <w:szCs w:val="24"/>
        </w:rPr>
        <w:t xml:space="preserve"> (</w:t>
      </w:r>
      <w:r w:rsidRPr="560E2E1C" w:rsidR="41EC208D">
        <w:rPr>
          <w:rFonts w:ascii="Calibri" w:hAnsi="Calibri" w:eastAsia="Calibri" w:cs="Calibri"/>
          <w:color w:val="000000" w:themeColor="text1"/>
          <w:sz w:val="24"/>
          <w:szCs w:val="24"/>
        </w:rPr>
        <w:t>Brief Pain Inven</w:t>
      </w:r>
      <w:r w:rsidRPr="560E2E1C" w:rsidR="309702F5">
        <w:rPr>
          <w:rFonts w:ascii="Calibri" w:hAnsi="Calibri" w:eastAsia="Calibri" w:cs="Calibri"/>
          <w:color w:val="000000" w:themeColor="text1"/>
          <w:sz w:val="24"/>
          <w:szCs w:val="24"/>
        </w:rPr>
        <w:t>tory-short form</w:t>
      </w:r>
      <w:r w:rsidRPr="560E2E1C" w:rsidR="5E4DCD7A">
        <w:rPr>
          <w:rFonts w:ascii="Calibri" w:hAnsi="Calibri" w:eastAsia="Calibri" w:cs="Calibri"/>
          <w:color w:val="000000" w:themeColor="text1"/>
          <w:sz w:val="24"/>
          <w:szCs w:val="24"/>
        </w:rPr>
        <w:t xml:space="preserve"> [BPI-SF]</w:t>
      </w:r>
      <w:r w:rsidRPr="560E2E1C" w:rsidR="0D2CFE84">
        <w:rPr>
          <w:rFonts w:ascii="Calibri" w:hAnsi="Calibri" w:eastAsia="Calibri" w:cs="Calibri"/>
          <w:color w:val="000000" w:themeColor="text1"/>
          <w:sz w:val="24"/>
          <w:szCs w:val="24"/>
        </w:rPr>
        <w:t xml:space="preserve"> </w:t>
      </w:r>
      <w:r w:rsidRPr="560E2E1C" w:rsidR="77ABD496">
        <w:rPr>
          <w:rFonts w:ascii="Calibri" w:hAnsi="Calibri" w:eastAsia="Calibri" w:cs="Calibri"/>
          <w:color w:val="000000" w:themeColor="text1"/>
        </w:rPr>
        <w:fldChar w:fldCharType="begin"/>
      </w:r>
      <w:r w:rsidR="00A03CF2">
        <w:rPr>
          <w:rFonts w:ascii="Calibri" w:hAnsi="Calibri" w:eastAsia="Calibri" w:cs="Calibri"/>
          <w:color w:val="000000" w:themeColor="text1"/>
        </w:rPr>
        <w:instrText xml:space="preserve"> ADDIN ZOTERO_ITEM CSL_CITATION {"citationID":"5OFs6dw5","properties":{"formattedCitation":"(Keller et al., 2004)","plainCitation":"(Keller et al., 2004)","noteIndex":0},"citationItems":[{"id":"jyRXZ8R7/zaBHRe1N","uris":["http://zotero.org/users/local/Ka6XGoFg/items/DE9HA2BN"],"itemData":{"id":"B4nsDX47/ugfgfapf","type":"article-journal","abstract":"OBJECTIVES: The Brief Pain Inventory (BPI) is a short, self-administered questionnaire that was developed for use in cancer patients. While most empirical research with the BPI has been in pain of that etiology, the questionnaire is increasingly evident in published studies of patients with non-cancer pain. The current research addresses the need for formal evaluation of the reliability and validity of the BPI for use in non-cancer pain patients.\nMETHODS: Approximately 250 patients with arthritis or low back pain (LBP) self-administered a number of generic and condition-specific health status measures (including the BPI) in the clinic of their primary care provider at 2 time points: the initial clinic visit and the first visit following treatment.\nRESULTS: The reliability of BPI data collected from non-cancer pain patients was comparable to that reported in the literature for cancer patients and sufficient for group-level analyses (coefficient alphas were greater than 0.70). The factor structure of the BPI was replicated in this sample and the relationship of the BPI to generic measures of pain was strong. The BPI exhibited similar relationships to general and condition-specific measures of health as did a generic pain scale (SF-36 Bodily Pain). Finally, the BPI discriminated among levels of condition severity and was sensitive to change in condition over time in arthritis and LBP patients.\nDISCUSSION: Results support the validity of the BPI as a measure of pain in patients without cancer and, in particular, as a measure of pain for arthritis and LBP patients.","container-title":"The Clinical Journal of Pain","DOI":"10.1097/00002508-200409000-00005","ISSN":"0749-8047","issue":"5","journalAbbreviation":"Clin J Pain","language":"eng","note":"PMID: 15322437","page":"309-318","source":"PubMed","title":"Validity of the brief pain inventory for use in documenting the outcomes of patients with noncancer pain","volume":"20","author":[{"family":"Keller","given":"San"},{"family":"Bann","given":"Carla M."},{"family":"Dodd","given":"Sheri L."},{"family":"Schein","given":"Jeff"},{"family":"Mendoza","given":"Tito R."},{"family":"Cleeland","given":"Charles S."}],"issued":{"date-parts":[["2004",10]]}}}],"schema":"https://github.com/citation-style-language/schema/raw/master/csl-citation.json"} </w:instrText>
      </w:r>
      <w:r w:rsidRPr="560E2E1C" w:rsidR="77ABD496">
        <w:rPr>
          <w:rFonts w:ascii="Calibri" w:hAnsi="Calibri" w:eastAsia="Calibri" w:cs="Calibri"/>
          <w:color w:val="000000" w:themeColor="text1"/>
        </w:rPr>
        <w:fldChar w:fldCharType="separate"/>
      </w:r>
      <w:r w:rsidRPr="008425F7" w:rsidR="008425F7">
        <w:rPr>
          <w:rFonts w:ascii="Calibri" w:hAnsi="Calibri" w:cs="Calibri"/>
          <w:sz w:val="24"/>
        </w:rPr>
        <w:t>(Keller et al., 2004)</w:t>
      </w:r>
      <w:r w:rsidRPr="560E2E1C" w:rsidR="77ABD496">
        <w:rPr>
          <w:rFonts w:ascii="Calibri" w:hAnsi="Calibri" w:eastAsia="Calibri" w:cs="Calibri"/>
          <w:color w:val="000000" w:themeColor="text1"/>
        </w:rPr>
        <w:fldChar w:fldCharType="end"/>
      </w:r>
      <w:r w:rsidRPr="560E2E1C" w:rsidR="656D78AF">
        <w:rPr>
          <w:rFonts w:ascii="Calibri" w:hAnsi="Calibri" w:eastAsia="Calibri" w:cs="Calibri"/>
          <w:sz w:val="24"/>
          <w:szCs w:val="24"/>
        </w:rPr>
        <w:t>)</w:t>
      </w:r>
      <w:r w:rsidRPr="560E2E1C" w:rsidR="07DFE01A">
        <w:rPr>
          <w:rFonts w:ascii="Calibri" w:hAnsi="Calibri" w:eastAsia="Calibri" w:cs="Calibri"/>
          <w:sz w:val="24"/>
          <w:szCs w:val="24"/>
        </w:rPr>
        <w:t xml:space="preserve">, </w:t>
      </w:r>
    </w:p>
    <w:p w:rsidRPr="00171B6F" w:rsidR="00CF2462" w:rsidP="560E2E1C" w:rsidRDefault="7FAD17A4" w14:paraId="18F81111" w14:textId="7C683671">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t xml:space="preserve">(4) </w:t>
      </w:r>
      <w:r w:rsidRPr="560E2E1C" w:rsidR="25B95F3E">
        <w:rPr>
          <w:rFonts w:ascii="Calibri" w:hAnsi="Calibri" w:eastAsia="Calibri" w:cs="Calibri"/>
          <w:color w:val="000000" w:themeColor="text1"/>
          <w:sz w:val="24"/>
          <w:szCs w:val="24"/>
        </w:rPr>
        <w:t>P</w:t>
      </w:r>
      <w:r w:rsidRPr="560E2E1C">
        <w:rPr>
          <w:rFonts w:ascii="Calibri" w:hAnsi="Calibri" w:eastAsia="Calibri" w:cs="Calibri"/>
          <w:color w:val="000000" w:themeColor="text1"/>
          <w:sz w:val="24"/>
          <w:szCs w:val="24"/>
        </w:rPr>
        <w:t>ain-related fear</w:t>
      </w:r>
      <w:r w:rsidRPr="560E2E1C" w:rsidR="6F63E1A8">
        <w:rPr>
          <w:rFonts w:ascii="Calibri" w:hAnsi="Calibri" w:eastAsia="Calibri" w:cs="Calibri"/>
          <w:color w:val="000000" w:themeColor="text1"/>
          <w:sz w:val="24"/>
          <w:szCs w:val="24"/>
        </w:rPr>
        <w:t xml:space="preserve"> of movement</w:t>
      </w:r>
      <w:r w:rsidRPr="560E2E1C">
        <w:rPr>
          <w:rFonts w:ascii="Calibri" w:hAnsi="Calibri" w:eastAsia="Calibri" w:cs="Calibri"/>
          <w:color w:val="000000" w:themeColor="text1"/>
          <w:sz w:val="24"/>
          <w:szCs w:val="24"/>
        </w:rPr>
        <w:t xml:space="preserve"> (Tampa Scale of Kinesiophobia-11 </w:t>
      </w:r>
      <w:r w:rsidRPr="560E2E1C" w:rsidR="7FBE714C">
        <w:rPr>
          <w:rFonts w:ascii="Calibri" w:hAnsi="Calibri" w:eastAsia="Calibri" w:cs="Calibri"/>
          <w:color w:val="000000" w:themeColor="text1"/>
          <w:sz w:val="24"/>
          <w:szCs w:val="24"/>
        </w:rPr>
        <w:t>[</w:t>
      </w:r>
      <w:r w:rsidRPr="560E2E1C">
        <w:rPr>
          <w:rFonts w:ascii="Calibri" w:hAnsi="Calibri" w:eastAsia="Calibri" w:cs="Calibri"/>
          <w:color w:val="000000" w:themeColor="text1"/>
          <w:sz w:val="24"/>
          <w:szCs w:val="24"/>
        </w:rPr>
        <w:t>TSK-11</w:t>
      </w:r>
      <w:r w:rsidRPr="560E2E1C" w:rsidR="7A0054CE">
        <w:rPr>
          <w:rFonts w:ascii="Calibri" w:hAnsi="Calibri" w:eastAsia="Calibri" w:cs="Calibri"/>
          <w:color w:val="000000" w:themeColor="text1"/>
          <w:sz w:val="24"/>
          <w:szCs w:val="24"/>
        </w:rPr>
        <w:t>]</w:t>
      </w:r>
      <w:r w:rsidRPr="560E2E1C">
        <w:rPr>
          <w:rFonts w:ascii="Calibri" w:hAnsi="Calibri" w:eastAsia="Calibri" w:cs="Calibri"/>
          <w:color w:val="000000" w:themeColor="text1"/>
          <w:sz w:val="24"/>
          <w:szCs w:val="24"/>
        </w:rPr>
        <w:t xml:space="preserve"> </w:t>
      </w:r>
      <w:r w:rsidRPr="560E2E1C" w:rsidR="77ABD496">
        <w:rPr>
          <w:rFonts w:ascii="Calibri" w:hAnsi="Calibri" w:eastAsia="Calibri" w:cs="Calibri"/>
          <w:color w:val="000000" w:themeColor="text1"/>
        </w:rPr>
        <w:fldChar w:fldCharType="begin"/>
      </w:r>
      <w:r w:rsidR="00A03CF2">
        <w:rPr>
          <w:rFonts w:ascii="Calibri" w:hAnsi="Calibri" w:eastAsia="Calibri" w:cs="Calibri"/>
          <w:color w:val="000000" w:themeColor="text1"/>
        </w:rPr>
        <w:instrText xml:space="preserve"> ADDIN ZOTERO_ITEM CSL_CITATION {"citationID":"CC7L3SCA","properties":{"formattedCitation":"(Woby et al., 2005)","plainCitation":"(Woby et al., 2005)","noteIndex":0},"citationItems":[{"id":"jyRXZ8R7/tMD68ATW","uris":["http://zotero.org/users/8777725/items/HSTCQ3PV"],"itemData":{"id":799,"type":"article-journal","abstract":"The Tampa Scale for Kinesiophobia (TSK) is one of the most frequently employed measures for assessing pain-related fear in back pain patients. Despite its widespread use, there is relatively little data to support the psychometric properties of the English version of this scale. This study investigated the psychometric properties of the English version of the TSK in a sample of chronic low back pain patients. Item analysis revealed that four items possessed low item total correlations (4, 8, 12, 16) and four items had response trends that deviated from a pattern of normal distribution (4, 9, 12, 14). Consequently, we tested the psychometric properties of a shorter version of the TSK (TSK-11), having excluded the six psychometrically poor items. The psychometric properties of this measure were compared to those of the original TSK. Both measures demonstrated good internal consistency (TSK: alpha=0.76; TSK-11: alpha=0.79), test-retest reliability (TSK: ICC=0.82, SEM=3.16; TSK-11: ICC=0.81, SEM=2.54), responsiveness (TSK: SRM=-1.19; TSK-11: SRM=-1.11), concurrent validity and predictive validity. In respect of specific cut-off scores, a reduction of at least four points on both measures maximised the likelihood of correctly identifying an important reduction in fear of movement. Overall, the TSK-11 possessed similar psychometric properties to the original TSK and offered the advantage of brevity. Further research is warranted to investigate the utility of the new instrument and the cut-off scores in a wider group of chronic pain patients in different clinical settings.","container-title":"Pain","DOI":"10.1016/j.pain.2005.05.029","ISSN":"0304-3959","issue":"1-2","journalAbbreviation":"Pain","language":"eng","note":"PMID: 16055269","page":"137-144","source":"PubMed","title":"Psychometric properties of the TSK-11: a shortened version of the Tampa Scale for Kinesiophobia","title-short":"Psychometric properties of the TSK-11","volume":"117","author":[{"family":"Woby","given":"Steve R."},{"family":"Roach","given":"Neil K."},{"family":"Urmston","given":"Martin"},{"family":"Watson","given":"Paul J."}],"issued":{"date-parts":[["2005",9]]}}}],"schema":"https://github.com/citation-style-language/schema/raw/master/csl-citation.json"} </w:instrText>
      </w:r>
      <w:r w:rsidRPr="560E2E1C" w:rsidR="77ABD496">
        <w:rPr>
          <w:rFonts w:ascii="Calibri" w:hAnsi="Calibri" w:eastAsia="Calibri" w:cs="Calibri"/>
          <w:color w:val="000000" w:themeColor="text1"/>
        </w:rPr>
        <w:fldChar w:fldCharType="separate"/>
      </w:r>
      <w:r w:rsidRPr="008425F7" w:rsidR="008425F7">
        <w:rPr>
          <w:rFonts w:ascii="Calibri" w:hAnsi="Calibri" w:cs="Calibri"/>
          <w:sz w:val="24"/>
        </w:rPr>
        <w:t>(Woby et al., 2005)</w:t>
      </w:r>
      <w:r w:rsidRPr="560E2E1C" w:rsidR="77ABD496">
        <w:rPr>
          <w:rFonts w:ascii="Calibri" w:hAnsi="Calibri" w:eastAsia="Calibri" w:cs="Calibri"/>
          <w:color w:val="000000" w:themeColor="text1"/>
        </w:rPr>
        <w:fldChar w:fldCharType="end"/>
      </w:r>
      <w:r w:rsidRPr="560E2E1C" w:rsidR="7D9DD064">
        <w:rPr>
          <w:rFonts w:ascii="Calibri" w:hAnsi="Calibri" w:eastAsia="Calibri" w:cs="Calibri"/>
          <w:color w:val="000000" w:themeColor="text1"/>
          <w:sz w:val="24"/>
          <w:szCs w:val="24"/>
        </w:rPr>
        <w:t>)</w:t>
      </w:r>
      <w:r w:rsidRPr="560E2E1C">
        <w:rPr>
          <w:rFonts w:ascii="Calibri" w:hAnsi="Calibri" w:eastAsia="Calibri" w:cs="Calibri"/>
          <w:color w:val="000000" w:themeColor="text1"/>
          <w:sz w:val="24"/>
          <w:szCs w:val="24"/>
        </w:rPr>
        <w:t xml:space="preserve">, </w:t>
      </w:r>
    </w:p>
    <w:p w:rsidRPr="00171B6F" w:rsidR="00CF2462" w:rsidP="560E2E1C" w:rsidRDefault="7FAD17A4" w14:paraId="7FB36AED" w14:textId="7AADE152">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t xml:space="preserve">(5) </w:t>
      </w:r>
      <w:r w:rsidRPr="560E2E1C" w:rsidR="25B95F3E">
        <w:rPr>
          <w:rFonts w:ascii="Calibri" w:hAnsi="Calibri" w:eastAsia="Calibri" w:cs="Calibri"/>
          <w:color w:val="000000" w:themeColor="text1"/>
          <w:sz w:val="24"/>
          <w:szCs w:val="24"/>
        </w:rPr>
        <w:t>A</w:t>
      </w:r>
      <w:r w:rsidRPr="560E2E1C">
        <w:rPr>
          <w:rFonts w:ascii="Calibri" w:hAnsi="Calibri" w:eastAsia="Calibri" w:cs="Calibri"/>
          <w:color w:val="000000" w:themeColor="text1"/>
          <w:sz w:val="24"/>
          <w:szCs w:val="24"/>
        </w:rPr>
        <w:t>n</w:t>
      </w:r>
      <w:r w:rsidRPr="560E2E1C" w:rsidR="46E5532D">
        <w:rPr>
          <w:rFonts w:ascii="Calibri" w:hAnsi="Calibri" w:eastAsia="Calibri" w:cs="Calibri"/>
          <w:color w:val="000000" w:themeColor="text1"/>
          <w:sz w:val="24"/>
          <w:szCs w:val="24"/>
        </w:rPr>
        <w:t>xiety and depressive disorders</w:t>
      </w:r>
      <w:r w:rsidRPr="560E2E1C">
        <w:rPr>
          <w:rFonts w:ascii="Calibri" w:hAnsi="Calibri" w:eastAsia="Calibri" w:cs="Calibri"/>
          <w:color w:val="000000" w:themeColor="text1"/>
          <w:sz w:val="24"/>
          <w:szCs w:val="24"/>
        </w:rPr>
        <w:t xml:space="preserve"> (</w:t>
      </w:r>
      <w:r w:rsidRPr="560E2E1C" w:rsidR="41EC208D">
        <w:rPr>
          <w:rFonts w:ascii="Calibri" w:hAnsi="Calibri" w:eastAsia="Calibri" w:cs="Calibri"/>
          <w:color w:val="000000" w:themeColor="text1"/>
          <w:sz w:val="24"/>
          <w:szCs w:val="24"/>
        </w:rPr>
        <w:t>Hospital Anxiety and Depression Scale</w:t>
      </w:r>
      <w:r w:rsidRPr="560E2E1C" w:rsidR="46E5532D">
        <w:rPr>
          <w:rFonts w:ascii="Calibri" w:hAnsi="Calibri" w:eastAsia="Calibri" w:cs="Calibri"/>
          <w:color w:val="000000" w:themeColor="text1"/>
          <w:sz w:val="24"/>
          <w:szCs w:val="24"/>
        </w:rPr>
        <w:t xml:space="preserve"> </w:t>
      </w:r>
      <w:r w:rsidRPr="560E2E1C" w:rsidR="42FF0D40">
        <w:rPr>
          <w:rFonts w:ascii="Calibri" w:hAnsi="Calibri" w:eastAsia="Calibri" w:cs="Calibri"/>
          <w:color w:val="000000" w:themeColor="text1"/>
          <w:sz w:val="24"/>
          <w:szCs w:val="24"/>
        </w:rPr>
        <w:t>[</w:t>
      </w:r>
      <w:proofErr w:type="spellStart"/>
      <w:r w:rsidRPr="560E2E1C" w:rsidR="42FF0D40">
        <w:rPr>
          <w:rFonts w:ascii="Calibri" w:hAnsi="Calibri" w:eastAsia="Calibri" w:cs="Calibri"/>
          <w:color w:val="000000" w:themeColor="text1"/>
          <w:sz w:val="24"/>
          <w:szCs w:val="24"/>
        </w:rPr>
        <w:t>H</w:t>
      </w:r>
      <w:r w:rsidRPr="560E2E1C" w:rsidR="73FA53E2">
        <w:rPr>
          <w:rFonts w:ascii="Calibri" w:hAnsi="Calibri" w:eastAsia="Calibri" w:cs="Calibri"/>
          <w:color w:val="000000" w:themeColor="text1"/>
          <w:sz w:val="24"/>
          <w:szCs w:val="24"/>
        </w:rPr>
        <w:t>ADS</w:t>
      </w:r>
      <w:proofErr w:type="spellEnd"/>
      <w:r w:rsidRPr="560E2E1C" w:rsidR="21062D20">
        <w:rPr>
          <w:rFonts w:ascii="Calibri" w:hAnsi="Calibri" w:eastAsia="Calibri" w:cs="Calibri"/>
          <w:color w:val="000000" w:themeColor="text1"/>
          <w:sz w:val="24"/>
          <w:szCs w:val="24"/>
        </w:rPr>
        <w:t>]</w:t>
      </w:r>
      <w:r w:rsidRPr="560E2E1C" w:rsidR="73FA53E2">
        <w:rPr>
          <w:rFonts w:ascii="Calibri" w:hAnsi="Calibri" w:eastAsia="Calibri" w:cs="Calibri"/>
          <w:color w:val="000000" w:themeColor="text1"/>
          <w:sz w:val="24"/>
          <w:szCs w:val="24"/>
        </w:rPr>
        <w:t xml:space="preserve"> </w:t>
      </w:r>
      <w:r w:rsidRPr="560E2E1C" w:rsidR="77ABD496">
        <w:rPr>
          <w:rFonts w:ascii="Calibri" w:hAnsi="Calibri" w:eastAsia="Calibri" w:cs="Calibri"/>
          <w:color w:val="000000" w:themeColor="text1"/>
        </w:rPr>
        <w:fldChar w:fldCharType="begin"/>
      </w:r>
      <w:r w:rsidR="00A03CF2">
        <w:rPr>
          <w:rFonts w:ascii="Calibri" w:hAnsi="Calibri" w:eastAsia="Calibri" w:cs="Calibri"/>
          <w:color w:val="000000" w:themeColor="text1"/>
        </w:rPr>
        <w:instrText xml:space="preserve"> ADDIN ZOTERO_ITEM CSL_CITATION {"citationID":"VdWCJB1p","properties":{"formattedCitation":"(Zigmond and Snaith, 1983)","plainCitation":"(Zigmond and Snaith, 1983)","noteIndex":0},"citationItems":[{"id":"jyRXZ8R7/g9QFAm0v","uris":["http://zotero.org/users/8777725/items/IBKTU24D"],"itemData":{"id":420,"type":"article-journal","abstract":"A self-assessment scale has been developed and found to be a reliable instrument for detecting states of depression and anxiety in the setting of an hospital medical outpatient clinic. The anxiety and depressive subscales are also valid measures of severity of the emotional disorder. It is suggested that the introduction of the scales into general hospital practice would facilitate the large task of detection and management of emotional disorder in patients under investigation and treatment in medical and surgical departments.","container-title":"Acta Psychiatrica Scandinavica","DOI":"10.1111/j.1600-0447.1983.tb09716.x","ISSN":"0001-690X","issue":"6","journalAbbreviation":"Acta Psychiatr Scand","language":"eng","note":"PMID: 6880820","page":"361-370","source":"PubMed","title":"The hospital anxiety and depression scale","volume":"67","author":[{"family":"Zigmond","given":"A. S."},{"family":"Snaith","given":"R. P."}],"issued":{"date-parts":[["1983",6]]}}}],"schema":"https://github.com/citation-style-language/schema/raw/master/csl-citation.json"} </w:instrText>
      </w:r>
      <w:r w:rsidRPr="560E2E1C" w:rsidR="77ABD496">
        <w:rPr>
          <w:rFonts w:ascii="Calibri" w:hAnsi="Calibri" w:eastAsia="Calibri" w:cs="Calibri"/>
          <w:color w:val="000000" w:themeColor="text1"/>
        </w:rPr>
        <w:fldChar w:fldCharType="separate"/>
      </w:r>
      <w:r w:rsidRPr="008425F7" w:rsidR="008425F7">
        <w:rPr>
          <w:rFonts w:ascii="Calibri" w:hAnsi="Calibri" w:cs="Calibri"/>
          <w:sz w:val="24"/>
        </w:rPr>
        <w:t>(Zigmond and Snaith, 1983)</w:t>
      </w:r>
      <w:r w:rsidRPr="560E2E1C" w:rsidR="77ABD496">
        <w:rPr>
          <w:rFonts w:ascii="Calibri" w:hAnsi="Calibri" w:eastAsia="Calibri" w:cs="Calibri"/>
          <w:color w:val="000000" w:themeColor="text1"/>
        </w:rPr>
        <w:fldChar w:fldCharType="end"/>
      </w:r>
      <w:r w:rsidRPr="560E2E1C" w:rsidR="144F71A7">
        <w:rPr>
          <w:rFonts w:ascii="Calibri" w:hAnsi="Calibri" w:eastAsia="Calibri" w:cs="Calibri"/>
          <w:color w:val="000000" w:themeColor="text1"/>
          <w:sz w:val="24"/>
          <w:szCs w:val="24"/>
        </w:rPr>
        <w:t>)</w:t>
      </w:r>
      <w:r w:rsidRPr="560E2E1C" w:rsidR="46E5532D">
        <w:rPr>
          <w:rFonts w:ascii="Calibri" w:hAnsi="Calibri" w:eastAsia="Calibri" w:cs="Calibri"/>
          <w:color w:val="000000" w:themeColor="text1"/>
          <w:sz w:val="24"/>
          <w:szCs w:val="24"/>
        </w:rPr>
        <w:t>,</w:t>
      </w:r>
    </w:p>
    <w:p w:rsidRPr="00171B6F" w:rsidR="00CF2462" w:rsidP="560E2E1C" w:rsidRDefault="415D718F" w14:paraId="2119F751" w14:textId="6AE4CFD5">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lastRenderedPageBreak/>
        <w:t xml:space="preserve">(6) </w:t>
      </w:r>
      <w:r w:rsidRPr="560E2E1C" w:rsidR="656868A7">
        <w:rPr>
          <w:rFonts w:ascii="Calibri" w:hAnsi="Calibri" w:eastAsia="Calibri" w:cs="Calibri"/>
          <w:color w:val="000000" w:themeColor="text1"/>
          <w:sz w:val="24"/>
          <w:szCs w:val="24"/>
        </w:rPr>
        <w:t>Psychosocial factors</w:t>
      </w:r>
      <w:r w:rsidRPr="560E2E1C" w:rsidR="56561F10">
        <w:rPr>
          <w:rFonts w:ascii="Calibri" w:hAnsi="Calibri" w:eastAsia="Calibri" w:cs="Calibri"/>
          <w:color w:val="000000" w:themeColor="text1"/>
          <w:sz w:val="24"/>
          <w:szCs w:val="24"/>
        </w:rPr>
        <w:t xml:space="preserve"> </w:t>
      </w:r>
      <w:r w:rsidRPr="560E2E1C" w:rsidR="643A0C10">
        <w:rPr>
          <w:rFonts w:ascii="Calibri" w:hAnsi="Calibri" w:eastAsia="Calibri" w:cs="Calibri"/>
          <w:color w:val="000000" w:themeColor="text1"/>
          <w:sz w:val="24"/>
          <w:szCs w:val="24"/>
        </w:rPr>
        <w:t xml:space="preserve">associated with </w:t>
      </w:r>
      <w:proofErr w:type="spellStart"/>
      <w:r w:rsidRPr="560E2E1C" w:rsidR="643A0C10">
        <w:rPr>
          <w:rFonts w:ascii="Calibri" w:hAnsi="Calibri" w:eastAsia="Calibri" w:cs="Calibri"/>
          <w:color w:val="000000" w:themeColor="text1"/>
          <w:sz w:val="24"/>
          <w:szCs w:val="24"/>
        </w:rPr>
        <w:t>chronification</w:t>
      </w:r>
      <w:proofErr w:type="spellEnd"/>
      <w:r w:rsidRPr="560E2E1C" w:rsidR="643A0C10">
        <w:rPr>
          <w:rFonts w:ascii="Calibri" w:hAnsi="Calibri" w:eastAsia="Calibri" w:cs="Calibri"/>
          <w:color w:val="000000" w:themeColor="text1"/>
          <w:sz w:val="24"/>
          <w:szCs w:val="24"/>
        </w:rPr>
        <w:t xml:space="preserve"> of common musculoskeletal pain, also known as “yellow flags” </w:t>
      </w:r>
      <w:r w:rsidRPr="560E2E1C" w:rsidR="656868A7">
        <w:rPr>
          <w:rFonts w:ascii="Calibri" w:hAnsi="Calibri" w:eastAsia="Calibri" w:cs="Calibri"/>
          <w:color w:val="000000" w:themeColor="text1"/>
          <w:sz w:val="24"/>
          <w:szCs w:val="24"/>
        </w:rPr>
        <w:t>(</w:t>
      </w:r>
      <w:r w:rsidRPr="560E2E1C" w:rsidR="5166716B">
        <w:rPr>
          <w:rFonts w:ascii="Calibri" w:hAnsi="Calibri" w:eastAsia="Calibri" w:cs="Calibri"/>
          <w:color w:val="000000" w:themeColor="text1"/>
          <w:sz w:val="24"/>
          <w:szCs w:val="24"/>
        </w:rPr>
        <w:t xml:space="preserve">French version of the </w:t>
      </w:r>
      <w:proofErr w:type="spellStart"/>
      <w:r w:rsidRPr="560E2E1C" w:rsidR="29520C5A">
        <w:rPr>
          <w:rFonts w:ascii="Calibri" w:hAnsi="Calibri" w:eastAsia="Calibri" w:cs="Calibri"/>
          <w:color w:val="000000" w:themeColor="text1"/>
          <w:sz w:val="24"/>
          <w:szCs w:val="24"/>
        </w:rPr>
        <w:t>Örebro</w:t>
      </w:r>
      <w:proofErr w:type="spellEnd"/>
      <w:r w:rsidRPr="560E2E1C" w:rsidR="29520C5A">
        <w:rPr>
          <w:rFonts w:ascii="Calibri" w:hAnsi="Calibri" w:eastAsia="Calibri" w:cs="Calibri"/>
          <w:color w:val="000000" w:themeColor="text1"/>
          <w:sz w:val="24"/>
          <w:szCs w:val="24"/>
        </w:rPr>
        <w:t xml:space="preserve"> Musculoskeletal Pain Screening Questionnaire</w:t>
      </w:r>
      <w:r w:rsidRPr="560E2E1C" w:rsidR="56561F10">
        <w:rPr>
          <w:rFonts w:ascii="Calibri" w:hAnsi="Calibri" w:eastAsia="Calibri" w:cs="Calibri"/>
          <w:color w:val="000000" w:themeColor="text1"/>
          <w:sz w:val="24"/>
          <w:szCs w:val="24"/>
        </w:rPr>
        <w:t>-short form</w:t>
      </w:r>
      <w:r w:rsidRPr="560E2E1C" w:rsidR="29520C5A">
        <w:rPr>
          <w:rFonts w:ascii="Calibri" w:hAnsi="Calibri" w:eastAsia="Calibri" w:cs="Calibri"/>
          <w:color w:val="000000" w:themeColor="text1"/>
          <w:sz w:val="24"/>
          <w:szCs w:val="24"/>
        </w:rPr>
        <w:t xml:space="preserve"> </w:t>
      </w:r>
      <w:r w:rsidRPr="560E2E1C" w:rsidR="35C75D1D">
        <w:rPr>
          <w:rFonts w:ascii="Calibri" w:hAnsi="Calibri" w:eastAsia="Calibri" w:cs="Calibri"/>
          <w:color w:val="000000" w:themeColor="text1"/>
          <w:sz w:val="24"/>
          <w:szCs w:val="24"/>
        </w:rPr>
        <w:t>[</w:t>
      </w:r>
      <w:proofErr w:type="spellStart"/>
      <w:r w:rsidRPr="560E2E1C" w:rsidR="29520C5A">
        <w:rPr>
          <w:rFonts w:ascii="Calibri" w:hAnsi="Calibri" w:eastAsia="Calibri" w:cs="Calibri"/>
          <w:color w:val="000000" w:themeColor="text1"/>
          <w:sz w:val="24"/>
          <w:szCs w:val="24"/>
        </w:rPr>
        <w:t>OMP</w:t>
      </w:r>
      <w:r w:rsidRPr="560E2E1C" w:rsidR="25EE0528">
        <w:rPr>
          <w:rFonts w:ascii="Calibri" w:hAnsi="Calibri" w:eastAsia="Calibri" w:cs="Calibri"/>
          <w:color w:val="000000" w:themeColor="text1"/>
          <w:sz w:val="24"/>
          <w:szCs w:val="24"/>
        </w:rPr>
        <w:t>S</w:t>
      </w:r>
      <w:r w:rsidRPr="560E2E1C" w:rsidR="29520C5A">
        <w:rPr>
          <w:rFonts w:ascii="Calibri" w:hAnsi="Calibri" w:eastAsia="Calibri" w:cs="Calibri"/>
          <w:color w:val="000000" w:themeColor="text1"/>
          <w:sz w:val="24"/>
          <w:szCs w:val="24"/>
        </w:rPr>
        <w:t>Q</w:t>
      </w:r>
      <w:proofErr w:type="spellEnd"/>
      <w:r w:rsidRPr="560E2E1C" w:rsidR="56561F10">
        <w:rPr>
          <w:rFonts w:ascii="Calibri" w:hAnsi="Calibri" w:eastAsia="Calibri" w:cs="Calibri"/>
          <w:color w:val="000000" w:themeColor="text1"/>
          <w:sz w:val="24"/>
          <w:szCs w:val="24"/>
        </w:rPr>
        <w:t>-SF</w:t>
      </w:r>
      <w:r w:rsidRPr="560E2E1C" w:rsidR="5F9E14B1">
        <w:rPr>
          <w:rFonts w:ascii="Calibri" w:hAnsi="Calibri" w:eastAsia="Calibri" w:cs="Calibri"/>
          <w:color w:val="000000" w:themeColor="text1"/>
          <w:sz w:val="24"/>
          <w:szCs w:val="24"/>
        </w:rPr>
        <w:t>]</w:t>
      </w:r>
      <w:r w:rsidRPr="560E2E1C" w:rsidR="29520C5A">
        <w:rPr>
          <w:rFonts w:ascii="Calibri" w:hAnsi="Calibri" w:eastAsia="Calibri" w:cs="Calibri"/>
          <w:color w:val="000000" w:themeColor="text1"/>
          <w:sz w:val="24"/>
          <w:szCs w:val="24"/>
        </w:rPr>
        <w:t xml:space="preserve"> </w:t>
      </w:r>
      <w:r w:rsidRPr="560E2E1C" w:rsidR="58286DA4">
        <w:rPr>
          <w:rFonts w:ascii="Calibri" w:hAnsi="Calibri" w:eastAsia="Calibri" w:cs="Calibri"/>
          <w:color w:val="000000" w:themeColor="text1"/>
        </w:rPr>
        <w:fldChar w:fldCharType="begin"/>
      </w:r>
      <w:r w:rsidR="00A03CF2">
        <w:rPr>
          <w:rFonts w:ascii="Calibri" w:hAnsi="Calibri" w:eastAsia="Calibri" w:cs="Calibri"/>
          <w:color w:val="000000" w:themeColor="text1"/>
        </w:rPr>
        <w:instrText xml:space="preserve"> ADDIN ZOTERO_ITEM CSL_CITATION {"citationID":"5UOKF4QX","properties":{"formattedCitation":"(Opsommer et al., 2017)","plainCitation":"(Opsommer et al., 2017)","noteIndex":0},"citationItems":[{"id":"jyRXZ8R7/iOmG2L24","uris":["http://zotero.org/users/8777725/items/D4AS2ILN"],"itemData":{"id":874,"type":"article-journal","abstract":"BACKGROUND: Studies have shown that positive recovery expectations are associated with positive health outcomes in patients with chronic low back pain (CLBP) such as return to work (RTW) and the time to RTW.\nAIM: To compare the predictive value for RTW in CLBP using different subsets of the Örebro Musculoskeletal Pain Screening Questionnaire (ÖMPSQ).\nDESIGN: Longitudinal cohort study.\nSETTING: Rehabilitation center.\nPOPULATION: Ninety-eight inpatients with CLBP (&gt;3 months).\nMETHODS: The ÖMPSQ at baseline was used to predict RTW three months after discharge from the rehabilitation clinic. The area under the ROC-curve was calculated based on a logistic regression model. Cox-regression was used to analyze time to RTW with C statistics for the original full (25-items) version of the ÖMPSQ, the 10-item version as well as for the two items about self-expected RTW and self-expected recovery.\nRESULTS: The area under the curve (AUC) for the overall score of the full version ÖMPSQ was 0.82 (95% CI: 0.73 to 0.90), the AUC for the short version was 0.79 (95% CI: 0.70 to 0.88), the AUC for the item about self-expected recovery (#15) was 0.67 (95% CI: 0.57 to 0.78), and the AUC for the item about self-expected RTW (#16) was 0.76 (95% CI: 0.66 to 0.85). Harrell's C for the full version was 0.74 (95% CI: 0.66 to 0.81), for the short version the C was 0.71 (95% CI: 0.64 to 0.79), for item #15 the C was 0.62 (95% CI: 0.53 to 0.72), and for item #16 the C was 0.71 (95% CI: 0.64 to 0.78).\nCONCLUSIONS: Two items about expectations from the ÖMPSQ showed similar predictive value for RTW compared to the short and full original versions, and could be used as first screening questions.\nCLINICAL REHABILITATION IMPACT: Clinicians may make an informed choice whether they use the full or the short version of the ÖMPSQ for screening of psychosocial problems, or whether they use the two single items about expectations. Knowledge about patient's expectations provides a base for discussion between health professionals and the patient.","container-title":"European Journal of Physical and Rehabilitation Medicine","DOI":"10.23736/S1973-9087.17.04398-2","ISSN":"1973-9095","issue":"3","journalAbbreviation":"Eur J Phys Rehabil Med","language":"eng","note":"PMID: 28382810","page":"359-365","source":"PubMed","title":"The predictive value of subsets of the Örebro Musculoskeletal Pain Screening Questionnaire for return to work in chronic low back pain","volume":"53","author":[{"family":"Opsommer","given":"Emmanuelle"},{"family":"Rivier","given":"Gilles"},{"family":"Crombez","given":"Geert"},{"family":"Hilfiker","given":"Roger"}],"issued":{"date-parts":[["2017",6]]}}}],"schema":"https://github.com/citation-style-language/schema/raw/master/csl-citation.json"} </w:instrText>
      </w:r>
      <w:r w:rsidRPr="560E2E1C" w:rsidR="58286DA4">
        <w:rPr>
          <w:rFonts w:ascii="Calibri" w:hAnsi="Calibri" w:eastAsia="Calibri" w:cs="Calibri"/>
          <w:color w:val="000000" w:themeColor="text1"/>
        </w:rPr>
        <w:fldChar w:fldCharType="separate"/>
      </w:r>
      <w:r w:rsidRPr="008425F7" w:rsidR="008425F7">
        <w:rPr>
          <w:rFonts w:ascii="Calibri" w:hAnsi="Calibri" w:cs="Calibri"/>
          <w:sz w:val="24"/>
        </w:rPr>
        <w:t>(Opsommer et al., 2017)</w:t>
      </w:r>
      <w:r w:rsidRPr="560E2E1C" w:rsidR="58286DA4">
        <w:rPr>
          <w:rFonts w:ascii="Calibri" w:hAnsi="Calibri" w:eastAsia="Calibri" w:cs="Calibri"/>
          <w:color w:val="000000" w:themeColor="text1"/>
        </w:rPr>
        <w:fldChar w:fldCharType="end"/>
      </w:r>
      <w:r w:rsidRPr="560E2E1C" w:rsidR="03DB543C">
        <w:rPr>
          <w:rFonts w:ascii="Calibri" w:hAnsi="Calibri" w:eastAsia="Calibri" w:cs="Calibri"/>
          <w:color w:val="000000" w:themeColor="text1"/>
          <w:sz w:val="24"/>
          <w:szCs w:val="24"/>
        </w:rPr>
        <w:t>)</w:t>
      </w:r>
      <w:r w:rsidRPr="560E2E1C" w:rsidR="5B0B2E97">
        <w:rPr>
          <w:rFonts w:ascii="Calibri" w:hAnsi="Calibri" w:eastAsia="Calibri" w:cs="Calibri"/>
          <w:color w:val="000000" w:themeColor="text1"/>
          <w:sz w:val="24"/>
          <w:szCs w:val="24"/>
        </w:rPr>
        <w:t xml:space="preserve">,  </w:t>
      </w:r>
    </w:p>
    <w:p w:rsidRPr="00171B6F" w:rsidR="67A79385" w:rsidP="560E2E1C" w:rsidRDefault="51ECF5A3" w14:paraId="057018FB" w14:textId="01243D89">
      <w:pPr>
        <w:pStyle w:val="ListParagraph"/>
        <w:numPr>
          <w:ilvl w:val="0"/>
          <w:numId w:val="34"/>
        </w:numPr>
        <w:spacing w:line="480" w:lineRule="auto"/>
        <w:jc w:val="both"/>
        <w:rPr>
          <w:rFonts w:ascii="Calibri" w:hAnsi="Calibri" w:eastAsia="Calibri" w:cs="Calibri"/>
          <w:sz w:val="24"/>
          <w:szCs w:val="24"/>
        </w:rPr>
      </w:pPr>
      <w:r w:rsidRPr="4A4E3CB9">
        <w:rPr>
          <w:rFonts w:ascii="Calibri" w:hAnsi="Calibri" w:eastAsia="Calibri" w:cs="Calibri"/>
          <w:sz w:val="24"/>
          <w:szCs w:val="24"/>
        </w:rPr>
        <w:t>(8) Coping strategies to deal with pain (Coping Strategies Questionnaire</w:t>
      </w:r>
      <w:r w:rsidRPr="4A4E3CB9" w:rsidR="1939620E">
        <w:rPr>
          <w:rFonts w:ascii="Calibri" w:hAnsi="Calibri" w:eastAsia="Calibri" w:cs="Calibri"/>
          <w:sz w:val="24"/>
          <w:szCs w:val="24"/>
        </w:rPr>
        <w:t>-French version</w:t>
      </w:r>
      <w:r w:rsidRPr="4A4E3CB9">
        <w:rPr>
          <w:rFonts w:ascii="Calibri" w:hAnsi="Calibri" w:eastAsia="Calibri" w:cs="Calibri"/>
          <w:sz w:val="24"/>
          <w:szCs w:val="24"/>
        </w:rPr>
        <w:t xml:space="preserve"> </w:t>
      </w:r>
      <w:r w:rsidRPr="4A4E3CB9" w:rsidR="1DB62E74">
        <w:rPr>
          <w:rFonts w:ascii="Calibri" w:hAnsi="Calibri" w:eastAsia="Calibri" w:cs="Calibri"/>
          <w:sz w:val="24"/>
          <w:szCs w:val="24"/>
        </w:rPr>
        <w:t>[</w:t>
      </w:r>
      <w:r w:rsidRPr="4A4E3CB9">
        <w:rPr>
          <w:rFonts w:ascii="Calibri" w:hAnsi="Calibri" w:eastAsia="Calibri" w:cs="Calibri"/>
          <w:sz w:val="24"/>
          <w:szCs w:val="24"/>
        </w:rPr>
        <w:t>CSQ</w:t>
      </w:r>
      <w:r w:rsidRPr="4A4E3CB9" w:rsidR="20F1D85F">
        <w:rPr>
          <w:rFonts w:ascii="Calibri" w:hAnsi="Calibri" w:eastAsia="Calibri" w:cs="Calibri"/>
          <w:sz w:val="24"/>
          <w:szCs w:val="24"/>
        </w:rPr>
        <w:t>]</w:t>
      </w:r>
      <w:r w:rsidRPr="4A4E3CB9">
        <w:rPr>
          <w:rFonts w:ascii="Calibri" w:hAnsi="Calibri" w:eastAsia="Calibri" w:cs="Calibri"/>
          <w:sz w:val="24"/>
          <w:szCs w:val="24"/>
        </w:rPr>
        <w:t xml:space="preserve"> </w:t>
      </w:r>
      <w:r w:rsidRPr="4A4E3CB9">
        <w:rPr>
          <w:rFonts w:ascii="Calibri" w:hAnsi="Calibri" w:eastAsia="Calibri" w:cs="Calibri"/>
        </w:rPr>
        <w:fldChar w:fldCharType="begin"/>
      </w:r>
      <w:r w:rsidR="00A03CF2">
        <w:rPr>
          <w:rFonts w:ascii="Calibri" w:hAnsi="Calibri" w:eastAsia="Calibri" w:cs="Calibri"/>
        </w:rPr>
        <w:instrText xml:space="preserve"> ADDIN ZOTERO_ITEM CSL_CITATION {"citationID":"UuFXQx3t","properties":{"formattedCitation":"(Irachabal et al., 2008)","plainCitation":"(Irachabal et al., 2008)","noteIndex":0},"citationItems":[{"id":"jyRXZ8R7/fguACZVF","uris":["http://zotero.org/users/local/Ka6XGoFg/items/SCZY4TIS"],"itemData":{"id":37,"type":"article-journal","abstract":"BACKGROUND: Many studies have shown that the strategies used to cope with chronic pain play a very important role in the adjustment to the pathology and to its effects (emotional distress, physical and psychosocial impairment, and quality of life). Among the methods assessing coping with pain, the most widely used instrument at present is the coping strategies questionnaire (CSQ) developed by Rosenstiel and Keefe, [Pain 17 (1983) 33-44]. This questionnaire is composed of 48 items distributed in eight subscales each including six items: diverting attention, reinterpreting pain sensations, coping self-statements, ignoring pain sensations, praying and hoping, catastrophizing, increasing activity level, and increasing pain behaviour. Most studies examining the factor structure of the CSQ have used the scores of its eight prior theoretically derived scales rather than the 48 items. Three studies, Tuttle et al. [Rehab Psychol 36 (1991) 179-187], Swartzmann et al. [Pain 54 (1994) 311-316; Robinson et al. [Clin J Pain 13 (1997) 43-49] have examined the factor structure of the CSQ from the 48 original items on the questionnaire and have yielded five or six factors. A structural confirmatory analysis showed the superiority of the six-factor model [Clin J Pain 13 (1997) 156-162]: distraction, catastrophizing, ignoring pain sensations, distancing from pain, coping self-statements and praying. The present study aimed at measuring the internal consistency and the construct validity of the French version of the CSQ.\nMETHOD: The CSQ was translated into French with the forward and backward translation procedure. To evaluate internal consistency, Cronbach's alphas were computed. Construct validity of the questionnaire was estimated through confirmatory factor analysis (CFA) in a sample of 330 chronic pain patients (71% of women): 40.3% suffered from low back pain, 33.6% from headaches and 26.1% from neuropathic pain. The three factor structures previously proposed in the literature were tested using the LISREL 8.3 structural equation-modelling program developed by Jöreskog and Sörbom, [Lisrel 8: user's reference guide, Chicago: Scientific Software International, 1993].\nRESULTS: The CFA performed on the three models of factor structures of the CSQ previously reported confirms the best fit of the six-factor model by Robinson et al. [Clin J Pain 13 (1997) 43-49] in our sample. However, the coping self-statements factor, whose internal consistency was too weak in our analysis (Cronbach's alpha=0.57), was eliminated. We therefore retained only five factors in our sample. The French version of the CSQ (CSQ-F) is composed of 21 items belonging to five factors: distraction, catastrophizing, ignoring pain sensations, reinterpreting pain sensations, and praying.\nCONCLUSIONS: The present study indicates that the internal consistency and the construct validity of the French version of the CSQ were adequate, and contributes to demonstrate the stability of the factor structure of the CSQ across samples. The 21-item French adaptation of the CSQ (CSQ-F) appears to be a very interesting tool because it facilitates the use of this questionnaire, not only for research but also in the clinical assessment of the patients suffering from chronic pain.","container-title":"L'Encephale","DOI":"10.1016/j.encep.2006.11.002","ISSN":"0013-7006","issue":"1","journalAbbreviation":"Encephale","language":"fre","note":"PMID: 18514150","page":"47-53","source":"PubMed","title":"[Pain coping strategies: French adaptation of the coping strategies questionnaire (CSQ-F)]","title-short":"[Pain coping strategies","volume":"34","author":[{"family":"Irachabal","given":"S."},{"family":"Koleck","given":"M."},{"family":"Rascle","given":"N."},{"family":"Bruchon-Schweitzer","given":"M."}],"issued":{"date-parts":[["2008",1]]}}}],"schema":"https://github.com/citation-style-language/schema/raw/master/csl-citation.json"} </w:instrText>
      </w:r>
      <w:r w:rsidRPr="4A4E3CB9">
        <w:rPr>
          <w:rFonts w:ascii="Calibri" w:hAnsi="Calibri" w:eastAsia="Calibri" w:cs="Calibri"/>
        </w:rPr>
        <w:fldChar w:fldCharType="separate"/>
      </w:r>
      <w:r w:rsidRPr="008425F7" w:rsidR="008425F7">
        <w:rPr>
          <w:rFonts w:ascii="Calibri" w:hAnsi="Calibri" w:cs="Calibri"/>
          <w:sz w:val="24"/>
        </w:rPr>
        <w:t>(Irachabal et al., 2008)</w:t>
      </w:r>
      <w:r w:rsidRPr="4A4E3CB9">
        <w:rPr>
          <w:rFonts w:ascii="Calibri" w:hAnsi="Calibri" w:eastAsia="Calibri" w:cs="Calibri"/>
        </w:rPr>
        <w:fldChar w:fldCharType="end"/>
      </w:r>
      <w:r w:rsidRPr="4A4E3CB9" w:rsidR="2D8CEDDD">
        <w:rPr>
          <w:rFonts w:ascii="Calibri" w:hAnsi="Calibri" w:eastAsia="Calibri" w:cs="Calibri"/>
          <w:sz w:val="24"/>
          <w:szCs w:val="24"/>
        </w:rPr>
        <w:t>)</w:t>
      </w:r>
      <w:r w:rsidRPr="4A4E3CB9">
        <w:rPr>
          <w:rFonts w:ascii="Calibri" w:hAnsi="Calibri" w:eastAsia="Calibri" w:cs="Calibri"/>
          <w:sz w:val="24"/>
          <w:szCs w:val="24"/>
        </w:rPr>
        <w:t>,</w:t>
      </w:r>
    </w:p>
    <w:p w:rsidRPr="00171B6F" w:rsidR="00CF2462" w:rsidP="560E2E1C" w:rsidRDefault="7FAD17A4" w14:paraId="7C31A395" w14:textId="106D707A">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color w:val="000000" w:themeColor="text1"/>
          <w:sz w:val="24"/>
          <w:szCs w:val="24"/>
        </w:rPr>
        <w:t xml:space="preserve">(7) </w:t>
      </w:r>
      <w:r w:rsidRPr="560E2E1C" w:rsidR="25B95F3E">
        <w:rPr>
          <w:rFonts w:ascii="Calibri" w:hAnsi="Calibri" w:eastAsia="Calibri" w:cs="Calibri"/>
          <w:color w:val="000000" w:themeColor="text1"/>
          <w:sz w:val="24"/>
          <w:szCs w:val="24"/>
        </w:rPr>
        <w:t>P</w:t>
      </w:r>
      <w:r w:rsidRPr="560E2E1C">
        <w:rPr>
          <w:rFonts w:ascii="Calibri" w:hAnsi="Calibri" w:eastAsia="Calibri" w:cs="Calibri"/>
          <w:color w:val="000000" w:themeColor="text1"/>
          <w:sz w:val="24"/>
          <w:szCs w:val="24"/>
        </w:rPr>
        <w:t>erceived</w:t>
      </w:r>
      <w:r w:rsidRPr="560E2E1C">
        <w:rPr>
          <w:rFonts w:ascii="Calibri" w:hAnsi="Calibri" w:eastAsia="Calibri" w:cs="Calibri"/>
          <w:sz w:val="24"/>
          <w:szCs w:val="24"/>
        </w:rPr>
        <w:t xml:space="preserve"> social support (S</w:t>
      </w:r>
      <w:r w:rsidRPr="560E2E1C">
        <w:rPr>
          <w:sz w:val="24"/>
          <w:szCs w:val="24"/>
        </w:rPr>
        <w:t>ocial Support Questionnaire-</w:t>
      </w:r>
      <w:r w:rsidRPr="560E2E1C" w:rsidR="29CEA8EC">
        <w:rPr>
          <w:sz w:val="24"/>
          <w:szCs w:val="24"/>
        </w:rPr>
        <w:t>s</w:t>
      </w:r>
      <w:r w:rsidRPr="560E2E1C">
        <w:rPr>
          <w:sz w:val="24"/>
          <w:szCs w:val="24"/>
        </w:rPr>
        <w:t xml:space="preserve">hort </w:t>
      </w:r>
      <w:r w:rsidRPr="560E2E1C" w:rsidR="31FA9030">
        <w:rPr>
          <w:sz w:val="24"/>
          <w:szCs w:val="24"/>
        </w:rPr>
        <w:t>f</w:t>
      </w:r>
      <w:r w:rsidRPr="560E2E1C">
        <w:rPr>
          <w:sz w:val="24"/>
          <w:szCs w:val="24"/>
        </w:rPr>
        <w:t xml:space="preserve">orm </w:t>
      </w:r>
      <w:r w:rsidRPr="560E2E1C" w:rsidR="45F97EEB">
        <w:rPr>
          <w:sz w:val="24"/>
          <w:szCs w:val="24"/>
        </w:rPr>
        <w:t>[</w:t>
      </w:r>
      <w:r w:rsidRPr="560E2E1C">
        <w:rPr>
          <w:sz w:val="24"/>
          <w:szCs w:val="24"/>
        </w:rPr>
        <w:t>SSQ6</w:t>
      </w:r>
      <w:r w:rsidRPr="560E2E1C" w:rsidR="513E86B9">
        <w:rPr>
          <w:sz w:val="24"/>
          <w:szCs w:val="24"/>
        </w:rPr>
        <w:t>]</w:t>
      </w:r>
      <w:r w:rsidRPr="560E2E1C">
        <w:rPr>
          <w:sz w:val="24"/>
          <w:szCs w:val="24"/>
        </w:rPr>
        <w:t xml:space="preserve"> </w:t>
      </w:r>
      <w:r w:rsidRPr="560E2E1C" w:rsidR="77ABD496">
        <w:rPr>
          <w:rFonts w:ascii="Calibri" w:hAnsi="Calibri" w:eastAsia="Calibri" w:cs="Calibri"/>
        </w:rPr>
        <w:fldChar w:fldCharType="begin"/>
      </w:r>
      <w:r w:rsidR="00A03CF2">
        <w:rPr>
          <w:rFonts w:ascii="Calibri" w:hAnsi="Calibri" w:eastAsia="Calibri" w:cs="Calibri"/>
        </w:rPr>
        <w:instrText xml:space="preserve"> ADDIN ZOTERO_ITEM CSL_CITATION {"citationID":"wU7TWkS7","properties":{"formattedCitation":"(Rascle et al., 2005)","plainCitation":"(Rascle et al., 2005)","noteIndex":0},"citationItems":[{"id":"jyRXZ8R7/WEKsEUG9","uris":["http://zotero.org/users/local/Ka6XGoFg/items/QFK6LSXG"],"itemData":{"id":33,"type":"article-journal","abstract":"The original short form of Sarason's Social Support Questionnaire measures two dimensions of social support, availability and satisfaction. The factorial structure of the social support was assessed in a French sample along with the association between the dimensions of social support and personality traits such as Extraversion, Neuroticism, and Depression. A 6-item French version was administered to 648 subjects: 348 university freshmen (228 females, 120 males) and 304 unemployed men. A principal component analysis followed by oblique rotations was undertaken on each sample. This yielded two factors, Availability and Satisfaction. These results sustained the stability of the factorial structure from one culture to another. Validity and reliability were satisfactory. Moreover, these two dimensions were correlated with two personality scales (high extraversion, low depression). Such results agree with previous results establishing relations between social support and salutogenic dimensions of personality.","container-title":"Psychological Reports","DOI":"10.2466/pr0.97.1.195-202","ISSN":"0033-2941","issue":"1","journalAbbreviation":"Psychol Rep","language":"en","note":"publisher: SAGE Publications Inc","page":"195-202","source":"SAGE Journals","title":"Short Form of Sarason's Social Support Questionnaire: French Adaptation and Validation","title-short":"Short Form of Sarason's Social Support Questionnaire","volume":"97","author":[{"family":"Rascle","given":"Nicole"},{"family":"Bruchon-Schweitzer","given":"Marilou"},{"family":"Sarason","given":"Irwin G."}],"issued":{"date-parts":[["2005",8,1]]}}}],"schema":"https://github.com/citation-style-language/schema/raw/master/csl-citation.json"} </w:instrText>
      </w:r>
      <w:r w:rsidRPr="560E2E1C" w:rsidR="77ABD496">
        <w:rPr>
          <w:rFonts w:ascii="Calibri" w:hAnsi="Calibri" w:eastAsia="Calibri" w:cs="Calibri"/>
        </w:rPr>
        <w:fldChar w:fldCharType="separate"/>
      </w:r>
      <w:r w:rsidRPr="008425F7" w:rsidR="008425F7">
        <w:rPr>
          <w:rFonts w:ascii="Calibri" w:hAnsi="Calibri" w:cs="Calibri"/>
          <w:sz w:val="24"/>
        </w:rPr>
        <w:t>(Rascle et al., 2005)</w:t>
      </w:r>
      <w:r w:rsidRPr="560E2E1C" w:rsidR="77ABD496">
        <w:rPr>
          <w:rFonts w:ascii="Calibri" w:hAnsi="Calibri" w:eastAsia="Calibri" w:cs="Calibri"/>
        </w:rPr>
        <w:fldChar w:fldCharType="end"/>
      </w:r>
      <w:r w:rsidRPr="560E2E1C">
        <w:rPr>
          <w:rFonts w:ascii="Calibri" w:hAnsi="Calibri" w:eastAsia="Calibri" w:cs="Calibri"/>
          <w:sz w:val="24"/>
          <w:szCs w:val="24"/>
        </w:rPr>
        <w:t xml:space="preserve">), </w:t>
      </w:r>
    </w:p>
    <w:p w:rsidRPr="00171B6F" w:rsidR="00F44744" w:rsidP="560E2E1C" w:rsidRDefault="7FAD17A4" w14:paraId="78BA4497" w14:textId="435B4290">
      <w:pPr>
        <w:pStyle w:val="ListParagraph"/>
        <w:numPr>
          <w:ilvl w:val="0"/>
          <w:numId w:val="34"/>
        </w:numPr>
        <w:spacing w:line="480" w:lineRule="auto"/>
        <w:jc w:val="both"/>
        <w:rPr>
          <w:rFonts w:ascii="Calibri" w:hAnsi="Calibri" w:eastAsia="Calibri" w:cs="Calibri"/>
          <w:sz w:val="24"/>
          <w:szCs w:val="24"/>
        </w:rPr>
      </w:pPr>
      <w:r w:rsidRPr="560E2E1C">
        <w:rPr>
          <w:rFonts w:ascii="Calibri" w:hAnsi="Calibri" w:eastAsia="Calibri" w:cs="Calibri"/>
          <w:sz w:val="24"/>
          <w:szCs w:val="24"/>
        </w:rPr>
        <w:t>(9)</w:t>
      </w:r>
      <w:r w:rsidRPr="560E2E1C">
        <w:rPr>
          <w:rFonts w:ascii="Calibri" w:hAnsi="Calibri" w:eastAsia="Calibri" w:cs="Calibri"/>
          <w:color w:val="000000" w:themeColor="text1"/>
          <w:sz w:val="24"/>
          <w:szCs w:val="24"/>
        </w:rPr>
        <w:t xml:space="preserve"> “</w:t>
      </w:r>
      <w:r w:rsidRPr="560E2E1C" w:rsidR="705BA72B">
        <w:rPr>
          <w:rFonts w:ascii="Calibri" w:hAnsi="Calibri" w:eastAsia="Calibri" w:cs="Calibri"/>
          <w:color w:val="000000" w:themeColor="text1"/>
          <w:sz w:val="24"/>
          <w:szCs w:val="24"/>
        </w:rPr>
        <w:t>G</w:t>
      </w:r>
      <w:r w:rsidRPr="560E2E1C" w:rsidR="46E5532D">
        <w:rPr>
          <w:rFonts w:ascii="Calibri" w:hAnsi="Calibri" w:eastAsia="Calibri" w:cs="Calibri"/>
          <w:color w:val="000000" w:themeColor="text1"/>
          <w:sz w:val="24"/>
          <w:szCs w:val="24"/>
        </w:rPr>
        <w:t>eneral” pain sensitivity</w:t>
      </w:r>
      <w:r w:rsidRPr="560E2E1C">
        <w:rPr>
          <w:rFonts w:ascii="Calibri" w:hAnsi="Calibri" w:eastAsia="Calibri" w:cs="Calibri"/>
          <w:color w:val="000000" w:themeColor="text1"/>
          <w:sz w:val="24"/>
          <w:szCs w:val="24"/>
        </w:rPr>
        <w:t xml:space="preserve"> (P</w:t>
      </w:r>
      <w:r w:rsidRPr="560E2E1C" w:rsidR="0A793BD7">
        <w:rPr>
          <w:rFonts w:ascii="Calibri" w:hAnsi="Calibri" w:eastAsia="Calibri" w:cs="Calibri"/>
          <w:color w:val="000000" w:themeColor="text1"/>
          <w:sz w:val="24"/>
          <w:szCs w:val="24"/>
        </w:rPr>
        <w:t xml:space="preserve">ain Sensitivity Questionnaire </w:t>
      </w:r>
      <w:r w:rsidRPr="560E2E1C" w:rsidR="404A5990">
        <w:rPr>
          <w:rFonts w:ascii="Calibri" w:hAnsi="Calibri" w:eastAsia="Calibri" w:cs="Calibri"/>
          <w:color w:val="000000" w:themeColor="text1"/>
          <w:sz w:val="24"/>
          <w:szCs w:val="24"/>
        </w:rPr>
        <w:t>[</w:t>
      </w:r>
      <w:proofErr w:type="spellStart"/>
      <w:r w:rsidRPr="560E2E1C" w:rsidR="0A793BD7">
        <w:rPr>
          <w:rFonts w:ascii="Calibri" w:hAnsi="Calibri" w:eastAsia="Calibri" w:cs="Calibri"/>
          <w:color w:val="000000" w:themeColor="text1"/>
          <w:sz w:val="24"/>
          <w:szCs w:val="24"/>
        </w:rPr>
        <w:t>PSQ</w:t>
      </w:r>
      <w:proofErr w:type="spellEnd"/>
      <w:r w:rsidRPr="560E2E1C" w:rsidR="39D06DC5">
        <w:rPr>
          <w:rFonts w:ascii="Calibri" w:hAnsi="Calibri" w:eastAsia="Calibri" w:cs="Calibri"/>
          <w:color w:val="000000" w:themeColor="text1"/>
          <w:sz w:val="24"/>
          <w:szCs w:val="24"/>
        </w:rPr>
        <w:t>]</w:t>
      </w:r>
      <w:r w:rsidRPr="560E2E1C" w:rsidR="46E5532D">
        <w:rPr>
          <w:rFonts w:ascii="Calibri" w:hAnsi="Calibri" w:eastAsia="Calibri" w:cs="Calibri"/>
          <w:color w:val="000000" w:themeColor="text1"/>
          <w:sz w:val="24"/>
          <w:szCs w:val="24"/>
        </w:rPr>
        <w:t xml:space="preserve"> </w:t>
      </w:r>
      <w:r w:rsidRPr="560E2E1C" w:rsidR="77ABD496">
        <w:rPr>
          <w:rFonts w:ascii="Calibri" w:hAnsi="Calibri" w:eastAsia="Calibri"/>
        </w:rPr>
        <w:fldChar w:fldCharType="begin"/>
      </w:r>
      <w:r w:rsidR="00A03CF2">
        <w:rPr>
          <w:rFonts w:ascii="Calibri" w:hAnsi="Calibri" w:eastAsia="Calibri"/>
        </w:rPr>
        <w:instrText xml:space="preserve"> ADDIN ZOTERO_ITEM CSL_CITATION {"citationID":"0TqMC4MZ","properties":{"formattedCitation":"(Dual\\uc0\\u233{} et al., 2019)","plainCitation":"(Dualé et al., 2019)","noteIndex":0},"citationItems":[{"id":"jyRXZ8R7/n9wHAI04","uris":["http://zotero.org/users/8777725/items/9UFHYZL6"],"itemData":{"id":845,"type":"article-journal","abstract":"To validate a French translation of the Pain Sensitivity Questionnaire (PSQ), which is a valuable tool to predict an individual’s natural disposition to feel pain that could be used after surgery.","container-title":"Canadian Journal of Anesthesia/Journal canadien d'anesthésie","DOI":"10.1007/s12630-019-01377-w","ISSN":"1496-8975","issue":"10","journalAbbreviation":"Can J Anesth/J Can Anesth","language":"en","page":"1202-1212","source":"Springer Link","title":"Transcultural adaptation and French validation of the Pain Sensitivity Questionnaire","volume":"66","author":[{"family":"Dualé","given":"Christian"},{"family":"Bauer","given":"Ulrich"},{"family":"Storme","given":"Brigitte"},{"family":"Eljezi","given":"Vedat"},{"family":"Ruscheweyh","given":"Ruth"},{"family":"Eschalier","given":"Sylvie"},{"family":"Dubray","given":"Claude"},{"family":"Guiguet-Auclair","given":"Candy"}],"issued":{"date-parts":[["2019",10,1]]}}}],"schema":"https://github.com/citation-style-language/schema/raw/master/csl-citation.json"} </w:instrText>
      </w:r>
      <w:r w:rsidRPr="560E2E1C" w:rsidR="77ABD496">
        <w:rPr>
          <w:rFonts w:ascii="Calibri" w:hAnsi="Calibri" w:eastAsia="Calibri"/>
        </w:rPr>
        <w:fldChar w:fldCharType="separate"/>
      </w:r>
      <w:r w:rsidRPr="008425F7" w:rsidR="008425F7">
        <w:rPr>
          <w:rFonts w:ascii="Calibri" w:hAnsi="Calibri" w:cs="Calibri"/>
          <w:sz w:val="24"/>
        </w:rPr>
        <w:t>(Dualé et al., 2019)</w:t>
      </w:r>
      <w:r w:rsidRPr="560E2E1C" w:rsidR="77ABD496">
        <w:rPr>
          <w:rFonts w:ascii="Calibri" w:hAnsi="Calibri" w:eastAsia="Calibri"/>
        </w:rPr>
        <w:fldChar w:fldCharType="end"/>
      </w:r>
      <w:r w:rsidRPr="560E2E1C" w:rsidR="74CFCD05">
        <w:rPr>
          <w:rFonts w:ascii="Calibri" w:hAnsi="Calibri" w:eastAsia="Calibri" w:cs="Calibri"/>
          <w:color w:val="000000" w:themeColor="text1"/>
          <w:sz w:val="24"/>
          <w:szCs w:val="24"/>
        </w:rPr>
        <w:t>)</w:t>
      </w:r>
      <w:r w:rsidRPr="560E2E1C" w:rsidR="2705AA96">
        <w:rPr>
          <w:rFonts w:ascii="Calibri" w:hAnsi="Calibri" w:eastAsia="Calibri" w:cs="Calibri"/>
          <w:color w:val="000000" w:themeColor="text1"/>
          <w:sz w:val="24"/>
          <w:szCs w:val="24"/>
        </w:rPr>
        <w:t>.</w:t>
      </w:r>
      <w:r w:rsidRPr="560E2E1C" w:rsidR="46E5532D">
        <w:rPr>
          <w:rFonts w:ascii="Calibri" w:hAnsi="Calibri" w:eastAsia="Calibri" w:cs="Calibri"/>
          <w:color w:val="000000" w:themeColor="text1"/>
          <w:sz w:val="24"/>
          <w:szCs w:val="24"/>
        </w:rPr>
        <w:t xml:space="preserve"> </w:t>
      </w:r>
    </w:p>
    <w:p w:rsidRPr="00171B6F" w:rsidR="00E90BB2" w:rsidRDefault="2749ADDA" w14:paraId="1CE63CB5" w14:textId="77777777">
      <w:pPr>
        <w:pStyle w:val="Heading2"/>
        <w:rPr>
          <w:rFonts w:ascii="Calibri" w:hAnsi="Calibri" w:eastAsia="Calibri" w:cs="Calibri"/>
        </w:rPr>
      </w:pPr>
      <w:r w:rsidRPr="560E2E1C">
        <w:t>Statistical analysis</w:t>
      </w:r>
    </w:p>
    <w:p w:rsidRPr="00171B6F" w:rsidR="4AD5A69F" w:rsidP="4EF8719D" w:rsidRDefault="23D1C0D3" w14:paraId="16BA54E5" w14:textId="364C04D5">
      <w:pPr>
        <w:spacing w:beforeAutospacing="1" w:afterAutospacing="1" w:line="480" w:lineRule="auto"/>
        <w:jc w:val="both"/>
        <w:rPr>
          <w:rFonts w:ascii="Calibri" w:hAnsi="Calibri" w:eastAsia="Calibri" w:cs="Calibri"/>
          <w:sz w:val="24"/>
          <w:szCs w:val="24"/>
        </w:rPr>
      </w:pPr>
      <w:r w:rsidRPr="4EF8719D">
        <w:rPr>
          <w:rFonts w:ascii="Calibri" w:hAnsi="Calibri" w:eastAsia="Calibri" w:cs="Calibri"/>
          <w:color w:val="000000" w:themeColor="text1"/>
          <w:sz w:val="24"/>
          <w:szCs w:val="24"/>
        </w:rPr>
        <w:t xml:space="preserve">Study data were collected and managed using REDCap electronic data capture tools hosted at </w:t>
      </w:r>
      <w:r w:rsidRPr="4EF8719D" w:rsidR="52681247">
        <w:rPr>
          <w:rFonts w:ascii="Calibri" w:hAnsi="Calibri" w:eastAsia="Calibri" w:cs="Calibri"/>
          <w:color w:val="000000" w:themeColor="text1"/>
          <w:sz w:val="24"/>
          <w:szCs w:val="24"/>
        </w:rPr>
        <w:t xml:space="preserve">the </w:t>
      </w:r>
      <w:r w:rsidRPr="4EF8719D">
        <w:rPr>
          <w:rFonts w:ascii="Calibri" w:hAnsi="Calibri" w:eastAsia="Calibri" w:cs="Calibri"/>
          <w:color w:val="000000" w:themeColor="text1"/>
          <w:sz w:val="24"/>
          <w:szCs w:val="24"/>
        </w:rPr>
        <w:t>Saint-Luc</w:t>
      </w:r>
      <w:r w:rsidRPr="4EF8719D" w:rsidR="05976A3C">
        <w:rPr>
          <w:rFonts w:ascii="Calibri" w:hAnsi="Calibri" w:eastAsia="Calibri" w:cs="Calibri"/>
          <w:color w:val="000000" w:themeColor="text1"/>
          <w:sz w:val="24"/>
          <w:szCs w:val="24"/>
        </w:rPr>
        <w:t xml:space="preserve"> </w:t>
      </w:r>
      <w:r w:rsidRPr="4EF8719D" w:rsidR="35061C7B">
        <w:rPr>
          <w:rFonts w:ascii="Calibri" w:hAnsi="Calibri" w:eastAsia="Calibri" w:cs="Calibri"/>
          <w:color w:val="000000" w:themeColor="text1"/>
          <w:sz w:val="24"/>
          <w:szCs w:val="24"/>
        </w:rPr>
        <w:t>University Hospital</w:t>
      </w:r>
      <w:r w:rsidRPr="4EF8719D" w:rsidR="51B5A16B">
        <w:rPr>
          <w:rFonts w:ascii="Calibri" w:hAnsi="Calibri" w:eastAsia="Calibri" w:cs="Calibri"/>
          <w:sz w:val="24"/>
          <w:szCs w:val="24"/>
        </w:rPr>
        <w:t>.</w:t>
      </w:r>
      <w:r w:rsidRPr="4EF8719D">
        <w:rPr>
          <w:rFonts w:ascii="Calibri" w:hAnsi="Calibri" w:eastAsia="Calibri" w:cs="Calibri"/>
          <w:color w:val="FF0000"/>
          <w:sz w:val="24"/>
          <w:szCs w:val="24"/>
        </w:rPr>
        <w:t xml:space="preserve"> </w:t>
      </w:r>
      <w:r w:rsidRPr="4EF8719D" w:rsidR="5D420026">
        <w:rPr>
          <w:rFonts w:ascii="Calibri" w:hAnsi="Calibri" w:eastAsia="Calibri" w:cs="Calibri"/>
          <w:color w:val="000000" w:themeColor="text1"/>
          <w:sz w:val="24"/>
          <w:szCs w:val="24"/>
        </w:rPr>
        <w:t xml:space="preserve">Statistical analyses were conducted using IBM SPSS </w:t>
      </w:r>
      <w:r w:rsidRPr="4EF8719D" w:rsidR="5D420026">
        <w:rPr>
          <w:rFonts w:eastAsiaTheme="minorEastAsia"/>
          <w:sz w:val="24"/>
          <w:szCs w:val="24"/>
        </w:rPr>
        <w:t>Statistics 2</w:t>
      </w:r>
      <w:r w:rsidRPr="4EF8719D" w:rsidR="05976A3C">
        <w:rPr>
          <w:rFonts w:eastAsiaTheme="minorEastAsia"/>
          <w:sz w:val="24"/>
          <w:szCs w:val="24"/>
        </w:rPr>
        <w:t>8</w:t>
      </w:r>
      <w:r w:rsidRPr="4EF8719D" w:rsidR="098188A7">
        <w:rPr>
          <w:rFonts w:eastAsiaTheme="minorEastAsia"/>
          <w:sz w:val="24"/>
          <w:szCs w:val="24"/>
        </w:rPr>
        <w:t xml:space="preserve">, </w:t>
      </w:r>
      <w:r w:rsidRPr="4EF8719D" w:rsidR="2616D394">
        <w:rPr>
          <w:rFonts w:eastAsiaTheme="minorEastAsia"/>
          <w:sz w:val="24"/>
          <w:szCs w:val="24"/>
        </w:rPr>
        <w:t xml:space="preserve">Latent Gold 6.0, </w:t>
      </w:r>
      <w:r w:rsidRPr="4EF8719D" w:rsidR="3BB510E1">
        <w:rPr>
          <w:rFonts w:eastAsiaTheme="minorEastAsia"/>
          <w:sz w:val="24"/>
          <w:szCs w:val="24"/>
        </w:rPr>
        <w:t xml:space="preserve">and </w:t>
      </w:r>
      <w:r w:rsidRPr="4EF8719D" w:rsidR="4E521756">
        <w:rPr>
          <w:rFonts w:eastAsiaTheme="minorEastAsia"/>
          <w:sz w:val="24"/>
          <w:szCs w:val="24"/>
        </w:rPr>
        <w:t>R software (R × 64 version 4.2.3)</w:t>
      </w:r>
      <w:r w:rsidRPr="4EF8719D" w:rsidR="61633415">
        <w:rPr>
          <w:rFonts w:eastAsiaTheme="minorEastAsia"/>
          <w:sz w:val="24"/>
          <w:szCs w:val="24"/>
        </w:rPr>
        <w:t>.</w:t>
      </w:r>
      <w:r w:rsidRPr="4EF8719D" w:rsidR="06FEC4A7">
        <w:rPr>
          <w:rFonts w:eastAsiaTheme="minorEastAsia"/>
          <w:sz w:val="24"/>
          <w:szCs w:val="24"/>
        </w:rPr>
        <w:t xml:space="preserve"> </w:t>
      </w:r>
      <w:r w:rsidRPr="4EF8719D" w:rsidR="06FEC4A7">
        <w:rPr>
          <w:rFonts w:ascii="Calibri" w:hAnsi="Calibri" w:eastAsia="Calibri" w:cs="Calibri"/>
          <w:sz w:val="24"/>
          <w:szCs w:val="24"/>
        </w:rPr>
        <w:t>A p-value &lt; 0.05 was considered statistically significant.</w:t>
      </w:r>
      <w:r w:rsidRPr="4EF8719D" w:rsidR="51D7950A">
        <w:rPr>
          <w:rFonts w:ascii="Calibri" w:hAnsi="Calibri" w:eastAsia="Calibri" w:cs="Calibri"/>
          <w:sz w:val="24"/>
          <w:szCs w:val="24"/>
        </w:rPr>
        <w:t xml:space="preserve"> The study was preregistered in ClinicalTrial.gov (NCT05337501), but the analysis plan of the inclusion data was decided at the end of the inclusion phase. The script used to analyse QST results is available at: </w:t>
      </w:r>
      <w:hyperlink r:id="rId13">
        <w:r w:rsidRPr="4EF8719D" w:rsidR="51D7950A">
          <w:rPr>
            <w:rFonts w:ascii="Calibri" w:hAnsi="Calibri" w:eastAsia="Calibri" w:cs="Calibri"/>
            <w:sz w:val="24"/>
            <w:szCs w:val="24"/>
          </w:rPr>
          <w:t>https://github.com/vladaron/CRPS_QST</w:t>
        </w:r>
      </w:hyperlink>
      <w:r w:rsidRPr="4EF8719D" w:rsidR="51D7950A">
        <w:rPr>
          <w:rFonts w:ascii="Calibri" w:hAnsi="Calibri" w:eastAsia="Calibri" w:cs="Calibri"/>
          <w:sz w:val="24"/>
          <w:szCs w:val="24"/>
        </w:rPr>
        <w:t>.</w:t>
      </w:r>
    </w:p>
    <w:p w:rsidRPr="00171B6F" w:rsidR="3EE673B8" w:rsidP="560E2E1C" w:rsidRDefault="05077BF5" w14:paraId="28A32149" w14:textId="3F08B6EB">
      <w:pPr>
        <w:spacing w:line="480" w:lineRule="auto"/>
        <w:jc w:val="both"/>
        <w:rPr>
          <w:sz w:val="24"/>
          <w:szCs w:val="24"/>
        </w:rPr>
      </w:pPr>
      <w:r w:rsidRPr="3613E1E1">
        <w:rPr>
          <w:sz w:val="24"/>
          <w:szCs w:val="24"/>
        </w:rPr>
        <w:t>We used descriptive statistics to present the characteristics of the cohort. For contin</w:t>
      </w:r>
      <w:r w:rsidRPr="3613E1E1" w:rsidR="458EBD39">
        <w:rPr>
          <w:sz w:val="24"/>
          <w:szCs w:val="24"/>
        </w:rPr>
        <w:t>u</w:t>
      </w:r>
      <w:r w:rsidRPr="3613E1E1">
        <w:rPr>
          <w:sz w:val="24"/>
          <w:szCs w:val="24"/>
        </w:rPr>
        <w:t>ous variables, we reported mean and standard deviation</w:t>
      </w:r>
      <w:r w:rsidRPr="3613E1E1" w:rsidR="78F03836">
        <w:rPr>
          <w:sz w:val="24"/>
          <w:szCs w:val="24"/>
        </w:rPr>
        <w:t xml:space="preserve"> (SD)</w:t>
      </w:r>
      <w:r w:rsidRPr="3613E1E1" w:rsidR="7157A764">
        <w:rPr>
          <w:sz w:val="24"/>
          <w:szCs w:val="24"/>
        </w:rPr>
        <w:t xml:space="preserve">, while </w:t>
      </w:r>
      <w:r w:rsidRPr="3613E1E1" w:rsidR="5AEC6A7A">
        <w:rPr>
          <w:sz w:val="24"/>
          <w:szCs w:val="24"/>
        </w:rPr>
        <w:t>c</w:t>
      </w:r>
      <w:r w:rsidRPr="3613E1E1">
        <w:rPr>
          <w:sz w:val="24"/>
          <w:szCs w:val="24"/>
        </w:rPr>
        <w:t xml:space="preserve">ategorical variables were </w:t>
      </w:r>
      <w:r w:rsidRPr="3613E1E1" w:rsidR="7C049E44">
        <w:rPr>
          <w:sz w:val="24"/>
          <w:szCs w:val="24"/>
        </w:rPr>
        <w:t xml:space="preserve">described </w:t>
      </w:r>
      <w:r w:rsidRPr="3613E1E1">
        <w:rPr>
          <w:sz w:val="24"/>
          <w:szCs w:val="24"/>
        </w:rPr>
        <w:t xml:space="preserve">using </w:t>
      </w:r>
      <w:r w:rsidRPr="3613E1E1" w:rsidR="4665C7B1">
        <w:rPr>
          <w:sz w:val="24"/>
          <w:szCs w:val="24"/>
        </w:rPr>
        <w:t>numbers and percentages</w:t>
      </w:r>
      <w:r w:rsidRPr="3613E1E1">
        <w:rPr>
          <w:sz w:val="24"/>
          <w:szCs w:val="24"/>
        </w:rPr>
        <w:t>.</w:t>
      </w:r>
    </w:p>
    <w:p w:rsidRPr="00171B6F" w:rsidR="474DBAA3" w:rsidP="4EF8719D" w:rsidRDefault="53556A1E" w14:paraId="5B1495E0" w14:textId="4D6E9265">
      <w:pPr>
        <w:spacing w:line="480" w:lineRule="auto"/>
        <w:jc w:val="both"/>
        <w:rPr>
          <w:rFonts w:ascii="Calibri" w:hAnsi="Calibri" w:eastAsia="Calibri" w:cs="Calibri"/>
          <w:sz w:val="24"/>
          <w:szCs w:val="24"/>
        </w:rPr>
      </w:pPr>
      <w:r w:rsidRPr="4CB37362">
        <w:rPr>
          <w:rFonts w:eastAsiaTheme="minorEastAsia"/>
          <w:sz w:val="24"/>
          <w:szCs w:val="24"/>
        </w:rPr>
        <w:t>Concerning the variables, t</w:t>
      </w:r>
      <w:r w:rsidRPr="4CB37362" w:rsidR="4CD88FCC">
        <w:rPr>
          <w:rFonts w:eastAsiaTheme="minorEastAsia"/>
          <w:sz w:val="24"/>
          <w:szCs w:val="24"/>
        </w:rPr>
        <w:t>emperature asymmetry was c</w:t>
      </w:r>
      <w:r w:rsidRPr="4CB37362" w:rsidR="01A477A8">
        <w:rPr>
          <w:rFonts w:eastAsiaTheme="minorEastAsia"/>
          <w:sz w:val="24"/>
          <w:szCs w:val="24"/>
        </w:rPr>
        <w:t xml:space="preserve">alculated </w:t>
      </w:r>
      <w:r w:rsidRPr="4CB37362" w:rsidR="4CD88FCC">
        <w:rPr>
          <w:rFonts w:eastAsiaTheme="minorEastAsia"/>
          <w:sz w:val="24"/>
          <w:szCs w:val="24"/>
        </w:rPr>
        <w:t xml:space="preserve">as the </w:t>
      </w:r>
      <w:r w:rsidRPr="4CB37362" w:rsidR="01128CAB">
        <w:rPr>
          <w:rFonts w:eastAsiaTheme="minorEastAsia"/>
          <w:sz w:val="24"/>
          <w:szCs w:val="24"/>
        </w:rPr>
        <w:t>difference (Δ)</w:t>
      </w:r>
      <w:r w:rsidRPr="4CB37362" w:rsidR="4CD88FCC">
        <w:rPr>
          <w:rFonts w:eastAsiaTheme="minorEastAsia"/>
          <w:sz w:val="24"/>
          <w:szCs w:val="24"/>
        </w:rPr>
        <w:t xml:space="preserve"> between the affected and the contralateral side. Asymmetric temperature was defined as a </w:t>
      </w:r>
      <w:r w:rsidRPr="4CB37362" w:rsidR="01128CAB">
        <w:rPr>
          <w:rFonts w:eastAsiaTheme="minorEastAsia"/>
          <w:sz w:val="24"/>
          <w:szCs w:val="24"/>
        </w:rPr>
        <w:t xml:space="preserve">Δ </w:t>
      </w:r>
      <w:r w:rsidRPr="4CB37362" w:rsidR="4CD88FCC">
        <w:rPr>
          <w:rFonts w:eastAsiaTheme="minorEastAsia"/>
          <w:sz w:val="24"/>
          <w:szCs w:val="24"/>
        </w:rPr>
        <w:t xml:space="preserve">≥ 1°C or ≤ -1°C. </w:t>
      </w:r>
      <w:r w:rsidRPr="4CB37362" w:rsidR="1037921A">
        <w:rPr>
          <w:rFonts w:eastAsiaTheme="minorEastAsia"/>
          <w:sz w:val="24"/>
          <w:szCs w:val="24"/>
        </w:rPr>
        <w:t>Quantitative s</w:t>
      </w:r>
      <w:r w:rsidRPr="4CB37362" w:rsidR="4CD88FCC">
        <w:rPr>
          <w:rFonts w:eastAsiaTheme="minorEastAsia"/>
          <w:sz w:val="24"/>
          <w:szCs w:val="24"/>
        </w:rPr>
        <w:t xml:space="preserve">trength deficit between the limbs was computed as </w:t>
      </w:r>
      <w:r w:rsidRPr="4CB37362" w:rsidR="16F491F7">
        <w:rPr>
          <w:rFonts w:eastAsiaTheme="minorEastAsia"/>
          <w:sz w:val="24"/>
          <w:szCs w:val="24"/>
        </w:rPr>
        <w:t xml:space="preserve">the </w:t>
      </w:r>
      <w:r w:rsidRPr="4CB37362" w:rsidR="16F491F7">
        <w:rPr>
          <w:rFonts w:eastAsiaTheme="minorEastAsia"/>
          <w:sz w:val="24"/>
          <w:szCs w:val="24"/>
        </w:rPr>
        <w:lastRenderedPageBreak/>
        <w:t>relative percentage between affected side and contralateral</w:t>
      </w:r>
      <w:r w:rsidRPr="4CB37362" w:rsidR="4E249947">
        <w:rPr>
          <w:rFonts w:eastAsiaTheme="minorEastAsia"/>
          <w:sz w:val="24"/>
          <w:szCs w:val="24"/>
        </w:rPr>
        <w:t xml:space="preserve"> (affected side strength </w:t>
      </w:r>
      <w:r w:rsidRPr="4CB37362" w:rsidR="2D877AF5">
        <w:rPr>
          <w:rFonts w:eastAsiaTheme="minorEastAsia"/>
          <w:sz w:val="24"/>
          <w:szCs w:val="24"/>
        </w:rPr>
        <w:t>divided by</w:t>
      </w:r>
      <w:r w:rsidRPr="4CB37362" w:rsidR="4E249947">
        <w:rPr>
          <w:rFonts w:eastAsiaTheme="minorEastAsia"/>
          <w:sz w:val="24"/>
          <w:szCs w:val="24"/>
        </w:rPr>
        <w:t xml:space="preserve"> contralateral strength</w:t>
      </w:r>
      <w:r w:rsidRPr="4CB37362" w:rsidR="6478B01A">
        <w:rPr>
          <w:rFonts w:eastAsiaTheme="minorEastAsia"/>
          <w:sz w:val="24"/>
          <w:szCs w:val="24"/>
        </w:rPr>
        <w:t xml:space="preserve">). </w:t>
      </w:r>
      <w:r w:rsidRPr="4CB37362" w:rsidR="6478B01A">
        <w:rPr>
          <w:sz w:val="24"/>
          <w:szCs w:val="24"/>
        </w:rPr>
        <w:t xml:space="preserve">For </w:t>
      </w:r>
      <w:r w:rsidRPr="4CB37362" w:rsidR="2CB63EF7">
        <w:rPr>
          <w:sz w:val="24"/>
          <w:szCs w:val="24"/>
        </w:rPr>
        <w:t>unaffected</w:t>
      </w:r>
      <w:r w:rsidRPr="4CB37362" w:rsidR="6478B01A">
        <w:rPr>
          <w:sz w:val="24"/>
          <w:szCs w:val="24"/>
        </w:rPr>
        <w:t xml:space="preserve"> UE</w:t>
      </w:r>
      <w:r w:rsidRPr="4CB37362" w:rsidR="2CB63EF7">
        <w:rPr>
          <w:sz w:val="24"/>
          <w:szCs w:val="24"/>
        </w:rPr>
        <w:t xml:space="preserve"> strength</w:t>
      </w:r>
      <w:r w:rsidRPr="4CB37362" w:rsidR="6478B01A">
        <w:rPr>
          <w:sz w:val="24"/>
          <w:szCs w:val="24"/>
        </w:rPr>
        <w:t xml:space="preserve">, we made an adjustment of 10% </w:t>
      </w:r>
      <w:r w:rsidRPr="4CB37362" w:rsidR="1548C7FB">
        <w:rPr>
          <w:sz w:val="24"/>
          <w:szCs w:val="24"/>
        </w:rPr>
        <w:t>based on the dominant side</w:t>
      </w:r>
      <w:r w:rsidRPr="4CB37362" w:rsidR="6478B01A">
        <w:rPr>
          <w:rFonts w:eastAsiaTheme="minorEastAsia"/>
          <w:sz w:val="24"/>
          <w:szCs w:val="24"/>
        </w:rPr>
        <w:t xml:space="preserve"> (+10% for non-dominant, -10% for dominant)</w:t>
      </w:r>
      <w:r w:rsidRPr="4CB37362" w:rsidR="09CCEDC8">
        <w:rPr>
          <w:rFonts w:eastAsiaTheme="minorEastAsia"/>
          <w:sz w:val="24"/>
          <w:szCs w:val="24"/>
        </w:rPr>
        <w:t xml:space="preserve"> </w:t>
      </w:r>
      <w:r w:rsidRPr="4CB37362">
        <w:rPr>
          <w:sz w:val="24"/>
          <w:szCs w:val="24"/>
        </w:rPr>
        <w:fldChar w:fldCharType="begin"/>
      </w:r>
      <w:r w:rsidRPr="4CB37362">
        <w:rPr>
          <w:sz w:val="24"/>
          <w:szCs w:val="24"/>
        </w:rPr>
        <w:instrText xml:space="preserve"> ADDIN ZOTERO_ITEM CSL_CITATION {"citationID":"9fIaBL7T","properties":{"formattedCitation":"(Richards and Palmiter-Thomas, 1996)","plainCitation":"(Richards and Palmiter-Thomas, 1996)","noteIndex":0},"citationItems":[{"id":200,"uris":["http://zotero.org/users/8514361/items/VXL6EI6S"],"itemData":{"id":200,"type":"article-journal","abstract":"Isometric grip strength can be correlated with upper extremity and overall body strength. Changes in grip strength can be good indicators of the need for and th...","container-title":"Critical Reviews&amp;trade; in Physical and Rehabilitation Medicine","DOI":"10.1615/CritRevPhysRehabilMed.v8.i1-2.50","ISSN":"0896-2960, 2162-6553","issue":"1-2","journalAbbreviation":"CRP","language":"English","note":"publisher: Begel House Inc.","source":"www.dl.begellhouse.com","title":"Grip Strength Measurement: A Critical Review of Tools, Methods, and Clinical Utility","title-short":"Grip Strength Measurement","URL":"https://www.dl.begellhouse.com/journals/757fcb0219d89390,0d0bf4920727d6ec,4f8e35b4688aa08e.html","volume":"8","author":[{"family":"Richards","given":"Lorie"},{"family":"Palmiter-Thomas","given":"Pamela"}],"accessed":{"date-parts":[["2024",5,29]]},"issued":{"date-parts":[["1996"]]}}}],"schema":"https://github.com/citation-style-language/schema/raw/master/csl-citation.json"} </w:instrText>
      </w:r>
      <w:r w:rsidRPr="4CB37362">
        <w:rPr>
          <w:sz w:val="24"/>
          <w:szCs w:val="24"/>
        </w:rPr>
        <w:fldChar w:fldCharType="separate"/>
      </w:r>
      <w:r w:rsidRPr="4CB37362" w:rsidR="008425F7">
        <w:rPr>
          <w:rFonts w:ascii="Calibri" w:hAnsi="Calibri" w:cs="Calibri"/>
          <w:sz w:val="24"/>
          <w:szCs w:val="24"/>
        </w:rPr>
        <w:t>(Richards and Palmiter-Thomas, 1996)</w:t>
      </w:r>
      <w:r w:rsidRPr="4CB37362">
        <w:rPr>
          <w:sz w:val="24"/>
          <w:szCs w:val="24"/>
        </w:rPr>
        <w:fldChar w:fldCharType="end"/>
      </w:r>
      <w:r w:rsidRPr="4CB37362" w:rsidR="4CD88FCC">
        <w:rPr>
          <w:sz w:val="24"/>
          <w:szCs w:val="24"/>
        </w:rPr>
        <w:t xml:space="preserve">. </w:t>
      </w:r>
      <w:r w:rsidRPr="4CB37362" w:rsidR="6C9F9646">
        <w:rPr>
          <w:sz w:val="24"/>
          <w:szCs w:val="24"/>
        </w:rPr>
        <w:t>Disability was reported as a score from 0 (</w:t>
      </w:r>
      <w:r w:rsidRPr="4CB37362" w:rsidR="585D0C5C">
        <w:rPr>
          <w:sz w:val="24"/>
          <w:szCs w:val="24"/>
        </w:rPr>
        <w:t>“</w:t>
      </w:r>
      <w:r w:rsidRPr="4CB37362" w:rsidR="6C9F9646">
        <w:rPr>
          <w:sz w:val="24"/>
          <w:szCs w:val="24"/>
        </w:rPr>
        <w:t>no disability</w:t>
      </w:r>
      <w:r w:rsidRPr="4CB37362" w:rsidR="70A26E00">
        <w:rPr>
          <w:sz w:val="24"/>
          <w:szCs w:val="24"/>
        </w:rPr>
        <w:t>”</w:t>
      </w:r>
      <w:r w:rsidRPr="4CB37362" w:rsidR="6C9F9646">
        <w:rPr>
          <w:sz w:val="24"/>
          <w:szCs w:val="24"/>
        </w:rPr>
        <w:t>) to 80 or 100 (</w:t>
      </w:r>
      <w:r w:rsidRPr="4CB37362" w:rsidR="265A87F7">
        <w:rPr>
          <w:sz w:val="24"/>
          <w:szCs w:val="24"/>
        </w:rPr>
        <w:t>“</w:t>
      </w:r>
      <w:r w:rsidRPr="4CB37362" w:rsidR="6C9F9646">
        <w:rPr>
          <w:sz w:val="24"/>
          <w:szCs w:val="24"/>
        </w:rPr>
        <w:t>most possible disability</w:t>
      </w:r>
      <w:r w:rsidRPr="4CB37362" w:rsidR="032FD8F6">
        <w:rPr>
          <w:i/>
          <w:iCs/>
          <w:sz w:val="24"/>
          <w:szCs w:val="24"/>
        </w:rPr>
        <w:t>”</w:t>
      </w:r>
      <w:r w:rsidRPr="4CB37362" w:rsidR="280BCF63">
        <w:rPr>
          <w:sz w:val="24"/>
          <w:szCs w:val="24"/>
        </w:rPr>
        <w:t>),</w:t>
      </w:r>
      <w:r w:rsidRPr="4CB37362" w:rsidR="6C9F9646">
        <w:rPr>
          <w:sz w:val="24"/>
          <w:szCs w:val="24"/>
        </w:rPr>
        <w:t xml:space="preserve"> for LE or UE respectively.</w:t>
      </w:r>
      <w:r w:rsidRPr="4CB37362" w:rsidR="4CD88FCC">
        <w:rPr>
          <w:sz w:val="24"/>
          <w:szCs w:val="24"/>
        </w:rPr>
        <w:t xml:space="preserve"> </w:t>
      </w:r>
      <w:r w:rsidRPr="4CB37362" w:rsidR="3F8825B1">
        <w:rPr>
          <w:sz w:val="24"/>
          <w:szCs w:val="24"/>
        </w:rPr>
        <w:t xml:space="preserve">EQ-5D index was computed according to the EQ-5D-5L value set for Belgium. </w:t>
      </w:r>
      <w:r w:rsidRPr="4CB37362" w:rsidR="280BCF63">
        <w:rPr>
          <w:sz w:val="24"/>
          <w:szCs w:val="24"/>
        </w:rPr>
        <w:t>P</w:t>
      </w:r>
      <w:r w:rsidRPr="4CB37362" w:rsidR="3C43BCF0">
        <w:rPr>
          <w:rFonts w:ascii="Calibri" w:hAnsi="Calibri" w:eastAsia="Calibri" w:cs="Calibri"/>
          <w:sz w:val="24"/>
          <w:szCs w:val="24"/>
        </w:rPr>
        <w:t>a</w:t>
      </w:r>
      <w:r w:rsidRPr="4CB37362" w:rsidR="3C43BCF0">
        <w:rPr>
          <w:rFonts w:ascii="Calibri" w:hAnsi="Calibri" w:eastAsia="Calibri" w:cs="Calibri"/>
          <w:color w:val="000000" w:themeColor="text1"/>
          <w:sz w:val="24"/>
          <w:szCs w:val="24"/>
        </w:rPr>
        <w:t>i</w:t>
      </w:r>
      <w:r w:rsidRPr="4CB37362" w:rsidR="3C43BCF0">
        <w:rPr>
          <w:rFonts w:eastAsiaTheme="minorEastAsia"/>
          <w:sz w:val="24"/>
          <w:szCs w:val="24"/>
        </w:rPr>
        <w:t xml:space="preserve">n severity corresponded </w:t>
      </w:r>
      <w:r w:rsidRPr="4CB37362" w:rsidR="4B420153">
        <w:rPr>
          <w:rFonts w:eastAsiaTheme="minorEastAsia"/>
          <w:sz w:val="24"/>
          <w:szCs w:val="24"/>
        </w:rPr>
        <w:t xml:space="preserve">to </w:t>
      </w:r>
      <w:r w:rsidRPr="4CB37362" w:rsidR="3C43BCF0">
        <w:rPr>
          <w:rFonts w:eastAsiaTheme="minorEastAsia"/>
          <w:sz w:val="24"/>
          <w:szCs w:val="24"/>
        </w:rPr>
        <w:t xml:space="preserve">the 5th item of the </w:t>
      </w:r>
      <w:r w:rsidRPr="4CB37362" w:rsidR="3EBA14DF">
        <w:rPr>
          <w:rFonts w:eastAsiaTheme="minorEastAsia"/>
          <w:sz w:val="24"/>
          <w:szCs w:val="24"/>
        </w:rPr>
        <w:t>BPI-SF</w:t>
      </w:r>
      <w:r w:rsidRPr="4CB37362" w:rsidR="3C43BCF0">
        <w:rPr>
          <w:rFonts w:eastAsiaTheme="minorEastAsia"/>
          <w:sz w:val="24"/>
          <w:szCs w:val="24"/>
        </w:rPr>
        <w:t xml:space="preserve"> (“your pain on the average</w:t>
      </w:r>
      <w:r w:rsidRPr="4CB37362" w:rsidR="00A14E3A">
        <w:rPr>
          <w:rFonts w:eastAsiaTheme="minorEastAsia"/>
          <w:sz w:val="24"/>
          <w:szCs w:val="24"/>
        </w:rPr>
        <w:t xml:space="preserve"> </w:t>
      </w:r>
      <w:r w:rsidRPr="4CB37362" w:rsidR="009E7928">
        <w:rPr>
          <w:rFonts w:eastAsiaTheme="minorEastAsia"/>
          <w:sz w:val="24"/>
          <w:szCs w:val="24"/>
        </w:rPr>
        <w:t>over the last 24 hours</w:t>
      </w:r>
      <w:r w:rsidRPr="4CB37362" w:rsidR="3C43BCF0">
        <w:rPr>
          <w:rFonts w:eastAsiaTheme="minorEastAsia"/>
          <w:sz w:val="24"/>
          <w:szCs w:val="24"/>
        </w:rPr>
        <w:t>”). P</w:t>
      </w:r>
      <w:r w:rsidRPr="4CB37362" w:rsidR="3C43BCF0">
        <w:rPr>
          <w:rFonts w:ascii="Calibri" w:hAnsi="Calibri" w:eastAsia="Calibri" w:cs="Calibri"/>
          <w:color w:val="000000" w:themeColor="text1"/>
          <w:sz w:val="24"/>
          <w:szCs w:val="24"/>
        </w:rPr>
        <w:t xml:space="preserve">ain interference was computed as the mean value of the </w:t>
      </w:r>
      <w:r w:rsidRPr="4CB37362" w:rsidR="3EBA14DF">
        <w:rPr>
          <w:rFonts w:ascii="Calibri" w:hAnsi="Calibri" w:eastAsia="Calibri" w:cs="Calibri"/>
          <w:color w:val="000000" w:themeColor="text1"/>
          <w:sz w:val="24"/>
          <w:szCs w:val="24"/>
        </w:rPr>
        <w:t>seven</w:t>
      </w:r>
      <w:r w:rsidRPr="4CB37362" w:rsidR="3C43BCF0">
        <w:rPr>
          <w:rFonts w:ascii="Calibri" w:hAnsi="Calibri" w:eastAsia="Calibri" w:cs="Calibri"/>
          <w:color w:val="000000" w:themeColor="text1"/>
          <w:sz w:val="24"/>
          <w:szCs w:val="24"/>
        </w:rPr>
        <w:t xml:space="preserve"> last items of the </w:t>
      </w:r>
      <w:r w:rsidRPr="4CB37362" w:rsidR="3EBA14DF">
        <w:rPr>
          <w:rFonts w:ascii="Calibri" w:hAnsi="Calibri" w:eastAsia="Calibri" w:cs="Calibri"/>
          <w:color w:val="000000" w:themeColor="text1"/>
          <w:sz w:val="24"/>
          <w:szCs w:val="24"/>
        </w:rPr>
        <w:t>BPI-SF</w:t>
      </w:r>
      <w:r w:rsidRPr="4CB37362" w:rsidR="1F3A509D">
        <w:rPr>
          <w:rFonts w:ascii="Calibri" w:hAnsi="Calibri" w:eastAsia="Calibri" w:cs="Calibri"/>
          <w:color w:val="FF0000"/>
          <w:sz w:val="24"/>
          <w:szCs w:val="24"/>
        </w:rPr>
        <w:t xml:space="preserve"> </w:t>
      </w:r>
      <w:r w:rsidRPr="4CB37362">
        <w:rPr>
          <w:rFonts w:ascii="Calibri" w:hAnsi="Calibri" w:eastAsia="Calibri" w:cs="Calibri"/>
          <w:color w:val="FF0000"/>
        </w:rPr>
        <w:fldChar w:fldCharType="begin"/>
      </w:r>
      <w:r w:rsidRPr="4CB37362">
        <w:rPr>
          <w:rFonts w:ascii="Calibri" w:hAnsi="Calibri" w:eastAsia="Calibri" w:cs="Calibri"/>
          <w:color w:val="FF0000"/>
        </w:rPr>
        <w:instrText xml:space="preserve"> ADDIN ZOTERO_ITEM CSL_CITATION {"citationID":"fB6CAesV","properties":{"formattedCitation":"(Cleeland, 2009)","plainCitation":"(Cleeland, 2009)","noteIndex":0},"citationItems":[{"id":79,"uris":["http://zotero.org/users/8514361/items/3ZS984SM"],"itemData":{"id":79,"type":"article-journal","title":"The Brief Pain Inventory: User Guide","URL":"https://www.mdanderson.org/documents/Departments-and-Divisions/Symptom-Research/BPI_UserGuide.pdf","author":[{"family":"Cleeland","given":"Charles"}],"issued":{"date-parts":[["2009"]]}}}],"schema":"https://github.com/citation-style-language/schema/raw/master/csl-citation.json"} </w:instrText>
      </w:r>
      <w:r w:rsidRPr="4CB37362">
        <w:rPr>
          <w:rFonts w:ascii="Calibri" w:hAnsi="Calibri" w:eastAsia="Calibri" w:cs="Calibri"/>
          <w:color w:val="FF0000"/>
        </w:rPr>
        <w:fldChar w:fldCharType="separate"/>
      </w:r>
      <w:r w:rsidRPr="4CB37362" w:rsidR="008425F7">
        <w:rPr>
          <w:rFonts w:ascii="Calibri" w:hAnsi="Calibri" w:cs="Calibri"/>
          <w:sz w:val="24"/>
          <w:szCs w:val="24"/>
        </w:rPr>
        <w:t>(Cleeland, 2009)</w:t>
      </w:r>
      <w:r w:rsidRPr="4CB37362">
        <w:rPr>
          <w:rFonts w:ascii="Calibri" w:hAnsi="Calibri" w:eastAsia="Calibri" w:cs="Calibri"/>
          <w:color w:val="FF0000"/>
        </w:rPr>
        <w:fldChar w:fldCharType="end"/>
      </w:r>
      <w:r w:rsidRPr="4CB37362" w:rsidR="3C43BCF0">
        <w:rPr>
          <w:rFonts w:ascii="Calibri" w:hAnsi="Calibri" w:eastAsia="Calibri" w:cs="Calibri"/>
          <w:sz w:val="24"/>
          <w:szCs w:val="24"/>
        </w:rPr>
        <w:t>.</w:t>
      </w:r>
      <w:r w:rsidRPr="4CB37362" w:rsidR="2A7146F6">
        <w:rPr>
          <w:rFonts w:ascii="Calibri" w:hAnsi="Calibri" w:eastAsia="Calibri" w:cs="Calibri"/>
          <w:sz w:val="24"/>
          <w:szCs w:val="24"/>
        </w:rPr>
        <w:t xml:space="preserve"> </w:t>
      </w:r>
      <w:r w:rsidRPr="4CB37362" w:rsidR="19F16267">
        <w:rPr>
          <w:rFonts w:ascii="Calibri" w:hAnsi="Calibri" w:eastAsia="Calibri" w:cs="Calibri"/>
          <w:sz w:val="24"/>
          <w:szCs w:val="24"/>
        </w:rPr>
        <w:t>Psychosocial r</w:t>
      </w:r>
      <w:r w:rsidRPr="4CB37362" w:rsidR="2A7146F6">
        <w:rPr>
          <w:rFonts w:ascii="Calibri" w:hAnsi="Calibri" w:eastAsia="Calibri" w:cs="Calibri"/>
          <w:sz w:val="24"/>
          <w:szCs w:val="24"/>
        </w:rPr>
        <w:t xml:space="preserve">isk of </w:t>
      </w:r>
      <w:proofErr w:type="spellStart"/>
      <w:r w:rsidRPr="4CB37362" w:rsidR="2A7146F6">
        <w:rPr>
          <w:rFonts w:ascii="Calibri" w:hAnsi="Calibri" w:eastAsia="Calibri" w:cs="Calibri"/>
          <w:sz w:val="24"/>
          <w:szCs w:val="24"/>
        </w:rPr>
        <w:t>chronification</w:t>
      </w:r>
      <w:proofErr w:type="spellEnd"/>
      <w:r w:rsidRPr="4CB37362" w:rsidR="2A7146F6">
        <w:rPr>
          <w:rFonts w:ascii="Calibri" w:hAnsi="Calibri" w:eastAsia="Calibri" w:cs="Calibri"/>
          <w:sz w:val="24"/>
          <w:szCs w:val="24"/>
        </w:rPr>
        <w:t xml:space="preserve"> was determined using </w:t>
      </w:r>
      <w:r w:rsidRPr="4CB37362" w:rsidR="42E97877">
        <w:rPr>
          <w:rFonts w:ascii="Calibri" w:hAnsi="Calibri" w:eastAsia="Calibri" w:cs="Calibri"/>
          <w:sz w:val="24"/>
          <w:szCs w:val="24"/>
        </w:rPr>
        <w:t xml:space="preserve">reference values of the </w:t>
      </w:r>
      <w:r w:rsidRPr="4CB37362" w:rsidR="2A7146F6">
        <w:rPr>
          <w:rFonts w:ascii="Calibri" w:hAnsi="Calibri" w:eastAsia="Calibri" w:cs="Calibri"/>
          <w:sz w:val="24"/>
          <w:szCs w:val="24"/>
        </w:rPr>
        <w:t>French-</w:t>
      </w:r>
      <w:r w:rsidRPr="4CB37362" w:rsidR="0E43ED75">
        <w:rPr>
          <w:rFonts w:ascii="Calibri" w:hAnsi="Calibri" w:eastAsia="Calibri" w:cs="Calibri"/>
          <w:sz w:val="24"/>
          <w:szCs w:val="24"/>
        </w:rPr>
        <w:t>version</w:t>
      </w:r>
      <w:r w:rsidRPr="4CB37362" w:rsidR="2A7146F6">
        <w:rPr>
          <w:rFonts w:ascii="Calibri" w:hAnsi="Calibri" w:eastAsia="Calibri" w:cs="Calibri"/>
          <w:sz w:val="24"/>
          <w:szCs w:val="24"/>
        </w:rPr>
        <w:t xml:space="preserve"> </w:t>
      </w:r>
      <w:r w:rsidRPr="4CB37362" w:rsidR="24038969">
        <w:rPr>
          <w:rFonts w:ascii="Calibri" w:hAnsi="Calibri" w:eastAsia="Calibri" w:cs="Calibri"/>
          <w:sz w:val="24"/>
          <w:szCs w:val="24"/>
        </w:rPr>
        <w:t xml:space="preserve">of the </w:t>
      </w:r>
      <w:proofErr w:type="spellStart"/>
      <w:r w:rsidRPr="4CB37362" w:rsidR="24038969">
        <w:rPr>
          <w:rFonts w:ascii="Calibri" w:hAnsi="Calibri" w:eastAsia="Calibri" w:cs="Calibri"/>
          <w:sz w:val="24"/>
          <w:szCs w:val="24"/>
        </w:rPr>
        <w:t>OMPSQ</w:t>
      </w:r>
      <w:proofErr w:type="spellEnd"/>
      <w:r w:rsidRPr="4CB37362" w:rsidR="1F0C11F7">
        <w:rPr>
          <w:rFonts w:ascii="Calibri" w:hAnsi="Calibri" w:eastAsia="Calibri" w:cs="Calibri"/>
          <w:sz w:val="24"/>
          <w:szCs w:val="24"/>
        </w:rPr>
        <w:t>-SF</w:t>
      </w:r>
      <w:r w:rsidRPr="4CB37362" w:rsidR="11C41A1C">
        <w:rPr>
          <w:rFonts w:ascii="Calibri" w:hAnsi="Calibri" w:eastAsia="Calibri" w:cs="Calibri"/>
          <w:sz w:val="24"/>
          <w:szCs w:val="24"/>
        </w:rPr>
        <w:t xml:space="preserve"> </w:t>
      </w:r>
      <w:r w:rsidRPr="4CB37362">
        <w:rPr>
          <w:rFonts w:ascii="Calibri" w:hAnsi="Calibri" w:eastAsia="Calibri" w:cs="Calibri"/>
        </w:rPr>
        <w:fldChar w:fldCharType="begin"/>
      </w:r>
      <w:r w:rsidRPr="4CB37362">
        <w:rPr>
          <w:rFonts w:ascii="Calibri" w:hAnsi="Calibri" w:eastAsia="Calibri" w:cs="Calibri"/>
        </w:rPr>
        <w:instrText xml:space="preserve"> ADDIN ZOTERO_ITEM CSL_CITATION {"citationID":"DHQucIwS","properties":{"formattedCitation":"(Korogod et al., 2022)","plainCitation":"(Korogod et al., 2022)","noteIndex":0},"citationItems":[{"id":98,"uris":["http://zotero.org/users/8514361/items/2IKAB6C4"],"itemData":{"id":98,"type":"article-journal","abstract":"BACKGROUND: Prevention of chronic pain relies on accurate detection of at-risk patients. Screening tools have been validated mainly in (sub) acute spinal pain and the need of more generic tools is high. We assessed the validity of the French version of the short Örebro Musculoskeletal Pain Screening Questionnaire (ÖMPSQ) in patients with a large range of pain duration and localization.\nMETHODS: First, we re-analyzed data from a 6-month longitudinal study of 73 patients with (sub) acute spinal pain consulting in secondary line settings. Secondly, we performed a new 12-month longitudinal study of 542 primary care patients with (sub) acute and chronic pain in different localizations (spinal, limbs, \"non-musculoskeletal\"). The area under the receiver operating characteristic curve and cutoff scores were computed and compared for different subpopulations and ÖMPSQ subscores.\nRESULTS: Data from patients suffering from (sub) acute and chronic spinal pain consulting in both primary and secondary care settings confirmed the validity of the short French ÖMPSQ version and its subsets. In the primary care cohort, the performance of the questionnaire and its psychosocial subscore was variable but at least \"fair\" in most populations ((sub) acute and chronic, spinal and limb pain). Cutoff scores showed quite large variability depending on the outcome and the subpopulation considered.\nCONCLUSIONS: These results confirm the usefulness of the short French ÖMPSQ for prediction of the evolution of (sub) acute and chronic patients with spinal and limb pain, whatever its duration. However, increasing population heterogeneity results in slightly worse predictive performance and largely variable cutoff scores. Consequently, it might be difficult to choose universal cutoff scores and other criteria, such as patients' values and the available resources for patient management, should be taken into account.","container-title":"BMC musculoskeletal disorders","DOI":"10.1186/s12891-021-04944-9","ISSN":"1471-2474","issue":"1","journalAbbreviation":"BMC Musculoskelet Disord","language":"eng","note":"PMID: 35365109\nPMCID: PMC8976369","page":"311","source":"PubMed","title":"Can the French version of the short Örebro Musculoskeletal Pain Screening Questionnaire or its subsets predict the evolution of patients with acute, (sub) acute and chronic pain?","volume":"23","author":[{"family":"Korogod","given":"Natalya"},{"family":"Steyaert","given":"Arnaud"},{"family":"Nonclercq","given":"Olivier"},{"family":"Opsommer","given":"Emmanuelle"},{"family":"Berquin","given":"Anne"}],"issued":{"date-parts":[["2022",4,1]]}}}],"schema":"https://github.com/citation-style-language/schema/raw/master/csl-citation.json"} </w:instrText>
      </w:r>
      <w:r w:rsidRPr="4CB37362">
        <w:rPr>
          <w:rFonts w:ascii="Calibri" w:hAnsi="Calibri" w:eastAsia="Calibri" w:cs="Calibri"/>
        </w:rPr>
        <w:fldChar w:fldCharType="separate"/>
      </w:r>
      <w:r w:rsidRPr="4CB37362" w:rsidR="008425F7">
        <w:rPr>
          <w:rFonts w:ascii="Calibri" w:hAnsi="Calibri" w:cs="Calibri"/>
          <w:sz w:val="24"/>
          <w:szCs w:val="24"/>
        </w:rPr>
        <w:t>(Korogod et al., 2022)</w:t>
      </w:r>
      <w:r w:rsidRPr="4CB37362">
        <w:rPr>
          <w:rFonts w:ascii="Calibri" w:hAnsi="Calibri" w:eastAsia="Calibri" w:cs="Calibri"/>
        </w:rPr>
        <w:fldChar w:fldCharType="end"/>
      </w:r>
      <w:r w:rsidRPr="4CB37362" w:rsidR="24038969">
        <w:rPr>
          <w:rFonts w:ascii="Calibri" w:hAnsi="Calibri" w:eastAsia="Calibri" w:cs="Calibri"/>
          <w:sz w:val="24"/>
          <w:szCs w:val="24"/>
        </w:rPr>
        <w:t>:</w:t>
      </w:r>
      <w:r w:rsidRPr="4CB37362" w:rsidR="18365AC0">
        <w:rPr>
          <w:rFonts w:ascii="Calibri" w:hAnsi="Calibri" w:eastAsia="Calibri" w:cs="Calibri"/>
          <w:sz w:val="24"/>
          <w:szCs w:val="24"/>
        </w:rPr>
        <w:t xml:space="preserve"> low (</w:t>
      </w:r>
      <w:r w:rsidRPr="4CB37362" w:rsidR="4633090D">
        <w:rPr>
          <w:rFonts w:ascii="Calibri" w:hAnsi="Calibri" w:eastAsia="Calibri" w:cs="Calibri"/>
          <w:sz w:val="24"/>
          <w:szCs w:val="24"/>
        </w:rPr>
        <w:t>≤</w:t>
      </w:r>
      <w:r w:rsidRPr="4CB37362" w:rsidR="6DE2E722">
        <w:rPr>
          <w:rFonts w:ascii="Calibri" w:hAnsi="Calibri" w:eastAsia="Calibri" w:cs="Calibri"/>
          <w:sz w:val="24"/>
          <w:szCs w:val="24"/>
        </w:rPr>
        <w:t>3</w:t>
      </w:r>
      <w:r w:rsidRPr="4CB37362" w:rsidR="1D54AF7A">
        <w:rPr>
          <w:rFonts w:ascii="Calibri" w:hAnsi="Calibri" w:eastAsia="Calibri" w:cs="Calibri"/>
          <w:sz w:val="24"/>
          <w:szCs w:val="24"/>
        </w:rPr>
        <w:t>8</w:t>
      </w:r>
      <w:r w:rsidRPr="4CB37362" w:rsidR="6DE2E722">
        <w:rPr>
          <w:rFonts w:ascii="Calibri" w:hAnsi="Calibri" w:eastAsia="Calibri" w:cs="Calibri"/>
          <w:sz w:val="24"/>
          <w:szCs w:val="24"/>
        </w:rPr>
        <w:t>), medium (</w:t>
      </w:r>
      <w:r w:rsidRPr="4CB37362" w:rsidR="55EB78A0">
        <w:rPr>
          <w:rFonts w:ascii="Calibri" w:hAnsi="Calibri" w:eastAsia="Calibri" w:cs="Calibri"/>
          <w:sz w:val="24"/>
          <w:szCs w:val="24"/>
        </w:rPr>
        <w:t>39 to 49), and high (</w:t>
      </w:r>
      <w:r w:rsidRPr="4CB37362" w:rsidR="11824177">
        <w:rPr>
          <w:rFonts w:ascii="Calibri" w:hAnsi="Calibri" w:eastAsia="Calibri" w:cs="Calibri"/>
          <w:sz w:val="24"/>
          <w:szCs w:val="24"/>
        </w:rPr>
        <w:t>≥</w:t>
      </w:r>
      <w:r w:rsidRPr="4CB37362" w:rsidR="55EB78A0">
        <w:rPr>
          <w:rFonts w:ascii="Calibri" w:hAnsi="Calibri" w:eastAsia="Calibri" w:cs="Calibri"/>
          <w:sz w:val="24"/>
          <w:szCs w:val="24"/>
        </w:rPr>
        <w:t>50</w:t>
      </w:r>
      <w:r w:rsidRPr="4CB37362" w:rsidR="4E6A516B">
        <w:rPr>
          <w:rFonts w:ascii="Calibri" w:hAnsi="Calibri" w:eastAsia="Calibri" w:cs="Calibri"/>
          <w:sz w:val="24"/>
          <w:szCs w:val="24"/>
        </w:rPr>
        <w:t>).</w:t>
      </w:r>
      <w:r w:rsidRPr="4CB37362" w:rsidR="371EA1A7">
        <w:rPr>
          <w:rFonts w:ascii="Calibri" w:hAnsi="Calibri" w:eastAsia="Calibri" w:cs="Calibri"/>
          <w:sz w:val="24"/>
          <w:szCs w:val="24"/>
        </w:rPr>
        <w:t xml:space="preserve"> </w:t>
      </w:r>
      <w:r w:rsidRPr="4CB37362" w:rsidR="00C2236D">
        <w:rPr>
          <w:rFonts w:ascii="Calibri" w:hAnsi="Calibri" w:eastAsia="Calibri" w:cs="Calibri"/>
          <w:sz w:val="24"/>
          <w:szCs w:val="24"/>
        </w:rPr>
        <w:t>A</w:t>
      </w:r>
      <w:r w:rsidRPr="4CB37362" w:rsidR="1A9B71C1">
        <w:rPr>
          <w:rFonts w:ascii="Calibri" w:hAnsi="Calibri" w:eastAsia="Calibri" w:cs="Calibri"/>
          <w:sz w:val="24"/>
          <w:szCs w:val="24"/>
        </w:rPr>
        <w:t>nxiety or depressive disorder</w:t>
      </w:r>
      <w:r w:rsidRPr="4CB37362" w:rsidR="4EE47344">
        <w:rPr>
          <w:rFonts w:ascii="Calibri" w:hAnsi="Calibri" w:eastAsia="Calibri" w:cs="Calibri"/>
          <w:sz w:val="24"/>
          <w:szCs w:val="24"/>
        </w:rPr>
        <w:t>s were define</w:t>
      </w:r>
      <w:r w:rsidRPr="4CB37362" w:rsidR="4EE47344">
        <w:rPr>
          <w:rFonts w:eastAsiaTheme="minorEastAsia"/>
          <w:sz w:val="24"/>
          <w:szCs w:val="24"/>
        </w:rPr>
        <w:t xml:space="preserve">d as </w:t>
      </w:r>
      <w:r w:rsidRPr="4CB37362" w:rsidR="001A19EB">
        <w:rPr>
          <w:rFonts w:eastAsiaTheme="minorEastAsia"/>
          <w:sz w:val="24"/>
          <w:szCs w:val="24"/>
        </w:rPr>
        <w:t xml:space="preserve">probable for </w:t>
      </w:r>
      <w:proofErr w:type="spellStart"/>
      <w:r w:rsidRPr="4CB37362" w:rsidR="4EE47344">
        <w:rPr>
          <w:rFonts w:eastAsiaTheme="minorEastAsia"/>
          <w:sz w:val="24"/>
          <w:szCs w:val="24"/>
        </w:rPr>
        <w:t>HADS</w:t>
      </w:r>
      <w:proofErr w:type="spellEnd"/>
      <w:r w:rsidRPr="4CB37362" w:rsidR="4EE47344">
        <w:rPr>
          <w:rFonts w:eastAsiaTheme="minorEastAsia"/>
          <w:sz w:val="24"/>
          <w:szCs w:val="24"/>
        </w:rPr>
        <w:t xml:space="preserve"> scores ≥ 11</w:t>
      </w:r>
      <w:r w:rsidRPr="4CB37362" w:rsidR="007F04E2">
        <w:rPr>
          <w:rFonts w:eastAsiaTheme="minorEastAsia"/>
          <w:sz w:val="24"/>
          <w:szCs w:val="24"/>
        </w:rPr>
        <w:t xml:space="preserve">, potential as ≥ </w:t>
      </w:r>
      <w:r w:rsidRPr="4CB37362" w:rsidR="00956044">
        <w:rPr>
          <w:rFonts w:eastAsiaTheme="minorEastAsia"/>
          <w:sz w:val="24"/>
          <w:szCs w:val="24"/>
        </w:rPr>
        <w:t>8</w:t>
      </w:r>
      <w:r w:rsidRPr="4CB37362" w:rsidR="00525797">
        <w:rPr>
          <w:rFonts w:ascii="Calibri" w:hAnsi="Calibri" w:eastAsia="Calibri" w:cs="Calibri"/>
          <w:color w:val="FF0000"/>
          <w:sz w:val="24"/>
          <w:szCs w:val="24"/>
        </w:rPr>
        <w:t xml:space="preserve"> </w:t>
      </w:r>
      <w:r w:rsidRPr="4CB37362">
        <w:rPr>
          <w:rFonts w:ascii="Calibri" w:hAnsi="Calibri" w:eastAsia="Calibri" w:cs="Calibri"/>
          <w:color w:val="FF0000"/>
          <w:sz w:val="24"/>
          <w:szCs w:val="24"/>
        </w:rPr>
        <w:fldChar w:fldCharType="begin"/>
      </w:r>
      <w:r w:rsidRPr="4CB37362">
        <w:rPr>
          <w:rFonts w:ascii="Calibri" w:hAnsi="Calibri" w:eastAsia="Calibri" w:cs="Calibri"/>
          <w:color w:val="FF0000"/>
          <w:sz w:val="24"/>
          <w:szCs w:val="24"/>
        </w:rPr>
        <w:instrText xml:space="preserve"> ADDIN ZOTERO_ITEM CSL_CITATION {"citationID":"PbGzyWTJ","properties":{"formattedCitation":"(Herrmann, 1997)","plainCitation":"(Herrmann, 1997)","noteIndex":0},"citationItems":[{"id":286,"uris":["http://zotero.org/users/8514361/items/93U45ZMB"],"itemData":{"id":286,"type":"article-journal","abstract":"More than 200 published studies from most medical settings worldwide have reported experiences with the Hospital Anxiety and Depression Scale (HADS) which was specifically developed by Zigmond and Snaith for use with physically ill patients. Although introduced in 1983, there is still no comprehensive documentation of its psychometric properties. The present review summarizes available data on reliability and validity and gives an overview of clinical studies conducted with this instrument and their most important findings. The HADS gives clinically meaningful results as a psychological screening tool, in clinical group comparisons and in correlational studies with several aspects of disease and quality of life. It is sensitive to changes both during the course of diseases and in response to psychotherapeutic and psychopharmacological intervention. Finally, HADS scores predict psychosocial and possibly also physical outcome.","container-title":"Journal of Psychosomatic Research","DOI":"10.1016/s0022-3999(96)00216-4","ISSN":"0022-3999","issue":"1","journalAbbreviation":"J Psychosom Res","language":"eng","note":"PMID: 9055211","page":"17-41","source":"PubMed","title":"International experiences with the Hospital Anxiety and Depression Scale--a review of validation data and clinical results","volume":"42","author":[{"family":"Herrmann","given":"C."}],"issued":{"date-parts":[["1997",1]]}}}],"schema":"https://github.com/citation-style-language/schema/raw/master/csl-citation.json"} </w:instrText>
      </w:r>
      <w:r w:rsidRPr="4CB37362">
        <w:rPr>
          <w:rFonts w:ascii="Calibri" w:hAnsi="Calibri" w:eastAsia="Calibri" w:cs="Calibri"/>
          <w:color w:val="FF0000"/>
          <w:sz w:val="24"/>
          <w:szCs w:val="24"/>
        </w:rPr>
        <w:fldChar w:fldCharType="separate"/>
      </w:r>
      <w:r w:rsidRPr="4CB37362" w:rsidR="00525797">
        <w:rPr>
          <w:rFonts w:ascii="Calibri" w:hAnsi="Calibri" w:cs="Calibri"/>
          <w:sz w:val="24"/>
          <w:szCs w:val="24"/>
        </w:rPr>
        <w:t>(Herrmann, 1997)</w:t>
      </w:r>
      <w:r w:rsidRPr="4CB37362">
        <w:rPr>
          <w:rFonts w:ascii="Calibri" w:hAnsi="Calibri" w:eastAsia="Calibri" w:cs="Calibri"/>
          <w:color w:val="FF0000"/>
          <w:sz w:val="24"/>
          <w:szCs w:val="24"/>
        </w:rPr>
        <w:fldChar w:fldCharType="end"/>
      </w:r>
      <w:r w:rsidRPr="4CB37362" w:rsidR="001A19EB">
        <w:rPr>
          <w:rFonts w:ascii="Calibri" w:hAnsi="Calibri" w:eastAsia="Calibri" w:cs="Calibri"/>
          <w:color w:val="FF0000"/>
          <w:sz w:val="24"/>
          <w:szCs w:val="24"/>
        </w:rPr>
        <w:t xml:space="preserve"> </w:t>
      </w:r>
      <w:r w:rsidRPr="4CB37362" w:rsidR="001A19EB">
        <w:rPr>
          <w:rFonts w:eastAsiaTheme="minorEastAsia"/>
          <w:sz w:val="24"/>
          <w:szCs w:val="24"/>
        </w:rPr>
        <w:t>or absent if &lt;8</w:t>
      </w:r>
      <w:r w:rsidRPr="4CB37362" w:rsidR="4EE47344">
        <w:rPr>
          <w:rFonts w:eastAsiaTheme="minorEastAsia"/>
          <w:sz w:val="24"/>
          <w:szCs w:val="24"/>
        </w:rPr>
        <w:t xml:space="preserve">. </w:t>
      </w:r>
      <w:r w:rsidRPr="4CB37362" w:rsidR="371EA1A7">
        <w:rPr>
          <w:rFonts w:eastAsiaTheme="minorEastAsia"/>
          <w:sz w:val="24"/>
          <w:szCs w:val="24"/>
        </w:rPr>
        <w:t xml:space="preserve">Coping </w:t>
      </w:r>
      <w:r w:rsidRPr="4CB37362" w:rsidR="5DFB5098">
        <w:rPr>
          <w:rFonts w:eastAsiaTheme="minorEastAsia"/>
          <w:sz w:val="24"/>
          <w:szCs w:val="24"/>
        </w:rPr>
        <w:t>d</w:t>
      </w:r>
      <w:r w:rsidRPr="4CB37362" w:rsidR="5DFB5098">
        <w:rPr>
          <w:rFonts w:ascii="Calibri" w:hAnsi="Calibri" w:eastAsia="Calibri" w:cs="Calibri"/>
          <w:sz w:val="24"/>
          <w:szCs w:val="24"/>
        </w:rPr>
        <w:t xml:space="preserve">imension </w:t>
      </w:r>
      <w:r w:rsidRPr="4CB37362" w:rsidR="45216C00">
        <w:rPr>
          <w:rFonts w:ascii="Calibri" w:hAnsi="Calibri" w:eastAsia="Calibri" w:cs="Calibri"/>
          <w:sz w:val="24"/>
          <w:szCs w:val="24"/>
        </w:rPr>
        <w:t xml:space="preserve">scores </w:t>
      </w:r>
      <w:r w:rsidRPr="4CB37362" w:rsidR="5DFB5098">
        <w:rPr>
          <w:rFonts w:ascii="Calibri" w:hAnsi="Calibri" w:eastAsia="Calibri" w:cs="Calibri"/>
          <w:sz w:val="24"/>
          <w:szCs w:val="24"/>
        </w:rPr>
        <w:t>were computed as the mean score of the items</w:t>
      </w:r>
      <w:r w:rsidRPr="4CB37362" w:rsidR="45216C00">
        <w:rPr>
          <w:rFonts w:ascii="Calibri" w:hAnsi="Calibri" w:eastAsia="Calibri" w:cs="Calibri"/>
          <w:sz w:val="24"/>
          <w:szCs w:val="24"/>
        </w:rPr>
        <w:t xml:space="preserve"> related to each dimension</w:t>
      </w:r>
      <w:r w:rsidRPr="4CB37362" w:rsidR="5DFB5098">
        <w:rPr>
          <w:rFonts w:ascii="Calibri" w:hAnsi="Calibri" w:eastAsia="Calibri" w:cs="Calibri"/>
          <w:color w:val="FF0000"/>
          <w:sz w:val="24"/>
          <w:szCs w:val="24"/>
        </w:rPr>
        <w:t xml:space="preserve"> </w:t>
      </w:r>
      <w:r w:rsidRPr="4CB37362" w:rsidR="76267133">
        <w:rPr>
          <w:rFonts w:ascii="Calibri" w:hAnsi="Calibri" w:eastAsia="Calibri" w:cs="Calibri"/>
          <w:sz w:val="24"/>
          <w:szCs w:val="24"/>
        </w:rPr>
        <w:t xml:space="preserve">(1: </w:t>
      </w:r>
      <w:r w:rsidRPr="4CB37362" w:rsidR="2E1959C6">
        <w:rPr>
          <w:rFonts w:ascii="Calibri" w:hAnsi="Calibri" w:eastAsia="Calibri" w:cs="Calibri"/>
          <w:sz w:val="24"/>
          <w:szCs w:val="24"/>
        </w:rPr>
        <w:t xml:space="preserve">never, </w:t>
      </w:r>
      <w:r w:rsidRPr="4CB37362" w:rsidR="76267133">
        <w:rPr>
          <w:rFonts w:ascii="Calibri" w:hAnsi="Calibri" w:eastAsia="Calibri" w:cs="Calibri"/>
          <w:sz w:val="24"/>
          <w:szCs w:val="24"/>
        </w:rPr>
        <w:t xml:space="preserve">to 4: </w:t>
      </w:r>
      <w:r w:rsidRPr="4CB37362" w:rsidR="1CC5C582">
        <w:rPr>
          <w:rFonts w:ascii="Calibri" w:hAnsi="Calibri" w:eastAsia="Calibri" w:cs="Calibri"/>
          <w:sz w:val="24"/>
          <w:szCs w:val="24"/>
        </w:rPr>
        <w:t>very often)</w:t>
      </w:r>
      <w:r w:rsidRPr="4CB37362" w:rsidR="699BD1CA">
        <w:rPr>
          <w:rFonts w:ascii="Calibri" w:hAnsi="Calibri" w:eastAsia="Calibri" w:cs="Calibri"/>
          <w:sz w:val="24"/>
          <w:szCs w:val="24"/>
        </w:rPr>
        <w:t xml:space="preserve"> </w:t>
      </w:r>
      <w:r w:rsidRPr="4CB37362">
        <w:rPr>
          <w:rFonts w:ascii="Calibri" w:hAnsi="Calibri" w:eastAsia="Calibri" w:cs="Calibri"/>
        </w:rPr>
        <w:fldChar w:fldCharType="begin"/>
      </w:r>
      <w:r w:rsidRPr="4CB37362">
        <w:rPr>
          <w:rFonts w:ascii="Calibri" w:hAnsi="Calibri" w:eastAsia="Calibri" w:cs="Calibri"/>
        </w:rPr>
        <w:instrText xml:space="preserve"> ADDIN ZOTERO_ITEM CSL_CITATION {"citationID":"qow6Dixn","properties":{"formattedCitation":"(Irachabal et al., 2008)","plainCitation":"(Irachabal et al., 2008)","noteIndex":0},"citationItems":[{"id":"jyRXZ8R7/fguACZVF","uris":["http://zotero.org/users/local/Ka6XGoFg/items/SCZY4TIS"],"itemData":{"id":37,"type":"article-journal","abstract":"BACKGROUND: Many studies have shown that the strategies used to cope with chronic pain play a very important role in the adjustment to the pathology and to its effects (emotional distress, physical and psychosocial impairment, and quality of life). Among the methods assessing coping with pain, the most widely used instrument at present is the coping strategies questionnaire (CSQ) developed by Rosenstiel and Keefe, [Pain 17 (1983) 33-44]. This questionnaire is composed of 48 items distributed in eight subscales each including six items: diverting attention, reinterpreting pain sensations, coping self-statements, ignoring pain sensations, praying and hoping, catastrophizing, increasing activity level, and increasing pain behaviour. Most studies examining the factor structure of the CSQ have used the scores of its eight prior theoretically derived scales rather than the 48 items. Three studies, Tuttle et al. [Rehab Psychol 36 (1991) 179-187], Swartzmann et al. [Pain 54 (1994) 311-316; Robinson et al. [Clin J Pain 13 (1997) 43-49] have examined the factor structure of the CSQ from the 48 original items on the questionnaire and have yielded five or six factors. A structural confirmatory analysis showed the superiority of the six-factor model [Clin J Pain 13 (1997) 156-162]: distraction, catastrophizing, ignoring pain sensations, distancing from pain, coping self-statements and praying. The present study aimed at measuring the internal consistency and the construct validity of the French version of the CSQ.\nMETHOD: The CSQ was translated into French with the forward and backward translation procedure. To evaluate internal consistency, Cronbach's alphas were computed. Construct validity of the questionnaire was estimated through confirmatory factor analysis (CFA) in a sample of 330 chronic pain patients (71% of women): 40.3% suffered from low back pain, 33.6% from headaches and 26.1% from neuropathic pain. The three factor structures previously proposed in the literature were tested using the LISREL 8.3 structural equation-modelling program developed by Jöreskog and Sörbom, [Lisrel 8: user's reference guide, Chicago: Scientific Software International, 1993].\nRESULTS: The CFA performed on the three models of factor structures of the CSQ previously reported confirms the best fit of the six-factor model by Robinson et al. [Clin J Pain 13 (1997) 43-49] in our sample. However, the coping self-statements factor, whose internal consistency was too weak in our analysis (Cronbach's alpha=0.57), was eliminated. We therefore retained only five factors in our sample. The French version of the CSQ (CSQ-F) is composed of 21 items belonging to five factors: distraction, catastrophizing, ignoring pain sensations, reinterpreting pain sensations, and praying.\nCONCLUSIONS: The present study indicates that the internal consistency and the construct validity of the French version of the CSQ were adequate, and contributes to demonstrate the stability of the factor structure of the CSQ across samples. The 21-item French adaptation of the CSQ (CSQ-F) appears to be a very interesting tool because it facilitates the use of this questionnaire, not only for research but also in the clinical assessment of the patients suffering from chronic pain.","container-title":"L'Encephale","DOI":"10.1016/j.encep.2006.11.002","ISSN":"0013-7006","issue":"1","journalAbbreviation":"Encephale","language":"fre","note":"PMID: 18514150","page":"47-53","source":"PubMed","title":"[Pain coping strategies: French adaptation of the coping strategies questionnaire (CSQ-F)]","title-short":"[Pain coping strategies","volume":"34","author":[{"family":"Irachabal","given":"S."},{"family":"Koleck","given":"M."},{"family":"Rascle","given":"N."},{"family":"Bruchon-Schweitzer","given":"M."}],"issued":{"date-parts":[["2008",1]]}}}],"schema":"https://github.com/citation-style-language/schema/raw/master/csl-citation.json"} </w:instrText>
      </w:r>
      <w:r w:rsidRPr="4CB37362">
        <w:rPr>
          <w:rFonts w:ascii="Calibri" w:hAnsi="Calibri" w:eastAsia="Calibri" w:cs="Calibri"/>
        </w:rPr>
        <w:fldChar w:fldCharType="separate"/>
      </w:r>
      <w:r w:rsidRPr="4CB37362" w:rsidR="008425F7">
        <w:rPr>
          <w:rFonts w:ascii="Calibri" w:hAnsi="Calibri" w:cs="Calibri"/>
          <w:sz w:val="24"/>
          <w:szCs w:val="24"/>
        </w:rPr>
        <w:t>(Irachabal et al., 2008)</w:t>
      </w:r>
      <w:r w:rsidRPr="4CB37362">
        <w:rPr>
          <w:rFonts w:ascii="Calibri" w:hAnsi="Calibri" w:eastAsia="Calibri" w:cs="Calibri"/>
        </w:rPr>
        <w:fldChar w:fldCharType="end"/>
      </w:r>
      <w:r w:rsidRPr="4CB37362" w:rsidR="5DFB5098">
        <w:rPr>
          <w:rFonts w:ascii="Calibri" w:hAnsi="Calibri" w:eastAsia="Calibri" w:cs="Calibri"/>
          <w:sz w:val="24"/>
          <w:szCs w:val="24"/>
        </w:rPr>
        <w:t>.</w:t>
      </w:r>
      <w:r w:rsidRPr="4CB37362" w:rsidR="4E6A516B">
        <w:rPr>
          <w:rFonts w:ascii="Calibri" w:hAnsi="Calibri" w:eastAsia="Calibri" w:cs="Calibri"/>
          <w:sz w:val="24"/>
          <w:szCs w:val="24"/>
        </w:rPr>
        <w:t xml:space="preserve"> </w:t>
      </w:r>
      <w:r w:rsidRPr="4CB37362" w:rsidR="5A83C2B0">
        <w:rPr>
          <w:rFonts w:ascii="Calibri" w:hAnsi="Calibri" w:eastAsia="Calibri" w:cs="Calibri"/>
          <w:sz w:val="24"/>
          <w:szCs w:val="24"/>
        </w:rPr>
        <w:t>Availability</w:t>
      </w:r>
      <w:r w:rsidRPr="4CB37362" w:rsidR="4BD9F7F0">
        <w:rPr>
          <w:rFonts w:ascii="Calibri" w:hAnsi="Calibri" w:eastAsia="Calibri" w:cs="Calibri"/>
          <w:sz w:val="24"/>
          <w:szCs w:val="24"/>
        </w:rPr>
        <w:t xml:space="preserve"> </w:t>
      </w:r>
      <w:r w:rsidRPr="4CB37362" w:rsidR="20472309">
        <w:rPr>
          <w:rFonts w:ascii="Calibri" w:hAnsi="Calibri" w:eastAsia="Calibri" w:cs="Calibri"/>
          <w:sz w:val="24"/>
          <w:szCs w:val="24"/>
        </w:rPr>
        <w:t>dimension of the SSQ6</w:t>
      </w:r>
      <w:r w:rsidRPr="4CB37362" w:rsidR="33C05487">
        <w:rPr>
          <w:rFonts w:ascii="Calibri" w:hAnsi="Calibri" w:eastAsia="Calibri" w:cs="Calibri"/>
          <w:sz w:val="24"/>
          <w:szCs w:val="24"/>
        </w:rPr>
        <w:t xml:space="preserve"> </w:t>
      </w:r>
      <w:r w:rsidRPr="4CB37362" w:rsidR="6B87B2C4">
        <w:rPr>
          <w:rFonts w:ascii="Calibri" w:hAnsi="Calibri" w:eastAsia="Calibri" w:cs="Calibri"/>
          <w:sz w:val="24"/>
          <w:szCs w:val="24"/>
        </w:rPr>
        <w:t>was</w:t>
      </w:r>
      <w:r w:rsidRPr="4CB37362" w:rsidR="33C05487">
        <w:rPr>
          <w:rFonts w:ascii="Calibri" w:hAnsi="Calibri" w:eastAsia="Calibri" w:cs="Calibri"/>
          <w:sz w:val="24"/>
          <w:szCs w:val="24"/>
        </w:rPr>
        <w:t xml:space="preserve"> computed as</w:t>
      </w:r>
      <w:r w:rsidRPr="4CB37362" w:rsidR="6B87B2C4">
        <w:rPr>
          <w:rFonts w:ascii="Calibri" w:hAnsi="Calibri" w:eastAsia="Calibri" w:cs="Calibri"/>
          <w:sz w:val="24"/>
          <w:szCs w:val="24"/>
        </w:rPr>
        <w:t xml:space="preserve"> the </w:t>
      </w:r>
      <w:r w:rsidRPr="4CB37362" w:rsidR="5A83C2B0">
        <w:rPr>
          <w:rFonts w:ascii="Calibri" w:hAnsi="Calibri" w:eastAsia="Calibri" w:cs="Calibri"/>
          <w:sz w:val="24"/>
          <w:szCs w:val="24"/>
        </w:rPr>
        <w:t xml:space="preserve">sums </w:t>
      </w:r>
      <w:r w:rsidRPr="4CB37362" w:rsidR="6B87B2C4">
        <w:rPr>
          <w:rFonts w:ascii="Calibri" w:hAnsi="Calibri" w:eastAsia="Calibri" w:cs="Calibri"/>
          <w:sz w:val="24"/>
          <w:szCs w:val="24"/>
        </w:rPr>
        <w:t xml:space="preserve">of the number of available </w:t>
      </w:r>
      <w:r w:rsidRPr="4CB37362" w:rsidR="105B8BE0">
        <w:rPr>
          <w:rFonts w:ascii="Calibri" w:hAnsi="Calibri" w:eastAsia="Calibri" w:cs="Calibri"/>
          <w:sz w:val="24"/>
          <w:szCs w:val="24"/>
        </w:rPr>
        <w:t xml:space="preserve">persons by items (0 to 9). The </w:t>
      </w:r>
      <w:r w:rsidRPr="4CB37362" w:rsidR="01E02E99">
        <w:rPr>
          <w:rFonts w:ascii="Calibri" w:hAnsi="Calibri" w:eastAsia="Calibri" w:cs="Calibri"/>
          <w:sz w:val="24"/>
          <w:szCs w:val="24"/>
        </w:rPr>
        <w:t xml:space="preserve">satisfaction </w:t>
      </w:r>
      <w:r w:rsidRPr="4CB37362" w:rsidR="20472309">
        <w:rPr>
          <w:rFonts w:ascii="Calibri" w:hAnsi="Calibri" w:eastAsia="Calibri" w:cs="Calibri"/>
          <w:sz w:val="24"/>
          <w:szCs w:val="24"/>
        </w:rPr>
        <w:t>dimension</w:t>
      </w:r>
      <w:r w:rsidRPr="4CB37362" w:rsidR="33C05487">
        <w:rPr>
          <w:rFonts w:ascii="Calibri" w:hAnsi="Calibri" w:eastAsia="Calibri" w:cs="Calibri"/>
          <w:sz w:val="24"/>
          <w:szCs w:val="24"/>
        </w:rPr>
        <w:t xml:space="preserve"> </w:t>
      </w:r>
      <w:r w:rsidRPr="4CB37362" w:rsidR="01E02E99">
        <w:rPr>
          <w:rFonts w:ascii="Calibri" w:hAnsi="Calibri" w:eastAsia="Calibri" w:cs="Calibri"/>
          <w:sz w:val="24"/>
          <w:szCs w:val="24"/>
        </w:rPr>
        <w:t xml:space="preserve">was the </w:t>
      </w:r>
      <w:r w:rsidRPr="4CB37362" w:rsidR="76244A02">
        <w:rPr>
          <w:rFonts w:ascii="Calibri" w:hAnsi="Calibri" w:eastAsia="Calibri" w:cs="Calibri"/>
          <w:sz w:val="24"/>
          <w:szCs w:val="24"/>
        </w:rPr>
        <w:t>sums of</w:t>
      </w:r>
      <w:r w:rsidRPr="4CB37362" w:rsidR="01E02E99">
        <w:rPr>
          <w:rFonts w:ascii="Calibri" w:hAnsi="Calibri" w:eastAsia="Calibri" w:cs="Calibri"/>
          <w:sz w:val="24"/>
          <w:szCs w:val="24"/>
        </w:rPr>
        <w:t xml:space="preserve"> </w:t>
      </w:r>
      <w:r w:rsidRPr="4CB37362" w:rsidR="3E29F58B">
        <w:rPr>
          <w:rFonts w:ascii="Calibri" w:hAnsi="Calibri" w:eastAsia="Calibri" w:cs="Calibri"/>
          <w:sz w:val="24"/>
          <w:szCs w:val="24"/>
        </w:rPr>
        <w:t xml:space="preserve">satisfaction </w:t>
      </w:r>
      <w:r w:rsidRPr="4CB37362" w:rsidR="699BD1CA">
        <w:rPr>
          <w:rFonts w:ascii="Calibri" w:hAnsi="Calibri" w:eastAsia="Calibri" w:cs="Calibri"/>
          <w:sz w:val="24"/>
          <w:szCs w:val="24"/>
        </w:rPr>
        <w:t>score</w:t>
      </w:r>
      <w:r w:rsidRPr="4CB37362" w:rsidR="01E02E99">
        <w:rPr>
          <w:rFonts w:ascii="Calibri" w:hAnsi="Calibri" w:eastAsia="Calibri" w:cs="Calibri"/>
          <w:sz w:val="24"/>
          <w:szCs w:val="24"/>
        </w:rPr>
        <w:t xml:space="preserve"> for each item</w:t>
      </w:r>
      <w:r w:rsidRPr="4CB37362" w:rsidR="3E29F58B">
        <w:rPr>
          <w:rFonts w:ascii="Calibri" w:hAnsi="Calibri" w:eastAsia="Calibri" w:cs="Calibri"/>
          <w:sz w:val="24"/>
          <w:szCs w:val="24"/>
        </w:rPr>
        <w:t xml:space="preserve"> (0</w:t>
      </w:r>
      <w:r w:rsidRPr="4CB37362" w:rsidR="5A83C2B0">
        <w:rPr>
          <w:rFonts w:ascii="Calibri" w:hAnsi="Calibri" w:eastAsia="Calibri" w:cs="Calibri"/>
          <w:sz w:val="24"/>
          <w:szCs w:val="24"/>
        </w:rPr>
        <w:t xml:space="preserve">: </w:t>
      </w:r>
      <w:r w:rsidRPr="4CB37362" w:rsidR="76244A02">
        <w:rPr>
          <w:rFonts w:ascii="Calibri" w:hAnsi="Calibri" w:eastAsia="Calibri" w:cs="Calibri"/>
          <w:sz w:val="24"/>
          <w:szCs w:val="24"/>
        </w:rPr>
        <w:t>very</w:t>
      </w:r>
      <w:r w:rsidRPr="4CB37362" w:rsidR="5A83C2B0">
        <w:rPr>
          <w:rFonts w:ascii="Calibri" w:hAnsi="Calibri" w:eastAsia="Calibri" w:cs="Calibri"/>
          <w:sz w:val="24"/>
          <w:szCs w:val="24"/>
        </w:rPr>
        <w:t xml:space="preserve"> </w:t>
      </w:r>
      <w:r w:rsidRPr="4CB37362" w:rsidR="76244A02">
        <w:rPr>
          <w:rFonts w:ascii="Calibri" w:hAnsi="Calibri" w:eastAsia="Calibri" w:cs="Calibri"/>
          <w:sz w:val="24"/>
          <w:szCs w:val="24"/>
        </w:rPr>
        <w:t>unsatisfied</w:t>
      </w:r>
      <w:r w:rsidRPr="4CB37362" w:rsidR="5A83C2B0">
        <w:rPr>
          <w:rFonts w:ascii="Calibri" w:hAnsi="Calibri" w:eastAsia="Calibri" w:cs="Calibri"/>
          <w:sz w:val="24"/>
          <w:szCs w:val="24"/>
        </w:rPr>
        <w:t xml:space="preserve">; 6: </w:t>
      </w:r>
      <w:r w:rsidRPr="4CB37362" w:rsidR="76244A02">
        <w:rPr>
          <w:rFonts w:ascii="Calibri" w:hAnsi="Calibri" w:eastAsia="Calibri" w:cs="Calibri"/>
          <w:sz w:val="24"/>
          <w:szCs w:val="24"/>
        </w:rPr>
        <w:t>very</w:t>
      </w:r>
      <w:r w:rsidRPr="4CB37362" w:rsidR="5A83C2B0">
        <w:rPr>
          <w:rFonts w:ascii="Calibri" w:hAnsi="Calibri" w:eastAsia="Calibri" w:cs="Calibri"/>
          <w:sz w:val="24"/>
          <w:szCs w:val="24"/>
        </w:rPr>
        <w:t xml:space="preserve"> </w:t>
      </w:r>
      <w:r w:rsidRPr="4CB37362" w:rsidR="76244A02">
        <w:rPr>
          <w:rFonts w:ascii="Calibri" w:hAnsi="Calibri" w:eastAsia="Calibri" w:cs="Calibri"/>
          <w:sz w:val="24"/>
          <w:szCs w:val="24"/>
        </w:rPr>
        <w:t>satisfied</w:t>
      </w:r>
      <w:r w:rsidRPr="4CB37362" w:rsidR="5A83C2B0">
        <w:rPr>
          <w:rFonts w:ascii="Calibri" w:hAnsi="Calibri" w:eastAsia="Calibri" w:cs="Calibri"/>
          <w:sz w:val="24"/>
          <w:szCs w:val="24"/>
        </w:rPr>
        <w:t>)</w:t>
      </w:r>
      <w:r w:rsidRPr="4CB37362" w:rsidR="031BF4EB">
        <w:rPr>
          <w:rFonts w:ascii="Calibri" w:hAnsi="Calibri" w:eastAsia="Calibri" w:cs="Calibri"/>
          <w:sz w:val="24"/>
          <w:szCs w:val="24"/>
        </w:rPr>
        <w:t xml:space="preserve"> </w:t>
      </w:r>
      <w:r w:rsidRPr="4CB37362">
        <w:rPr>
          <w:rFonts w:ascii="Calibri" w:hAnsi="Calibri" w:eastAsia="Calibri" w:cs="Calibri"/>
        </w:rPr>
        <w:fldChar w:fldCharType="begin"/>
      </w:r>
      <w:r w:rsidRPr="4CB37362">
        <w:rPr>
          <w:rFonts w:ascii="Calibri" w:hAnsi="Calibri" w:eastAsia="Calibri" w:cs="Calibri"/>
        </w:rPr>
        <w:instrText xml:space="preserve"> ADDIN ZOTERO_ITEM CSL_CITATION {"citationID":"Q9bGamAG","properties":{"formattedCitation":"(Rascle et al., 2005)","plainCitation":"(Rascle et al., 2005)","noteIndex":0},"citationItems":[{"id":"jyRXZ8R7/WEKsEUG9","uris":["http://zotero.org/users/local/Ka6XGoFg/items/QFK6LSXG"],"itemData":{"id":33,"type":"article-journal","abstract":"The original short form of Sarason's Social Support Questionnaire measures two dimensions of social support, availability and satisfaction. The factorial structure of the social support was assessed in a French sample along with the association between the dimensions of social support and personality traits such as Extraversion, Neuroticism, and Depression. A 6-item French version was administered to 648 subjects: 348 university freshmen (228 females, 120 males) and 304 unemployed men. A principal component analysis followed by oblique rotations was undertaken on each sample. This yielded two factors, Availability and Satisfaction. These results sustained the stability of the factorial structure from one culture to another. Validity and reliability were satisfactory. Moreover, these two dimensions were correlated with two personality scales (high extraversion, low depression). Such results agree with previous results establishing relations between social support and salutogenic dimensions of personality.","container-title":"Psychological Reports","DOI":"10.2466/pr0.97.1.195-202","ISSN":"0033-2941","issue":"1","journalAbbreviation":"Psychol Rep","language":"en","note":"publisher: SAGE Publications Inc","page":"195-202","source":"SAGE Journals","title":"Short Form of Sarason's Social Support Questionnaire: French Adaptation and Validation","title-short":"Short Form of Sarason's Social Support Questionnaire","volume":"97","author":[{"family":"Rascle","given":"Nicole"},{"family":"Bruchon-Schweitzer","given":"Marilou"},{"family":"Sarason","given":"Irwin G."}],"issued":{"date-parts":[["2005",8,1]]}}}],"schema":"https://github.com/citation-style-language/schema/raw/master/csl-citation.json"} </w:instrText>
      </w:r>
      <w:r w:rsidRPr="4CB37362">
        <w:rPr>
          <w:rFonts w:ascii="Calibri" w:hAnsi="Calibri" w:eastAsia="Calibri" w:cs="Calibri"/>
        </w:rPr>
        <w:fldChar w:fldCharType="separate"/>
      </w:r>
      <w:r w:rsidRPr="4CB37362" w:rsidR="008425F7">
        <w:rPr>
          <w:rFonts w:ascii="Calibri" w:hAnsi="Calibri" w:cs="Calibri"/>
          <w:sz w:val="24"/>
          <w:szCs w:val="24"/>
        </w:rPr>
        <w:t>(Rascle et al., 2005)</w:t>
      </w:r>
      <w:r w:rsidRPr="4CB37362">
        <w:rPr>
          <w:rFonts w:ascii="Calibri" w:hAnsi="Calibri" w:eastAsia="Calibri" w:cs="Calibri"/>
        </w:rPr>
        <w:fldChar w:fldCharType="end"/>
      </w:r>
      <w:r w:rsidRPr="4CB37362" w:rsidR="5A83C2B0">
        <w:rPr>
          <w:rFonts w:ascii="Calibri" w:hAnsi="Calibri" w:eastAsia="Calibri" w:cs="Calibri"/>
          <w:sz w:val="24"/>
          <w:szCs w:val="24"/>
        </w:rPr>
        <w:t>.</w:t>
      </w:r>
      <w:r w:rsidRPr="4CB37362" w:rsidR="0054608F">
        <w:rPr>
          <w:rFonts w:ascii="Calibri" w:hAnsi="Calibri" w:eastAsia="Calibri" w:cs="Calibri"/>
          <w:sz w:val="24"/>
          <w:szCs w:val="24"/>
        </w:rPr>
        <w:t xml:space="preserve"> </w:t>
      </w:r>
      <w:r w:rsidRPr="4CB37362" w:rsidR="00531FE3">
        <w:rPr>
          <w:rFonts w:ascii="Calibri" w:hAnsi="Calibri" w:eastAsia="Calibri" w:cs="Calibri"/>
          <w:color w:val="FF0000"/>
          <w:sz w:val="24"/>
          <w:szCs w:val="24"/>
        </w:rPr>
        <w:t xml:space="preserve">Pain sensitivity </w:t>
      </w:r>
      <w:r w:rsidRPr="4CB37362" w:rsidR="00194510">
        <w:rPr>
          <w:rFonts w:ascii="Calibri" w:hAnsi="Calibri" w:eastAsia="Calibri" w:cs="Calibri"/>
          <w:color w:val="FF0000"/>
          <w:sz w:val="24"/>
          <w:szCs w:val="24"/>
        </w:rPr>
        <w:t xml:space="preserve">score was </w:t>
      </w:r>
      <w:r w:rsidRPr="4CB37362" w:rsidR="004017A1">
        <w:rPr>
          <w:rFonts w:ascii="Calibri" w:hAnsi="Calibri" w:eastAsia="Calibri" w:cs="Calibri"/>
          <w:color w:val="FF0000"/>
          <w:sz w:val="24"/>
          <w:szCs w:val="24"/>
        </w:rPr>
        <w:t>calculated</w:t>
      </w:r>
      <w:r w:rsidRPr="4CB37362" w:rsidR="00194510">
        <w:rPr>
          <w:rFonts w:ascii="Calibri" w:hAnsi="Calibri" w:eastAsia="Calibri" w:cs="Calibri"/>
          <w:color w:val="FF0000"/>
          <w:sz w:val="24"/>
          <w:szCs w:val="24"/>
        </w:rPr>
        <w:t xml:space="preserve"> as the </w:t>
      </w:r>
      <w:r w:rsidRPr="4CB37362" w:rsidR="00B6315F">
        <w:rPr>
          <w:rFonts w:ascii="Calibri" w:hAnsi="Calibri" w:eastAsia="Calibri" w:cs="Calibri"/>
          <w:color w:val="FF0000"/>
          <w:sz w:val="24"/>
          <w:szCs w:val="24"/>
        </w:rPr>
        <w:t xml:space="preserve">average of all </w:t>
      </w:r>
      <w:proofErr w:type="spellStart"/>
      <w:r w:rsidRPr="4CB37362" w:rsidR="00B6315F">
        <w:rPr>
          <w:rFonts w:ascii="Calibri" w:hAnsi="Calibri" w:eastAsia="Calibri" w:cs="Calibri"/>
          <w:color w:val="FF0000"/>
          <w:sz w:val="24"/>
          <w:szCs w:val="24"/>
        </w:rPr>
        <w:t>PSQ</w:t>
      </w:r>
      <w:proofErr w:type="spellEnd"/>
      <w:r w:rsidRPr="4CB37362" w:rsidR="00B6315F">
        <w:rPr>
          <w:rFonts w:ascii="Calibri" w:hAnsi="Calibri" w:eastAsia="Calibri" w:cs="Calibri"/>
          <w:color w:val="FF0000"/>
          <w:sz w:val="24"/>
          <w:szCs w:val="24"/>
        </w:rPr>
        <w:t xml:space="preserve"> items, </w:t>
      </w:r>
      <w:r w:rsidRPr="4CB37362" w:rsidR="008834BD">
        <w:rPr>
          <w:rFonts w:ascii="Calibri" w:hAnsi="Calibri" w:eastAsia="Calibri" w:cs="Calibri"/>
          <w:color w:val="FF0000"/>
          <w:sz w:val="24"/>
          <w:szCs w:val="24"/>
        </w:rPr>
        <w:t>with the exception of the</w:t>
      </w:r>
      <w:r w:rsidRPr="4CB37362" w:rsidR="00B6315F">
        <w:rPr>
          <w:rFonts w:ascii="Calibri" w:hAnsi="Calibri" w:eastAsia="Calibri" w:cs="Calibri"/>
          <w:color w:val="FF0000"/>
          <w:sz w:val="24"/>
          <w:szCs w:val="24"/>
        </w:rPr>
        <w:t xml:space="preserve"> three non-painful (</w:t>
      </w:r>
      <w:r w:rsidRPr="4CB37362" w:rsidR="00CA391A">
        <w:rPr>
          <w:rFonts w:ascii="Calibri" w:hAnsi="Calibri" w:eastAsia="Calibri" w:cs="Calibri"/>
          <w:color w:val="FF0000"/>
          <w:sz w:val="24"/>
          <w:szCs w:val="24"/>
        </w:rPr>
        <w:t>item 5, 9 and 13)</w:t>
      </w:r>
      <w:r w:rsidRPr="4CB37362" w:rsidR="00D30C9A">
        <w:rPr>
          <w:rFonts w:ascii="Calibri" w:hAnsi="Calibri" w:eastAsia="Calibri" w:cs="Calibri"/>
          <w:color w:val="FF0000"/>
          <w:sz w:val="24"/>
          <w:szCs w:val="24"/>
        </w:rPr>
        <w:t>,</w:t>
      </w:r>
      <w:r w:rsidRPr="4CB37362" w:rsidR="00E976C7">
        <w:rPr>
          <w:rFonts w:ascii="Calibri" w:hAnsi="Calibri" w:eastAsia="Calibri" w:cs="Calibri"/>
          <w:color w:val="FF0000"/>
          <w:sz w:val="24"/>
          <w:szCs w:val="24"/>
        </w:rPr>
        <w:t xml:space="preserve"> minor score </w:t>
      </w:r>
      <w:r w:rsidRPr="4CB37362" w:rsidR="00D30C9A">
        <w:rPr>
          <w:rFonts w:ascii="Calibri" w:hAnsi="Calibri" w:eastAsia="Calibri" w:cs="Calibri"/>
          <w:color w:val="FF0000"/>
          <w:sz w:val="24"/>
          <w:szCs w:val="24"/>
        </w:rPr>
        <w:t xml:space="preserve">was </w:t>
      </w:r>
      <w:r w:rsidRPr="4CB37362" w:rsidR="004017A1">
        <w:rPr>
          <w:rFonts w:ascii="Calibri" w:hAnsi="Calibri" w:eastAsia="Calibri" w:cs="Calibri"/>
          <w:color w:val="FF0000"/>
          <w:sz w:val="24"/>
          <w:szCs w:val="24"/>
        </w:rPr>
        <w:t xml:space="preserve">computed as </w:t>
      </w:r>
      <w:r w:rsidRPr="4CB37362" w:rsidR="00D30C9A">
        <w:rPr>
          <w:rFonts w:ascii="Calibri" w:hAnsi="Calibri" w:eastAsia="Calibri" w:cs="Calibri"/>
          <w:color w:val="FF0000"/>
          <w:sz w:val="24"/>
          <w:szCs w:val="24"/>
        </w:rPr>
        <w:t>the average of items 3, 6, 7, 10, 11, 12, and 14</w:t>
      </w:r>
      <w:r w:rsidRPr="4CB37362" w:rsidR="00113408">
        <w:rPr>
          <w:rFonts w:ascii="Calibri" w:hAnsi="Calibri" w:eastAsia="Calibri" w:cs="Calibri"/>
          <w:color w:val="FF0000"/>
          <w:sz w:val="24"/>
          <w:szCs w:val="24"/>
        </w:rPr>
        <w:t xml:space="preserve"> </w:t>
      </w:r>
      <w:r w:rsidRPr="4CB37362">
        <w:rPr>
          <w:rFonts w:ascii="Calibri" w:hAnsi="Calibri" w:eastAsia="Calibri" w:cs="Calibri"/>
          <w:color w:val="FF0000"/>
          <w:sz w:val="24"/>
          <w:szCs w:val="24"/>
        </w:rPr>
        <w:fldChar w:fldCharType="begin"/>
      </w:r>
      <w:r w:rsidRPr="4CB37362">
        <w:rPr>
          <w:rFonts w:ascii="Calibri" w:hAnsi="Calibri" w:eastAsia="Calibri" w:cs="Calibri"/>
          <w:color w:val="FF0000"/>
          <w:sz w:val="24"/>
          <w:szCs w:val="24"/>
        </w:rPr>
        <w:instrText xml:space="preserve"> ADDIN ZOTERO_ITEM CSL_CITATION {"citationID":"wzL9zFQV","properties":{"formattedCitation":"(Dual\\uc0\\u233{} et al., 2019)","plainCitation":"(Dualé et al., 2019)","noteIndex":0},"citationItems":[{"id":"jyRXZ8R7/n9wHAI04","uris":["http://zotero.org/users/8777725/items/9UFHYZL6"],"itemData":{"id":"tdxWF7Yx/xVBqYHkm","type":"article-journal","abstract":"To validate a French translation of the Pain Sensitivity Questionnaire (PSQ), which is a valuable tool to predict an individual’s natural disposition to feel pain that could be used after surgery.","container-title":"Canadian Journal of Anesthesia/Journal canadien d'anesthésie","DOI":"10.1007/s12630-019-01377-w","ISSN":"1496-8975","issue":"10","journalAbbreviation":"Can J Anesth/J Can Anesth","language":"en","page":"1202-1212","source":"Springer Link","title":"Transcultural adaptation and French validation of the Pain Sensitivity Questionnaire","volume":"66","author":[{"family":"Dualé","given":"Christian"},{"family":"Bauer","given":"Ulrich"},{"family":"Storme","given":"Brigitte"},{"family":"Eljezi","given":"Vedat"},{"family":"Ruscheweyh","given":"Ruth"},{"family":"Eschalier","given":"Sylvie"},{"family":"Dubray","given":"Claude"},{"family":"Guiguet-Auclair","given":"Candy"}],"issued":{"date-parts":[["2019",10,1]]}}}],"schema":"https://github.com/citation-style-language/schema/raw/master/csl-citation.json"} </w:instrText>
      </w:r>
      <w:r w:rsidRPr="4CB37362">
        <w:rPr>
          <w:rFonts w:ascii="Calibri" w:hAnsi="Calibri" w:eastAsia="Calibri" w:cs="Calibri"/>
          <w:color w:val="FF0000"/>
          <w:sz w:val="24"/>
          <w:szCs w:val="24"/>
        </w:rPr>
        <w:fldChar w:fldCharType="separate"/>
      </w:r>
      <w:r w:rsidRPr="4CB37362" w:rsidR="00113408">
        <w:rPr>
          <w:rFonts w:ascii="Calibri" w:hAnsi="Calibri" w:cs="Calibri"/>
          <w:color w:val="FF0000"/>
          <w:sz w:val="24"/>
          <w:szCs w:val="24"/>
        </w:rPr>
        <w:t>(Dualé et al., 2019)</w:t>
      </w:r>
      <w:r w:rsidRPr="4CB37362">
        <w:rPr>
          <w:rFonts w:ascii="Calibri" w:hAnsi="Calibri" w:eastAsia="Calibri" w:cs="Calibri"/>
          <w:color w:val="FF0000"/>
          <w:sz w:val="24"/>
          <w:szCs w:val="24"/>
        </w:rPr>
        <w:fldChar w:fldCharType="end"/>
      </w:r>
      <w:r w:rsidRPr="4CB37362" w:rsidR="00D30C9A">
        <w:rPr>
          <w:rFonts w:ascii="Calibri" w:hAnsi="Calibri" w:eastAsia="Calibri" w:cs="Calibri"/>
          <w:color w:val="FF0000"/>
          <w:sz w:val="24"/>
          <w:szCs w:val="24"/>
        </w:rPr>
        <w:t>.</w:t>
      </w:r>
      <w:r w:rsidRPr="4CB37362" w:rsidR="00F76C57">
        <w:rPr>
          <w:rFonts w:ascii="Calibri" w:hAnsi="Calibri" w:eastAsia="Calibri" w:cs="Calibri"/>
          <w:color w:val="FF0000"/>
          <w:sz w:val="24"/>
          <w:szCs w:val="24"/>
        </w:rPr>
        <w:t xml:space="preserve"> </w:t>
      </w:r>
    </w:p>
    <w:p w:rsidR="4A7C856D" w:rsidP="4EF8719D" w:rsidRDefault="0D1B6A5D" w14:paraId="2FBBA14C" w14:textId="0BB85927">
      <w:pPr>
        <w:spacing w:line="480" w:lineRule="auto"/>
        <w:jc w:val="both"/>
        <w:rPr>
          <w:rFonts w:ascii="Calibri" w:hAnsi="Calibri" w:eastAsia="Calibri" w:cs="Calibri"/>
          <w:sz w:val="24"/>
          <w:szCs w:val="24"/>
        </w:rPr>
      </w:pPr>
      <w:r w:rsidRPr="31A4C6E3">
        <w:rPr>
          <w:rFonts w:ascii="Calibri" w:hAnsi="Calibri" w:eastAsia="Calibri" w:cs="Calibri"/>
          <w:sz w:val="24"/>
          <w:szCs w:val="24"/>
        </w:rPr>
        <w:t xml:space="preserve">Regarding QST </w:t>
      </w:r>
      <w:r w:rsidRPr="31A4C6E3" w:rsidR="177808C3">
        <w:rPr>
          <w:rFonts w:ascii="Calibri" w:hAnsi="Calibri" w:eastAsia="Calibri" w:cs="Calibri"/>
          <w:sz w:val="24"/>
          <w:szCs w:val="24"/>
        </w:rPr>
        <w:t>data</w:t>
      </w:r>
      <w:r w:rsidRPr="31A4C6E3">
        <w:rPr>
          <w:rFonts w:ascii="Calibri" w:hAnsi="Calibri" w:eastAsia="Calibri" w:cs="Calibri"/>
          <w:sz w:val="24"/>
          <w:szCs w:val="24"/>
        </w:rPr>
        <w:t xml:space="preserve">, </w:t>
      </w:r>
      <w:r w:rsidRPr="31A4C6E3" w:rsidR="153B9569">
        <w:rPr>
          <w:rFonts w:ascii="Calibri" w:hAnsi="Calibri" w:eastAsia="Calibri" w:cs="Calibri"/>
          <w:sz w:val="24"/>
          <w:szCs w:val="24"/>
        </w:rPr>
        <w:t xml:space="preserve">the results </w:t>
      </w:r>
      <w:r w:rsidRPr="31A4C6E3" w:rsidR="7CE71B46">
        <w:rPr>
          <w:rFonts w:ascii="Calibri" w:hAnsi="Calibri" w:eastAsia="Calibri" w:cs="Calibri"/>
          <w:sz w:val="24"/>
          <w:szCs w:val="24"/>
        </w:rPr>
        <w:t xml:space="preserve">were log transformed except for CPT, HPT, PHS, </w:t>
      </w:r>
      <w:r w:rsidRPr="00996DD7" w:rsidR="7CE71B46">
        <w:rPr>
          <w:rFonts w:ascii="Calibri" w:hAnsi="Calibri" w:eastAsia="Calibri" w:cs="Calibri"/>
          <w:strike/>
          <w:color w:val="FF0000"/>
          <w:sz w:val="24"/>
          <w:szCs w:val="24"/>
        </w:rPr>
        <w:t>DMA,</w:t>
      </w:r>
      <w:r w:rsidRPr="31A4C6E3" w:rsidR="7CE71B46">
        <w:rPr>
          <w:rFonts w:ascii="Calibri" w:hAnsi="Calibri" w:eastAsia="Calibri" w:cs="Calibri"/>
          <w:sz w:val="24"/>
          <w:szCs w:val="24"/>
        </w:rPr>
        <w:t xml:space="preserve"> and VDT</w:t>
      </w:r>
      <w:r w:rsidRPr="31A4C6E3" w:rsidR="7BFF59E5">
        <w:rPr>
          <w:rFonts w:ascii="Calibri" w:hAnsi="Calibri" w:eastAsia="Calibri" w:cs="Calibri"/>
          <w:sz w:val="24"/>
          <w:szCs w:val="24"/>
        </w:rPr>
        <w:t xml:space="preserve"> </w:t>
      </w:r>
      <w:r w:rsidRPr="31A4C6E3">
        <w:rPr>
          <w:rFonts w:ascii="Calibri" w:hAnsi="Calibri" w:eastAsia="Calibri" w:cs="Calibri"/>
        </w:rPr>
        <w:fldChar w:fldCharType="begin"/>
      </w:r>
      <w:r w:rsidR="00A03CF2">
        <w:rPr>
          <w:rFonts w:ascii="Calibri" w:hAnsi="Calibri" w:eastAsia="Calibri" w:cs="Calibri"/>
        </w:rPr>
        <w:instrText xml:space="preserve"> ADDIN ZOTERO_ITEM CSL_CITATION {"citationID":"pf0QYVb5","properties":{"formattedCitation":"(M\\uc0\\u252{}cke et al., 2021; Rolke et al., 2006a)","plainCitation":"(Mücke et al., 2021; Rolke et al., 2006a)","noteIndex":0},"citationItems":[{"id":"jyRXZ8R7/jKPkfWp0","uris":["http://zotero.org/users/8777725/items/QSBLW22W"],"itemData":{"id":1171,"type":"article-journal","abstract":"Quantitative sensory testing (QST) is a standardized and formalized clinical sensitivity test. Testing describes a subjective (psychophysical) method that entails a cooperation of the person to be examined. Within its framework, calibrated stimuli are applied to capture perception and pain thresholds, thus providing information on the presence of sensory plus or minus signs. The presented QST battery imitates natural thermal or mechanical stimuli. The aim is to acquire symptom patterns of sensory loss (for the functioning of the thick and thin nerve fibers) as well as a gain of function (hyperalgesia, allodynia, hyperpathia) with a simultaneous detection of cutaneous and deep tissue sensibility. Most of the tested QST parameters are normally distributed only after a logarithmic transformation (secondary normal distribution)—except the number of paradoxical heat sensations, of cold and heat pain thresholds, and vibration detection thresholds. A complete QST profile can be measured within 1 h. QST is suitable not only for clinical trials but also in practice as a diagnostic method to characterize the function of the somatosensory system—from the peripheral nerve fiber receptor to the projection pathways to the brain.","container-title":"Der Schmerz","DOI":"10.1007/s00482-015-0093-2","ISSN":"1432-2129","issue":"3","journalAbbreviation":"Schmerz","language":"en","page":"153-160","source":"Springer Link","title":"Quantitative sensory testing (QST). English version","volume":"35","author":[{"family":"Mücke","given":"M."},{"family":"Cuhls","given":"H."},{"family":"Radbruch","given":"L."},{"family":"Baron","given":"R."},{"family":"Maier","given":"C."},{"family":"Tölle","given":"T."},{"family":"Treede","given":"R.-D."},{"family":"Rolke","given":"R."}],"issued":{"date-parts":[["2021",11,1]]}}},{"id":"jyRXZ8R7/TMnQ4A0h","uris":["http://zotero.org/users/8777725/items/Q46WZKD4"],"itemData":{"id":427,"type":"article-journal","abstract":"The nationwide multicenter trials of the German Research Network on Neuropathic Pain (DFNS) aim to characterize the somatosensory phenotype of patients with neuropathic pain. For this purpose, we have implemented a standardized quantitative sensory testing (QST) protocol giving a complete profile for one region within 30 min. To judge plus or minus signs in patients we have now established age- and gender-matched absolute and relative QST reference values from 180 healthy subjects, assessed bilaterally over face, hand and foot. We determined thermal detection and pain thresholds including a test for paradoxical heat sensations, mechanical detection thresholds to von Frey filaments and a 64 Hz tuning fork, mechanical pain thresholds to pinprick stimuli and blunt pressure, stimulus/response-functions for pinprick and dynamic mechanical allodynia, and pain summation (wind-up ratio). QST parameters were region specific and age dependent. Pain thresholds were significantly lower in women than men. Detection thresholds were generally independent of gender. Reference data were normalized to the specific group means and variances (region, age, gender) by calculating z-scores. Due to confidence limits close to the respective limits of the possible data range, heat hypoalgesia, cold hypoalgesia, and mechanical hyperesthesia can hardly be diagnosed. Nevertheless, these parameters can be used for group comparisons. Sensitivity is enhanced by side-to-side comparisons by a factor ranging from 1.1 to 2.5. Relative comparisons across body regions do not offer advantages over absolute reference values. Application of this standardized QST protocol in patients and human surrogate models will allow to infer underlying mechanisms from somatosensory phenotypes.","container-title":"Pain","DOI":"10.1016/j.pain.2006.01.041","ISSN":"1872-6623","issue":"3","journalAbbreviation":"Pain","language":"eng","note":"PMID: 16697110","page":"231-243","source":"PubMed","title":"Quantitative sensory testing in the German Research Network on Neuropathic Pain (DFNS): standardized protocol and reference values","title-short":"Quantitative sensory testing in the German Research Network on Neuropathic Pain (DFNS)","volume":"123","author":[{"family":"Rolke","given":"R."},{"family":"Baron","given":"R."},{"family":"Maier","given":"C."},{"family":"Tölle","given":"T. R."},{"family":"Treede","given":"-D. R."},{"family":"Beyer","given":"A."},{"family":"Binder","given":"A."},{"family":"Birbaumer","given":"N."},{"family":"Birklein","given":"F."},{"family":"Bötefür","given":"I. C."},{"family":"Braune","given":"S."},{"family":"Flor","given":"H."},{"family":"Huge","given":"V."},{"family":"Klug","given":"R."},{"family":"Landwehrmeyer","given":"G. B."},{"family":"Magerl","given":"W."},{"family":"Maihöfner","given":"C."},{"family":"Rolko","given":"C."},{"family":"Schaub","given":"C."},{"family":"Scherens","given":"A."},{"family":"Sprenger","given":"T."},{"family":"Valet","given":"M."},{"family":"Wasserka","given":"B."}],"issued":{"date-parts":[["2006",8]]}}}],"schema":"https://github.com/citation-style-language/schema/raw/master/csl-citation.json"} </w:instrText>
      </w:r>
      <w:r w:rsidRPr="31A4C6E3">
        <w:rPr>
          <w:rFonts w:ascii="Calibri" w:hAnsi="Calibri" w:eastAsia="Calibri" w:cs="Calibri"/>
        </w:rPr>
        <w:fldChar w:fldCharType="separate"/>
      </w:r>
      <w:r w:rsidRPr="008425F7" w:rsidR="008425F7">
        <w:rPr>
          <w:rFonts w:ascii="Calibri" w:hAnsi="Calibri" w:cs="Calibri"/>
          <w:sz w:val="24"/>
        </w:rPr>
        <w:t>(Mücke et al., 2021; Rolke et al., 2006a)</w:t>
      </w:r>
      <w:r w:rsidRPr="31A4C6E3">
        <w:rPr>
          <w:rFonts w:ascii="Calibri" w:hAnsi="Calibri" w:eastAsia="Calibri" w:cs="Calibri"/>
        </w:rPr>
        <w:fldChar w:fldCharType="end"/>
      </w:r>
      <w:r w:rsidRPr="31A4C6E3" w:rsidR="7CE71B46">
        <w:rPr>
          <w:rFonts w:ascii="Calibri" w:hAnsi="Calibri" w:eastAsia="Calibri" w:cs="Calibri"/>
          <w:sz w:val="24"/>
          <w:szCs w:val="24"/>
        </w:rPr>
        <w:t xml:space="preserve">. </w:t>
      </w:r>
      <w:r w:rsidRPr="31A4C6E3" w:rsidR="3C90B923">
        <w:rPr>
          <w:rFonts w:ascii="Calibri" w:hAnsi="Calibri" w:eastAsia="Calibri" w:cs="Calibri"/>
          <w:sz w:val="24"/>
          <w:szCs w:val="24"/>
        </w:rPr>
        <w:t>As recommended, we did not compute WUR in participants report</w:t>
      </w:r>
      <w:r w:rsidRPr="31A4C6E3" w:rsidR="59E00865">
        <w:rPr>
          <w:rFonts w:ascii="Calibri" w:hAnsi="Calibri" w:eastAsia="Calibri" w:cs="Calibri"/>
          <w:sz w:val="24"/>
          <w:szCs w:val="24"/>
        </w:rPr>
        <w:t>ing</w:t>
      </w:r>
      <w:r w:rsidRPr="31A4C6E3" w:rsidR="3C90B923">
        <w:rPr>
          <w:rFonts w:ascii="Calibri" w:hAnsi="Calibri" w:eastAsia="Calibri" w:cs="Calibri"/>
          <w:sz w:val="24"/>
          <w:szCs w:val="24"/>
        </w:rPr>
        <w:t xml:space="preserve"> no pain for single 256-mN pinprick stimulation (</w:t>
      </w:r>
      <w:r w:rsidRPr="31A4C6E3" w:rsidR="3276B356">
        <w:rPr>
          <w:rFonts w:ascii="Calibri" w:hAnsi="Calibri" w:eastAsia="Calibri" w:cs="Calibri"/>
          <w:sz w:val="24"/>
          <w:szCs w:val="24"/>
        </w:rPr>
        <w:t>n=</w:t>
      </w:r>
      <w:r w:rsidRPr="31A4C6E3" w:rsidR="3C90B923">
        <w:rPr>
          <w:rFonts w:ascii="Calibri" w:hAnsi="Calibri" w:eastAsia="Calibri" w:cs="Calibri"/>
          <w:sz w:val="24"/>
          <w:szCs w:val="24"/>
        </w:rPr>
        <w:t xml:space="preserve">25) </w:t>
      </w:r>
      <w:r w:rsidRPr="31A4C6E3">
        <w:rPr>
          <w:rFonts w:ascii="Calibri" w:hAnsi="Calibri" w:eastAsia="Calibri" w:cs="Calibri"/>
        </w:rPr>
        <w:fldChar w:fldCharType="begin"/>
      </w:r>
      <w:r w:rsidR="00A03CF2">
        <w:rPr>
          <w:rFonts w:ascii="Calibri" w:hAnsi="Calibri" w:eastAsia="Calibri" w:cs="Calibri"/>
        </w:rPr>
        <w:instrText xml:space="preserve"> ADDIN ZOTERO_ITEM CSL_CITATION {"citationID":"5WHyHyrr","properties":{"formattedCitation":"(Rolke et al., 2006a)","plainCitation":"(Rolke et al., 2006a)","noteIndex":0},"citationItems":[{"id":"jyRXZ8R7/TMnQ4A0h","uris":["http://zotero.org/users/8777725/items/Q46WZKD4"],"itemData":{"id":427,"type":"article-journal","abstract":"The nationwide multicenter trials of the German Research Network on Neuropathic Pain (DFNS) aim to characterize the somatosensory phenotype of patients with neuropathic pain. For this purpose, we have implemented a standardized quantitative sensory testing (QST) protocol giving a complete profile for one region within 30 min. To judge plus or minus signs in patients we have now established age- and gender-matched absolute and relative QST reference values from 180 healthy subjects, assessed bilaterally over face, hand and foot. We determined thermal detection and pain thresholds including a test for paradoxical heat sensations, mechanical detection thresholds to von Frey filaments and a 64 Hz tuning fork, mechanical pain thresholds to pinprick stimuli and blunt pressure, stimulus/response-functions for pinprick and dynamic mechanical allodynia, and pain summation (wind-up ratio). QST parameters were region specific and age dependent. Pain thresholds were significantly lower in women than men. Detection thresholds were generally independent of gender. Reference data were normalized to the specific group means and variances (region, age, gender) by calculating z-scores. Due to confidence limits close to the respective limits of the possible data range, heat hypoalgesia, cold hypoalgesia, and mechanical hyperesthesia can hardly be diagnosed. Nevertheless, these parameters can be used for group comparisons. Sensitivity is enhanced by side-to-side comparisons by a factor ranging from 1.1 to 2.5. Relative comparisons across body regions do not offer advantages over absolute reference values. Application of this standardized QST protocol in patients and human surrogate models will allow to infer underlying mechanisms from somatosensory phenotypes.","container-title":"Pain","DOI":"10.1016/j.pain.2006.01.041","ISSN":"1872-6623","issue":"3","journalAbbreviation":"Pain","language":"eng","note":"PMID: 16697110","page":"231-243","source":"PubMed","title":"Quantitative sensory testing in the German Research Network on Neuropathic Pain (DFNS): standardized protocol and reference values","title-short":"Quantitative sensory testing in the German Research Network on Neuropathic Pain (DFNS)","volume":"123","author":[{"family":"Rolke","given":"R."},{"family":"Baron","given":"R."},{"family":"Maier","given":"C."},{"family":"Tölle","given":"T. R."},{"family":"Treede","given":"-D. R."},{"family":"Beyer","given":"A."},{"family":"Binder","given":"A."},{"family":"Birbaumer","given":"N."},{"family":"Birklein","given":"F."},{"family":"Bötefür","given":"I. C."},{"family":"Braune","given":"S."},{"family":"Flor","given":"H."},{"family":"Huge","given":"V."},{"family":"Klug","given":"R."},{"family":"Landwehrmeyer","given":"G. B."},{"family":"Magerl","given":"W."},{"family":"Maihöfner","given":"C."},{"family":"Rolko","given":"C."},{"family":"Schaub","given":"C."},{"family":"Scherens","given":"A."},{"family":"Sprenger","given":"T."},{"family":"Valet","given":"M."},{"family":"Wasserka","given":"B."}],"issued":{"date-parts":[["2006",8]]}}}],"schema":"https://github.com/citation-style-language/schema/raw/master/csl-citation.json"} </w:instrText>
      </w:r>
      <w:r w:rsidRPr="31A4C6E3">
        <w:rPr>
          <w:rFonts w:ascii="Calibri" w:hAnsi="Calibri" w:eastAsia="Calibri" w:cs="Calibri"/>
        </w:rPr>
        <w:fldChar w:fldCharType="separate"/>
      </w:r>
      <w:r w:rsidRPr="008425F7" w:rsidR="008425F7">
        <w:rPr>
          <w:rFonts w:ascii="Calibri" w:hAnsi="Calibri" w:cs="Calibri"/>
          <w:sz w:val="24"/>
        </w:rPr>
        <w:t>(Rolke et al., 2006a)</w:t>
      </w:r>
      <w:r w:rsidRPr="31A4C6E3">
        <w:rPr>
          <w:rFonts w:ascii="Calibri" w:hAnsi="Calibri" w:eastAsia="Calibri" w:cs="Calibri"/>
        </w:rPr>
        <w:fldChar w:fldCharType="end"/>
      </w:r>
      <w:r w:rsidRPr="31A4C6E3" w:rsidR="3C90B923">
        <w:rPr>
          <w:rFonts w:ascii="Calibri" w:hAnsi="Calibri" w:eastAsia="Calibri" w:cs="Calibri"/>
          <w:sz w:val="24"/>
          <w:szCs w:val="24"/>
        </w:rPr>
        <w:t xml:space="preserve">. </w:t>
      </w:r>
      <w:r w:rsidRPr="31A4C6E3" w:rsidR="7CE71B46">
        <w:rPr>
          <w:rFonts w:ascii="Calibri" w:hAnsi="Calibri" w:eastAsia="Calibri" w:cs="Calibri"/>
          <w:sz w:val="24"/>
          <w:szCs w:val="24"/>
        </w:rPr>
        <w:t xml:space="preserve">We </w:t>
      </w:r>
      <w:r w:rsidRPr="31A4C6E3" w:rsidR="48D8FEFB">
        <w:rPr>
          <w:rFonts w:ascii="Calibri" w:hAnsi="Calibri" w:eastAsia="Calibri" w:cs="Calibri"/>
          <w:sz w:val="24"/>
          <w:szCs w:val="24"/>
        </w:rPr>
        <w:t xml:space="preserve">reported the </w:t>
      </w:r>
      <w:r w:rsidRPr="31A4C6E3" w:rsidR="3EC05903">
        <w:rPr>
          <w:rFonts w:ascii="Calibri" w:hAnsi="Calibri" w:eastAsia="Calibri" w:cs="Calibri"/>
          <w:sz w:val="24"/>
          <w:szCs w:val="24"/>
        </w:rPr>
        <w:t xml:space="preserve">values </w:t>
      </w:r>
      <w:r w:rsidRPr="31A4C6E3" w:rsidR="48D8FEFB">
        <w:rPr>
          <w:rFonts w:ascii="Calibri" w:hAnsi="Calibri" w:eastAsia="Calibri" w:cs="Calibri"/>
          <w:sz w:val="24"/>
          <w:szCs w:val="24"/>
        </w:rPr>
        <w:t>by limb</w:t>
      </w:r>
      <w:r w:rsidRPr="31A4C6E3" w:rsidR="47A017BD">
        <w:rPr>
          <w:rFonts w:ascii="Calibri" w:hAnsi="Calibri" w:eastAsia="Calibri" w:cs="Calibri"/>
          <w:sz w:val="24"/>
          <w:szCs w:val="24"/>
        </w:rPr>
        <w:t xml:space="preserve"> and </w:t>
      </w:r>
      <w:r w:rsidRPr="31A4C6E3" w:rsidR="61678A9D">
        <w:rPr>
          <w:rFonts w:ascii="Calibri" w:hAnsi="Calibri" w:eastAsia="Calibri" w:cs="Calibri"/>
          <w:sz w:val="24"/>
          <w:szCs w:val="24"/>
        </w:rPr>
        <w:t>sex</w:t>
      </w:r>
      <w:r w:rsidRPr="31A4C6E3" w:rsidR="47A017BD">
        <w:rPr>
          <w:rFonts w:ascii="Calibri" w:hAnsi="Calibri" w:eastAsia="Calibri" w:cs="Calibri"/>
          <w:sz w:val="24"/>
          <w:szCs w:val="24"/>
        </w:rPr>
        <w:t xml:space="preserve">, </w:t>
      </w:r>
      <w:r w:rsidRPr="31A4C6E3" w:rsidR="37D3DC0B">
        <w:rPr>
          <w:rFonts w:ascii="Calibri" w:hAnsi="Calibri" w:eastAsia="Calibri" w:cs="Calibri"/>
          <w:sz w:val="24"/>
          <w:szCs w:val="24"/>
        </w:rPr>
        <w:t>using mean and SD</w:t>
      </w:r>
      <w:r w:rsidRPr="31A4C6E3" w:rsidR="48D8FEFB">
        <w:rPr>
          <w:rFonts w:ascii="Calibri" w:hAnsi="Calibri" w:eastAsia="Calibri" w:cs="Calibri"/>
          <w:sz w:val="24"/>
          <w:szCs w:val="24"/>
        </w:rPr>
        <w:t xml:space="preserve">. </w:t>
      </w:r>
      <w:r w:rsidRPr="31A4C6E3" w:rsidR="21EAD233">
        <w:rPr>
          <w:rFonts w:ascii="Calibri" w:hAnsi="Calibri" w:eastAsia="Calibri" w:cs="Calibri"/>
          <w:sz w:val="24"/>
          <w:szCs w:val="24"/>
        </w:rPr>
        <w:t>W</w:t>
      </w:r>
      <w:r w:rsidRPr="31A4C6E3">
        <w:rPr>
          <w:rFonts w:ascii="Calibri" w:hAnsi="Calibri" w:eastAsia="Calibri" w:cs="Calibri"/>
          <w:sz w:val="24"/>
          <w:szCs w:val="24"/>
        </w:rPr>
        <w:t xml:space="preserve">e </w:t>
      </w:r>
      <w:r w:rsidRPr="31A4C6E3" w:rsidR="59E9BA73">
        <w:rPr>
          <w:rFonts w:ascii="Calibri" w:hAnsi="Calibri" w:eastAsia="Calibri" w:cs="Calibri"/>
          <w:sz w:val="24"/>
          <w:szCs w:val="24"/>
        </w:rPr>
        <w:t>then</w:t>
      </w:r>
      <w:r w:rsidRPr="31A4C6E3">
        <w:rPr>
          <w:rFonts w:ascii="Calibri" w:hAnsi="Calibri" w:eastAsia="Calibri" w:cs="Calibri"/>
          <w:sz w:val="24"/>
          <w:szCs w:val="24"/>
        </w:rPr>
        <w:t xml:space="preserve"> computed Z-scores</w:t>
      </w:r>
      <w:r w:rsidRPr="31A4C6E3" w:rsidR="40E95A73">
        <w:rPr>
          <w:rFonts w:ascii="Calibri" w:hAnsi="Calibri" w:eastAsia="Calibri" w:cs="Calibri"/>
          <w:sz w:val="24"/>
          <w:szCs w:val="24"/>
        </w:rPr>
        <w:t xml:space="preserve">. First, we related the individual values of the affected and contralateral site to the </w:t>
      </w:r>
      <w:r w:rsidRPr="31A4C6E3" w:rsidR="40E95A73">
        <w:rPr>
          <w:rFonts w:ascii="Calibri" w:hAnsi="Calibri" w:eastAsia="Calibri" w:cs="Calibri"/>
          <w:sz w:val="24"/>
          <w:szCs w:val="24"/>
        </w:rPr>
        <w:lastRenderedPageBreak/>
        <w:t xml:space="preserve">normative values (Z = [individual value – </w:t>
      </w:r>
      <w:proofErr w:type="spellStart"/>
      <w:r w:rsidRPr="31A4C6E3" w:rsidR="40E95A73">
        <w:rPr>
          <w:rFonts w:ascii="Calibri" w:hAnsi="Calibri" w:eastAsia="Calibri" w:cs="Calibri"/>
          <w:sz w:val="24"/>
          <w:szCs w:val="24"/>
        </w:rPr>
        <w:t>mean</w:t>
      </w:r>
      <w:r w:rsidRPr="31A4C6E3" w:rsidR="40E95A73">
        <w:rPr>
          <w:rFonts w:ascii="Calibri" w:hAnsi="Calibri" w:eastAsia="Calibri" w:cs="Calibri"/>
          <w:sz w:val="24"/>
          <w:szCs w:val="24"/>
          <w:vertAlign w:val="subscript"/>
        </w:rPr>
        <w:t>database</w:t>
      </w:r>
      <w:proofErr w:type="spellEnd"/>
      <w:r w:rsidRPr="31A4C6E3" w:rsidR="40E95A73">
        <w:rPr>
          <w:rFonts w:ascii="Calibri" w:hAnsi="Calibri" w:eastAsia="Calibri" w:cs="Calibri"/>
          <w:sz w:val="24"/>
          <w:szCs w:val="24"/>
        </w:rPr>
        <w:t xml:space="preserve">] / </w:t>
      </w:r>
      <w:proofErr w:type="spellStart"/>
      <w:r w:rsidRPr="31A4C6E3" w:rsidR="40E95A73">
        <w:rPr>
          <w:rFonts w:ascii="Calibri" w:hAnsi="Calibri" w:eastAsia="Calibri" w:cs="Calibri"/>
          <w:sz w:val="24"/>
          <w:szCs w:val="24"/>
        </w:rPr>
        <w:t>SD</w:t>
      </w:r>
      <w:r w:rsidRPr="31A4C6E3" w:rsidR="40E95A73">
        <w:rPr>
          <w:rFonts w:ascii="Calibri" w:hAnsi="Calibri" w:eastAsia="Calibri" w:cs="Calibri"/>
          <w:sz w:val="24"/>
          <w:szCs w:val="24"/>
          <w:vertAlign w:val="subscript"/>
        </w:rPr>
        <w:t>database</w:t>
      </w:r>
      <w:proofErr w:type="spellEnd"/>
      <w:r w:rsidRPr="31A4C6E3" w:rsidR="40E95A73">
        <w:rPr>
          <w:rFonts w:ascii="Calibri" w:hAnsi="Calibri" w:eastAsia="Calibri" w:cs="Calibri"/>
          <w:sz w:val="24"/>
          <w:szCs w:val="24"/>
        </w:rPr>
        <w:t xml:space="preserve">) grouping by extremity, </w:t>
      </w:r>
      <w:r w:rsidRPr="31A4C6E3" w:rsidR="3D004F36">
        <w:rPr>
          <w:rFonts w:ascii="Calibri" w:hAnsi="Calibri" w:eastAsia="Calibri" w:cs="Calibri"/>
          <w:sz w:val="24"/>
          <w:szCs w:val="24"/>
        </w:rPr>
        <w:t>sex</w:t>
      </w:r>
      <w:r w:rsidRPr="31A4C6E3" w:rsidR="40E95A73">
        <w:rPr>
          <w:rFonts w:ascii="Calibri" w:hAnsi="Calibri" w:eastAsia="Calibri" w:cs="Calibri"/>
          <w:sz w:val="24"/>
          <w:szCs w:val="24"/>
        </w:rPr>
        <w:t>, and age</w:t>
      </w:r>
      <w:r w:rsidRPr="31A4C6E3" w:rsidR="40E95A73">
        <w:rPr>
          <w:rFonts w:ascii="Calibri" w:hAnsi="Calibri" w:eastAsia="Calibri" w:cs="Calibri"/>
        </w:rPr>
        <w:t xml:space="preserve"> </w:t>
      </w:r>
      <w:r w:rsidR="002202EE">
        <w:rPr>
          <w:rFonts w:ascii="Calibri" w:hAnsi="Calibri" w:eastAsia="Calibri" w:cs="Calibri"/>
        </w:rPr>
        <w:fldChar w:fldCharType="begin"/>
      </w:r>
      <w:r w:rsidR="00A03CF2">
        <w:rPr>
          <w:rFonts w:ascii="Calibri" w:hAnsi="Calibri" w:eastAsia="Calibri" w:cs="Calibri"/>
        </w:rPr>
        <w:instrText xml:space="preserve"> ADDIN ZOTERO_ITEM CSL_CITATION {"citationID":"RYaL7Bdy","properties":{"formattedCitation":"(Magerl et al., 2010)","plainCitation":"(Magerl et al., 2010)","noteIndex":0},"citationItems":[{"id":103,"uris":["http://zotero.org/users/8514361/items/VLD3SCKI"],"itemData":{"id":103,"type":"article-journal","abstract":"Clinical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002202EE">
        <w:rPr>
          <w:rFonts w:ascii="Calibri" w:hAnsi="Calibri" w:eastAsia="Calibri" w:cs="Calibri"/>
        </w:rPr>
        <w:fldChar w:fldCharType="separate"/>
      </w:r>
      <w:r w:rsidRPr="002202EE" w:rsidR="002202EE">
        <w:rPr>
          <w:rFonts w:ascii="Calibri" w:hAnsi="Calibri" w:cs="Calibri"/>
        </w:rPr>
        <w:t>(Magerl et al., 2010)</w:t>
      </w:r>
      <w:r w:rsidR="002202EE">
        <w:rPr>
          <w:rFonts w:ascii="Calibri" w:hAnsi="Calibri" w:eastAsia="Calibri" w:cs="Calibri"/>
        </w:rPr>
        <w:fldChar w:fldCharType="end"/>
      </w:r>
      <w:r w:rsidRPr="31A4C6E3" w:rsidR="3BCD2401">
        <w:rPr>
          <w:rFonts w:ascii="Calibri" w:hAnsi="Calibri" w:eastAsia="Calibri" w:cs="Calibri"/>
          <w:sz w:val="24"/>
          <w:szCs w:val="24"/>
        </w:rPr>
        <w:t xml:space="preserve"> Z</w:t>
      </w:r>
      <w:r w:rsidRPr="31A4C6E3" w:rsidR="68242E39">
        <w:rPr>
          <w:rFonts w:ascii="Calibri" w:hAnsi="Calibri" w:eastAsia="Calibri" w:cs="Calibri"/>
          <w:sz w:val="24"/>
          <w:szCs w:val="24"/>
        </w:rPr>
        <w:t>-</w:t>
      </w:r>
      <w:r w:rsidRPr="31A4C6E3" w:rsidR="434EEC2B">
        <w:rPr>
          <w:rFonts w:ascii="Calibri" w:hAnsi="Calibri" w:eastAsia="Calibri" w:cs="Calibri"/>
          <w:sz w:val="24"/>
          <w:szCs w:val="24"/>
        </w:rPr>
        <w:t>v</w:t>
      </w:r>
      <w:r w:rsidRPr="31A4C6E3" w:rsidR="68242E39">
        <w:rPr>
          <w:rFonts w:ascii="Calibri" w:hAnsi="Calibri" w:eastAsia="Calibri" w:cs="Calibri"/>
          <w:sz w:val="24"/>
          <w:szCs w:val="24"/>
        </w:rPr>
        <w:t xml:space="preserve">alues above ‘‘0’’ indicate hyperfunction, </w:t>
      </w:r>
      <w:r w:rsidRPr="31A4C6E3" w:rsidR="560DE445">
        <w:rPr>
          <w:rFonts w:ascii="Calibri" w:hAnsi="Calibri" w:eastAsia="Calibri" w:cs="Calibri"/>
          <w:sz w:val="24"/>
          <w:szCs w:val="24"/>
        </w:rPr>
        <w:t xml:space="preserve">which means </w:t>
      </w:r>
      <w:r w:rsidR="001A19EB">
        <w:rPr>
          <w:rFonts w:ascii="Calibri" w:hAnsi="Calibri" w:eastAsia="Calibri" w:cs="Calibri"/>
          <w:sz w:val="24"/>
          <w:szCs w:val="24"/>
        </w:rPr>
        <w:t>that the limb was</w:t>
      </w:r>
      <w:r w:rsidRPr="31A4C6E3" w:rsidR="001A19EB">
        <w:rPr>
          <w:rFonts w:ascii="Calibri" w:hAnsi="Calibri" w:eastAsia="Calibri" w:cs="Calibri"/>
          <w:sz w:val="24"/>
          <w:szCs w:val="24"/>
        </w:rPr>
        <w:t xml:space="preserve"> </w:t>
      </w:r>
      <w:r w:rsidRPr="31A4C6E3" w:rsidR="68242E39">
        <w:rPr>
          <w:rFonts w:ascii="Calibri" w:hAnsi="Calibri" w:eastAsia="Calibri" w:cs="Calibri"/>
          <w:sz w:val="24"/>
          <w:szCs w:val="24"/>
        </w:rPr>
        <w:t xml:space="preserve">more sensitive compared to </w:t>
      </w:r>
      <w:r w:rsidR="001A19EB">
        <w:rPr>
          <w:rFonts w:ascii="Calibri" w:hAnsi="Calibri" w:eastAsia="Calibri" w:cs="Calibri"/>
          <w:sz w:val="24"/>
          <w:szCs w:val="24"/>
        </w:rPr>
        <w:t xml:space="preserve">the </w:t>
      </w:r>
      <w:r w:rsidRPr="31A4C6E3" w:rsidR="68242E39">
        <w:rPr>
          <w:rFonts w:ascii="Calibri" w:hAnsi="Calibri" w:eastAsia="Calibri" w:cs="Calibri"/>
          <w:sz w:val="24"/>
          <w:szCs w:val="24"/>
        </w:rPr>
        <w:t>contralateral side (lower thresholds), whereas z-scores below ‘‘0’’ indicate hypofunction and therefore lower sensitivity (higher thresholds).</w:t>
      </w:r>
      <w:r w:rsidRPr="31A4C6E3" w:rsidR="3AF9D4E8">
        <w:rPr>
          <w:rFonts w:ascii="Calibri" w:hAnsi="Calibri" w:eastAsia="Calibri" w:cs="Calibri"/>
          <w:sz w:val="24"/>
          <w:szCs w:val="24"/>
        </w:rPr>
        <w:t xml:space="preserve"> </w:t>
      </w:r>
      <w:r w:rsidRPr="31A4C6E3" w:rsidR="39FFD53E">
        <w:rPr>
          <w:rFonts w:ascii="Calibri" w:hAnsi="Calibri" w:eastAsia="Calibri" w:cs="Calibri"/>
          <w:sz w:val="24"/>
          <w:szCs w:val="24"/>
        </w:rPr>
        <w:t xml:space="preserve">We then computed t values to examine differences between our cohort and the normative values as </w:t>
      </w:r>
      <w:r w:rsidRPr="31A4C6E3" w:rsidR="67505185">
        <w:rPr>
          <w:rFonts w:ascii="Calibri" w:hAnsi="Calibri" w:eastAsia="Calibri" w:cs="Calibri"/>
          <w:sz w:val="24"/>
          <w:szCs w:val="24"/>
        </w:rPr>
        <w:t xml:space="preserve">recommended by </w:t>
      </w:r>
      <w:r w:rsidRPr="31A4C6E3" w:rsidR="39FFD53E">
        <w:rPr>
          <w:rFonts w:ascii="Calibri" w:hAnsi="Calibri" w:eastAsia="Calibri" w:cs="Calibri"/>
          <w:sz w:val="24"/>
          <w:szCs w:val="24"/>
        </w:rPr>
        <w:t xml:space="preserve">Magerl et al </w:t>
      </w:r>
      <w:r w:rsidRPr="31A4C6E3">
        <w:rPr>
          <w:rFonts w:ascii="Calibri" w:hAnsi="Calibri" w:eastAsia="Calibri" w:cs="Calibri"/>
        </w:rPr>
        <w:fldChar w:fldCharType="begin"/>
      </w:r>
      <w:r w:rsidR="00A03CF2">
        <w:rPr>
          <w:rFonts w:ascii="Calibri" w:hAnsi="Calibri" w:eastAsia="Calibri" w:cs="Calibri"/>
        </w:rPr>
        <w:instrText xml:space="preserve"> ADDIN ZOTERO_ITEM CSL_CITATION {"citationID":"eZDq6f68","properties":{"formattedCitation":"(Magerl et al., 2010)","plainCitation":"(Magerl et al., 2010)","noteIndex":0},"citationItems":[{"id":103,"uris":["http://zotero.org/users/8514361/items/VLD3SCKI"],"itemData":{"id":103,"type":"article-journal","abstract":"Clinical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Pr="31A4C6E3">
        <w:rPr>
          <w:rFonts w:ascii="Calibri" w:hAnsi="Calibri" w:eastAsia="Calibri" w:cs="Calibri"/>
        </w:rPr>
        <w:fldChar w:fldCharType="separate"/>
      </w:r>
      <w:r w:rsidRPr="008425F7" w:rsidR="008425F7">
        <w:rPr>
          <w:rFonts w:ascii="Calibri" w:hAnsi="Calibri" w:cs="Calibri"/>
          <w:sz w:val="24"/>
        </w:rPr>
        <w:t>(Magerl et al., 2010)</w:t>
      </w:r>
      <w:r w:rsidRPr="31A4C6E3">
        <w:rPr>
          <w:rFonts w:ascii="Calibri" w:hAnsi="Calibri" w:eastAsia="Calibri" w:cs="Calibri"/>
        </w:rPr>
        <w:fldChar w:fldCharType="end"/>
      </w:r>
      <w:r w:rsidRPr="31A4C6E3" w:rsidR="39FFD53E">
        <w:rPr>
          <w:rFonts w:ascii="Calibri" w:hAnsi="Calibri" w:eastAsia="Calibri" w:cs="Calibri"/>
          <w:sz w:val="24"/>
          <w:szCs w:val="24"/>
        </w:rPr>
        <w:t>.</w:t>
      </w:r>
    </w:p>
    <w:p w:rsidRPr="00171B6F" w:rsidR="00A43B95" w:rsidP="2BE03656" w:rsidRDefault="601E5FAB" w14:paraId="7A4BBEBB" w14:textId="57E65A74">
      <w:pPr>
        <w:spacing w:line="480" w:lineRule="auto"/>
        <w:jc w:val="both"/>
        <w:rPr>
          <w:sz w:val="24"/>
          <w:szCs w:val="24"/>
        </w:rPr>
      </w:pPr>
      <w:r w:rsidRPr="60435B4D">
        <w:rPr>
          <w:sz w:val="24"/>
          <w:szCs w:val="24"/>
        </w:rPr>
        <w:t xml:space="preserve">For </w:t>
      </w:r>
      <w:r w:rsidRPr="60435B4D" w:rsidR="738EC3EF">
        <w:rPr>
          <w:sz w:val="24"/>
          <w:szCs w:val="24"/>
        </w:rPr>
        <w:t xml:space="preserve">the TOJ, participants' data were excluded from statistical analyses </w:t>
      </w:r>
      <w:r w:rsidRPr="60435B4D" w:rsidR="034298A3">
        <w:rPr>
          <w:sz w:val="24"/>
          <w:szCs w:val="24"/>
        </w:rPr>
        <w:t xml:space="preserve">when </w:t>
      </w:r>
      <w:r w:rsidRPr="60435B4D" w:rsidR="738EC3EF">
        <w:rPr>
          <w:sz w:val="24"/>
          <w:szCs w:val="24"/>
        </w:rPr>
        <w:t xml:space="preserve">the threshold and the slope of the psychometric function could not be reliably estimated during the 40 trials of </w:t>
      </w:r>
      <w:r w:rsidRPr="60435B4D" w:rsidR="326A34E9">
        <w:rPr>
          <w:sz w:val="24"/>
          <w:szCs w:val="24"/>
        </w:rPr>
        <w:t xml:space="preserve">at least </w:t>
      </w:r>
      <w:r w:rsidRPr="60435B4D" w:rsidR="738EC3EF">
        <w:rPr>
          <w:sz w:val="24"/>
          <w:szCs w:val="24"/>
        </w:rPr>
        <w:t xml:space="preserve">one </w:t>
      </w:r>
      <w:r w:rsidRPr="60435B4D" w:rsidR="1E8F4D1E">
        <w:rPr>
          <w:sz w:val="24"/>
          <w:szCs w:val="24"/>
        </w:rPr>
        <w:t>block</w:t>
      </w:r>
      <w:r w:rsidRPr="60435B4D" w:rsidR="738EC3EF">
        <w:rPr>
          <w:sz w:val="24"/>
          <w:szCs w:val="24"/>
        </w:rPr>
        <w:t xml:space="preserve">, </w:t>
      </w:r>
      <w:r w:rsidRPr="60435B4D" w:rsidR="268218D8">
        <w:rPr>
          <w:sz w:val="24"/>
          <w:szCs w:val="24"/>
        </w:rPr>
        <w:t xml:space="preserve">suggesting </w:t>
      </w:r>
      <w:r w:rsidRPr="60435B4D" w:rsidR="738EC3EF">
        <w:rPr>
          <w:sz w:val="24"/>
          <w:szCs w:val="24"/>
        </w:rPr>
        <w:t>that their performance was too inconsistent or below chance level</w:t>
      </w:r>
      <w:r w:rsidRPr="60435B4D" w:rsidR="3098D55F">
        <w:rPr>
          <w:sz w:val="24"/>
          <w:szCs w:val="24"/>
        </w:rPr>
        <w:t xml:space="preserve"> (see </w:t>
      </w:r>
      <w:r w:rsidRPr="60435B4D" w:rsidR="00764437">
        <w:rPr>
          <w:i/>
          <w:iCs/>
          <w:sz w:val="24"/>
          <w:szCs w:val="24"/>
        </w:rPr>
        <w:t xml:space="preserve">Supplementary materials </w:t>
      </w:r>
      <w:r w:rsidRPr="60435B4D" w:rsidR="3098D55F">
        <w:rPr>
          <w:i/>
          <w:iCs/>
          <w:sz w:val="24"/>
          <w:szCs w:val="24"/>
        </w:rPr>
        <w:t>2. TOJ procedure</w:t>
      </w:r>
      <w:r w:rsidR="007D1D0C">
        <w:rPr>
          <w:i/>
          <w:iCs/>
          <w:sz w:val="24"/>
          <w:szCs w:val="24"/>
        </w:rPr>
        <w:t xml:space="preserve"> [methodS2]</w:t>
      </w:r>
      <w:r w:rsidRPr="60435B4D" w:rsidR="3098D55F">
        <w:rPr>
          <w:sz w:val="24"/>
          <w:szCs w:val="24"/>
        </w:rPr>
        <w:t xml:space="preserve">, and </w:t>
      </w:r>
      <w:r>
        <w:fldChar w:fldCharType="begin"/>
      </w:r>
      <w:r w:rsidR="00A03CF2">
        <w:instrText xml:space="preserve"> ADDIN ZOTERO_ITEM CSL_CITATION {"citationID":"82ECPovj","properties":{"formattedCitation":"(Filbrich et al., 2016)","plainCitation":"(Filbrich et al., 2016)","noteIndex":0},"citationItems":[{"id":190,"uris":["http://zotero.org/users/8514361/items/GRL3XNEQ"],"itemData":{"id":190,"type":"article-journal","abstract":"Recently, Vanden Bulcke, Crombez, Durnez, and Van Damme (2015) investigated whether the attentional prioritization of a specific location due to the anticipation of pain is modality specific or multisensory. They used a temporal order judgment task in which participants judged the order of either two tactile or two visual stimuli, one presented on each hand. Additionally, participants either expected the occurrence of a painful stimulus on one hand or the absence of any pain. Results showed that participants' judgments were biased to the advantage of the stimuli, tactile or visual, presented at the location where pain was expected. The authors concluded that the anticipation of pain leads to a multisensory prioritization of information presented at the threatened spatial location. Here, we would like to question their conclusion in terms of a genuine attentional modulation of multisensory nature, based on methodological and theoretical grounds.","container-title":"Consciousness and Cognition","DOI":"10.1016/j.concog.2016.02.008","ISSN":"1090-2376","journalAbbreviation":"Conscious Cogn","language":"eng","note":"PMID: 26922311","page":"135-138","source":"PubMed","title":"Using temporal order judgments to investigate attention bias toward pain and threat-related information. Methodological and theoretical issues","volume":"41","author":[{"family":"Filbrich","given":"Lieve"},{"family":"Torta","given":"Diana M."},{"family":"Vanderclausen","given":"Camille"},{"family":"Azañón","given":"Elena"},{"family":"Legrain","given":"Valéry"}],"issued":{"date-parts":[["2016",4]]}}}],"schema":"https://github.com/citation-style-language/schema/raw/master/csl-citation.json"} </w:instrText>
      </w:r>
      <w:r>
        <w:fldChar w:fldCharType="separate"/>
      </w:r>
      <w:r w:rsidRPr="008425F7" w:rsidR="008425F7">
        <w:rPr>
          <w:rFonts w:ascii="Calibri" w:hAnsi="Calibri" w:cs="Calibri"/>
          <w:sz w:val="24"/>
        </w:rPr>
        <w:t>(Filbrich et al., 2016)</w:t>
      </w:r>
      <w:r>
        <w:fldChar w:fldCharType="end"/>
      </w:r>
      <w:r w:rsidRPr="60435B4D" w:rsidR="3098D55F">
        <w:rPr>
          <w:sz w:val="24"/>
          <w:szCs w:val="24"/>
        </w:rPr>
        <w:t xml:space="preserve"> for a more detailed discussion of the potential contribution of responses biases in TOJ tasks)</w:t>
      </w:r>
      <w:r w:rsidRPr="60435B4D" w:rsidR="00BE53BD">
        <w:rPr>
          <w:sz w:val="24"/>
          <w:szCs w:val="24"/>
        </w:rPr>
        <w:t xml:space="preserve">. </w:t>
      </w:r>
      <w:r w:rsidRPr="60435B4D" w:rsidR="738EC3EF">
        <w:rPr>
          <w:sz w:val="24"/>
          <w:szCs w:val="24"/>
        </w:rPr>
        <w:t xml:space="preserve">This criterion led to the exclusion of </w:t>
      </w:r>
      <w:r w:rsidRPr="60435B4D" w:rsidR="3C6DF32B">
        <w:rPr>
          <w:sz w:val="24"/>
          <w:szCs w:val="24"/>
        </w:rPr>
        <w:t xml:space="preserve">the data of </w:t>
      </w:r>
      <w:r w:rsidRPr="60435B4D">
        <w:rPr>
          <w:sz w:val="24"/>
          <w:szCs w:val="24"/>
        </w:rPr>
        <w:t xml:space="preserve">five </w:t>
      </w:r>
      <w:r w:rsidRPr="60435B4D" w:rsidR="738EC3EF">
        <w:rPr>
          <w:sz w:val="24"/>
          <w:szCs w:val="24"/>
        </w:rPr>
        <w:t xml:space="preserve">of the </w:t>
      </w:r>
      <w:r w:rsidRPr="60435B4D" w:rsidR="6BDD2C7D">
        <w:rPr>
          <w:sz w:val="24"/>
          <w:szCs w:val="24"/>
        </w:rPr>
        <w:t>78</w:t>
      </w:r>
      <w:r w:rsidRPr="60435B4D" w:rsidR="1495A2CD">
        <w:rPr>
          <w:sz w:val="24"/>
          <w:szCs w:val="24"/>
        </w:rPr>
        <w:t xml:space="preserve"> </w:t>
      </w:r>
      <w:r w:rsidRPr="60435B4D" w:rsidR="738EC3EF">
        <w:rPr>
          <w:sz w:val="24"/>
          <w:szCs w:val="24"/>
        </w:rPr>
        <w:t>tested</w:t>
      </w:r>
      <w:r w:rsidRPr="60435B4D" w:rsidR="73C472E7">
        <w:rPr>
          <w:sz w:val="24"/>
          <w:szCs w:val="24"/>
        </w:rPr>
        <w:t xml:space="preserve"> participants</w:t>
      </w:r>
      <w:r w:rsidRPr="60435B4D" w:rsidR="5AB93E53">
        <w:rPr>
          <w:sz w:val="24"/>
          <w:szCs w:val="24"/>
        </w:rPr>
        <w:t xml:space="preserve">. </w:t>
      </w:r>
      <w:r w:rsidRPr="60435B4D" w:rsidR="6D26BCFA">
        <w:rPr>
          <w:sz w:val="24"/>
          <w:szCs w:val="24"/>
        </w:rPr>
        <w:t>To facilitate statistical analyses of TOJ results, PSS values</w:t>
      </w:r>
      <w:r w:rsidRPr="60435B4D" w:rsidR="32DDC7A7">
        <w:rPr>
          <w:sz w:val="24"/>
          <w:szCs w:val="24"/>
        </w:rPr>
        <w:t>,</w:t>
      </w:r>
      <w:r w:rsidRPr="60435B4D" w:rsidR="6D26BCFA">
        <w:rPr>
          <w:sz w:val="24"/>
          <w:szCs w:val="24"/>
        </w:rPr>
        <w:t xml:space="preserve"> </w:t>
      </w:r>
      <w:r w:rsidRPr="60435B4D" w:rsidR="3901EC19">
        <w:rPr>
          <w:sz w:val="24"/>
          <w:szCs w:val="24"/>
        </w:rPr>
        <w:t>initially encoded in terms of temporal order between left and right sides of space</w:t>
      </w:r>
      <w:r w:rsidRPr="60435B4D" w:rsidR="5D9B0F69">
        <w:rPr>
          <w:sz w:val="24"/>
          <w:szCs w:val="24"/>
        </w:rPr>
        <w:t>,</w:t>
      </w:r>
      <w:r w:rsidRPr="60435B4D" w:rsidR="3901EC19">
        <w:rPr>
          <w:sz w:val="24"/>
          <w:szCs w:val="24"/>
        </w:rPr>
        <w:t xml:space="preserve"> were recoded to correspond to the side of the affected limb and t</w:t>
      </w:r>
      <w:r w:rsidRPr="60435B4D" w:rsidR="758586BB">
        <w:rPr>
          <w:sz w:val="24"/>
          <w:szCs w:val="24"/>
        </w:rPr>
        <w:t xml:space="preserve">hat </w:t>
      </w:r>
      <w:r w:rsidRPr="60435B4D" w:rsidR="3901EC19">
        <w:rPr>
          <w:sz w:val="24"/>
          <w:szCs w:val="24"/>
        </w:rPr>
        <w:t>of the contralateral limb</w:t>
      </w:r>
      <w:r w:rsidRPr="60435B4D" w:rsidR="6D26BCFA">
        <w:rPr>
          <w:sz w:val="24"/>
          <w:szCs w:val="24"/>
        </w:rPr>
        <w:t>. Accordingly, data from patients affected by right-sided CRPS were transformed (multiplied by −1</w:t>
      </w:r>
      <w:r w:rsidRPr="60435B4D" w:rsidR="54086247">
        <w:rPr>
          <w:sz w:val="24"/>
          <w:szCs w:val="24"/>
        </w:rPr>
        <w:t>)</w:t>
      </w:r>
      <w:r w:rsidRPr="60435B4D" w:rsidR="2AAED87C">
        <w:rPr>
          <w:sz w:val="24"/>
          <w:szCs w:val="24"/>
        </w:rPr>
        <w:t xml:space="preserve"> to allow comparison with left-sided CRPS</w:t>
      </w:r>
      <w:r w:rsidRPr="60435B4D" w:rsidR="54086247">
        <w:rPr>
          <w:sz w:val="24"/>
          <w:szCs w:val="24"/>
        </w:rPr>
        <w:t>.</w:t>
      </w:r>
      <w:r w:rsidRPr="60435B4D" w:rsidR="6756DA31">
        <w:rPr>
          <w:sz w:val="24"/>
          <w:szCs w:val="24"/>
        </w:rPr>
        <w:t xml:space="preserve"> </w:t>
      </w:r>
      <w:r w:rsidRPr="60435B4D" w:rsidR="6FB104D9">
        <w:rPr>
          <w:sz w:val="24"/>
          <w:szCs w:val="24"/>
        </w:rPr>
        <w:t xml:space="preserve">Positive values correspond to a </w:t>
      </w:r>
      <w:r w:rsidRPr="60435B4D" w:rsidR="02D85B0B">
        <w:rPr>
          <w:sz w:val="24"/>
          <w:szCs w:val="24"/>
        </w:rPr>
        <w:t xml:space="preserve">perceptual </w:t>
      </w:r>
      <w:r w:rsidRPr="60435B4D" w:rsidR="6FB104D9">
        <w:rPr>
          <w:sz w:val="24"/>
          <w:szCs w:val="24"/>
        </w:rPr>
        <w:t xml:space="preserve">bias </w:t>
      </w:r>
      <w:r w:rsidRPr="60435B4D" w:rsidR="3A5B6A92">
        <w:rPr>
          <w:sz w:val="24"/>
          <w:szCs w:val="24"/>
        </w:rPr>
        <w:t xml:space="preserve">to the advantage </w:t>
      </w:r>
      <w:r w:rsidRPr="60435B4D" w:rsidR="6FB104D9">
        <w:rPr>
          <w:sz w:val="24"/>
          <w:szCs w:val="24"/>
        </w:rPr>
        <w:t>of visual stimuli presented on the side of the affected limb.</w:t>
      </w:r>
      <w:r w:rsidRPr="60435B4D" w:rsidR="6756DA31">
        <w:rPr>
          <w:sz w:val="24"/>
          <w:szCs w:val="24"/>
        </w:rPr>
        <w:t xml:space="preserve"> Potential systematic bias </w:t>
      </w:r>
      <w:r w:rsidRPr="60435B4D" w:rsidR="4863B654">
        <w:rPr>
          <w:sz w:val="24"/>
          <w:szCs w:val="24"/>
        </w:rPr>
        <w:t xml:space="preserve">towards the affected or the contralateral </w:t>
      </w:r>
      <w:r w:rsidRPr="60435B4D" w:rsidR="118B0EC7">
        <w:rPr>
          <w:sz w:val="24"/>
          <w:szCs w:val="24"/>
        </w:rPr>
        <w:t xml:space="preserve">side </w:t>
      </w:r>
      <w:r w:rsidRPr="60435B4D" w:rsidR="6756DA31">
        <w:rPr>
          <w:sz w:val="24"/>
          <w:szCs w:val="24"/>
        </w:rPr>
        <w:t>was investigated comparing mean</w:t>
      </w:r>
      <w:r w:rsidRPr="60435B4D" w:rsidR="12C8726D">
        <w:rPr>
          <w:sz w:val="24"/>
          <w:szCs w:val="24"/>
        </w:rPr>
        <w:t xml:space="preserve"> PSS</w:t>
      </w:r>
      <w:r w:rsidRPr="60435B4D" w:rsidR="6756DA31">
        <w:rPr>
          <w:sz w:val="24"/>
          <w:szCs w:val="24"/>
        </w:rPr>
        <w:t xml:space="preserve"> value</w:t>
      </w:r>
      <w:r w:rsidRPr="60435B4D" w:rsidR="6A76B8FF">
        <w:rPr>
          <w:sz w:val="24"/>
          <w:szCs w:val="24"/>
        </w:rPr>
        <w:t>s</w:t>
      </w:r>
      <w:r w:rsidRPr="60435B4D" w:rsidR="6756DA31">
        <w:rPr>
          <w:sz w:val="24"/>
          <w:szCs w:val="24"/>
        </w:rPr>
        <w:t xml:space="preserve"> to 0 </w:t>
      </w:r>
      <w:r w:rsidRPr="60435B4D" w:rsidR="003C1A40">
        <w:rPr>
          <w:sz w:val="24"/>
          <w:szCs w:val="24"/>
        </w:rPr>
        <w:t>using</w:t>
      </w:r>
      <w:r w:rsidRPr="60435B4D" w:rsidR="0BA5691A">
        <w:rPr>
          <w:sz w:val="24"/>
          <w:szCs w:val="24"/>
        </w:rPr>
        <w:t xml:space="preserve"> </w:t>
      </w:r>
      <w:r w:rsidRPr="60435B4D" w:rsidR="6756DA31">
        <w:rPr>
          <w:sz w:val="24"/>
          <w:szCs w:val="24"/>
        </w:rPr>
        <w:t xml:space="preserve">a </w:t>
      </w:r>
      <w:r w:rsidRPr="60435B4D" w:rsidR="77D1EEE1">
        <w:rPr>
          <w:sz w:val="24"/>
          <w:szCs w:val="24"/>
        </w:rPr>
        <w:t xml:space="preserve">one-sample </w:t>
      </w:r>
      <w:r w:rsidRPr="60435B4D" w:rsidR="16A59875">
        <w:rPr>
          <w:sz w:val="24"/>
          <w:szCs w:val="24"/>
        </w:rPr>
        <w:t>t</w:t>
      </w:r>
      <w:r w:rsidRPr="60435B4D" w:rsidR="4650DE4E">
        <w:rPr>
          <w:sz w:val="24"/>
          <w:szCs w:val="24"/>
        </w:rPr>
        <w:t>-</w:t>
      </w:r>
      <w:r w:rsidRPr="60435B4D" w:rsidR="6756DA31">
        <w:rPr>
          <w:sz w:val="24"/>
          <w:szCs w:val="24"/>
        </w:rPr>
        <w:t xml:space="preserve"> test.</w:t>
      </w:r>
    </w:p>
    <w:p w:rsidR="00846D00" w:rsidP="00846D00" w:rsidRDefault="78AFE19E" w14:paraId="2E982471" w14:textId="77777777">
      <w:pPr>
        <w:spacing w:line="480" w:lineRule="auto"/>
        <w:jc w:val="both"/>
        <w:rPr>
          <w:sz w:val="24"/>
          <w:szCs w:val="24"/>
        </w:rPr>
      </w:pPr>
      <w:r w:rsidRPr="60435B4D">
        <w:rPr>
          <w:rFonts w:eastAsiaTheme="minorEastAsia"/>
          <w:sz w:val="24"/>
          <w:szCs w:val="24"/>
        </w:rPr>
        <w:t xml:space="preserve">We assessed </w:t>
      </w:r>
      <w:r w:rsidRPr="60435B4D" w:rsidR="368B6044">
        <w:rPr>
          <w:rFonts w:eastAsiaTheme="minorEastAsia"/>
          <w:sz w:val="24"/>
          <w:szCs w:val="24"/>
        </w:rPr>
        <w:t>the homogeneity of our sample</w:t>
      </w:r>
      <w:r w:rsidRPr="60435B4D" w:rsidR="3CAAFB22">
        <w:rPr>
          <w:rFonts w:eastAsiaTheme="minorEastAsia"/>
          <w:sz w:val="24"/>
          <w:szCs w:val="24"/>
        </w:rPr>
        <w:t xml:space="preserve"> by investigating</w:t>
      </w:r>
      <w:r w:rsidRPr="60435B4D" w:rsidR="368B6044">
        <w:rPr>
          <w:rFonts w:eastAsiaTheme="minorEastAsia"/>
          <w:sz w:val="24"/>
          <w:szCs w:val="24"/>
        </w:rPr>
        <w:t xml:space="preserve"> significant differences between </w:t>
      </w:r>
      <w:r w:rsidRPr="60435B4D" w:rsidR="7C8236EF">
        <w:rPr>
          <w:rFonts w:eastAsiaTheme="minorEastAsia"/>
          <w:sz w:val="24"/>
          <w:szCs w:val="24"/>
        </w:rPr>
        <w:t xml:space="preserve">participants </w:t>
      </w:r>
      <w:r w:rsidRPr="60435B4D" w:rsidR="368B6044">
        <w:rPr>
          <w:rFonts w:eastAsiaTheme="minorEastAsia"/>
          <w:sz w:val="24"/>
          <w:szCs w:val="24"/>
        </w:rPr>
        <w:t xml:space="preserve">who completed only the home survey and the </w:t>
      </w:r>
      <w:r w:rsidRPr="60435B4D" w:rsidR="194E0B1F">
        <w:rPr>
          <w:rFonts w:eastAsiaTheme="minorEastAsia"/>
          <w:sz w:val="24"/>
          <w:szCs w:val="24"/>
        </w:rPr>
        <w:t>other participants</w:t>
      </w:r>
      <w:r w:rsidRPr="60435B4D" w:rsidR="368B6044">
        <w:rPr>
          <w:rFonts w:eastAsiaTheme="minorEastAsia"/>
          <w:sz w:val="24"/>
          <w:szCs w:val="24"/>
        </w:rPr>
        <w:t xml:space="preserve">. </w:t>
      </w:r>
      <w:r w:rsidRPr="60435B4D" w:rsidR="2D38D147">
        <w:rPr>
          <w:rFonts w:eastAsiaTheme="minorEastAsia"/>
          <w:sz w:val="24"/>
          <w:szCs w:val="24"/>
        </w:rPr>
        <w:t xml:space="preserve">Continuous variables were </w:t>
      </w:r>
      <w:r w:rsidRPr="60435B4D" w:rsidR="268F8ADC">
        <w:rPr>
          <w:rFonts w:eastAsiaTheme="minorEastAsia"/>
          <w:sz w:val="24"/>
          <w:szCs w:val="24"/>
        </w:rPr>
        <w:t>compared between t</w:t>
      </w:r>
      <w:r w:rsidRPr="60435B4D" w:rsidR="3119F73A">
        <w:rPr>
          <w:rFonts w:eastAsiaTheme="minorEastAsia"/>
          <w:sz w:val="24"/>
          <w:szCs w:val="24"/>
        </w:rPr>
        <w:t>hese two</w:t>
      </w:r>
      <w:r w:rsidRPr="60435B4D" w:rsidR="268F8ADC">
        <w:rPr>
          <w:rFonts w:eastAsiaTheme="minorEastAsia"/>
          <w:sz w:val="24"/>
          <w:szCs w:val="24"/>
        </w:rPr>
        <w:t xml:space="preserve"> groups </w:t>
      </w:r>
      <w:r w:rsidRPr="60435B4D" w:rsidR="2D38D147">
        <w:rPr>
          <w:rFonts w:eastAsiaTheme="minorEastAsia"/>
          <w:sz w:val="24"/>
          <w:szCs w:val="24"/>
        </w:rPr>
        <w:t>using a</w:t>
      </w:r>
      <w:r w:rsidRPr="60435B4D" w:rsidR="44CB51B1">
        <w:rPr>
          <w:rFonts w:eastAsiaTheme="minorEastAsia"/>
          <w:sz w:val="24"/>
          <w:szCs w:val="24"/>
        </w:rPr>
        <w:t xml:space="preserve"> Student T test or a </w:t>
      </w:r>
      <w:r w:rsidRPr="60435B4D" w:rsidR="62A84A7A">
        <w:rPr>
          <w:rFonts w:eastAsiaTheme="minorEastAsia"/>
          <w:sz w:val="24"/>
          <w:szCs w:val="24"/>
        </w:rPr>
        <w:t>Mann-Whit</w:t>
      </w:r>
      <w:r w:rsidRPr="60435B4D" w:rsidR="6E315EE2">
        <w:rPr>
          <w:rFonts w:eastAsiaTheme="minorEastAsia"/>
          <w:sz w:val="24"/>
          <w:szCs w:val="24"/>
        </w:rPr>
        <w:t>ney U</w:t>
      </w:r>
      <w:r w:rsidRPr="60435B4D" w:rsidR="44CB51B1">
        <w:rPr>
          <w:rFonts w:eastAsiaTheme="minorEastAsia"/>
          <w:sz w:val="24"/>
          <w:szCs w:val="24"/>
        </w:rPr>
        <w:t xml:space="preserve"> test </w:t>
      </w:r>
      <w:r w:rsidRPr="60435B4D" w:rsidR="0CDFCD5C">
        <w:rPr>
          <w:rFonts w:eastAsiaTheme="minorEastAsia"/>
          <w:sz w:val="24"/>
          <w:szCs w:val="24"/>
        </w:rPr>
        <w:t>according to their distribution</w:t>
      </w:r>
      <w:r w:rsidRPr="60435B4D" w:rsidR="108FF055">
        <w:rPr>
          <w:rFonts w:eastAsiaTheme="minorEastAsia"/>
          <w:sz w:val="24"/>
          <w:szCs w:val="24"/>
        </w:rPr>
        <w:t xml:space="preserve"> (histograms and normal QQ plots)</w:t>
      </w:r>
      <w:r w:rsidRPr="60435B4D" w:rsidR="671CD385">
        <w:rPr>
          <w:rFonts w:eastAsiaTheme="minorEastAsia"/>
          <w:sz w:val="24"/>
          <w:szCs w:val="24"/>
        </w:rPr>
        <w:t xml:space="preserve">. </w:t>
      </w:r>
      <w:r w:rsidRPr="60435B4D" w:rsidR="2F93AA0A">
        <w:rPr>
          <w:rFonts w:eastAsiaTheme="minorEastAsia"/>
          <w:sz w:val="24"/>
          <w:szCs w:val="24"/>
        </w:rPr>
        <w:t>P</w:t>
      </w:r>
      <w:r w:rsidRPr="60435B4D" w:rsidR="152FDCC3">
        <w:rPr>
          <w:rFonts w:eastAsiaTheme="minorEastAsia"/>
          <w:sz w:val="24"/>
          <w:szCs w:val="24"/>
        </w:rPr>
        <w:t xml:space="preserve">roportions </w:t>
      </w:r>
      <w:r w:rsidRPr="60435B4D" w:rsidR="152FDCC3">
        <w:rPr>
          <w:rFonts w:eastAsiaTheme="minorEastAsia"/>
          <w:sz w:val="24"/>
          <w:szCs w:val="24"/>
        </w:rPr>
        <w:lastRenderedPageBreak/>
        <w:t>between categorical variables were compared with a</w:t>
      </w:r>
      <w:r w:rsidRPr="60435B4D" w:rsidR="44CB51B1">
        <w:rPr>
          <w:rFonts w:eastAsiaTheme="minorEastAsia"/>
          <w:sz w:val="24"/>
          <w:szCs w:val="24"/>
        </w:rPr>
        <w:t xml:space="preserve"> Pearson’s Chi-squared test</w:t>
      </w:r>
      <w:r w:rsidRPr="60435B4D" w:rsidR="27C9D7FB">
        <w:rPr>
          <w:rFonts w:eastAsiaTheme="minorEastAsia"/>
          <w:sz w:val="24"/>
          <w:szCs w:val="24"/>
        </w:rPr>
        <w:t>.</w:t>
      </w:r>
      <w:r w:rsidRPr="60435B4D" w:rsidR="7D7E284A">
        <w:rPr>
          <w:rFonts w:eastAsiaTheme="minorEastAsia"/>
          <w:sz w:val="24"/>
          <w:szCs w:val="24"/>
        </w:rPr>
        <w:t xml:space="preserve"> </w:t>
      </w:r>
      <w:r w:rsidRPr="60435B4D" w:rsidR="4CE41EFB">
        <w:rPr>
          <w:rFonts w:eastAsiaTheme="minorEastAsia"/>
          <w:sz w:val="24"/>
          <w:szCs w:val="24"/>
        </w:rPr>
        <w:t>The same</w:t>
      </w:r>
      <w:r w:rsidRPr="60435B4D" w:rsidR="01BD6A6C">
        <w:rPr>
          <w:rFonts w:eastAsiaTheme="minorEastAsia"/>
          <w:sz w:val="24"/>
          <w:szCs w:val="24"/>
        </w:rPr>
        <w:t xml:space="preserve"> statistical</w:t>
      </w:r>
      <w:r w:rsidRPr="60435B4D" w:rsidR="4CE41EFB">
        <w:rPr>
          <w:rFonts w:eastAsiaTheme="minorEastAsia"/>
          <w:sz w:val="24"/>
          <w:szCs w:val="24"/>
        </w:rPr>
        <w:t xml:space="preserve"> tests were used to explore </w:t>
      </w:r>
      <w:r w:rsidRPr="60435B4D" w:rsidR="64A2B94A">
        <w:rPr>
          <w:rFonts w:eastAsiaTheme="minorEastAsia"/>
          <w:sz w:val="24"/>
          <w:szCs w:val="24"/>
        </w:rPr>
        <w:t xml:space="preserve">potential </w:t>
      </w:r>
      <w:r w:rsidRPr="60435B4D" w:rsidR="13D90AD9">
        <w:rPr>
          <w:rFonts w:eastAsiaTheme="minorEastAsia"/>
          <w:sz w:val="24"/>
          <w:szCs w:val="24"/>
        </w:rPr>
        <w:t>differences between subgroups in our cohort.</w:t>
      </w:r>
      <w:r w:rsidRPr="60435B4D" w:rsidR="1ED445DC">
        <w:rPr>
          <w:rFonts w:eastAsiaTheme="minorEastAsia"/>
          <w:sz w:val="24"/>
          <w:szCs w:val="24"/>
        </w:rPr>
        <w:t xml:space="preserve"> </w:t>
      </w:r>
      <w:r w:rsidRPr="60435B4D" w:rsidR="21DC94CD">
        <w:rPr>
          <w:rFonts w:ascii="Calibri" w:hAnsi="Calibri" w:eastAsia="Calibri" w:cs="Calibri"/>
          <w:sz w:val="24"/>
          <w:szCs w:val="24"/>
        </w:rPr>
        <w:t xml:space="preserve">For ≥ 2 groups comparisons, </w:t>
      </w:r>
      <w:r w:rsidRPr="60435B4D" w:rsidR="17E7A274">
        <w:rPr>
          <w:rFonts w:eastAsiaTheme="minorEastAsia"/>
          <w:sz w:val="24"/>
          <w:szCs w:val="24"/>
        </w:rPr>
        <w:t>continuous</w:t>
      </w:r>
      <w:r w:rsidRPr="60435B4D" w:rsidR="732D8CA2">
        <w:rPr>
          <w:rFonts w:eastAsiaTheme="minorEastAsia"/>
          <w:sz w:val="24"/>
          <w:szCs w:val="24"/>
        </w:rPr>
        <w:t xml:space="preserve"> variables were compared using the Kruskal-</w:t>
      </w:r>
      <w:proofErr w:type="gramStart"/>
      <w:r w:rsidRPr="60435B4D" w:rsidR="732D8CA2">
        <w:rPr>
          <w:rFonts w:eastAsiaTheme="minorEastAsia"/>
          <w:sz w:val="24"/>
          <w:szCs w:val="24"/>
        </w:rPr>
        <w:t>Wallis</w:t>
      </w:r>
      <w:proofErr w:type="gramEnd"/>
      <w:r w:rsidRPr="60435B4D" w:rsidR="732D8CA2">
        <w:rPr>
          <w:rFonts w:eastAsiaTheme="minorEastAsia"/>
          <w:sz w:val="24"/>
          <w:szCs w:val="24"/>
        </w:rPr>
        <w:t xml:space="preserve"> test. </w:t>
      </w:r>
      <w:r w:rsidRPr="60435B4D" w:rsidR="68CA80CB">
        <w:rPr>
          <w:rFonts w:eastAsiaTheme="minorEastAsia"/>
          <w:sz w:val="24"/>
          <w:szCs w:val="24"/>
        </w:rPr>
        <w:t xml:space="preserve">Correlations </w:t>
      </w:r>
      <w:r w:rsidRPr="60435B4D" w:rsidR="558E23E4">
        <w:rPr>
          <w:sz w:val="24"/>
          <w:szCs w:val="24"/>
        </w:rPr>
        <w:t>between TOJ results and body perception disturbances</w:t>
      </w:r>
      <w:r w:rsidRPr="60435B4D" w:rsidR="68CA80CB">
        <w:rPr>
          <w:sz w:val="24"/>
          <w:szCs w:val="24"/>
        </w:rPr>
        <w:t xml:space="preserve"> were tested using </w:t>
      </w:r>
      <w:r w:rsidRPr="60435B4D" w:rsidR="2837E9D4">
        <w:rPr>
          <w:sz w:val="24"/>
          <w:szCs w:val="24"/>
        </w:rPr>
        <w:t>Pearson</w:t>
      </w:r>
      <w:r w:rsidRPr="60435B4D" w:rsidR="68CA80CB">
        <w:rPr>
          <w:sz w:val="24"/>
          <w:szCs w:val="24"/>
        </w:rPr>
        <w:t xml:space="preserve"> coefficient. </w:t>
      </w:r>
      <w:r w:rsidRPr="60435B4D" w:rsidR="1ED445DC">
        <w:rPr>
          <w:sz w:val="24"/>
          <w:szCs w:val="24"/>
        </w:rPr>
        <w:t>Each</w:t>
      </w:r>
      <w:r w:rsidRPr="60435B4D" w:rsidR="33E5BB33">
        <w:rPr>
          <w:sz w:val="24"/>
          <w:szCs w:val="24"/>
        </w:rPr>
        <w:t xml:space="preserve"> statistical</w:t>
      </w:r>
      <w:r w:rsidRPr="60435B4D" w:rsidR="003131BD">
        <w:rPr>
          <w:sz w:val="24"/>
          <w:szCs w:val="24"/>
        </w:rPr>
        <w:t>ly</w:t>
      </w:r>
      <w:r w:rsidRPr="60435B4D" w:rsidR="1ED445DC">
        <w:rPr>
          <w:sz w:val="24"/>
          <w:szCs w:val="24"/>
        </w:rPr>
        <w:t xml:space="preserve"> abnormal result was reported.</w:t>
      </w:r>
    </w:p>
    <w:p w:rsidRPr="00846D00" w:rsidR="00C708F3" w:rsidP="00846D00" w:rsidRDefault="3AE1B8F4" w14:paraId="0E417771" w14:textId="6E1DF261">
      <w:pPr>
        <w:spacing w:line="480" w:lineRule="auto"/>
        <w:jc w:val="both"/>
        <w:rPr>
          <w:b/>
          <w:bCs/>
          <w:sz w:val="24"/>
          <w:szCs w:val="24"/>
          <w:u w:val="single"/>
        </w:rPr>
      </w:pPr>
      <w:r w:rsidRPr="60435B4D">
        <w:rPr>
          <w:sz w:val="24"/>
          <w:szCs w:val="24"/>
          <w:lang w:val="en-US"/>
        </w:rPr>
        <w:t>To</w:t>
      </w:r>
      <w:r w:rsidRPr="60435B4D" w:rsidR="5DB1DE94">
        <w:rPr>
          <w:sz w:val="24"/>
          <w:szCs w:val="24"/>
          <w:lang w:val="en-US"/>
        </w:rPr>
        <w:t xml:space="preserve"> identify </w:t>
      </w:r>
      <w:r w:rsidRPr="60435B4D" w:rsidR="5773B3E5">
        <w:rPr>
          <w:sz w:val="24"/>
          <w:szCs w:val="24"/>
          <w:lang w:val="en-US"/>
        </w:rPr>
        <w:t xml:space="preserve">potential </w:t>
      </w:r>
      <w:r w:rsidRPr="60435B4D" w:rsidR="558A5E25">
        <w:rPr>
          <w:sz w:val="24"/>
          <w:szCs w:val="24"/>
          <w:lang w:val="en-US"/>
        </w:rPr>
        <w:t>phenotypes (i.e., subgroups)</w:t>
      </w:r>
      <w:r w:rsidRPr="60435B4D" w:rsidR="5DB1DE94">
        <w:rPr>
          <w:sz w:val="24"/>
          <w:szCs w:val="24"/>
          <w:lang w:val="en-US"/>
        </w:rPr>
        <w:t xml:space="preserve">, we performed a </w:t>
      </w:r>
      <w:r w:rsidRPr="60435B4D" w:rsidR="770A7B6F">
        <w:rPr>
          <w:sz w:val="24"/>
          <w:szCs w:val="24"/>
          <w:lang w:val="en-US"/>
        </w:rPr>
        <w:t>latent class analysis</w:t>
      </w:r>
      <w:r w:rsidRPr="60435B4D" w:rsidR="5DB1DE94">
        <w:rPr>
          <w:sz w:val="24"/>
          <w:szCs w:val="24"/>
          <w:lang w:val="en-US"/>
        </w:rPr>
        <w:t xml:space="preserve"> (</w:t>
      </w:r>
      <w:proofErr w:type="spellStart"/>
      <w:r w:rsidRPr="60435B4D" w:rsidR="770A7B6F">
        <w:rPr>
          <w:sz w:val="24"/>
          <w:szCs w:val="24"/>
          <w:lang w:val="en-US"/>
        </w:rPr>
        <w:t>LCA</w:t>
      </w:r>
      <w:proofErr w:type="spellEnd"/>
      <w:r w:rsidRPr="60435B4D" w:rsidR="5DB1DE94">
        <w:rPr>
          <w:sz w:val="24"/>
          <w:szCs w:val="24"/>
          <w:lang w:val="en-US"/>
        </w:rPr>
        <w:t>), a statistically robust method</w:t>
      </w:r>
      <w:r w:rsidRPr="60435B4D" w:rsidR="69607915">
        <w:rPr>
          <w:sz w:val="24"/>
          <w:szCs w:val="24"/>
          <w:lang w:val="en-US"/>
        </w:rPr>
        <w:t xml:space="preserve"> which is a type of mixture modeling</w:t>
      </w:r>
      <w:r w:rsidRPr="60435B4D" w:rsidR="456A488E">
        <w:rPr>
          <w:sz w:val="24"/>
          <w:szCs w:val="24"/>
          <w:lang w:val="en-US"/>
        </w:rPr>
        <w:t>. The aim is</w:t>
      </w:r>
      <w:r w:rsidRPr="60435B4D" w:rsidR="5DB1DE94">
        <w:rPr>
          <w:sz w:val="24"/>
          <w:szCs w:val="24"/>
          <w:lang w:val="en-US"/>
        </w:rPr>
        <w:t xml:space="preserve"> </w:t>
      </w:r>
      <w:r w:rsidRPr="60435B4D" w:rsidR="61671DFE">
        <w:rPr>
          <w:sz w:val="24"/>
          <w:szCs w:val="24"/>
          <w:lang w:val="en-US"/>
        </w:rPr>
        <w:t xml:space="preserve">to identify </w:t>
      </w:r>
      <w:r w:rsidRPr="60435B4D" w:rsidR="52EBBE31">
        <w:rPr>
          <w:sz w:val="24"/>
          <w:szCs w:val="24"/>
          <w:lang w:val="en-US"/>
        </w:rPr>
        <w:t>unobservable (</w:t>
      </w:r>
      <w:r w:rsidRPr="60435B4D" w:rsidR="61671DFE">
        <w:rPr>
          <w:sz w:val="24"/>
          <w:szCs w:val="24"/>
          <w:lang w:val="en-US"/>
        </w:rPr>
        <w:t>latent</w:t>
      </w:r>
      <w:r w:rsidRPr="60435B4D" w:rsidR="52EBBE31">
        <w:rPr>
          <w:sz w:val="24"/>
          <w:szCs w:val="24"/>
          <w:lang w:val="en-US"/>
        </w:rPr>
        <w:t>)</w:t>
      </w:r>
      <w:r w:rsidRPr="60435B4D" w:rsidR="61671DFE">
        <w:rPr>
          <w:sz w:val="24"/>
          <w:szCs w:val="24"/>
          <w:lang w:val="en-US"/>
        </w:rPr>
        <w:t xml:space="preserve"> profile</w:t>
      </w:r>
      <w:r w:rsidRPr="60435B4D" w:rsidR="7A1DD0E5">
        <w:rPr>
          <w:sz w:val="24"/>
          <w:szCs w:val="24"/>
          <w:lang w:val="en-US"/>
        </w:rPr>
        <w:t xml:space="preserve">s </w:t>
      </w:r>
      <w:r w:rsidRPr="60435B4D" w:rsidR="61671DFE">
        <w:rPr>
          <w:sz w:val="24"/>
          <w:szCs w:val="24"/>
          <w:lang w:val="en-US"/>
        </w:rPr>
        <w:t>among</w:t>
      </w:r>
      <w:r w:rsidRPr="60435B4D" w:rsidR="06519242">
        <w:rPr>
          <w:sz w:val="24"/>
          <w:szCs w:val="24"/>
          <w:lang w:val="en-US"/>
        </w:rPr>
        <w:t xml:space="preserve"> </w:t>
      </w:r>
      <w:r w:rsidRPr="60435B4D" w:rsidR="770A7B6F">
        <w:rPr>
          <w:sz w:val="24"/>
          <w:szCs w:val="24"/>
          <w:lang w:val="en-US"/>
        </w:rPr>
        <w:t>heterogeneous</w:t>
      </w:r>
      <w:r w:rsidRPr="60435B4D" w:rsidR="06519242">
        <w:rPr>
          <w:sz w:val="24"/>
          <w:szCs w:val="24"/>
          <w:lang w:val="en-US"/>
        </w:rPr>
        <w:t xml:space="preserve"> group of patients</w:t>
      </w:r>
      <w:r w:rsidRPr="60435B4D" w:rsidR="456A488E">
        <w:rPr>
          <w:rStyle w:val="CommentReference"/>
          <w:sz w:val="24"/>
          <w:szCs w:val="24"/>
        </w:rPr>
        <w:t xml:space="preserve"> </w:t>
      </w:r>
      <w:r w:rsidRPr="60435B4D">
        <w:rPr>
          <w:sz w:val="24"/>
          <w:szCs w:val="24"/>
        </w:rPr>
        <w:fldChar w:fldCharType="begin"/>
      </w:r>
      <w:r w:rsidR="00A03CF2">
        <w:rPr>
          <w:sz w:val="24"/>
          <w:szCs w:val="24"/>
        </w:rPr>
        <w:instrText xml:space="preserve"> ADDIN ZOTERO_ITEM CSL_CITATION {"citationID":"QGnzezPZ","properties":{"formattedCitation":"(Sinha et al., 2021; Weller et al., 2020)","plainCitation":"(Sinha et al., 2021; Weller et al., 2020)","noteIndex":0},"citationItems":[{"id":101,"uris":["http://zotero.org/users/8514361/items/2T9E9D6J"],"itemData":{"id":101,"type":"article-journal","abstract":"Latent Class Analysis (LCA) is a probabilistic modelling algorithm that allows clustering of data and statistical inference. There has been a recent upsurge in the application of LCA in the fields of critical care, respiratory medicine, and beyond. In this review, we present a brief overview of the principles behind LCA. Further, in a stepwise manner, we outline the key processes necessary to perform LCA including some of the challenges and pitfalls faced at each of these steps. The review provides a one-stop shop for investigators seeking to apply LCA to their data.","container-title":"Critical care medicine","DOI":"10.1097/CCM.0000000000004710","ISSN":"0090-3493","issue":"1","journalAbbreviation":"Crit Care Med","note":"PMID: 33165028\nPMCID: PMC7746621","page":"e63-e79","source":"PubMed Central","title":"Practitioner’s Guide to Latent Class Analysis: Methodological Considerations and Common Pitfalls.","title-short":"Practitioner’s Guide to Latent Class Analysis","volume":"49","author":[{"family":"Sinha","given":"Pratik"},{"family":"Calfee","given":"Carolyn S."},{"family":"Delucchi","given":"Kevin L."}],"issued":{"date-parts":[["2021",1,1]]}}},{"id":277,"uris":["http://zotero.org/users/8514361/items/CG24G9CW"],"itemData":{"id":277,"type":"article-journal","abstract":"Latent class analysis (LCA) is a statistical procedure used to identify qualitatively different subgroups within populations who often share certain outward characteristics. The assumption underlying LCA is that membership in unobserved groups (or classes) can be explained by patterns of scores across survey questions, assessment indicators, or scales. The application of LCA is an active area of research and continues to evolve. As more researchers begin to apply the approach, detailed information on key considerations in conducting LCA is needed. In the present article, we describe LCA, review key elements to consider when conducting LCA, and provide an example of its application.","container-title":"Journal of Black Psychology","DOI":"10.1177/0095798420930932","ISSN":"0095-7984","issue":"4","language":"en","note":"publisher: SAGE Publications Inc","page":"287-311","source":"SAGE Journals","title":"Latent Class Analysis: A Guide to Best Practice","title-short":"Latent Class Analysis","volume":"46","author":[{"family":"Weller","given":"Bridget E."},{"family":"Bowen","given":"Natasha K."},{"family":"Faubert","given":"Sarah J."}],"issued":{"date-parts":[["2020",5,1]]}}}],"schema":"https://github.com/citation-style-language/schema/raw/master/csl-citation.json"} </w:instrText>
      </w:r>
      <w:r w:rsidRPr="60435B4D">
        <w:rPr>
          <w:sz w:val="24"/>
          <w:szCs w:val="24"/>
        </w:rPr>
        <w:fldChar w:fldCharType="separate"/>
      </w:r>
      <w:r w:rsidRPr="5045E0F5" w:rsidR="00681713">
        <w:rPr>
          <w:rFonts w:ascii="Calibri" w:hAnsi="Calibri" w:cs="Calibri"/>
          <w:sz w:val="24"/>
          <w:szCs w:val="24"/>
        </w:rPr>
        <w:t>(Sinha et al., 2021; Weller et al., 2020)</w:t>
      </w:r>
      <w:r w:rsidRPr="60435B4D">
        <w:rPr>
          <w:sz w:val="24"/>
          <w:szCs w:val="24"/>
        </w:rPr>
        <w:fldChar w:fldCharType="end"/>
      </w:r>
      <w:r w:rsidRPr="60435B4D" w:rsidR="5DB1DE94">
        <w:rPr>
          <w:sz w:val="24"/>
          <w:szCs w:val="24"/>
          <w:lang w:val="en-US"/>
        </w:rPr>
        <w:t>.</w:t>
      </w:r>
      <w:r w:rsidRPr="60435B4D" w:rsidR="192D54B4">
        <w:rPr>
          <w:sz w:val="24"/>
          <w:szCs w:val="24"/>
          <w:lang w:val="en-US"/>
        </w:rPr>
        <w:t xml:space="preserve"> </w:t>
      </w:r>
      <w:r w:rsidRPr="5045E0F5" w:rsidR="5DB1DE94">
        <w:rPr>
          <w:color w:val="FF0000"/>
          <w:sz w:val="24"/>
          <w:szCs w:val="24"/>
          <w:lang w:val="en-US"/>
        </w:rPr>
        <w:t xml:space="preserve">This analysis requires to include variables </w:t>
      </w:r>
      <w:r w:rsidRPr="5045E0F5" w:rsidR="4705225B">
        <w:rPr>
          <w:color w:val="FF0000"/>
          <w:sz w:val="24"/>
          <w:szCs w:val="24"/>
          <w:lang w:val="en-US"/>
        </w:rPr>
        <w:t xml:space="preserve">that are </w:t>
      </w:r>
      <w:r w:rsidRPr="5045E0F5" w:rsidR="4705225B">
        <w:rPr>
          <w:i/>
          <w:iCs/>
          <w:color w:val="FF0000"/>
          <w:sz w:val="24"/>
          <w:szCs w:val="24"/>
          <w:lang w:val="en-US"/>
        </w:rPr>
        <w:t>a priori</w:t>
      </w:r>
      <w:r w:rsidRPr="5045E0F5" w:rsidR="5DB1DE94">
        <w:rPr>
          <w:color w:val="FF0000"/>
          <w:sz w:val="24"/>
          <w:szCs w:val="24"/>
          <w:lang w:val="en-US"/>
        </w:rPr>
        <w:t xml:space="preserve"> thought to be implicated in </w:t>
      </w:r>
      <w:r w:rsidRPr="5045E0F5" w:rsidR="3B91C61B">
        <w:rPr>
          <w:color w:val="FF0000"/>
          <w:sz w:val="24"/>
          <w:szCs w:val="24"/>
          <w:lang w:val="en-US"/>
        </w:rPr>
        <w:t>CRPS</w:t>
      </w:r>
      <w:r w:rsidRPr="5045E0F5" w:rsidR="5DB1DE94">
        <w:rPr>
          <w:color w:val="FF0000"/>
          <w:sz w:val="24"/>
          <w:szCs w:val="24"/>
          <w:lang w:val="en-US"/>
        </w:rPr>
        <w:t xml:space="preserve"> </w:t>
      </w:r>
      <w:r w:rsidRPr="5045E0F5" w:rsidR="03ACB0C8">
        <w:rPr>
          <w:color w:val="FF0000"/>
          <w:sz w:val="24"/>
          <w:szCs w:val="24"/>
          <w:lang w:val="en-US"/>
        </w:rPr>
        <w:t>physiopathology</w:t>
      </w:r>
      <w:r w:rsidRPr="5045E0F5" w:rsidR="591F520E">
        <w:rPr>
          <w:color w:val="FF0000"/>
          <w:sz w:val="24"/>
          <w:szCs w:val="24"/>
          <w:lang w:val="en-US"/>
        </w:rPr>
        <w:t>, to identify mechanism-</w:t>
      </w:r>
      <w:r w:rsidRPr="5045E0F5" w:rsidR="6BA420E0">
        <w:rPr>
          <w:color w:val="FF0000"/>
          <w:sz w:val="24"/>
          <w:szCs w:val="24"/>
          <w:lang w:val="en-US"/>
        </w:rPr>
        <w:t xml:space="preserve">based </w:t>
      </w:r>
      <w:r w:rsidRPr="5045E0F5" w:rsidR="591F520E">
        <w:rPr>
          <w:color w:val="FF0000"/>
          <w:sz w:val="24"/>
          <w:szCs w:val="24"/>
          <w:lang w:val="en-US"/>
        </w:rPr>
        <w:t>subgroups</w:t>
      </w:r>
      <w:r w:rsidRPr="5045E0F5" w:rsidR="5DB1DE94">
        <w:rPr>
          <w:color w:val="FF0000"/>
          <w:sz w:val="24"/>
          <w:szCs w:val="24"/>
          <w:lang w:val="en-US"/>
        </w:rPr>
        <w:t>.</w:t>
      </w:r>
      <w:r w:rsidRPr="5045E0F5" w:rsidR="6F53986C">
        <w:rPr>
          <w:color w:val="FF0000"/>
          <w:sz w:val="24"/>
          <w:szCs w:val="24"/>
          <w:lang w:val="en-US"/>
        </w:rPr>
        <w:t xml:space="preserve"> </w:t>
      </w:r>
      <w:r w:rsidRPr="5045E0F5" w:rsidR="45A2319D">
        <w:rPr>
          <w:color w:val="FF0000"/>
          <w:sz w:val="24"/>
          <w:szCs w:val="24"/>
          <w:lang w:val="en-US"/>
        </w:rPr>
        <w:t xml:space="preserve">Two literature reviews </w:t>
      </w:r>
      <w:r w:rsidRPr="60435B4D">
        <w:rPr>
          <w:rFonts w:ascii="Calibri" w:hAnsi="Calibri" w:eastAsia="Calibri" w:cs="Calibri"/>
          <w:sz w:val="24"/>
          <w:szCs w:val="24"/>
        </w:rPr>
        <w:fldChar w:fldCharType="begin"/>
      </w:r>
      <w:r w:rsidR="00A03CF2">
        <w:rPr>
          <w:rFonts w:ascii="Calibri" w:hAnsi="Calibri" w:eastAsia="Calibri" w:cs="Calibri"/>
          <w:sz w:val="24"/>
          <w:szCs w:val="24"/>
        </w:rPr>
        <w:instrText xml:space="preserve"> ADDIN ZOTERO_ITEM CSL_CITATION {"citationID":"0aQr0wVu","properties":{"formattedCitation":"(Ferraro et al., 2024; Gierthm\\uc0\\u252{}hlen et al., 2014)","plainCitation":"(Ferraro et al., 2024; Gierthmühlen et al., 2014)","noteIndex":0},"citationItems":[{"id":204,"uris":["http://zotero.org/users/8514361/items/L4V25AMH"],"itemData":{"id":204,"type":"article-journal","container-title":"The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H."}],"issued":{"date-parts":[["2024",5,1]]}}},{"id":29,"uris":["http://zotero.org/users/8514361/items/DM6BL2HT"],"itemData":{"id":29,"type":"article-journal","abstract":"Complex regional pain syndromes (CRPS) are multifactorial disorders with complex aetiology and pathogenesis. Management of CRPS is challenging, partly because of a lack of clinical data regarding the efficacy of the various therapies, and partly because successful treatment of CRPS requires a multidisciplinary, patient-tailored approach. The pain in CRPS is often described as typical 'burning' neuropathic pain, and is accompanied by a variety of sensory, motor and autonomic signs and symptoms. Because research into therapies specifically in CRPS has been scarce, treatment for these syndromes has been largely based on therapeutic strategies adapted from neuropathic pain states; however, increased understanding of the pathogenesis of CRPS has provided the opportunity to develop mechanism-based treatments. The interactions between the multiple pathophysiological mechanisms that contribute to the development, progression and maintenance of CRPS remain poorly understood. This Review describes the challenges in linking the current theories and knowledge of pathophysiological mechanisms to the mode of actions of the different treatment approaches. We discuss the current treatment strategies for CRPS, including pharmacotherapy, sympathetic ganglion block interventions, psychological support, physiotherapy and occupational therapy, and establish the concept of mechanism-based treatment for CRPS.","container-title":"Nature Reviews. Neurology","DOI":"10.1038/nrneurol.2014.140","ISSN":"1759-4766","issue":"9","journalAbbreviation":"Nat Rev Neurol","language":"eng","note":"PMID: 25134708","page":"518-528","source":"PubMed","title":"Mechanism-based treatment in complex regional pain syndromes","volume":"10","author":[{"family":"Gierthmühlen","given":"Janne"},{"family":"Binder","given":"Andreas"},{"family":"Baron","given":"Ralf"}],"issued":{"date-parts":[["2014",9]]}}}],"schema":"https://github.com/citation-style-language/schema/raw/master/csl-citation.json"} </w:instrText>
      </w:r>
      <w:r w:rsidRPr="60435B4D">
        <w:rPr>
          <w:rFonts w:ascii="Calibri" w:hAnsi="Calibri" w:eastAsia="Calibri" w:cs="Calibri"/>
          <w:sz w:val="24"/>
          <w:szCs w:val="24"/>
        </w:rPr>
        <w:fldChar w:fldCharType="separate"/>
      </w:r>
      <w:r w:rsidRPr="5045E0F5" w:rsidR="008425F7">
        <w:rPr>
          <w:rFonts w:ascii="Calibri" w:hAnsi="Calibri" w:cs="Calibri"/>
          <w:color w:val="FF0000"/>
          <w:sz w:val="24"/>
          <w:szCs w:val="24"/>
        </w:rPr>
        <w:t>(Ferraro et al., 2024; Gierthmühlen et al., 2014)</w:t>
      </w:r>
      <w:r w:rsidRPr="60435B4D">
        <w:rPr>
          <w:rFonts w:ascii="Calibri" w:hAnsi="Calibri" w:eastAsia="Calibri" w:cs="Calibri"/>
          <w:sz w:val="24"/>
          <w:szCs w:val="24"/>
        </w:rPr>
        <w:fldChar w:fldCharType="end"/>
      </w:r>
      <w:r w:rsidRPr="5045E0F5" w:rsidR="45A2319D">
        <w:rPr>
          <w:color w:val="FF0000"/>
          <w:sz w:val="24"/>
          <w:szCs w:val="24"/>
          <w:lang w:val="en-US"/>
        </w:rPr>
        <w:t xml:space="preserve"> identify several categories of pa</w:t>
      </w:r>
      <w:r w:rsidR="005143E0">
        <w:rPr>
          <w:color w:val="FF0000"/>
          <w:sz w:val="24"/>
          <w:szCs w:val="24"/>
          <w:lang w:val="en-US"/>
        </w:rPr>
        <w:t>thophysio</w:t>
      </w:r>
      <w:r w:rsidRPr="5045E0F5" w:rsidR="45A2319D">
        <w:rPr>
          <w:color w:val="FF0000"/>
          <w:sz w:val="24"/>
          <w:szCs w:val="24"/>
          <w:lang w:val="en-US"/>
        </w:rPr>
        <w:t>logical mechanisms</w:t>
      </w:r>
      <w:r w:rsidRPr="5045E0F5" w:rsidR="13C6B675">
        <w:rPr>
          <w:color w:val="FF0000"/>
          <w:sz w:val="24"/>
          <w:szCs w:val="24"/>
          <w:lang w:val="en-US"/>
        </w:rPr>
        <w:t>; for each of these mechanisms we selected a potentially relevant measure</w:t>
      </w:r>
      <w:r w:rsidRPr="5045E0F5" w:rsidR="45A2319D">
        <w:rPr>
          <w:color w:val="FF0000"/>
          <w:sz w:val="24"/>
          <w:szCs w:val="24"/>
          <w:lang w:val="en-US"/>
        </w:rPr>
        <w:t xml:space="preserve">. </w:t>
      </w:r>
      <w:r w:rsidRPr="5045E0F5" w:rsidR="736560CD">
        <w:rPr>
          <w:color w:val="FF0000"/>
          <w:sz w:val="24"/>
          <w:szCs w:val="24"/>
          <w:lang w:val="en-US"/>
        </w:rPr>
        <w:t>The presence or absence of</w:t>
      </w:r>
      <w:r w:rsidRPr="5045E0F5" w:rsidR="1B07653E">
        <w:rPr>
          <w:color w:val="FF0000"/>
          <w:sz w:val="24"/>
          <w:szCs w:val="24"/>
          <w:lang w:val="en-US"/>
        </w:rPr>
        <w:t xml:space="preserve"> </w:t>
      </w:r>
      <w:r w:rsidRPr="5045E0F5" w:rsidR="07373CD6">
        <w:rPr>
          <w:color w:val="FF0000"/>
          <w:sz w:val="24"/>
          <w:szCs w:val="24"/>
          <w:lang w:val="en-US"/>
        </w:rPr>
        <w:t xml:space="preserve">sensitization </w:t>
      </w:r>
      <w:r w:rsidRPr="5045E0F5" w:rsidR="22A0E7BE">
        <w:rPr>
          <w:color w:val="FF0000"/>
          <w:sz w:val="24"/>
          <w:szCs w:val="24"/>
          <w:lang w:val="en-US"/>
        </w:rPr>
        <w:t>was assessed using the</w:t>
      </w:r>
      <w:r w:rsidRPr="5045E0F5" w:rsidR="2E8640F0">
        <w:rPr>
          <w:color w:val="FF0000"/>
          <w:sz w:val="24"/>
          <w:szCs w:val="24"/>
          <w:lang w:val="en-US"/>
        </w:rPr>
        <w:t xml:space="preserve"> allodynia </w:t>
      </w:r>
      <w:r w:rsidRPr="5045E0F5" w:rsidR="5443833B">
        <w:rPr>
          <w:color w:val="FF0000"/>
          <w:sz w:val="24"/>
          <w:szCs w:val="24"/>
          <w:lang w:val="en-US"/>
        </w:rPr>
        <w:t>(</w:t>
      </w:r>
      <w:r w:rsidRPr="5045E0F5" w:rsidR="2E8640F0">
        <w:rPr>
          <w:color w:val="FF0000"/>
          <w:sz w:val="24"/>
          <w:szCs w:val="24"/>
          <w:lang w:val="en-US"/>
        </w:rPr>
        <w:t>sign</w:t>
      </w:r>
      <w:r w:rsidRPr="5045E0F5" w:rsidR="514E74C4">
        <w:rPr>
          <w:color w:val="FF0000"/>
          <w:sz w:val="24"/>
          <w:szCs w:val="24"/>
          <w:lang w:val="en-US"/>
        </w:rPr>
        <w:t>)</w:t>
      </w:r>
      <w:r w:rsidRPr="5045E0F5" w:rsidR="60C21224">
        <w:rPr>
          <w:color w:val="FF0000"/>
          <w:sz w:val="24"/>
          <w:szCs w:val="24"/>
          <w:lang w:val="en-US"/>
        </w:rPr>
        <w:t xml:space="preserve"> and PPT </w:t>
      </w:r>
      <w:r w:rsidRPr="5045E0F5" w:rsidR="5520958B">
        <w:rPr>
          <w:color w:val="FF0000"/>
          <w:sz w:val="24"/>
          <w:szCs w:val="24"/>
          <w:lang w:val="en-US"/>
        </w:rPr>
        <w:t>(</w:t>
      </w:r>
      <w:r w:rsidRPr="5045E0F5" w:rsidR="60C21224">
        <w:rPr>
          <w:color w:val="FF0000"/>
          <w:sz w:val="24"/>
          <w:szCs w:val="24"/>
          <w:lang w:val="en-US"/>
        </w:rPr>
        <w:t xml:space="preserve">Z-score of the affected side, normalized by the </w:t>
      </w:r>
      <w:r w:rsidRPr="5045E0F5" w:rsidR="08BC6B42">
        <w:rPr>
          <w:color w:val="FF0000"/>
          <w:sz w:val="24"/>
          <w:szCs w:val="24"/>
          <w:lang w:val="en-US"/>
        </w:rPr>
        <w:t>normative values</w:t>
      </w:r>
      <w:r w:rsidRPr="5045E0F5" w:rsidR="60C21224">
        <w:rPr>
          <w:color w:val="FF0000"/>
          <w:sz w:val="24"/>
          <w:szCs w:val="24"/>
          <w:lang w:val="en-US"/>
        </w:rPr>
        <w:t>)</w:t>
      </w:r>
      <w:r w:rsidRPr="5045E0F5" w:rsidR="2E8640F0">
        <w:rPr>
          <w:color w:val="FF0000"/>
          <w:sz w:val="24"/>
          <w:szCs w:val="24"/>
          <w:lang w:val="en-US"/>
        </w:rPr>
        <w:t xml:space="preserve">, </w:t>
      </w:r>
      <w:r w:rsidRPr="5045E0F5" w:rsidR="42586616">
        <w:rPr>
          <w:color w:val="FF0000"/>
          <w:sz w:val="24"/>
          <w:szCs w:val="24"/>
          <w:lang w:val="en-US"/>
        </w:rPr>
        <w:t xml:space="preserve">psychosocial indicators of </w:t>
      </w:r>
      <w:r w:rsidRPr="5045E0F5" w:rsidR="62DF9ECC">
        <w:rPr>
          <w:color w:val="FF0000"/>
          <w:sz w:val="24"/>
          <w:szCs w:val="24"/>
          <w:lang w:val="en-US"/>
        </w:rPr>
        <w:t xml:space="preserve">the </w:t>
      </w:r>
      <w:r w:rsidRPr="5045E0F5" w:rsidR="42586616">
        <w:rPr>
          <w:color w:val="FF0000"/>
          <w:sz w:val="24"/>
          <w:szCs w:val="24"/>
          <w:lang w:val="en-US"/>
        </w:rPr>
        <w:t xml:space="preserve">risk of </w:t>
      </w:r>
      <w:proofErr w:type="spellStart"/>
      <w:r w:rsidRPr="5045E0F5" w:rsidR="42586616">
        <w:rPr>
          <w:color w:val="FF0000"/>
          <w:sz w:val="24"/>
          <w:szCs w:val="24"/>
          <w:lang w:val="en-US"/>
        </w:rPr>
        <w:t>chronification</w:t>
      </w:r>
      <w:proofErr w:type="spellEnd"/>
      <w:r w:rsidRPr="5045E0F5" w:rsidR="42586616">
        <w:rPr>
          <w:color w:val="FF0000"/>
          <w:sz w:val="24"/>
          <w:szCs w:val="24"/>
          <w:lang w:val="en-US"/>
        </w:rPr>
        <w:t xml:space="preserve"> </w:t>
      </w:r>
      <w:r w:rsidRPr="5045E0F5" w:rsidR="2B02D967">
        <w:rPr>
          <w:color w:val="FF0000"/>
          <w:sz w:val="24"/>
          <w:szCs w:val="24"/>
          <w:lang w:val="en-US"/>
        </w:rPr>
        <w:t xml:space="preserve">were measured using the </w:t>
      </w:r>
      <w:proofErr w:type="spellStart"/>
      <w:r w:rsidRPr="5045E0F5" w:rsidR="2E8640F0">
        <w:rPr>
          <w:color w:val="FF0000"/>
          <w:sz w:val="24"/>
          <w:szCs w:val="24"/>
          <w:lang w:val="en-US"/>
        </w:rPr>
        <w:t>OMPSQ</w:t>
      </w:r>
      <w:proofErr w:type="spellEnd"/>
      <w:r w:rsidRPr="5045E0F5" w:rsidR="2E8640F0">
        <w:rPr>
          <w:color w:val="FF0000"/>
          <w:sz w:val="24"/>
          <w:szCs w:val="24"/>
          <w:lang w:val="en-US"/>
        </w:rPr>
        <w:t xml:space="preserve">-SF score, </w:t>
      </w:r>
      <w:r w:rsidRPr="5045E0F5" w:rsidR="15E1B115">
        <w:rPr>
          <w:color w:val="FF0000"/>
          <w:sz w:val="24"/>
          <w:szCs w:val="24"/>
          <w:lang w:val="en-US"/>
        </w:rPr>
        <w:t>d</w:t>
      </w:r>
      <w:r w:rsidRPr="5045E0F5" w:rsidR="5567ADC0">
        <w:rPr>
          <w:color w:val="FF0000"/>
          <w:sz w:val="24"/>
          <w:szCs w:val="24"/>
          <w:lang w:val="en-US"/>
        </w:rPr>
        <w:t xml:space="preserve">isturbed </w:t>
      </w:r>
      <w:r w:rsidRPr="5045E0F5" w:rsidR="47836E5A">
        <w:rPr>
          <w:color w:val="FF0000"/>
          <w:sz w:val="24"/>
          <w:szCs w:val="24"/>
          <w:lang w:val="en-US"/>
        </w:rPr>
        <w:t>body scheme</w:t>
      </w:r>
      <w:r w:rsidRPr="5045E0F5" w:rsidR="519348AD">
        <w:rPr>
          <w:color w:val="FF0000"/>
          <w:sz w:val="24"/>
          <w:szCs w:val="24"/>
          <w:lang w:val="en-US"/>
        </w:rPr>
        <w:t xml:space="preserve"> </w:t>
      </w:r>
      <w:r w:rsidRPr="5045E0F5" w:rsidR="558842B7">
        <w:rPr>
          <w:color w:val="FF0000"/>
          <w:sz w:val="24"/>
          <w:szCs w:val="24"/>
          <w:lang w:val="en-US"/>
        </w:rPr>
        <w:t xml:space="preserve">was evaluated with </w:t>
      </w:r>
      <w:r w:rsidRPr="5045E0F5" w:rsidR="798B8FB4">
        <w:rPr>
          <w:color w:val="FF0000"/>
          <w:sz w:val="24"/>
          <w:szCs w:val="24"/>
          <w:lang w:val="en-US"/>
        </w:rPr>
        <w:t>the</w:t>
      </w:r>
      <w:r w:rsidR="008E310F">
        <w:rPr>
          <w:color w:val="FF0000"/>
          <w:sz w:val="24"/>
          <w:szCs w:val="24"/>
          <w:lang w:val="en-US"/>
        </w:rPr>
        <w:t xml:space="preserve"> </w:t>
      </w:r>
      <w:r w:rsidRPr="5045E0F5" w:rsidR="2E8640F0">
        <w:rPr>
          <w:color w:val="FF0000"/>
          <w:sz w:val="24"/>
          <w:szCs w:val="24"/>
          <w:lang w:val="en-US"/>
        </w:rPr>
        <w:t>r-C</w:t>
      </w:r>
      <w:r w:rsidRPr="5045E0F5" w:rsidR="18366D2F">
        <w:rPr>
          <w:color w:val="FF0000"/>
          <w:sz w:val="24"/>
          <w:szCs w:val="24"/>
          <w:lang w:val="en-US"/>
        </w:rPr>
        <w:t>RP</w:t>
      </w:r>
      <w:r w:rsidRPr="5045E0F5" w:rsidR="2E8640F0">
        <w:rPr>
          <w:color w:val="FF0000"/>
          <w:sz w:val="24"/>
          <w:szCs w:val="24"/>
          <w:lang w:val="en-US"/>
        </w:rPr>
        <w:t>S-bath-</w:t>
      </w:r>
      <w:proofErr w:type="spellStart"/>
      <w:r w:rsidRPr="5045E0F5" w:rsidR="2E8640F0">
        <w:rPr>
          <w:color w:val="FF0000"/>
          <w:sz w:val="24"/>
          <w:szCs w:val="24"/>
          <w:lang w:val="en-US"/>
        </w:rPr>
        <w:t>BPDS</w:t>
      </w:r>
      <w:proofErr w:type="spellEnd"/>
      <w:r w:rsidRPr="5045E0F5" w:rsidR="2E8640F0">
        <w:rPr>
          <w:color w:val="FF0000"/>
          <w:sz w:val="24"/>
          <w:szCs w:val="24"/>
          <w:lang w:val="en-US"/>
        </w:rPr>
        <w:t xml:space="preserve">, </w:t>
      </w:r>
      <w:r w:rsidR="004C4D08">
        <w:rPr>
          <w:color w:val="FF0000"/>
          <w:sz w:val="24"/>
          <w:szCs w:val="24"/>
          <w:lang w:val="en-US"/>
        </w:rPr>
        <w:t>presumed</w:t>
      </w:r>
      <w:r w:rsidRPr="5045E0F5" w:rsidR="004C4D08">
        <w:rPr>
          <w:color w:val="FF0000"/>
          <w:sz w:val="24"/>
          <w:szCs w:val="24"/>
          <w:lang w:val="en-US"/>
        </w:rPr>
        <w:t xml:space="preserve"> </w:t>
      </w:r>
      <w:r w:rsidRPr="5045E0F5" w:rsidR="698DE2A5">
        <w:rPr>
          <w:color w:val="FF0000"/>
          <w:sz w:val="24"/>
          <w:szCs w:val="24"/>
          <w:lang w:val="en-US"/>
        </w:rPr>
        <w:t xml:space="preserve">inflammatory response </w:t>
      </w:r>
      <w:r w:rsidRPr="5045E0F5" w:rsidR="3AF887AC">
        <w:rPr>
          <w:color w:val="FF0000"/>
          <w:sz w:val="24"/>
          <w:szCs w:val="24"/>
          <w:lang w:val="en-US"/>
        </w:rPr>
        <w:t>was indirectly inferred from the</w:t>
      </w:r>
      <w:r w:rsidRPr="5045E0F5" w:rsidR="698DE2A5">
        <w:rPr>
          <w:color w:val="FF0000"/>
          <w:sz w:val="24"/>
          <w:szCs w:val="24"/>
          <w:lang w:val="en-US"/>
        </w:rPr>
        <w:t xml:space="preserve"> </w:t>
      </w:r>
      <w:r w:rsidRPr="5045E0F5" w:rsidR="2E8640F0">
        <w:rPr>
          <w:color w:val="FF0000"/>
          <w:sz w:val="24"/>
          <w:szCs w:val="24"/>
          <w:lang w:val="en-US"/>
        </w:rPr>
        <w:t xml:space="preserve">physical severity of the triggering event, </w:t>
      </w:r>
      <w:r w:rsidRPr="5045E0F5" w:rsidR="5D9EFC76">
        <w:rPr>
          <w:color w:val="FF0000"/>
          <w:sz w:val="24"/>
          <w:szCs w:val="24"/>
          <w:lang w:val="en-US"/>
        </w:rPr>
        <w:t xml:space="preserve">and </w:t>
      </w:r>
      <w:r w:rsidRPr="5045E0F5" w:rsidR="44E8BF4B">
        <w:rPr>
          <w:color w:val="FF0000"/>
          <w:sz w:val="24"/>
          <w:szCs w:val="24"/>
          <w:lang w:val="en-US"/>
        </w:rPr>
        <w:t xml:space="preserve">vasomotor dysfunction </w:t>
      </w:r>
      <w:r w:rsidRPr="5045E0F5" w:rsidR="1D953799">
        <w:rPr>
          <w:color w:val="FF0000"/>
          <w:sz w:val="24"/>
          <w:szCs w:val="24"/>
          <w:lang w:val="en-US"/>
        </w:rPr>
        <w:t xml:space="preserve">was evaluated using the </w:t>
      </w:r>
      <w:r w:rsidRPr="5045E0F5" w:rsidR="44E8BF4B">
        <w:rPr>
          <w:color w:val="FF0000"/>
          <w:sz w:val="24"/>
          <w:szCs w:val="24"/>
          <w:lang w:val="en-US"/>
        </w:rPr>
        <w:t xml:space="preserve">difference </w:t>
      </w:r>
      <w:r w:rsidRPr="5045E0F5" w:rsidR="0BC4689D">
        <w:rPr>
          <w:color w:val="FF0000"/>
          <w:sz w:val="24"/>
          <w:szCs w:val="24"/>
          <w:lang w:val="en-US"/>
        </w:rPr>
        <w:t xml:space="preserve">in skin temperature </w:t>
      </w:r>
      <w:r w:rsidRPr="5045E0F5" w:rsidR="44E8BF4B">
        <w:rPr>
          <w:color w:val="FF0000"/>
          <w:sz w:val="24"/>
          <w:szCs w:val="24"/>
          <w:lang w:val="en-US"/>
        </w:rPr>
        <w:t xml:space="preserve">between the affected and </w:t>
      </w:r>
      <w:r w:rsidRPr="5045E0F5" w:rsidR="3BC92E48">
        <w:rPr>
          <w:color w:val="FF0000"/>
          <w:sz w:val="24"/>
          <w:szCs w:val="24"/>
          <w:lang w:val="en-US"/>
        </w:rPr>
        <w:t>contralateral limb</w:t>
      </w:r>
      <w:r w:rsidRPr="5045E0F5" w:rsidR="2E8640F0">
        <w:rPr>
          <w:color w:val="FF0000"/>
          <w:sz w:val="24"/>
          <w:szCs w:val="24"/>
          <w:lang w:val="en-US"/>
        </w:rPr>
        <w:t>.</w:t>
      </w:r>
      <w:r w:rsidRPr="60435B4D" w:rsidR="2E8640F0">
        <w:rPr>
          <w:sz w:val="24"/>
          <w:szCs w:val="24"/>
          <w:lang w:val="en-US"/>
        </w:rPr>
        <w:t xml:space="preserve"> </w:t>
      </w:r>
      <w:r w:rsidRPr="60435B4D" w:rsidR="658CF60F">
        <w:rPr>
          <w:sz w:val="24"/>
          <w:szCs w:val="24"/>
          <w:lang w:val="en-US"/>
        </w:rPr>
        <w:t xml:space="preserve">Only subjects with no missing data were included. </w:t>
      </w:r>
      <w:r w:rsidRPr="60435B4D" w:rsidR="5770E467">
        <w:rPr>
          <w:sz w:val="24"/>
          <w:szCs w:val="24"/>
          <w:lang w:val="en-US"/>
        </w:rPr>
        <w:t xml:space="preserve">Collinearity between variables was assessed using Variance Inflation Factor (VIF) (&gt;4). </w:t>
      </w:r>
      <w:r w:rsidRPr="60435B4D" w:rsidR="4F974809">
        <w:rPr>
          <w:sz w:val="24"/>
          <w:szCs w:val="24"/>
          <w:lang w:val="en-US"/>
        </w:rPr>
        <w:t xml:space="preserve">For further explanations related to the </w:t>
      </w:r>
      <w:proofErr w:type="spellStart"/>
      <w:r w:rsidRPr="60435B4D" w:rsidR="4F974809">
        <w:rPr>
          <w:sz w:val="24"/>
          <w:szCs w:val="24"/>
          <w:lang w:val="en-US"/>
        </w:rPr>
        <w:t>LCA</w:t>
      </w:r>
      <w:proofErr w:type="spellEnd"/>
      <w:r w:rsidRPr="60435B4D" w:rsidR="4F974809">
        <w:rPr>
          <w:sz w:val="24"/>
          <w:szCs w:val="24"/>
          <w:lang w:val="en-US"/>
        </w:rPr>
        <w:t xml:space="preserve"> procedure</w:t>
      </w:r>
      <w:r w:rsidRPr="60435B4D" w:rsidR="6A152FDF">
        <w:rPr>
          <w:sz w:val="24"/>
          <w:szCs w:val="24"/>
          <w:lang w:val="en-US"/>
        </w:rPr>
        <w:t xml:space="preserve">, see </w:t>
      </w:r>
      <w:r w:rsidRPr="60435B4D" w:rsidR="6985B700">
        <w:rPr>
          <w:i/>
          <w:iCs/>
          <w:sz w:val="24"/>
          <w:szCs w:val="24"/>
          <w:lang w:val="en-US"/>
        </w:rPr>
        <w:t xml:space="preserve">Supplementary materials </w:t>
      </w:r>
      <w:r w:rsidRPr="60435B4D" w:rsidR="63B9D4F8">
        <w:rPr>
          <w:i/>
          <w:iCs/>
          <w:sz w:val="24"/>
          <w:szCs w:val="24"/>
          <w:lang w:val="en-US"/>
        </w:rPr>
        <w:t>6. Latent class analysis – statistical considerations</w:t>
      </w:r>
      <w:r w:rsidR="007D1D0C">
        <w:rPr>
          <w:i/>
          <w:iCs/>
          <w:sz w:val="24"/>
          <w:szCs w:val="24"/>
          <w:lang w:val="en-US"/>
        </w:rPr>
        <w:t xml:space="preserve"> [tableS</w:t>
      </w:r>
      <w:r w:rsidRPr="00E55DF8" w:rsidR="007D1D0C">
        <w:rPr>
          <w:i/>
          <w:iCs/>
          <w:color w:val="FF0000"/>
          <w:sz w:val="24"/>
          <w:szCs w:val="24"/>
          <w:lang w:val="en-US"/>
        </w:rPr>
        <w:t>1</w:t>
      </w:r>
      <w:r w:rsidRPr="00E55DF8" w:rsidR="47D72C38">
        <w:rPr>
          <w:i/>
          <w:iCs/>
          <w:color w:val="FF0000"/>
          <w:sz w:val="24"/>
          <w:szCs w:val="24"/>
          <w:lang w:val="en-US"/>
        </w:rPr>
        <w:t>4</w:t>
      </w:r>
      <w:r w:rsidR="007D1D0C">
        <w:rPr>
          <w:i/>
          <w:iCs/>
          <w:sz w:val="24"/>
          <w:szCs w:val="24"/>
          <w:lang w:val="en-US"/>
        </w:rPr>
        <w:t>]</w:t>
      </w:r>
      <w:r w:rsidRPr="60435B4D" w:rsidR="63B9D4F8">
        <w:rPr>
          <w:i/>
          <w:iCs/>
          <w:sz w:val="24"/>
          <w:szCs w:val="24"/>
          <w:lang w:val="en-US"/>
        </w:rPr>
        <w:t xml:space="preserve">. </w:t>
      </w:r>
    </w:p>
    <w:p w:rsidRPr="00171B6F" w:rsidR="00B51692" w:rsidP="560E2E1C" w:rsidRDefault="7DFACADC" w14:paraId="2C6E5545" w14:textId="3CCE9F50">
      <w:pPr>
        <w:pStyle w:val="Heading1"/>
        <w:spacing w:line="480" w:lineRule="auto"/>
        <w:rPr>
          <w:rFonts w:ascii="Calibri" w:hAnsi="Calibri" w:eastAsia="Calibri" w:cs="Calibri"/>
          <w:sz w:val="24"/>
          <w:szCs w:val="24"/>
        </w:rPr>
      </w:pPr>
      <w:r w:rsidRPr="560E2E1C">
        <w:rPr>
          <w:sz w:val="24"/>
          <w:szCs w:val="24"/>
        </w:rPr>
        <w:t>Results</w:t>
      </w:r>
    </w:p>
    <w:p w:rsidRPr="00171B6F" w:rsidR="6067D52C" w:rsidRDefault="1CD694C2" w14:paraId="2AFB5B2A" w14:textId="44403827">
      <w:pPr>
        <w:pStyle w:val="Heading2"/>
        <w:numPr>
          <w:ilvl w:val="0"/>
          <w:numId w:val="11"/>
        </w:numPr>
        <w:rPr>
          <w:rFonts w:ascii="Calibri" w:hAnsi="Calibri" w:eastAsia="Calibri" w:cs="Calibri"/>
        </w:rPr>
      </w:pPr>
      <w:r w:rsidRPr="560E2E1C">
        <w:lastRenderedPageBreak/>
        <w:t>P</w:t>
      </w:r>
      <w:r w:rsidRPr="560E2E1C" w:rsidR="71A67C0A">
        <w:t>articipants</w:t>
      </w:r>
      <w:r w:rsidRPr="560E2E1C" w:rsidR="184E37CE">
        <w:t xml:space="preserve"> characteristics</w:t>
      </w:r>
    </w:p>
    <w:p w:rsidRPr="00171B6F" w:rsidR="738AD6A3" w:rsidP="560E2E1C" w:rsidRDefault="2CB9FC15" w14:paraId="58486A4F" w14:textId="7AEC4FA2">
      <w:pPr>
        <w:spacing w:line="480" w:lineRule="auto"/>
        <w:jc w:val="both"/>
        <w:rPr>
          <w:rFonts w:ascii="Calibri" w:hAnsi="Calibri" w:eastAsia="Calibri" w:cs="Calibri"/>
          <w:color w:val="000000" w:themeColor="text1"/>
          <w:sz w:val="24"/>
          <w:szCs w:val="24"/>
        </w:rPr>
      </w:pPr>
      <w:r w:rsidRPr="4EF8719D">
        <w:rPr>
          <w:rFonts w:eastAsiaTheme="minorEastAsia"/>
          <w:sz w:val="24"/>
          <w:szCs w:val="24"/>
        </w:rPr>
        <w:t xml:space="preserve">Figure 1 shows the flowchart of the </w:t>
      </w:r>
      <w:r w:rsidRPr="4EF8719D" w:rsidR="2B6416F5">
        <w:rPr>
          <w:rFonts w:eastAsiaTheme="minorEastAsia"/>
          <w:sz w:val="24"/>
          <w:szCs w:val="24"/>
        </w:rPr>
        <w:t>pa</w:t>
      </w:r>
      <w:r w:rsidRPr="4EF8719D" w:rsidR="349F2B99">
        <w:rPr>
          <w:rFonts w:eastAsiaTheme="minorEastAsia"/>
          <w:sz w:val="24"/>
          <w:szCs w:val="24"/>
        </w:rPr>
        <w:t xml:space="preserve">rticipant </w:t>
      </w:r>
      <w:r w:rsidRPr="4EF8719D" w:rsidR="2B6416F5">
        <w:rPr>
          <w:rFonts w:eastAsiaTheme="minorEastAsia"/>
          <w:sz w:val="24"/>
          <w:szCs w:val="24"/>
        </w:rPr>
        <w:t>selection</w:t>
      </w:r>
      <w:r w:rsidRPr="4EF8719D" w:rsidR="6F7188B0">
        <w:rPr>
          <w:rFonts w:eastAsiaTheme="minorEastAsia"/>
          <w:sz w:val="24"/>
          <w:szCs w:val="24"/>
        </w:rPr>
        <w:t xml:space="preserve"> procedure</w:t>
      </w:r>
      <w:r w:rsidRPr="4EF8719D">
        <w:rPr>
          <w:rFonts w:eastAsiaTheme="minorEastAsia"/>
          <w:sz w:val="24"/>
          <w:szCs w:val="24"/>
        </w:rPr>
        <w:t xml:space="preserve">. </w:t>
      </w:r>
      <w:r w:rsidRPr="4EF8719D" w:rsidR="2CFBDB70">
        <w:rPr>
          <w:rFonts w:eastAsiaTheme="minorEastAsia"/>
          <w:sz w:val="24"/>
          <w:szCs w:val="24"/>
        </w:rPr>
        <w:t>In tot</w:t>
      </w:r>
      <w:r w:rsidRPr="4EF8719D" w:rsidR="2CFBDB70">
        <w:rPr>
          <w:rFonts w:ascii="Calibri" w:hAnsi="Calibri" w:eastAsia="Calibri" w:cs="Calibri"/>
          <w:sz w:val="24"/>
          <w:szCs w:val="24"/>
        </w:rPr>
        <w:t>al</w:t>
      </w:r>
      <w:r w:rsidRPr="4EF8719D" w:rsidR="571C225C">
        <w:rPr>
          <w:rFonts w:ascii="Calibri" w:hAnsi="Calibri" w:eastAsia="Calibri" w:cs="Calibri"/>
          <w:sz w:val="24"/>
          <w:szCs w:val="24"/>
        </w:rPr>
        <w:t>,</w:t>
      </w:r>
      <w:r w:rsidRPr="4EF8719D" w:rsidR="2CFBDB70">
        <w:rPr>
          <w:rFonts w:ascii="Calibri" w:hAnsi="Calibri" w:eastAsia="Calibri" w:cs="Calibri"/>
          <w:sz w:val="24"/>
          <w:szCs w:val="24"/>
        </w:rPr>
        <w:t xml:space="preserve"> </w:t>
      </w:r>
      <w:r w:rsidRPr="4EF8719D" w:rsidR="70DF54A1">
        <w:rPr>
          <w:rFonts w:ascii="Calibri" w:hAnsi="Calibri" w:eastAsia="Calibri" w:cs="Calibri"/>
          <w:sz w:val="24"/>
          <w:szCs w:val="24"/>
        </w:rPr>
        <w:t xml:space="preserve">158 </w:t>
      </w:r>
      <w:r w:rsidRPr="4EF8719D" w:rsidR="73EC33AA">
        <w:rPr>
          <w:rFonts w:ascii="Calibri" w:hAnsi="Calibri" w:eastAsia="Calibri" w:cs="Calibri"/>
          <w:sz w:val="24"/>
          <w:szCs w:val="24"/>
        </w:rPr>
        <w:t xml:space="preserve">patients </w:t>
      </w:r>
      <w:r w:rsidRPr="4EF8719D" w:rsidR="1E80E5FB">
        <w:rPr>
          <w:rFonts w:ascii="Calibri" w:hAnsi="Calibri" w:eastAsia="Calibri" w:cs="Calibri"/>
          <w:sz w:val="24"/>
          <w:szCs w:val="24"/>
        </w:rPr>
        <w:t xml:space="preserve">were contacted. </w:t>
      </w:r>
      <w:r w:rsidRPr="4EF8719D" w:rsidR="6B3BD1B5">
        <w:rPr>
          <w:rFonts w:ascii="Calibri" w:hAnsi="Calibri" w:eastAsia="Calibri" w:cs="Calibri"/>
          <w:sz w:val="24"/>
          <w:szCs w:val="24"/>
        </w:rPr>
        <w:t xml:space="preserve">Finally, </w:t>
      </w:r>
      <w:r w:rsidRPr="4EF8719D" w:rsidR="542B76CD">
        <w:rPr>
          <w:rFonts w:ascii="Calibri" w:hAnsi="Calibri" w:eastAsia="Calibri" w:cs="Calibri"/>
          <w:sz w:val="24"/>
          <w:szCs w:val="24"/>
        </w:rPr>
        <w:t>1</w:t>
      </w:r>
      <w:r w:rsidRPr="4EF8719D" w:rsidR="2DD334D4">
        <w:rPr>
          <w:rFonts w:ascii="Calibri" w:hAnsi="Calibri" w:eastAsia="Calibri" w:cs="Calibri"/>
          <w:sz w:val="24"/>
          <w:szCs w:val="24"/>
        </w:rPr>
        <w:t xml:space="preserve">13 </w:t>
      </w:r>
      <w:r w:rsidRPr="4EF8719D" w:rsidR="0748158A">
        <w:rPr>
          <w:rFonts w:ascii="Calibri" w:hAnsi="Calibri" w:eastAsia="Calibri" w:cs="Calibri"/>
          <w:sz w:val="24"/>
          <w:szCs w:val="24"/>
        </w:rPr>
        <w:t xml:space="preserve">participants </w:t>
      </w:r>
      <w:r w:rsidRPr="4EF8719D" w:rsidR="4BB99AE9">
        <w:rPr>
          <w:rFonts w:ascii="Calibri" w:hAnsi="Calibri" w:eastAsia="Calibri" w:cs="Calibri"/>
          <w:sz w:val="24"/>
          <w:szCs w:val="24"/>
        </w:rPr>
        <w:t xml:space="preserve">were </w:t>
      </w:r>
      <w:r w:rsidRPr="4EF8719D" w:rsidR="241924E7">
        <w:rPr>
          <w:rFonts w:ascii="Calibri" w:hAnsi="Calibri" w:eastAsia="Calibri" w:cs="Calibri"/>
          <w:sz w:val="24"/>
          <w:szCs w:val="24"/>
        </w:rPr>
        <w:t xml:space="preserve">included </w:t>
      </w:r>
      <w:r w:rsidRPr="4EF8719D" w:rsidR="2ACB1884">
        <w:rPr>
          <w:rFonts w:ascii="Calibri" w:hAnsi="Calibri" w:eastAsia="Calibri" w:cs="Calibri"/>
          <w:sz w:val="24"/>
          <w:szCs w:val="24"/>
        </w:rPr>
        <w:t>in the study</w:t>
      </w:r>
      <w:r w:rsidRPr="4EF8719D" w:rsidR="241A47A5">
        <w:rPr>
          <w:rFonts w:ascii="Calibri" w:hAnsi="Calibri" w:eastAsia="Calibri" w:cs="Calibri"/>
          <w:sz w:val="24"/>
          <w:szCs w:val="24"/>
        </w:rPr>
        <w:t xml:space="preserve">, </w:t>
      </w:r>
      <w:r w:rsidRPr="4EF8719D" w:rsidR="05F08880">
        <w:rPr>
          <w:rFonts w:ascii="Calibri" w:hAnsi="Calibri" w:eastAsia="Calibri" w:cs="Calibri"/>
          <w:sz w:val="24"/>
          <w:szCs w:val="24"/>
        </w:rPr>
        <w:t>2</w:t>
      </w:r>
      <w:r w:rsidRPr="4EF8719D" w:rsidR="048230D2">
        <w:rPr>
          <w:rFonts w:ascii="Calibri" w:hAnsi="Calibri" w:eastAsia="Calibri" w:cs="Calibri"/>
          <w:sz w:val="24"/>
          <w:szCs w:val="24"/>
        </w:rPr>
        <w:t>1</w:t>
      </w:r>
      <w:r w:rsidRPr="4EF8719D" w:rsidR="12E442A9">
        <w:rPr>
          <w:rFonts w:ascii="Calibri" w:hAnsi="Calibri" w:eastAsia="Calibri" w:cs="Calibri"/>
          <w:sz w:val="24"/>
          <w:szCs w:val="24"/>
        </w:rPr>
        <w:t>% of them performed only the online session</w:t>
      </w:r>
      <w:r w:rsidRPr="4EF8719D" w:rsidR="30B31BF8">
        <w:rPr>
          <w:rFonts w:ascii="Calibri" w:hAnsi="Calibri" w:eastAsia="Calibri" w:cs="Calibri"/>
          <w:sz w:val="24"/>
          <w:szCs w:val="24"/>
        </w:rPr>
        <w:t xml:space="preserve">. </w:t>
      </w:r>
      <w:r w:rsidRPr="4EF8719D" w:rsidR="69C69A67">
        <w:rPr>
          <w:rFonts w:ascii="Calibri" w:hAnsi="Calibri" w:eastAsia="Calibri" w:cs="Calibri"/>
          <w:sz w:val="24"/>
          <w:szCs w:val="24"/>
        </w:rPr>
        <w:t>Consequently, some data were only collected for part of the cohort: clinical assessment (</w:t>
      </w:r>
      <w:r w:rsidRPr="4EF8719D" w:rsidR="3276B356">
        <w:rPr>
          <w:rFonts w:ascii="Calibri" w:hAnsi="Calibri" w:eastAsia="Calibri" w:cs="Calibri"/>
          <w:sz w:val="24"/>
          <w:szCs w:val="24"/>
        </w:rPr>
        <w:t>n=</w:t>
      </w:r>
      <w:r w:rsidRPr="4EF8719D" w:rsidR="69C69A67">
        <w:rPr>
          <w:rFonts w:ascii="Calibri" w:hAnsi="Calibri" w:eastAsia="Calibri" w:cs="Calibri"/>
          <w:sz w:val="24"/>
          <w:szCs w:val="24"/>
        </w:rPr>
        <w:t>89), QST (</w:t>
      </w:r>
      <w:r w:rsidRPr="4EF8719D" w:rsidR="3276B356">
        <w:rPr>
          <w:rFonts w:ascii="Calibri" w:hAnsi="Calibri" w:eastAsia="Calibri" w:cs="Calibri"/>
          <w:sz w:val="24"/>
          <w:szCs w:val="24"/>
        </w:rPr>
        <w:t>n=</w:t>
      </w:r>
      <w:r w:rsidRPr="4EF8719D" w:rsidR="69C69A67">
        <w:rPr>
          <w:rFonts w:ascii="Calibri" w:hAnsi="Calibri" w:eastAsia="Calibri" w:cs="Calibri"/>
          <w:sz w:val="24"/>
          <w:szCs w:val="24"/>
        </w:rPr>
        <w:t>85), and TOJ procedure (</w:t>
      </w:r>
      <w:r w:rsidRPr="4EF8719D" w:rsidR="3276B356">
        <w:rPr>
          <w:rFonts w:ascii="Calibri" w:hAnsi="Calibri" w:eastAsia="Calibri" w:cs="Calibri"/>
          <w:sz w:val="24"/>
          <w:szCs w:val="24"/>
        </w:rPr>
        <w:t>n=</w:t>
      </w:r>
      <w:r w:rsidRPr="4EF8719D" w:rsidR="69C69A67">
        <w:rPr>
          <w:rFonts w:ascii="Calibri" w:hAnsi="Calibri" w:eastAsia="Calibri" w:cs="Calibri"/>
          <w:sz w:val="24"/>
          <w:szCs w:val="24"/>
        </w:rPr>
        <w:t>78).</w:t>
      </w:r>
    </w:p>
    <w:p w:rsidRPr="00171B6F" w:rsidR="0BB028A2" w:rsidP="3613E1E1" w:rsidRDefault="2676F290" w14:paraId="05714842" w14:textId="3DB975C0">
      <w:pPr>
        <w:spacing w:line="480" w:lineRule="auto"/>
        <w:jc w:val="center"/>
        <w:rPr>
          <w:rFonts w:ascii="Calibri" w:hAnsi="Calibri" w:eastAsia="Calibri" w:cs="Calibri"/>
          <w:i/>
          <w:iCs/>
        </w:rPr>
      </w:pPr>
      <w:r w:rsidRPr="3613E1E1">
        <w:rPr>
          <w:rFonts w:ascii="Calibri" w:hAnsi="Calibri" w:eastAsia="Calibri" w:cs="Calibri"/>
          <w:i/>
          <w:iCs/>
        </w:rPr>
        <w:t xml:space="preserve">Figure </w:t>
      </w:r>
      <w:r w:rsidRPr="3613E1E1" w:rsidR="281C0FDB">
        <w:rPr>
          <w:rFonts w:ascii="Calibri" w:hAnsi="Calibri" w:eastAsia="Calibri" w:cs="Calibri"/>
          <w:i/>
          <w:iCs/>
        </w:rPr>
        <w:t>1</w:t>
      </w:r>
      <w:r w:rsidRPr="3613E1E1">
        <w:rPr>
          <w:rFonts w:ascii="Calibri" w:hAnsi="Calibri" w:eastAsia="Calibri" w:cs="Calibri"/>
          <w:i/>
          <w:iCs/>
        </w:rPr>
        <w:t xml:space="preserve">. </w:t>
      </w:r>
      <w:r w:rsidRPr="3613E1E1" w:rsidR="5C0286BD">
        <w:rPr>
          <w:rFonts w:ascii="Calibri" w:hAnsi="Calibri" w:eastAsia="Calibri" w:cs="Calibri"/>
          <w:i/>
          <w:iCs/>
        </w:rPr>
        <w:t>Flowchart</w:t>
      </w:r>
      <w:r w:rsidRPr="3613E1E1" w:rsidR="78760174">
        <w:rPr>
          <w:rFonts w:ascii="Calibri" w:hAnsi="Calibri" w:eastAsia="Calibri" w:cs="Calibri"/>
          <w:i/>
          <w:iCs/>
        </w:rPr>
        <w:t xml:space="preserve"> of the </w:t>
      </w:r>
      <w:r w:rsidRPr="3613E1E1" w:rsidR="25756E93">
        <w:rPr>
          <w:rFonts w:ascii="Calibri" w:hAnsi="Calibri" w:eastAsia="Calibri" w:cs="Calibri"/>
          <w:i/>
          <w:iCs/>
        </w:rPr>
        <w:t>participant selection</w:t>
      </w:r>
    </w:p>
    <w:p w:rsidRPr="00171B6F" w:rsidR="27FB6785" w:rsidP="560E2E1C" w:rsidRDefault="0C753338" w14:paraId="15370161" w14:textId="5028B6D8">
      <w:pPr>
        <w:spacing w:line="480" w:lineRule="auto"/>
        <w:jc w:val="both"/>
        <w:rPr>
          <w:rFonts w:ascii="Calibri" w:hAnsi="Calibri" w:eastAsia="Calibri" w:cs="Calibri"/>
          <w:color w:val="000000" w:themeColor="text1"/>
          <w:sz w:val="24"/>
          <w:szCs w:val="24"/>
        </w:rPr>
      </w:pPr>
      <w:r w:rsidRPr="60435B4D">
        <w:rPr>
          <w:rFonts w:ascii="Calibri" w:hAnsi="Calibri" w:eastAsia="Calibri" w:cs="Calibri"/>
          <w:sz w:val="24"/>
          <w:szCs w:val="24"/>
        </w:rPr>
        <w:t xml:space="preserve">Table </w:t>
      </w:r>
      <w:r w:rsidRPr="60435B4D" w:rsidR="5B553EB1">
        <w:rPr>
          <w:rFonts w:ascii="Calibri" w:hAnsi="Calibri" w:eastAsia="Calibri" w:cs="Calibri"/>
          <w:sz w:val="24"/>
          <w:szCs w:val="24"/>
        </w:rPr>
        <w:t xml:space="preserve">1 </w:t>
      </w:r>
      <w:r w:rsidRPr="60435B4D">
        <w:rPr>
          <w:rFonts w:ascii="Calibri" w:hAnsi="Calibri" w:eastAsia="Calibri" w:cs="Calibri"/>
          <w:sz w:val="24"/>
          <w:szCs w:val="24"/>
        </w:rPr>
        <w:t>shows the main characteristics of the cohort</w:t>
      </w:r>
      <w:r w:rsidRPr="60435B4D" w:rsidR="30E8BAE9">
        <w:rPr>
          <w:rFonts w:ascii="Calibri" w:hAnsi="Calibri" w:eastAsia="Calibri" w:cs="Calibri"/>
          <w:sz w:val="24"/>
          <w:szCs w:val="24"/>
        </w:rPr>
        <w:t xml:space="preserve"> at baseline</w:t>
      </w:r>
      <w:r w:rsidRPr="60435B4D">
        <w:rPr>
          <w:rFonts w:ascii="Calibri" w:hAnsi="Calibri" w:eastAsia="Calibri" w:cs="Calibri"/>
          <w:sz w:val="24"/>
          <w:szCs w:val="24"/>
        </w:rPr>
        <w:t xml:space="preserve">. </w:t>
      </w:r>
      <w:r w:rsidRPr="60435B4D" w:rsidR="67B286F8">
        <w:rPr>
          <w:rFonts w:ascii="Calibri" w:hAnsi="Calibri" w:eastAsia="Calibri" w:cs="Calibri"/>
          <w:color w:val="000000" w:themeColor="text1"/>
          <w:sz w:val="24"/>
          <w:szCs w:val="24"/>
        </w:rPr>
        <w:t>Participants who were only assessed remotely did not</w:t>
      </w:r>
      <w:r w:rsidRPr="60435B4D" w:rsidR="7971A7CF">
        <w:rPr>
          <w:rFonts w:ascii="Calibri" w:hAnsi="Calibri" w:eastAsia="Calibri" w:cs="Calibri"/>
          <w:color w:val="000000" w:themeColor="text1"/>
          <w:sz w:val="24"/>
          <w:szCs w:val="24"/>
        </w:rPr>
        <w:t xml:space="preserve"> significantly</w:t>
      </w:r>
      <w:r w:rsidRPr="60435B4D" w:rsidR="67B286F8">
        <w:rPr>
          <w:rFonts w:ascii="Calibri" w:hAnsi="Calibri" w:eastAsia="Calibri" w:cs="Calibri"/>
          <w:color w:val="000000" w:themeColor="text1"/>
          <w:sz w:val="24"/>
          <w:szCs w:val="24"/>
        </w:rPr>
        <w:t xml:space="preserve"> differ from the rest of the cohort in terms of demographic or clinical data</w:t>
      </w:r>
      <w:r w:rsidRPr="60435B4D" w:rsidR="5E11A188">
        <w:rPr>
          <w:rFonts w:ascii="Calibri" w:hAnsi="Calibri" w:eastAsia="Calibri" w:cs="Calibri"/>
          <w:color w:val="000000" w:themeColor="text1"/>
          <w:sz w:val="24"/>
          <w:szCs w:val="24"/>
        </w:rPr>
        <w:t xml:space="preserve"> (p&gt;0.05</w:t>
      </w:r>
      <w:r w:rsidRPr="60435B4D" w:rsidR="428CD4AA">
        <w:rPr>
          <w:rFonts w:ascii="Calibri" w:hAnsi="Calibri" w:eastAsia="Calibri" w:cs="Calibri"/>
          <w:color w:val="000000" w:themeColor="text1"/>
          <w:sz w:val="24"/>
          <w:szCs w:val="24"/>
        </w:rPr>
        <w:t>; data not shown</w:t>
      </w:r>
      <w:r w:rsidRPr="60435B4D" w:rsidR="5E11A188">
        <w:rPr>
          <w:rFonts w:ascii="Calibri" w:hAnsi="Calibri" w:eastAsia="Calibri" w:cs="Calibri"/>
          <w:color w:val="000000" w:themeColor="text1"/>
          <w:sz w:val="24"/>
          <w:szCs w:val="24"/>
        </w:rPr>
        <w:t>)</w:t>
      </w:r>
      <w:r w:rsidRPr="60435B4D" w:rsidR="67B286F8">
        <w:rPr>
          <w:rFonts w:ascii="Calibri" w:hAnsi="Calibri" w:eastAsia="Calibri" w:cs="Calibri"/>
          <w:color w:val="000000" w:themeColor="text1"/>
          <w:sz w:val="24"/>
          <w:szCs w:val="24"/>
        </w:rPr>
        <w:t>.</w:t>
      </w:r>
      <w:r w:rsidRPr="60435B4D" w:rsidR="66F02C8E">
        <w:rPr>
          <w:rFonts w:ascii="Calibri" w:hAnsi="Calibri" w:eastAsia="Calibri" w:cs="Calibri"/>
          <w:color w:val="000000" w:themeColor="text1"/>
          <w:sz w:val="24"/>
          <w:szCs w:val="24"/>
        </w:rPr>
        <w:t xml:space="preserve"> </w:t>
      </w:r>
      <w:r w:rsidRPr="60435B4D" w:rsidR="6813B85D">
        <w:rPr>
          <w:rFonts w:ascii="Calibri" w:hAnsi="Calibri" w:eastAsia="Calibri" w:cs="Calibri"/>
          <w:sz w:val="24"/>
          <w:szCs w:val="24"/>
        </w:rPr>
        <w:t>The sample was predominantly</w:t>
      </w:r>
      <w:r w:rsidRPr="60435B4D">
        <w:rPr>
          <w:rFonts w:ascii="Calibri" w:hAnsi="Calibri" w:eastAsia="Calibri" w:cs="Calibri"/>
          <w:sz w:val="24"/>
          <w:szCs w:val="24"/>
        </w:rPr>
        <w:t xml:space="preserve"> female</w:t>
      </w:r>
      <w:r w:rsidRPr="60435B4D" w:rsidR="77ADB291">
        <w:rPr>
          <w:rFonts w:ascii="Calibri" w:hAnsi="Calibri" w:eastAsia="Calibri" w:cs="Calibri"/>
          <w:sz w:val="24"/>
          <w:szCs w:val="24"/>
        </w:rPr>
        <w:t xml:space="preserve"> (</w:t>
      </w:r>
      <w:r w:rsidRPr="60435B4D" w:rsidR="169E5BD4">
        <w:rPr>
          <w:rFonts w:ascii="Calibri" w:hAnsi="Calibri" w:eastAsia="Calibri" w:cs="Calibri"/>
          <w:sz w:val="24"/>
          <w:szCs w:val="24"/>
        </w:rPr>
        <w:t>7</w:t>
      </w:r>
      <w:r w:rsidRPr="60435B4D" w:rsidR="1280BC7F">
        <w:rPr>
          <w:rFonts w:ascii="Calibri" w:hAnsi="Calibri" w:eastAsia="Calibri" w:cs="Calibri"/>
          <w:sz w:val="24"/>
          <w:szCs w:val="24"/>
        </w:rPr>
        <w:t>7</w:t>
      </w:r>
      <w:r w:rsidRPr="60435B4D" w:rsidR="169E5BD4">
        <w:rPr>
          <w:rFonts w:ascii="Calibri" w:hAnsi="Calibri" w:eastAsia="Calibri" w:cs="Calibri"/>
          <w:sz w:val="24"/>
          <w:szCs w:val="24"/>
        </w:rPr>
        <w:t>%)</w:t>
      </w:r>
      <w:r w:rsidRPr="60435B4D">
        <w:rPr>
          <w:rFonts w:ascii="Calibri" w:hAnsi="Calibri" w:eastAsia="Calibri" w:cs="Calibri"/>
          <w:sz w:val="24"/>
          <w:szCs w:val="24"/>
        </w:rPr>
        <w:t xml:space="preserve">, with a mean age of </w:t>
      </w:r>
      <w:r w:rsidRPr="60435B4D" w:rsidR="48B40F3D">
        <w:rPr>
          <w:rFonts w:ascii="Calibri" w:hAnsi="Calibri" w:eastAsia="Calibri" w:cs="Calibri"/>
          <w:sz w:val="24"/>
          <w:szCs w:val="24"/>
        </w:rPr>
        <w:t>53 years</w:t>
      </w:r>
      <w:r w:rsidRPr="60435B4D">
        <w:rPr>
          <w:rFonts w:ascii="Calibri" w:hAnsi="Calibri" w:eastAsia="Calibri" w:cs="Calibri"/>
          <w:sz w:val="24"/>
          <w:szCs w:val="24"/>
        </w:rPr>
        <w:t xml:space="preserve">. </w:t>
      </w:r>
      <w:r w:rsidRPr="60435B4D" w:rsidR="43583C35">
        <w:rPr>
          <w:rFonts w:ascii="Calibri" w:hAnsi="Calibri" w:eastAsia="Calibri" w:cs="Calibri"/>
          <w:sz w:val="24"/>
          <w:szCs w:val="24"/>
        </w:rPr>
        <w:t xml:space="preserve">About </w:t>
      </w:r>
      <w:r w:rsidRPr="60435B4D" w:rsidR="4236D1E9">
        <w:rPr>
          <w:rFonts w:ascii="Calibri" w:hAnsi="Calibri" w:eastAsia="Calibri" w:cs="Calibri"/>
          <w:sz w:val="24"/>
          <w:szCs w:val="24"/>
        </w:rPr>
        <w:t>a quarter</w:t>
      </w:r>
      <w:r w:rsidRPr="60435B4D" w:rsidR="43583C35">
        <w:rPr>
          <w:rFonts w:ascii="Calibri" w:hAnsi="Calibri" w:eastAsia="Calibri" w:cs="Calibri"/>
          <w:sz w:val="24"/>
          <w:szCs w:val="24"/>
        </w:rPr>
        <w:t xml:space="preserve"> of the cohort ha</w:t>
      </w:r>
      <w:r w:rsidRPr="60435B4D" w:rsidR="25F1B3CF">
        <w:rPr>
          <w:rFonts w:ascii="Calibri" w:hAnsi="Calibri" w:eastAsia="Calibri" w:cs="Calibri"/>
          <w:sz w:val="24"/>
          <w:szCs w:val="24"/>
        </w:rPr>
        <w:t>d</w:t>
      </w:r>
      <w:r w:rsidRPr="60435B4D" w:rsidR="43583C35">
        <w:rPr>
          <w:rFonts w:ascii="Calibri" w:hAnsi="Calibri" w:eastAsia="Calibri" w:cs="Calibri"/>
          <w:sz w:val="24"/>
          <w:szCs w:val="24"/>
        </w:rPr>
        <w:t xml:space="preserve"> a family or personal </w:t>
      </w:r>
      <w:r w:rsidR="008E5528">
        <w:rPr>
          <w:rFonts w:ascii="Calibri" w:hAnsi="Calibri" w:eastAsia="Calibri" w:cs="Calibri"/>
          <w:sz w:val="24"/>
          <w:szCs w:val="24"/>
        </w:rPr>
        <w:t xml:space="preserve">(at another limb) </w:t>
      </w:r>
      <w:r w:rsidRPr="60435B4D" w:rsidR="43583C35">
        <w:rPr>
          <w:rFonts w:ascii="Calibri" w:hAnsi="Calibri" w:eastAsia="Calibri" w:cs="Calibri"/>
          <w:sz w:val="24"/>
          <w:szCs w:val="24"/>
        </w:rPr>
        <w:t xml:space="preserve">history of CRPS. </w:t>
      </w:r>
      <w:r w:rsidRPr="60435B4D" w:rsidR="0E131DAA">
        <w:rPr>
          <w:rFonts w:ascii="Calibri" w:hAnsi="Calibri" w:eastAsia="Calibri" w:cs="Calibri"/>
          <w:sz w:val="24"/>
          <w:szCs w:val="24"/>
        </w:rPr>
        <w:t>Regarding social variables, 68%</w:t>
      </w:r>
      <w:r w:rsidRPr="60435B4D" w:rsidR="43583C35">
        <w:rPr>
          <w:rFonts w:ascii="Calibri" w:hAnsi="Calibri" w:eastAsia="Calibri" w:cs="Calibri"/>
          <w:sz w:val="24"/>
          <w:szCs w:val="24"/>
        </w:rPr>
        <w:t xml:space="preserve"> were working before the onset of the condition. Among </w:t>
      </w:r>
      <w:r w:rsidRPr="60435B4D" w:rsidR="58BF7F53">
        <w:rPr>
          <w:rFonts w:ascii="Calibri" w:hAnsi="Calibri" w:eastAsia="Calibri" w:cs="Calibri"/>
          <w:sz w:val="24"/>
          <w:szCs w:val="24"/>
        </w:rPr>
        <w:t>t</w:t>
      </w:r>
      <w:r w:rsidRPr="60435B4D" w:rsidR="43583C35">
        <w:rPr>
          <w:rFonts w:ascii="Calibri" w:hAnsi="Calibri" w:eastAsia="Calibri" w:cs="Calibri"/>
          <w:sz w:val="24"/>
          <w:szCs w:val="24"/>
        </w:rPr>
        <w:t>hem,</w:t>
      </w:r>
      <w:r w:rsidRPr="60435B4D" w:rsidR="2DCF93DC">
        <w:rPr>
          <w:rFonts w:ascii="Calibri" w:hAnsi="Calibri" w:eastAsia="Calibri" w:cs="Calibri"/>
          <w:sz w:val="24"/>
          <w:szCs w:val="24"/>
        </w:rPr>
        <w:t xml:space="preserve"> 18%</w:t>
      </w:r>
      <w:r w:rsidRPr="60435B4D" w:rsidR="2CE80F92">
        <w:rPr>
          <w:rFonts w:ascii="Calibri" w:hAnsi="Calibri" w:eastAsia="Calibri" w:cs="Calibri"/>
          <w:sz w:val="24"/>
          <w:szCs w:val="24"/>
        </w:rPr>
        <w:t xml:space="preserve"> </w:t>
      </w:r>
      <w:r w:rsidRPr="60435B4D" w:rsidR="07195350">
        <w:rPr>
          <w:rFonts w:ascii="Calibri" w:hAnsi="Calibri" w:eastAsia="Calibri" w:cs="Calibri"/>
          <w:sz w:val="24"/>
          <w:szCs w:val="24"/>
        </w:rPr>
        <w:t xml:space="preserve">reported a work injury and </w:t>
      </w:r>
      <w:r w:rsidRPr="60435B4D" w:rsidR="43583C35">
        <w:rPr>
          <w:rFonts w:ascii="Calibri" w:hAnsi="Calibri" w:eastAsia="Calibri" w:cs="Calibri"/>
          <w:sz w:val="24"/>
          <w:szCs w:val="24"/>
        </w:rPr>
        <w:t>only</w:t>
      </w:r>
      <w:r w:rsidRPr="60435B4D" w:rsidR="58BF7F53">
        <w:rPr>
          <w:rFonts w:ascii="Calibri" w:hAnsi="Calibri" w:eastAsia="Calibri" w:cs="Calibri"/>
          <w:sz w:val="24"/>
          <w:szCs w:val="24"/>
        </w:rPr>
        <w:t xml:space="preserve"> </w:t>
      </w:r>
      <w:r w:rsidRPr="60435B4D" w:rsidR="70D8C3D9">
        <w:rPr>
          <w:rFonts w:ascii="Calibri" w:hAnsi="Calibri" w:eastAsia="Calibri" w:cs="Calibri"/>
          <w:sz w:val="24"/>
          <w:szCs w:val="24"/>
        </w:rPr>
        <w:t>3</w:t>
      </w:r>
      <w:r w:rsidRPr="60435B4D" w:rsidR="1551CCA4">
        <w:rPr>
          <w:rFonts w:ascii="Calibri" w:hAnsi="Calibri" w:eastAsia="Calibri" w:cs="Calibri"/>
          <w:sz w:val="24"/>
          <w:szCs w:val="24"/>
        </w:rPr>
        <w:t>0</w:t>
      </w:r>
      <w:r w:rsidRPr="60435B4D" w:rsidR="70D8C3D9">
        <w:rPr>
          <w:rFonts w:ascii="Calibri" w:hAnsi="Calibri" w:eastAsia="Calibri" w:cs="Calibri"/>
          <w:sz w:val="24"/>
          <w:szCs w:val="24"/>
        </w:rPr>
        <w:t>%</w:t>
      </w:r>
      <w:r w:rsidRPr="60435B4D" w:rsidR="58BF7F53">
        <w:rPr>
          <w:rFonts w:ascii="Calibri" w:hAnsi="Calibri" w:eastAsia="Calibri" w:cs="Calibri"/>
          <w:sz w:val="24"/>
          <w:szCs w:val="24"/>
        </w:rPr>
        <w:t xml:space="preserve"> </w:t>
      </w:r>
      <w:r w:rsidRPr="60435B4D" w:rsidR="43583C35">
        <w:rPr>
          <w:rFonts w:ascii="Calibri" w:hAnsi="Calibri" w:eastAsia="Calibri" w:cs="Calibri"/>
          <w:sz w:val="24"/>
          <w:szCs w:val="24"/>
        </w:rPr>
        <w:t>ha</w:t>
      </w:r>
      <w:r w:rsidRPr="60435B4D" w:rsidR="58BF7F53">
        <w:rPr>
          <w:rFonts w:ascii="Calibri" w:hAnsi="Calibri" w:eastAsia="Calibri" w:cs="Calibri"/>
          <w:sz w:val="24"/>
          <w:szCs w:val="24"/>
        </w:rPr>
        <w:t>d</w:t>
      </w:r>
      <w:r w:rsidRPr="60435B4D" w:rsidR="43583C35">
        <w:rPr>
          <w:rFonts w:ascii="Calibri" w:hAnsi="Calibri" w:eastAsia="Calibri" w:cs="Calibri"/>
          <w:sz w:val="24"/>
          <w:szCs w:val="24"/>
        </w:rPr>
        <w:t xml:space="preserve"> already returned to work.</w:t>
      </w:r>
      <w:r w:rsidRPr="60435B4D" w:rsidR="6B3BD1B5">
        <w:rPr>
          <w:rFonts w:ascii="Calibri" w:hAnsi="Calibri" w:eastAsia="Calibri" w:cs="Calibri"/>
          <w:sz w:val="24"/>
          <w:szCs w:val="24"/>
        </w:rPr>
        <w:t xml:space="preserve"> </w:t>
      </w:r>
    </w:p>
    <w:p w:rsidR="6D66E833" w:rsidP="4EF8719D" w:rsidRDefault="2DA622DD" w14:paraId="16CF9DAC" w14:textId="5F1D3B3E">
      <w:pPr>
        <w:spacing w:line="480" w:lineRule="auto"/>
        <w:jc w:val="center"/>
        <w:rPr>
          <w:rFonts w:ascii="Calibri" w:hAnsi="Calibri" w:eastAsia="Calibri" w:cs="Calibri"/>
          <w:i/>
          <w:iCs/>
        </w:rPr>
      </w:pPr>
      <w:r w:rsidRPr="4EF8719D">
        <w:rPr>
          <w:rFonts w:ascii="Calibri" w:hAnsi="Calibri" w:eastAsia="Calibri" w:cs="Calibri"/>
          <w:i/>
          <w:iCs/>
        </w:rPr>
        <w:t>Table 1. Baseline characteristics of p</w:t>
      </w:r>
      <w:r w:rsidRPr="4EF8719D" w:rsidR="4C7D4F40">
        <w:rPr>
          <w:rFonts w:ascii="Calibri" w:hAnsi="Calibri" w:eastAsia="Calibri" w:cs="Calibri"/>
          <w:i/>
          <w:iCs/>
        </w:rPr>
        <w:t>articipants</w:t>
      </w:r>
      <w:r w:rsidR="00E813D8">
        <w:rPr>
          <w:rFonts w:ascii="Calibri" w:hAnsi="Calibri" w:eastAsia="Calibri" w:cs="Calibri"/>
          <w:i/>
          <w:iCs/>
        </w:rPr>
        <w:t>.</w:t>
      </w:r>
    </w:p>
    <w:p w:rsidRPr="00171B6F" w:rsidR="38021FDE" w:rsidP="560E2E1C" w:rsidRDefault="32C32A43" w14:paraId="6A0D5DA6" w14:textId="22860CD4">
      <w:pPr>
        <w:spacing w:line="480" w:lineRule="auto"/>
        <w:jc w:val="both"/>
        <w:rPr>
          <w:rFonts w:ascii="Calibri" w:hAnsi="Calibri" w:eastAsia="Calibri" w:cs="Calibri"/>
          <w:sz w:val="24"/>
          <w:szCs w:val="24"/>
        </w:rPr>
      </w:pPr>
      <w:r w:rsidRPr="60435B4D">
        <w:rPr>
          <w:rFonts w:ascii="Calibri" w:hAnsi="Calibri" w:eastAsia="Calibri" w:cs="Calibri"/>
          <w:sz w:val="24"/>
          <w:szCs w:val="24"/>
        </w:rPr>
        <w:t xml:space="preserve">Concerning </w:t>
      </w:r>
      <w:r w:rsidRPr="60435B4D" w:rsidR="625D3E9B">
        <w:rPr>
          <w:rFonts w:ascii="Calibri" w:hAnsi="Calibri" w:eastAsia="Calibri" w:cs="Calibri"/>
          <w:sz w:val="24"/>
          <w:szCs w:val="24"/>
        </w:rPr>
        <w:t xml:space="preserve">CRPS </w:t>
      </w:r>
      <w:r w:rsidRPr="60435B4D" w:rsidR="3FA25BAC">
        <w:rPr>
          <w:rFonts w:ascii="Calibri" w:hAnsi="Calibri" w:eastAsia="Calibri" w:cs="Calibri"/>
          <w:sz w:val="24"/>
          <w:szCs w:val="24"/>
        </w:rPr>
        <w:t>features</w:t>
      </w:r>
      <w:r w:rsidRPr="60435B4D" w:rsidR="625D3E9B">
        <w:rPr>
          <w:rFonts w:ascii="Calibri" w:hAnsi="Calibri" w:eastAsia="Calibri" w:cs="Calibri"/>
          <w:sz w:val="24"/>
          <w:szCs w:val="24"/>
        </w:rPr>
        <w:t xml:space="preserve">, </w:t>
      </w:r>
      <w:r w:rsidRPr="60435B4D" w:rsidR="3D8461F8">
        <w:rPr>
          <w:rFonts w:ascii="Calibri" w:hAnsi="Calibri" w:eastAsia="Calibri" w:cs="Calibri"/>
          <w:sz w:val="24"/>
          <w:szCs w:val="24"/>
        </w:rPr>
        <w:t xml:space="preserve">the </w:t>
      </w:r>
      <w:r w:rsidRPr="60435B4D" w:rsidR="1CF996E3">
        <w:rPr>
          <w:rFonts w:ascii="Calibri" w:hAnsi="Calibri" w:eastAsia="Calibri" w:cs="Calibri"/>
          <w:sz w:val="24"/>
          <w:szCs w:val="24"/>
        </w:rPr>
        <w:t>proportion</w:t>
      </w:r>
      <w:r w:rsidRPr="60435B4D" w:rsidR="3D8461F8">
        <w:rPr>
          <w:rFonts w:ascii="Calibri" w:hAnsi="Calibri" w:eastAsia="Calibri" w:cs="Calibri"/>
          <w:sz w:val="24"/>
          <w:szCs w:val="24"/>
        </w:rPr>
        <w:t xml:space="preserve"> of </w:t>
      </w:r>
      <w:r w:rsidRPr="60435B4D" w:rsidR="6CA3377C">
        <w:rPr>
          <w:rFonts w:ascii="Calibri" w:hAnsi="Calibri" w:eastAsia="Calibri" w:cs="Calibri"/>
          <w:sz w:val="24"/>
          <w:szCs w:val="24"/>
        </w:rPr>
        <w:t xml:space="preserve">UE </w:t>
      </w:r>
      <w:r w:rsidRPr="60435B4D" w:rsidR="3D8461F8">
        <w:rPr>
          <w:rFonts w:ascii="Calibri" w:hAnsi="Calibri" w:eastAsia="Calibri" w:cs="Calibri"/>
          <w:sz w:val="24"/>
          <w:szCs w:val="24"/>
        </w:rPr>
        <w:t xml:space="preserve">CRPS </w:t>
      </w:r>
      <w:r w:rsidRPr="60435B4D" w:rsidR="64E0B405">
        <w:rPr>
          <w:rFonts w:ascii="Calibri" w:hAnsi="Calibri" w:eastAsia="Calibri" w:cs="Calibri"/>
          <w:sz w:val="24"/>
          <w:szCs w:val="24"/>
        </w:rPr>
        <w:t xml:space="preserve">was </w:t>
      </w:r>
      <w:r w:rsidRPr="60435B4D" w:rsidR="506EB32E">
        <w:rPr>
          <w:rFonts w:ascii="Calibri" w:hAnsi="Calibri" w:eastAsia="Calibri" w:cs="Calibri"/>
          <w:sz w:val="24"/>
          <w:szCs w:val="24"/>
        </w:rPr>
        <w:t>greater</w:t>
      </w:r>
      <w:r w:rsidRPr="60435B4D" w:rsidR="39E5EC18">
        <w:rPr>
          <w:rFonts w:ascii="Calibri" w:hAnsi="Calibri" w:eastAsia="Calibri" w:cs="Calibri"/>
          <w:sz w:val="24"/>
          <w:szCs w:val="24"/>
        </w:rPr>
        <w:t xml:space="preserve"> </w:t>
      </w:r>
      <w:r w:rsidRPr="60435B4D" w:rsidR="625D3E9B">
        <w:rPr>
          <w:rFonts w:ascii="Calibri" w:hAnsi="Calibri" w:eastAsia="Calibri" w:cs="Calibri"/>
          <w:sz w:val="24"/>
          <w:szCs w:val="24"/>
        </w:rPr>
        <w:t>(</w:t>
      </w:r>
      <w:r w:rsidRPr="60435B4D" w:rsidR="6C78A097">
        <w:rPr>
          <w:rFonts w:ascii="Calibri" w:hAnsi="Calibri" w:eastAsia="Calibri" w:cs="Calibri"/>
          <w:sz w:val="24"/>
          <w:szCs w:val="24"/>
        </w:rPr>
        <w:t>59</w:t>
      </w:r>
      <w:r w:rsidRPr="60435B4D" w:rsidR="625D3E9B">
        <w:rPr>
          <w:rFonts w:ascii="Calibri" w:hAnsi="Calibri" w:eastAsia="Calibri" w:cs="Calibri"/>
          <w:sz w:val="24"/>
          <w:szCs w:val="24"/>
        </w:rPr>
        <w:t>%)</w:t>
      </w:r>
      <w:r w:rsidRPr="60435B4D" w:rsidR="1DEFE7B0">
        <w:rPr>
          <w:rFonts w:ascii="Calibri" w:hAnsi="Calibri" w:eastAsia="Calibri" w:cs="Calibri"/>
          <w:sz w:val="24"/>
          <w:szCs w:val="24"/>
        </w:rPr>
        <w:t xml:space="preserve"> than </w:t>
      </w:r>
      <w:r w:rsidRPr="60435B4D" w:rsidR="3EB8BBF1">
        <w:rPr>
          <w:rFonts w:ascii="Calibri" w:hAnsi="Calibri" w:eastAsia="Calibri" w:cs="Calibri"/>
          <w:sz w:val="24"/>
          <w:szCs w:val="24"/>
        </w:rPr>
        <w:t>LE</w:t>
      </w:r>
      <w:r w:rsidRPr="60435B4D" w:rsidR="1DEFE7B0">
        <w:rPr>
          <w:rFonts w:ascii="Calibri" w:hAnsi="Calibri" w:eastAsia="Calibri" w:cs="Calibri"/>
          <w:sz w:val="24"/>
          <w:szCs w:val="24"/>
        </w:rPr>
        <w:t xml:space="preserve"> CRPS</w:t>
      </w:r>
      <w:r w:rsidRPr="60435B4D" w:rsidR="2D3CE2CC">
        <w:rPr>
          <w:rFonts w:ascii="Calibri" w:hAnsi="Calibri" w:eastAsia="Calibri" w:cs="Calibri"/>
          <w:sz w:val="24"/>
          <w:szCs w:val="24"/>
        </w:rPr>
        <w:t xml:space="preserve"> (Table 2)</w:t>
      </w:r>
      <w:r w:rsidRPr="60435B4D" w:rsidR="625D3E9B">
        <w:rPr>
          <w:rFonts w:ascii="Calibri" w:hAnsi="Calibri" w:eastAsia="Calibri" w:cs="Calibri"/>
          <w:sz w:val="24"/>
          <w:szCs w:val="24"/>
        </w:rPr>
        <w:t xml:space="preserve">. </w:t>
      </w:r>
      <w:r w:rsidRPr="60435B4D" w:rsidR="250BEB19">
        <w:rPr>
          <w:rFonts w:ascii="Calibri" w:hAnsi="Calibri" w:eastAsia="Calibri" w:cs="Calibri"/>
          <w:sz w:val="24"/>
          <w:szCs w:val="24"/>
        </w:rPr>
        <w:t>Only one participant did not report a triggering</w:t>
      </w:r>
      <w:r w:rsidRPr="60435B4D" w:rsidR="5B3C96AC">
        <w:rPr>
          <w:rFonts w:ascii="Calibri" w:hAnsi="Calibri" w:eastAsia="Calibri" w:cs="Calibri"/>
          <w:sz w:val="24"/>
          <w:szCs w:val="24"/>
        </w:rPr>
        <w:t xml:space="preserve"> </w:t>
      </w:r>
      <w:r w:rsidRPr="60435B4D" w:rsidR="0D61410A">
        <w:rPr>
          <w:rFonts w:ascii="Calibri" w:hAnsi="Calibri" w:eastAsia="Calibri" w:cs="Calibri"/>
          <w:sz w:val="24"/>
          <w:szCs w:val="24"/>
        </w:rPr>
        <w:t>event</w:t>
      </w:r>
      <w:r w:rsidRPr="60435B4D" w:rsidR="6C7D0819">
        <w:rPr>
          <w:rFonts w:ascii="Calibri" w:hAnsi="Calibri" w:eastAsia="Calibri" w:cs="Calibri"/>
          <w:sz w:val="24"/>
          <w:szCs w:val="24"/>
        </w:rPr>
        <w:t xml:space="preserve">, while the others </w:t>
      </w:r>
      <w:r w:rsidRPr="60435B4D" w:rsidR="64E0B405">
        <w:rPr>
          <w:rFonts w:ascii="Calibri" w:hAnsi="Calibri" w:eastAsia="Calibri" w:cs="Calibri"/>
          <w:sz w:val="24"/>
          <w:szCs w:val="24"/>
        </w:rPr>
        <w:t>described</w:t>
      </w:r>
      <w:r w:rsidRPr="60435B4D" w:rsidR="4871EB3A">
        <w:rPr>
          <w:rFonts w:ascii="Calibri" w:hAnsi="Calibri" w:eastAsia="Calibri" w:cs="Calibri"/>
          <w:sz w:val="24"/>
          <w:szCs w:val="24"/>
        </w:rPr>
        <w:t xml:space="preserve"> soft tissue injury (</w:t>
      </w:r>
      <w:r w:rsidRPr="60435B4D" w:rsidR="669A4EB7">
        <w:rPr>
          <w:rFonts w:ascii="Calibri" w:hAnsi="Calibri" w:eastAsia="Calibri" w:cs="Calibri"/>
          <w:sz w:val="24"/>
          <w:szCs w:val="24"/>
        </w:rPr>
        <w:t>1</w:t>
      </w:r>
      <w:r w:rsidRPr="60435B4D" w:rsidR="55229914">
        <w:rPr>
          <w:rFonts w:ascii="Calibri" w:hAnsi="Calibri" w:eastAsia="Calibri" w:cs="Calibri"/>
          <w:sz w:val="24"/>
          <w:szCs w:val="24"/>
        </w:rPr>
        <w:t>3</w:t>
      </w:r>
      <w:r w:rsidRPr="60435B4D" w:rsidR="64E0B405">
        <w:rPr>
          <w:rFonts w:ascii="Calibri" w:hAnsi="Calibri" w:eastAsia="Calibri" w:cs="Calibri"/>
          <w:sz w:val="24"/>
          <w:szCs w:val="24"/>
        </w:rPr>
        <w:t>%</w:t>
      </w:r>
      <w:r w:rsidRPr="60435B4D" w:rsidR="4871EB3A">
        <w:rPr>
          <w:rFonts w:ascii="Calibri" w:hAnsi="Calibri" w:eastAsia="Calibri" w:cs="Calibri"/>
          <w:sz w:val="24"/>
          <w:szCs w:val="24"/>
        </w:rPr>
        <w:t>), elective surgery (</w:t>
      </w:r>
      <w:r w:rsidRPr="60435B4D" w:rsidR="55229914">
        <w:rPr>
          <w:rFonts w:ascii="Calibri" w:hAnsi="Calibri" w:eastAsia="Calibri" w:cs="Calibri"/>
          <w:sz w:val="24"/>
          <w:szCs w:val="24"/>
        </w:rPr>
        <w:t>23</w:t>
      </w:r>
      <w:r w:rsidRPr="60435B4D" w:rsidR="64E0B405">
        <w:rPr>
          <w:rFonts w:ascii="Calibri" w:hAnsi="Calibri" w:eastAsia="Calibri" w:cs="Calibri"/>
          <w:sz w:val="24"/>
          <w:szCs w:val="24"/>
        </w:rPr>
        <w:t>%</w:t>
      </w:r>
      <w:r w:rsidRPr="60435B4D" w:rsidR="4871EB3A">
        <w:rPr>
          <w:rFonts w:ascii="Calibri" w:hAnsi="Calibri" w:eastAsia="Calibri" w:cs="Calibri"/>
          <w:sz w:val="24"/>
          <w:szCs w:val="24"/>
        </w:rPr>
        <w:t xml:space="preserve">), fracture </w:t>
      </w:r>
      <w:r w:rsidRPr="60435B4D" w:rsidR="5822A047">
        <w:rPr>
          <w:rFonts w:ascii="Calibri" w:hAnsi="Calibri" w:eastAsia="Calibri" w:cs="Calibri"/>
          <w:sz w:val="24"/>
          <w:szCs w:val="24"/>
        </w:rPr>
        <w:t>not requiring surgical repair (</w:t>
      </w:r>
      <w:r w:rsidRPr="60435B4D" w:rsidR="55229914">
        <w:rPr>
          <w:rFonts w:ascii="Calibri" w:hAnsi="Calibri" w:eastAsia="Calibri" w:cs="Calibri"/>
          <w:sz w:val="24"/>
          <w:szCs w:val="24"/>
        </w:rPr>
        <w:t>30</w:t>
      </w:r>
      <w:r w:rsidRPr="60435B4D" w:rsidR="64E0B405">
        <w:rPr>
          <w:rFonts w:ascii="Calibri" w:hAnsi="Calibri" w:eastAsia="Calibri" w:cs="Calibri"/>
          <w:sz w:val="24"/>
          <w:szCs w:val="24"/>
        </w:rPr>
        <w:t>%</w:t>
      </w:r>
      <w:r w:rsidRPr="60435B4D" w:rsidR="5822A047">
        <w:rPr>
          <w:rFonts w:ascii="Calibri" w:hAnsi="Calibri" w:eastAsia="Calibri" w:cs="Calibri"/>
          <w:sz w:val="24"/>
          <w:szCs w:val="24"/>
        </w:rPr>
        <w:t>), and major injury requiring surgical repair (</w:t>
      </w:r>
      <w:r w:rsidRPr="60435B4D" w:rsidR="4D3EF578">
        <w:rPr>
          <w:rFonts w:ascii="Calibri" w:hAnsi="Calibri" w:eastAsia="Calibri" w:cs="Calibri"/>
          <w:sz w:val="24"/>
          <w:szCs w:val="24"/>
        </w:rPr>
        <w:t>33</w:t>
      </w:r>
      <w:r w:rsidRPr="60435B4D" w:rsidR="64E0B405">
        <w:rPr>
          <w:rFonts w:ascii="Calibri" w:hAnsi="Calibri" w:eastAsia="Calibri" w:cs="Calibri"/>
          <w:sz w:val="24"/>
          <w:szCs w:val="24"/>
        </w:rPr>
        <w:t>%</w:t>
      </w:r>
      <w:r w:rsidRPr="60435B4D" w:rsidR="5822A047">
        <w:rPr>
          <w:rFonts w:ascii="Calibri" w:hAnsi="Calibri" w:eastAsia="Calibri" w:cs="Calibri"/>
          <w:sz w:val="24"/>
          <w:szCs w:val="24"/>
        </w:rPr>
        <w:t>)</w:t>
      </w:r>
      <w:r w:rsidRPr="60435B4D" w:rsidR="6265C93C">
        <w:rPr>
          <w:rFonts w:ascii="Calibri" w:hAnsi="Calibri" w:eastAsia="Calibri" w:cs="Calibri"/>
          <w:sz w:val="24"/>
          <w:szCs w:val="24"/>
        </w:rPr>
        <w:t>. T</w:t>
      </w:r>
      <w:r w:rsidRPr="60435B4D" w:rsidR="20AB8476">
        <w:rPr>
          <w:rFonts w:ascii="Calibri" w:hAnsi="Calibri" w:eastAsia="Calibri" w:cs="Calibri"/>
          <w:sz w:val="24"/>
          <w:szCs w:val="24"/>
        </w:rPr>
        <w:t>h</w:t>
      </w:r>
      <w:r w:rsidRPr="60435B4D" w:rsidR="6CC3FA1E">
        <w:rPr>
          <w:rFonts w:ascii="Calibri" w:hAnsi="Calibri" w:eastAsia="Calibri" w:cs="Calibri"/>
          <w:sz w:val="24"/>
          <w:szCs w:val="24"/>
        </w:rPr>
        <w:t>e</w:t>
      </w:r>
      <w:r w:rsidRPr="60435B4D" w:rsidR="20AB8476">
        <w:rPr>
          <w:rFonts w:ascii="Calibri" w:hAnsi="Calibri" w:eastAsia="Calibri" w:cs="Calibri"/>
          <w:sz w:val="24"/>
          <w:szCs w:val="24"/>
        </w:rPr>
        <w:t xml:space="preserve"> </w:t>
      </w:r>
      <w:r w:rsidRPr="60435B4D" w:rsidR="2E629554">
        <w:rPr>
          <w:rFonts w:ascii="Calibri" w:hAnsi="Calibri" w:eastAsia="Calibri" w:cs="Calibri"/>
          <w:sz w:val="24"/>
          <w:szCs w:val="24"/>
        </w:rPr>
        <w:t xml:space="preserve">initial </w:t>
      </w:r>
      <w:r w:rsidRPr="60435B4D" w:rsidR="6265C93C">
        <w:rPr>
          <w:rFonts w:ascii="Calibri" w:hAnsi="Calibri" w:eastAsia="Calibri" w:cs="Calibri"/>
          <w:sz w:val="24"/>
          <w:szCs w:val="24"/>
        </w:rPr>
        <w:t>event</w:t>
      </w:r>
      <w:r w:rsidRPr="60435B4D" w:rsidR="65244427">
        <w:rPr>
          <w:rFonts w:ascii="Calibri" w:hAnsi="Calibri" w:eastAsia="Calibri" w:cs="Calibri"/>
          <w:sz w:val="24"/>
          <w:szCs w:val="24"/>
        </w:rPr>
        <w:t xml:space="preserve"> </w:t>
      </w:r>
      <w:r w:rsidRPr="60435B4D" w:rsidR="77FF7BF2">
        <w:rPr>
          <w:rFonts w:ascii="Calibri" w:hAnsi="Calibri" w:eastAsia="Calibri" w:cs="Calibri"/>
          <w:sz w:val="24"/>
          <w:szCs w:val="24"/>
        </w:rPr>
        <w:t xml:space="preserve">occurred </w:t>
      </w:r>
      <w:r w:rsidRPr="60435B4D" w:rsidR="44B59565">
        <w:rPr>
          <w:rFonts w:ascii="Calibri" w:hAnsi="Calibri" w:eastAsia="Calibri" w:cs="Calibri"/>
          <w:sz w:val="24"/>
          <w:szCs w:val="24"/>
        </w:rPr>
        <w:t xml:space="preserve">on </w:t>
      </w:r>
      <w:r w:rsidRPr="60435B4D" w:rsidR="77FF7BF2">
        <w:rPr>
          <w:rFonts w:ascii="Calibri" w:hAnsi="Calibri" w:eastAsia="Calibri" w:cs="Calibri"/>
          <w:sz w:val="24"/>
          <w:szCs w:val="24"/>
        </w:rPr>
        <w:t>av</w:t>
      </w:r>
      <w:r w:rsidRPr="60435B4D" w:rsidR="0D61410A">
        <w:rPr>
          <w:rFonts w:ascii="Calibri" w:hAnsi="Calibri" w:eastAsia="Calibri" w:cs="Calibri"/>
          <w:sz w:val="24"/>
          <w:szCs w:val="24"/>
        </w:rPr>
        <w:t xml:space="preserve">erage </w:t>
      </w:r>
      <w:r w:rsidRPr="60435B4D" w:rsidR="7E5678C1">
        <w:rPr>
          <w:rFonts w:ascii="Calibri" w:hAnsi="Calibri" w:eastAsia="Calibri" w:cs="Calibri"/>
          <w:sz w:val="24"/>
          <w:szCs w:val="24"/>
        </w:rPr>
        <w:t>12</w:t>
      </w:r>
      <w:r w:rsidRPr="60435B4D" w:rsidR="35FDA581">
        <w:rPr>
          <w:rFonts w:ascii="Calibri" w:hAnsi="Calibri" w:eastAsia="Calibri" w:cs="Calibri"/>
          <w:sz w:val="24"/>
          <w:szCs w:val="24"/>
        </w:rPr>
        <w:t>0</w:t>
      </w:r>
      <w:r w:rsidRPr="60435B4D" w:rsidR="7E5678C1">
        <w:rPr>
          <w:rFonts w:ascii="Calibri" w:hAnsi="Calibri" w:eastAsia="Calibri" w:cs="Calibri"/>
          <w:sz w:val="24"/>
          <w:szCs w:val="24"/>
        </w:rPr>
        <w:t xml:space="preserve"> </w:t>
      </w:r>
      <w:r w:rsidRPr="60435B4D" w:rsidR="0D61410A">
        <w:rPr>
          <w:rFonts w:ascii="Calibri" w:hAnsi="Calibri" w:eastAsia="Calibri" w:cs="Calibri"/>
          <w:sz w:val="24"/>
          <w:szCs w:val="24"/>
        </w:rPr>
        <w:t>days before the inclusion</w:t>
      </w:r>
      <w:r w:rsidRPr="60435B4D" w:rsidR="45851F96">
        <w:rPr>
          <w:rFonts w:ascii="Calibri" w:hAnsi="Calibri" w:eastAsia="Calibri" w:cs="Calibri"/>
          <w:sz w:val="24"/>
          <w:szCs w:val="24"/>
        </w:rPr>
        <w:t xml:space="preserve">, </w:t>
      </w:r>
      <w:r w:rsidRPr="60435B4D" w:rsidR="059333CF">
        <w:rPr>
          <w:rFonts w:ascii="Calibri" w:hAnsi="Calibri" w:eastAsia="Calibri" w:cs="Calibri"/>
          <w:sz w:val="24"/>
          <w:szCs w:val="24"/>
        </w:rPr>
        <w:t xml:space="preserve">while the mean CRPS </w:t>
      </w:r>
      <w:r w:rsidRPr="60435B4D" w:rsidR="7DC65842">
        <w:rPr>
          <w:rFonts w:ascii="Calibri" w:hAnsi="Calibri" w:eastAsia="Calibri" w:cs="Calibri"/>
          <w:sz w:val="24"/>
          <w:szCs w:val="24"/>
        </w:rPr>
        <w:t xml:space="preserve">symptoms </w:t>
      </w:r>
      <w:r w:rsidRPr="60435B4D" w:rsidR="059333CF">
        <w:rPr>
          <w:rFonts w:ascii="Calibri" w:hAnsi="Calibri" w:eastAsia="Calibri" w:cs="Calibri"/>
          <w:sz w:val="24"/>
          <w:szCs w:val="24"/>
        </w:rPr>
        <w:t xml:space="preserve">duration was </w:t>
      </w:r>
      <w:r w:rsidRPr="60435B4D" w:rsidR="3ED609EA">
        <w:rPr>
          <w:rFonts w:ascii="Calibri" w:hAnsi="Calibri" w:eastAsia="Calibri" w:cs="Calibri"/>
          <w:sz w:val="24"/>
          <w:szCs w:val="24"/>
        </w:rPr>
        <w:t>7</w:t>
      </w:r>
      <w:r w:rsidRPr="60435B4D" w:rsidR="150D2FE0">
        <w:rPr>
          <w:rFonts w:ascii="Calibri" w:hAnsi="Calibri" w:eastAsia="Calibri" w:cs="Calibri"/>
          <w:sz w:val="24"/>
          <w:szCs w:val="24"/>
        </w:rPr>
        <w:t>6</w:t>
      </w:r>
      <w:r w:rsidRPr="60435B4D" w:rsidR="3ED609EA">
        <w:rPr>
          <w:rFonts w:ascii="Calibri" w:hAnsi="Calibri" w:eastAsia="Calibri" w:cs="Calibri"/>
          <w:sz w:val="24"/>
          <w:szCs w:val="24"/>
        </w:rPr>
        <w:t xml:space="preserve"> </w:t>
      </w:r>
      <w:r w:rsidRPr="60435B4D" w:rsidR="059333CF">
        <w:rPr>
          <w:rFonts w:ascii="Calibri" w:hAnsi="Calibri" w:eastAsia="Calibri" w:cs="Calibri"/>
          <w:sz w:val="24"/>
          <w:szCs w:val="24"/>
        </w:rPr>
        <w:t xml:space="preserve">days. </w:t>
      </w:r>
      <w:r w:rsidRPr="60435B4D" w:rsidR="38DC7C13">
        <w:rPr>
          <w:rFonts w:ascii="Calibri" w:hAnsi="Calibri" w:eastAsia="Calibri" w:cs="Calibri"/>
          <w:sz w:val="24"/>
          <w:szCs w:val="24"/>
        </w:rPr>
        <w:t>Most of the subjects</w:t>
      </w:r>
      <w:r w:rsidRPr="60435B4D" w:rsidR="400C86CB">
        <w:rPr>
          <w:rFonts w:ascii="Calibri" w:hAnsi="Calibri" w:eastAsia="Calibri" w:cs="Calibri"/>
          <w:sz w:val="24"/>
          <w:szCs w:val="24"/>
        </w:rPr>
        <w:t xml:space="preserve"> </w:t>
      </w:r>
      <w:r w:rsidRPr="60435B4D" w:rsidR="7D477D89">
        <w:rPr>
          <w:rFonts w:ascii="Calibri" w:hAnsi="Calibri" w:eastAsia="Calibri" w:cs="Calibri"/>
          <w:sz w:val="24"/>
          <w:szCs w:val="24"/>
        </w:rPr>
        <w:t>reported immobili</w:t>
      </w:r>
      <w:r w:rsidRPr="60435B4D" w:rsidR="39535417">
        <w:rPr>
          <w:rFonts w:ascii="Calibri" w:hAnsi="Calibri" w:eastAsia="Calibri" w:cs="Calibri"/>
          <w:sz w:val="24"/>
          <w:szCs w:val="24"/>
        </w:rPr>
        <w:t>z</w:t>
      </w:r>
      <w:r w:rsidRPr="60435B4D" w:rsidR="7D477D89">
        <w:rPr>
          <w:rFonts w:ascii="Calibri" w:hAnsi="Calibri" w:eastAsia="Calibri" w:cs="Calibri"/>
          <w:sz w:val="24"/>
          <w:szCs w:val="24"/>
        </w:rPr>
        <w:t xml:space="preserve">ation, with a mean duration of </w:t>
      </w:r>
      <w:r w:rsidRPr="60435B4D" w:rsidR="45EC1620">
        <w:rPr>
          <w:rFonts w:ascii="Calibri" w:hAnsi="Calibri" w:eastAsia="Calibri" w:cs="Calibri"/>
          <w:sz w:val="24"/>
          <w:szCs w:val="24"/>
        </w:rPr>
        <w:t>5 weeks</w:t>
      </w:r>
      <w:r w:rsidRPr="60435B4D" w:rsidR="7CFD7220">
        <w:rPr>
          <w:rFonts w:ascii="Calibri" w:hAnsi="Calibri" w:eastAsia="Calibri" w:cs="Calibri"/>
          <w:sz w:val="24"/>
          <w:szCs w:val="24"/>
        </w:rPr>
        <w:t>.</w:t>
      </w:r>
    </w:p>
    <w:p w:rsidRPr="00171B6F" w:rsidR="4451B80E" w:rsidP="5F7DF4C4" w:rsidRDefault="089231F7" w14:paraId="57048ABA" w14:textId="44FB6332">
      <w:pPr>
        <w:spacing w:line="480" w:lineRule="auto"/>
        <w:jc w:val="both"/>
        <w:rPr>
          <w:rFonts w:ascii="Calibri" w:hAnsi="Calibri" w:eastAsia="Calibri" w:cs="Calibri"/>
          <w:color w:val="000000" w:themeColor="text1"/>
          <w:sz w:val="24"/>
          <w:szCs w:val="24"/>
        </w:rPr>
      </w:pPr>
      <w:r w:rsidRPr="60435B4D">
        <w:rPr>
          <w:rFonts w:ascii="Calibri" w:hAnsi="Calibri" w:eastAsia="Calibri" w:cs="Calibri"/>
          <w:sz w:val="24"/>
          <w:szCs w:val="24"/>
        </w:rPr>
        <w:t xml:space="preserve">Nearly all the </w:t>
      </w:r>
      <w:r w:rsidRPr="60435B4D" w:rsidR="6BBED536">
        <w:rPr>
          <w:rFonts w:ascii="Calibri" w:hAnsi="Calibri" w:eastAsia="Calibri" w:cs="Calibri"/>
          <w:sz w:val="24"/>
          <w:szCs w:val="24"/>
        </w:rPr>
        <w:t xml:space="preserve">participants </w:t>
      </w:r>
      <w:r w:rsidRPr="60435B4D">
        <w:rPr>
          <w:rFonts w:ascii="Calibri" w:hAnsi="Calibri" w:eastAsia="Calibri" w:cs="Calibri"/>
          <w:sz w:val="24"/>
          <w:szCs w:val="24"/>
        </w:rPr>
        <w:t>reported skin colour asymmetry (90%), swelling (99%), and motor disturbance</w:t>
      </w:r>
      <w:r w:rsidRPr="60435B4D" w:rsidR="5373E34D">
        <w:rPr>
          <w:rFonts w:ascii="Calibri" w:hAnsi="Calibri" w:eastAsia="Calibri" w:cs="Calibri"/>
          <w:sz w:val="24"/>
          <w:szCs w:val="24"/>
        </w:rPr>
        <w:t>s</w:t>
      </w:r>
      <w:r w:rsidRPr="60435B4D">
        <w:rPr>
          <w:rFonts w:ascii="Calibri" w:hAnsi="Calibri" w:eastAsia="Calibri" w:cs="Calibri"/>
          <w:sz w:val="24"/>
          <w:szCs w:val="24"/>
        </w:rPr>
        <w:t xml:space="preserve"> (100%). </w:t>
      </w:r>
      <w:r w:rsidRPr="60435B4D" w:rsidR="4CB01FE3">
        <w:rPr>
          <w:rFonts w:ascii="Calibri" w:hAnsi="Calibri" w:eastAsia="Calibri" w:cs="Calibri"/>
          <w:sz w:val="24"/>
          <w:szCs w:val="24"/>
        </w:rPr>
        <w:t>However</w:t>
      </w:r>
      <w:r w:rsidRPr="60435B4D">
        <w:rPr>
          <w:rFonts w:ascii="Calibri" w:hAnsi="Calibri" w:eastAsia="Calibri" w:cs="Calibri"/>
          <w:sz w:val="24"/>
          <w:szCs w:val="24"/>
        </w:rPr>
        <w:t xml:space="preserve">, only 36% reported sweating asymmetry, and 55% trophic </w:t>
      </w:r>
      <w:r w:rsidRPr="60435B4D">
        <w:rPr>
          <w:rFonts w:ascii="Calibri" w:hAnsi="Calibri" w:eastAsia="Calibri" w:cs="Calibri"/>
          <w:sz w:val="24"/>
          <w:szCs w:val="24"/>
        </w:rPr>
        <w:lastRenderedPageBreak/>
        <w:t xml:space="preserve">disturbances.  </w:t>
      </w:r>
      <w:r w:rsidRPr="60435B4D" w:rsidR="10687AE7">
        <w:rPr>
          <w:rFonts w:ascii="Calibri" w:hAnsi="Calibri" w:eastAsia="Calibri" w:cs="Calibri"/>
          <w:sz w:val="24"/>
          <w:szCs w:val="24"/>
        </w:rPr>
        <w:t>Concerning the clinical featur</w:t>
      </w:r>
      <w:r w:rsidRPr="60435B4D" w:rsidR="10687AE7">
        <w:rPr>
          <w:rFonts w:ascii="Calibri" w:hAnsi="Calibri" w:eastAsia="Calibri" w:cs="Calibri"/>
          <w:color w:val="000000" w:themeColor="text1"/>
          <w:sz w:val="24"/>
          <w:szCs w:val="24"/>
        </w:rPr>
        <w:t>es of CRPS</w:t>
      </w:r>
      <w:r w:rsidRPr="60435B4D" w:rsidR="5A85E09A">
        <w:rPr>
          <w:rFonts w:ascii="Calibri" w:hAnsi="Calibri" w:eastAsia="Calibri" w:cs="Calibri"/>
          <w:color w:val="000000" w:themeColor="text1"/>
          <w:sz w:val="24"/>
          <w:szCs w:val="24"/>
        </w:rPr>
        <w:t xml:space="preserve">, </w:t>
      </w:r>
      <w:r w:rsidRPr="60435B4D" w:rsidR="68087688">
        <w:rPr>
          <w:rFonts w:ascii="Calibri" w:hAnsi="Calibri" w:eastAsia="Calibri" w:cs="Calibri"/>
          <w:sz w:val="24"/>
          <w:szCs w:val="24"/>
        </w:rPr>
        <w:t>sensory</w:t>
      </w:r>
      <w:r w:rsidRPr="60435B4D" w:rsidR="2617DBE3">
        <w:rPr>
          <w:rFonts w:ascii="Calibri" w:hAnsi="Calibri" w:eastAsia="Calibri" w:cs="Calibri"/>
          <w:sz w:val="24"/>
          <w:szCs w:val="24"/>
        </w:rPr>
        <w:t xml:space="preserve"> </w:t>
      </w:r>
      <w:r w:rsidRPr="60435B4D" w:rsidR="2617DBE3">
        <w:rPr>
          <w:rFonts w:ascii="Calibri" w:hAnsi="Calibri" w:eastAsia="Calibri" w:cs="Calibri"/>
          <w:color w:val="000000" w:themeColor="text1"/>
          <w:sz w:val="24"/>
          <w:szCs w:val="24"/>
        </w:rPr>
        <w:t xml:space="preserve">signs were found in </w:t>
      </w:r>
      <w:r w:rsidRPr="60435B4D" w:rsidR="4A4A1DAF">
        <w:rPr>
          <w:rFonts w:ascii="Calibri" w:hAnsi="Calibri" w:eastAsia="Calibri" w:cs="Calibri"/>
          <w:sz w:val="24"/>
          <w:szCs w:val="24"/>
        </w:rPr>
        <w:t>78</w:t>
      </w:r>
      <w:r w:rsidRPr="60435B4D" w:rsidR="2617DBE3">
        <w:rPr>
          <w:rFonts w:ascii="Calibri" w:hAnsi="Calibri" w:eastAsia="Calibri" w:cs="Calibri"/>
          <w:sz w:val="24"/>
          <w:szCs w:val="24"/>
        </w:rPr>
        <w:t xml:space="preserve">% </w:t>
      </w:r>
      <w:r w:rsidRPr="60435B4D" w:rsidR="2617DBE3">
        <w:rPr>
          <w:rFonts w:ascii="Calibri" w:hAnsi="Calibri" w:eastAsia="Calibri" w:cs="Calibri"/>
          <w:color w:val="000000" w:themeColor="text1"/>
          <w:sz w:val="24"/>
          <w:szCs w:val="24"/>
        </w:rPr>
        <w:t>of the assessed participants, more frequently hyperalgesia to</w:t>
      </w:r>
      <w:r w:rsidRPr="60435B4D" w:rsidR="531D7BD5">
        <w:rPr>
          <w:rFonts w:ascii="Calibri" w:hAnsi="Calibri" w:eastAsia="Calibri" w:cs="Calibri"/>
          <w:color w:val="000000" w:themeColor="text1"/>
          <w:sz w:val="24"/>
          <w:szCs w:val="24"/>
        </w:rPr>
        <w:t xml:space="preserve"> pinprick (61%) than allodynia (47%)</w:t>
      </w:r>
      <w:r w:rsidRPr="60435B4D" w:rsidR="019EDD03">
        <w:rPr>
          <w:rFonts w:ascii="Calibri" w:hAnsi="Calibri" w:eastAsia="Calibri" w:cs="Calibri"/>
          <w:color w:val="000000" w:themeColor="text1"/>
          <w:sz w:val="24"/>
          <w:szCs w:val="24"/>
        </w:rPr>
        <w:t>.</w:t>
      </w:r>
      <w:r w:rsidRPr="60435B4D" w:rsidR="019EDD03">
        <w:rPr>
          <w:rFonts w:ascii="Calibri" w:hAnsi="Calibri" w:eastAsia="Calibri" w:cs="Calibri"/>
          <w:sz w:val="24"/>
          <w:szCs w:val="24"/>
        </w:rPr>
        <w:t xml:space="preserve"> </w:t>
      </w:r>
      <w:r w:rsidRPr="60435B4D" w:rsidR="61952F19">
        <w:rPr>
          <w:rFonts w:ascii="Calibri" w:hAnsi="Calibri" w:eastAsia="Calibri" w:cs="Calibri"/>
          <w:sz w:val="24"/>
          <w:szCs w:val="24"/>
        </w:rPr>
        <w:t>Nearly half of</w:t>
      </w:r>
      <w:r w:rsidRPr="60435B4D" w:rsidR="18546F49">
        <w:rPr>
          <w:rFonts w:ascii="Calibri" w:hAnsi="Calibri" w:eastAsia="Calibri" w:cs="Calibri"/>
          <w:sz w:val="24"/>
          <w:szCs w:val="24"/>
        </w:rPr>
        <w:t xml:space="preserve"> the assessed participants presented a</w:t>
      </w:r>
      <w:r w:rsidRPr="60435B4D" w:rsidR="0BE8DD7F">
        <w:rPr>
          <w:rFonts w:ascii="Calibri" w:hAnsi="Calibri" w:eastAsia="Calibri" w:cs="Calibri"/>
          <w:sz w:val="24"/>
          <w:szCs w:val="24"/>
        </w:rPr>
        <w:t xml:space="preserve">symmetric </w:t>
      </w:r>
      <w:r w:rsidRPr="60435B4D" w:rsidR="18546F49">
        <w:rPr>
          <w:rFonts w:ascii="Calibri" w:hAnsi="Calibri" w:eastAsia="Calibri" w:cs="Calibri"/>
          <w:sz w:val="24"/>
          <w:szCs w:val="24"/>
        </w:rPr>
        <w:t>limb temperature</w:t>
      </w:r>
      <w:r w:rsidRPr="60435B4D" w:rsidR="3E0527B8">
        <w:rPr>
          <w:rFonts w:ascii="Calibri" w:hAnsi="Calibri" w:eastAsia="Calibri" w:cs="Calibri"/>
          <w:sz w:val="24"/>
          <w:szCs w:val="24"/>
        </w:rPr>
        <w:t xml:space="preserve"> with a range of</w:t>
      </w:r>
      <w:r w:rsidRPr="60435B4D" w:rsidR="538A10A3">
        <w:rPr>
          <w:rFonts w:ascii="Calibri" w:hAnsi="Calibri" w:eastAsia="Calibri" w:cs="Calibri"/>
          <w:sz w:val="24"/>
          <w:szCs w:val="24"/>
        </w:rPr>
        <w:t xml:space="preserve"> difference of</w:t>
      </w:r>
      <w:r w:rsidRPr="60435B4D" w:rsidR="3E0527B8">
        <w:rPr>
          <w:rFonts w:ascii="Calibri" w:hAnsi="Calibri" w:eastAsia="Calibri" w:cs="Calibri"/>
          <w:sz w:val="24"/>
          <w:szCs w:val="24"/>
        </w:rPr>
        <w:t xml:space="preserve"> –3.0 to 5.2°C. Among them,</w:t>
      </w:r>
      <w:r w:rsidRPr="60435B4D" w:rsidR="5012F66E">
        <w:rPr>
          <w:rFonts w:ascii="Calibri" w:hAnsi="Calibri" w:eastAsia="Calibri" w:cs="Calibri"/>
          <w:sz w:val="24"/>
          <w:szCs w:val="24"/>
        </w:rPr>
        <w:t xml:space="preserve"> </w:t>
      </w:r>
      <w:r w:rsidRPr="60435B4D" w:rsidR="489BC970">
        <w:rPr>
          <w:rFonts w:ascii="Calibri" w:hAnsi="Calibri" w:eastAsia="Calibri" w:cs="Calibri"/>
          <w:sz w:val="24"/>
          <w:szCs w:val="24"/>
        </w:rPr>
        <w:t>41</w:t>
      </w:r>
      <w:r w:rsidRPr="60435B4D" w:rsidR="5012F66E">
        <w:rPr>
          <w:rFonts w:ascii="Calibri" w:hAnsi="Calibri" w:eastAsia="Calibri" w:cs="Calibri"/>
          <w:sz w:val="24"/>
          <w:szCs w:val="24"/>
        </w:rPr>
        <w:t xml:space="preserve">% </w:t>
      </w:r>
      <w:r w:rsidRPr="60435B4D" w:rsidR="4670CE38">
        <w:rPr>
          <w:rFonts w:ascii="Calibri" w:hAnsi="Calibri" w:eastAsia="Calibri" w:cs="Calibri"/>
          <w:sz w:val="24"/>
          <w:szCs w:val="24"/>
        </w:rPr>
        <w:t xml:space="preserve">presented </w:t>
      </w:r>
      <w:r w:rsidRPr="60435B4D" w:rsidR="7B5DCF48">
        <w:rPr>
          <w:rFonts w:ascii="Calibri" w:hAnsi="Calibri" w:eastAsia="Calibri" w:cs="Calibri"/>
          <w:sz w:val="24"/>
          <w:szCs w:val="24"/>
        </w:rPr>
        <w:t xml:space="preserve">colder </w:t>
      </w:r>
      <w:r w:rsidRPr="60435B4D" w:rsidR="24BD43DA">
        <w:rPr>
          <w:rFonts w:ascii="Calibri" w:hAnsi="Calibri" w:eastAsia="Calibri" w:cs="Calibri"/>
          <w:sz w:val="24"/>
          <w:szCs w:val="24"/>
        </w:rPr>
        <w:t>limb.</w:t>
      </w:r>
      <w:r w:rsidRPr="60435B4D" w:rsidR="096EC99F">
        <w:rPr>
          <w:rFonts w:ascii="Calibri" w:hAnsi="Calibri" w:eastAsia="Calibri" w:cs="Calibri"/>
          <w:sz w:val="24"/>
          <w:szCs w:val="24"/>
        </w:rPr>
        <w:t xml:space="preserve"> Most participants </w:t>
      </w:r>
      <w:r w:rsidRPr="60435B4D" w:rsidR="6C53613C">
        <w:rPr>
          <w:rFonts w:ascii="Calibri" w:hAnsi="Calibri" w:eastAsia="Calibri" w:cs="Calibri"/>
          <w:sz w:val="24"/>
          <w:szCs w:val="24"/>
        </w:rPr>
        <w:t xml:space="preserve">exhibited </w:t>
      </w:r>
      <w:r w:rsidRPr="60435B4D" w:rsidR="096EC99F">
        <w:rPr>
          <w:rFonts w:ascii="Calibri" w:hAnsi="Calibri" w:eastAsia="Calibri" w:cs="Calibri"/>
          <w:sz w:val="24"/>
          <w:szCs w:val="24"/>
        </w:rPr>
        <w:t>swelling, while s</w:t>
      </w:r>
      <w:r w:rsidRPr="60435B4D" w:rsidR="0857317B">
        <w:rPr>
          <w:rFonts w:ascii="Calibri" w:hAnsi="Calibri" w:eastAsia="Calibri" w:cs="Calibri"/>
          <w:sz w:val="24"/>
          <w:szCs w:val="24"/>
        </w:rPr>
        <w:t xml:space="preserve">weating was </w:t>
      </w:r>
      <w:r w:rsidRPr="60435B4D" w:rsidR="06ECF457">
        <w:rPr>
          <w:rFonts w:ascii="Calibri" w:hAnsi="Calibri" w:eastAsia="Calibri" w:cs="Calibri"/>
          <w:sz w:val="24"/>
          <w:szCs w:val="24"/>
        </w:rPr>
        <w:t xml:space="preserve">only </w:t>
      </w:r>
      <w:r w:rsidRPr="60435B4D" w:rsidR="0857317B">
        <w:rPr>
          <w:rFonts w:ascii="Calibri" w:hAnsi="Calibri" w:eastAsia="Calibri" w:cs="Calibri"/>
          <w:sz w:val="24"/>
          <w:szCs w:val="24"/>
        </w:rPr>
        <w:t>observed in 19%</w:t>
      </w:r>
      <w:r w:rsidRPr="60435B4D" w:rsidR="06ECF457">
        <w:rPr>
          <w:rFonts w:ascii="Calibri" w:hAnsi="Calibri" w:eastAsia="Calibri" w:cs="Calibri"/>
          <w:sz w:val="24"/>
          <w:szCs w:val="24"/>
        </w:rPr>
        <w:t xml:space="preserve"> of the </w:t>
      </w:r>
      <w:r w:rsidRPr="60435B4D">
        <w:rPr>
          <w:rFonts w:ascii="Calibri" w:hAnsi="Calibri" w:eastAsia="Calibri" w:cs="Calibri"/>
          <w:sz w:val="24"/>
          <w:szCs w:val="24"/>
        </w:rPr>
        <w:t>subjects</w:t>
      </w:r>
      <w:r w:rsidRPr="60435B4D" w:rsidR="0857317B">
        <w:rPr>
          <w:rFonts w:ascii="Calibri" w:hAnsi="Calibri" w:eastAsia="Calibri" w:cs="Calibri"/>
          <w:sz w:val="24"/>
          <w:szCs w:val="24"/>
        </w:rPr>
        <w:t xml:space="preserve">. </w:t>
      </w:r>
      <w:r w:rsidRPr="60435B4D" w:rsidR="2F5B0A15">
        <w:rPr>
          <w:rFonts w:ascii="Calibri" w:hAnsi="Calibri" w:eastAsia="Calibri" w:cs="Calibri"/>
          <w:sz w:val="24"/>
          <w:szCs w:val="24"/>
        </w:rPr>
        <w:t xml:space="preserve">Trophic disturbances were observed in half of the cohort, principally hypertrichosis or fingernails abnormalities. </w:t>
      </w:r>
      <w:r w:rsidRPr="60435B4D" w:rsidR="0857317B">
        <w:rPr>
          <w:rFonts w:ascii="Calibri" w:hAnsi="Calibri" w:eastAsia="Calibri" w:cs="Calibri"/>
          <w:sz w:val="24"/>
          <w:szCs w:val="24"/>
        </w:rPr>
        <w:t>Only</w:t>
      </w:r>
      <w:r w:rsidRPr="60435B4D" w:rsidR="0857317B">
        <w:rPr>
          <w:rFonts w:ascii="Calibri" w:hAnsi="Calibri" w:eastAsia="Calibri" w:cs="Calibri"/>
          <w:color w:val="000000" w:themeColor="text1"/>
          <w:sz w:val="24"/>
          <w:szCs w:val="24"/>
        </w:rPr>
        <w:t xml:space="preserve"> </w:t>
      </w:r>
      <w:r w:rsidRPr="60435B4D" w:rsidR="3CDA9325">
        <w:rPr>
          <w:rFonts w:ascii="Calibri" w:hAnsi="Calibri" w:eastAsia="Calibri" w:cs="Calibri"/>
          <w:color w:val="000000" w:themeColor="text1"/>
          <w:sz w:val="24"/>
          <w:szCs w:val="24"/>
        </w:rPr>
        <w:t>6% of the par</w:t>
      </w:r>
      <w:r w:rsidRPr="60435B4D" w:rsidR="0857317B">
        <w:rPr>
          <w:rFonts w:ascii="Calibri" w:hAnsi="Calibri" w:eastAsia="Calibri" w:cs="Calibri"/>
          <w:color w:val="000000" w:themeColor="text1"/>
          <w:sz w:val="24"/>
          <w:szCs w:val="24"/>
        </w:rPr>
        <w:t xml:space="preserve">ticipants did not </w:t>
      </w:r>
      <w:r w:rsidRPr="60435B4D" w:rsidR="3C793052">
        <w:rPr>
          <w:rFonts w:ascii="Calibri" w:hAnsi="Calibri" w:eastAsia="Calibri" w:cs="Calibri"/>
          <w:color w:val="000000" w:themeColor="text1"/>
          <w:sz w:val="24"/>
          <w:szCs w:val="24"/>
        </w:rPr>
        <w:t>suffer</w:t>
      </w:r>
      <w:r w:rsidRPr="60435B4D" w:rsidR="0857317B">
        <w:rPr>
          <w:rFonts w:ascii="Calibri" w:hAnsi="Calibri" w:eastAsia="Calibri" w:cs="Calibri"/>
          <w:color w:val="000000" w:themeColor="text1"/>
          <w:sz w:val="24"/>
          <w:szCs w:val="24"/>
        </w:rPr>
        <w:t xml:space="preserve"> from restricted </w:t>
      </w:r>
      <w:proofErr w:type="spellStart"/>
      <w:r w:rsidRPr="60435B4D" w:rsidR="0857317B">
        <w:rPr>
          <w:rFonts w:ascii="Calibri" w:hAnsi="Calibri" w:eastAsia="Calibri" w:cs="Calibri"/>
          <w:color w:val="000000" w:themeColor="text1"/>
          <w:sz w:val="24"/>
          <w:szCs w:val="24"/>
        </w:rPr>
        <w:t>RoM</w:t>
      </w:r>
      <w:proofErr w:type="spellEnd"/>
      <w:r w:rsidRPr="60435B4D" w:rsidR="1561945F">
        <w:rPr>
          <w:rFonts w:ascii="Calibri" w:hAnsi="Calibri" w:eastAsia="Calibri" w:cs="Calibri"/>
          <w:color w:val="000000" w:themeColor="text1"/>
          <w:sz w:val="24"/>
          <w:szCs w:val="24"/>
        </w:rPr>
        <w:t xml:space="preserve">, and </w:t>
      </w:r>
      <w:r w:rsidRPr="60435B4D" w:rsidR="588A18FB">
        <w:rPr>
          <w:rFonts w:ascii="Calibri" w:hAnsi="Calibri" w:eastAsia="Calibri" w:cs="Calibri"/>
          <w:color w:val="000000" w:themeColor="text1"/>
          <w:sz w:val="24"/>
          <w:szCs w:val="24"/>
        </w:rPr>
        <w:t xml:space="preserve">8% </w:t>
      </w:r>
      <w:r w:rsidRPr="60435B4D" w:rsidR="1561945F">
        <w:rPr>
          <w:rFonts w:ascii="Calibri" w:hAnsi="Calibri" w:eastAsia="Calibri" w:cs="Calibri"/>
          <w:color w:val="000000" w:themeColor="text1"/>
          <w:sz w:val="24"/>
          <w:szCs w:val="24"/>
        </w:rPr>
        <w:t>from weakness</w:t>
      </w:r>
      <w:r w:rsidRPr="60435B4D" w:rsidR="51F3D8F1">
        <w:rPr>
          <w:rFonts w:ascii="Calibri" w:hAnsi="Calibri" w:eastAsia="Calibri" w:cs="Calibri"/>
          <w:sz w:val="24"/>
          <w:szCs w:val="24"/>
        </w:rPr>
        <w:t>.</w:t>
      </w:r>
      <w:r w:rsidRPr="60435B4D" w:rsidR="683C01E7">
        <w:rPr>
          <w:rFonts w:ascii="Calibri" w:hAnsi="Calibri" w:eastAsia="Calibri" w:cs="Calibri"/>
          <w:sz w:val="24"/>
          <w:szCs w:val="24"/>
        </w:rPr>
        <w:t xml:space="preserve"> </w:t>
      </w:r>
      <w:r w:rsidRPr="60435B4D" w:rsidR="683C01E7">
        <w:rPr>
          <w:rFonts w:ascii="Calibri" w:hAnsi="Calibri" w:eastAsia="Calibri" w:cs="Calibri"/>
          <w:color w:val="000000" w:themeColor="text1"/>
          <w:sz w:val="24"/>
          <w:szCs w:val="24"/>
        </w:rPr>
        <w:t>Mean CSS was 11.5.</w:t>
      </w:r>
      <w:r w:rsidRPr="60435B4D" w:rsidR="797959D0">
        <w:rPr>
          <w:rFonts w:ascii="Calibri" w:hAnsi="Calibri" w:eastAsia="Calibri" w:cs="Calibri"/>
          <w:color w:val="000000" w:themeColor="text1"/>
          <w:sz w:val="24"/>
          <w:szCs w:val="24"/>
        </w:rPr>
        <w:t xml:space="preserve"> </w:t>
      </w:r>
      <w:r w:rsidRPr="60435B4D" w:rsidR="19F944D9">
        <w:rPr>
          <w:rFonts w:ascii="Calibri" w:hAnsi="Calibri" w:eastAsia="Calibri" w:cs="Calibri"/>
          <w:color w:val="000000" w:themeColor="text1"/>
          <w:sz w:val="24"/>
          <w:szCs w:val="24"/>
        </w:rPr>
        <w:t>Participants</w:t>
      </w:r>
      <w:r w:rsidRPr="60435B4D">
        <w:rPr>
          <w:rFonts w:ascii="Calibri" w:hAnsi="Calibri" w:eastAsia="Calibri" w:cs="Calibri"/>
          <w:color w:val="000000" w:themeColor="text1"/>
          <w:sz w:val="24"/>
          <w:szCs w:val="24"/>
        </w:rPr>
        <w:t xml:space="preserve"> </w:t>
      </w:r>
      <w:r w:rsidRPr="60435B4D" w:rsidR="6C99CF37">
        <w:rPr>
          <w:rFonts w:ascii="Calibri" w:hAnsi="Calibri" w:eastAsia="Calibri" w:cs="Calibri"/>
          <w:color w:val="000000" w:themeColor="text1"/>
          <w:sz w:val="24"/>
          <w:szCs w:val="24"/>
        </w:rPr>
        <w:t>varied greatly regarding body perception disturbances (range: 1 to 35/47)</w:t>
      </w:r>
      <w:r w:rsidRPr="60435B4D" w:rsidR="06A899C9">
        <w:rPr>
          <w:rFonts w:ascii="Calibri" w:hAnsi="Calibri" w:eastAsia="Calibri" w:cs="Calibri"/>
          <w:color w:val="000000" w:themeColor="text1"/>
          <w:sz w:val="24"/>
          <w:szCs w:val="24"/>
        </w:rPr>
        <w:t>.</w:t>
      </w:r>
      <w:r w:rsidRPr="60435B4D" w:rsidR="12B55D40">
        <w:rPr>
          <w:rFonts w:ascii="Calibri" w:hAnsi="Calibri" w:eastAsia="Calibri" w:cs="Calibri"/>
          <w:color w:val="000000" w:themeColor="text1"/>
          <w:sz w:val="24"/>
          <w:szCs w:val="24"/>
        </w:rPr>
        <w:t xml:space="preserve"> </w:t>
      </w:r>
      <w:r w:rsidRPr="60435B4D" w:rsidR="7461B8C8">
        <w:rPr>
          <w:rFonts w:ascii="Calibri" w:hAnsi="Calibri" w:eastAsia="Calibri" w:cs="Calibri"/>
          <w:color w:val="000000" w:themeColor="text1"/>
          <w:sz w:val="24"/>
          <w:szCs w:val="24"/>
        </w:rPr>
        <w:t>Treatments were standard, based on analgesics and physiotherapy. Some patients also benefited from multidisciplinary management</w:t>
      </w:r>
      <w:r w:rsidRPr="60435B4D" w:rsidR="7461B8C8">
        <w:rPr>
          <w:rFonts w:ascii="Calibri" w:hAnsi="Calibri" w:eastAsia="Calibri" w:cs="Calibri"/>
          <w:color w:val="FF0000"/>
          <w:sz w:val="24"/>
          <w:szCs w:val="24"/>
        </w:rPr>
        <w:t xml:space="preserve"> </w:t>
      </w:r>
      <w:r w:rsidRPr="60435B4D" w:rsidR="7461B8C8">
        <w:rPr>
          <w:rFonts w:ascii="Calibri" w:hAnsi="Calibri" w:eastAsia="Calibri" w:cs="Calibri"/>
          <w:color w:val="000000" w:themeColor="text1"/>
          <w:sz w:val="24"/>
          <w:szCs w:val="24"/>
        </w:rPr>
        <w:t>(including occupational therapy).</w:t>
      </w:r>
    </w:p>
    <w:p w:rsidR="36E4CB7B" w:rsidP="4EF8719D" w:rsidRDefault="7B3B018F" w14:paraId="2DD4FC61" w14:textId="003DF4A7">
      <w:pPr>
        <w:spacing w:line="480" w:lineRule="auto"/>
        <w:jc w:val="center"/>
        <w:rPr>
          <w:rFonts w:ascii="Calibri" w:hAnsi="Calibri" w:eastAsia="Calibri" w:cs="Calibri"/>
          <w:i/>
          <w:iCs/>
        </w:rPr>
      </w:pPr>
      <w:r w:rsidRPr="4EF8719D">
        <w:rPr>
          <w:rFonts w:ascii="Calibri" w:hAnsi="Calibri" w:eastAsia="Calibri" w:cs="Calibri"/>
          <w:i/>
          <w:iCs/>
        </w:rPr>
        <w:t>Table 2. Clinical presentation of early CRPS</w:t>
      </w:r>
      <w:r w:rsidR="00E813D8">
        <w:rPr>
          <w:rFonts w:ascii="Calibri" w:hAnsi="Calibri" w:eastAsia="Calibri" w:cs="Calibri"/>
          <w:i/>
          <w:iCs/>
        </w:rPr>
        <w:t>.</w:t>
      </w:r>
    </w:p>
    <w:p w:rsidRPr="00171B6F" w:rsidR="5FC34136" w:rsidP="560E2E1C" w:rsidRDefault="6DEE815B" w14:paraId="20D2ABDB" w14:textId="79107ED9">
      <w:pPr>
        <w:spacing w:line="480" w:lineRule="auto"/>
        <w:jc w:val="both"/>
        <w:rPr>
          <w:rFonts w:ascii="Calibri" w:hAnsi="Calibri" w:eastAsia="Calibri" w:cs="Calibri"/>
          <w:sz w:val="24"/>
          <w:szCs w:val="24"/>
        </w:rPr>
      </w:pPr>
      <w:r w:rsidRPr="4CB37362">
        <w:rPr>
          <w:rFonts w:ascii="Calibri" w:hAnsi="Calibri" w:eastAsia="Calibri" w:cs="Calibri"/>
          <w:sz w:val="24"/>
          <w:szCs w:val="24"/>
        </w:rPr>
        <w:t xml:space="preserve">Table </w:t>
      </w:r>
      <w:r w:rsidRPr="4CB37362" w:rsidR="34C4F4BE">
        <w:rPr>
          <w:rFonts w:ascii="Calibri" w:hAnsi="Calibri" w:eastAsia="Calibri" w:cs="Calibri"/>
          <w:sz w:val="24"/>
          <w:szCs w:val="24"/>
        </w:rPr>
        <w:t xml:space="preserve">3 </w:t>
      </w:r>
      <w:r w:rsidRPr="4CB37362">
        <w:rPr>
          <w:rFonts w:ascii="Calibri" w:hAnsi="Calibri" w:eastAsia="Calibri" w:cs="Calibri"/>
          <w:sz w:val="24"/>
          <w:szCs w:val="24"/>
        </w:rPr>
        <w:t xml:space="preserve">shows </w:t>
      </w:r>
      <w:r w:rsidRPr="4CB37362" w:rsidR="0C12E3DE">
        <w:rPr>
          <w:rFonts w:ascii="Calibri" w:hAnsi="Calibri" w:eastAsia="Calibri" w:cs="Calibri"/>
          <w:sz w:val="24"/>
          <w:szCs w:val="24"/>
        </w:rPr>
        <w:t>the</w:t>
      </w:r>
      <w:r w:rsidRPr="4CB37362" w:rsidR="5CAECC5E">
        <w:rPr>
          <w:rFonts w:ascii="Calibri" w:hAnsi="Calibri" w:eastAsia="Calibri" w:cs="Calibri"/>
          <w:sz w:val="24"/>
          <w:szCs w:val="24"/>
        </w:rPr>
        <w:t xml:space="preserve"> results </w:t>
      </w:r>
      <w:r w:rsidRPr="4CB37362" w:rsidR="0063EE7C">
        <w:rPr>
          <w:rFonts w:ascii="Calibri" w:hAnsi="Calibri" w:eastAsia="Calibri" w:cs="Calibri"/>
          <w:sz w:val="24"/>
          <w:szCs w:val="24"/>
        </w:rPr>
        <w:t xml:space="preserve">from the </w:t>
      </w:r>
      <w:r w:rsidRPr="4CB37362" w:rsidR="27E6A45F">
        <w:rPr>
          <w:rFonts w:ascii="Calibri" w:hAnsi="Calibri" w:eastAsia="Calibri" w:cs="Calibri"/>
          <w:sz w:val="24"/>
          <w:szCs w:val="24"/>
        </w:rPr>
        <w:t>questionnaires</w:t>
      </w:r>
      <w:r w:rsidRPr="4CB37362">
        <w:rPr>
          <w:rFonts w:ascii="Calibri" w:hAnsi="Calibri" w:eastAsia="Calibri" w:cs="Calibri"/>
          <w:sz w:val="24"/>
          <w:szCs w:val="24"/>
        </w:rPr>
        <w:t>.</w:t>
      </w:r>
      <w:r w:rsidRPr="4CB37362" w:rsidR="5CACF66F">
        <w:rPr>
          <w:rFonts w:ascii="Calibri" w:hAnsi="Calibri" w:eastAsia="Calibri" w:cs="Calibri"/>
          <w:sz w:val="24"/>
          <w:szCs w:val="24"/>
        </w:rPr>
        <w:t xml:space="preserve"> </w:t>
      </w:r>
      <w:r w:rsidRPr="4CB37362" w:rsidR="59753B86">
        <w:rPr>
          <w:rFonts w:ascii="Calibri" w:hAnsi="Calibri" w:eastAsia="Calibri" w:cs="Calibri"/>
          <w:sz w:val="24"/>
          <w:szCs w:val="24"/>
        </w:rPr>
        <w:t xml:space="preserve">The </w:t>
      </w:r>
      <w:r w:rsidRPr="4CB37362" w:rsidR="073B0480">
        <w:rPr>
          <w:rFonts w:ascii="Calibri" w:hAnsi="Calibri" w:eastAsia="Calibri" w:cs="Calibri"/>
          <w:sz w:val="24"/>
          <w:szCs w:val="24"/>
        </w:rPr>
        <w:t xml:space="preserve">participants </w:t>
      </w:r>
      <w:r w:rsidRPr="4CB37362" w:rsidR="36051D37">
        <w:rPr>
          <w:rFonts w:ascii="Calibri" w:hAnsi="Calibri" w:eastAsia="Calibri" w:cs="Calibri"/>
          <w:sz w:val="24"/>
          <w:szCs w:val="24"/>
        </w:rPr>
        <w:t>reported</w:t>
      </w:r>
      <w:r w:rsidRPr="4CB37362" w:rsidR="2189CDE8">
        <w:rPr>
          <w:rFonts w:ascii="Calibri" w:hAnsi="Calibri" w:eastAsia="Calibri" w:cs="Calibri"/>
          <w:sz w:val="24"/>
          <w:szCs w:val="24"/>
        </w:rPr>
        <w:t xml:space="preserve"> </w:t>
      </w:r>
      <w:r w:rsidRPr="4CB37362" w:rsidR="328F7E69">
        <w:rPr>
          <w:rFonts w:ascii="Calibri" w:hAnsi="Calibri" w:eastAsia="Calibri" w:cs="Calibri"/>
          <w:sz w:val="24"/>
          <w:szCs w:val="24"/>
        </w:rPr>
        <w:t>variable levels of</w:t>
      </w:r>
      <w:r w:rsidRPr="4CB37362" w:rsidR="59753B86">
        <w:rPr>
          <w:rFonts w:ascii="Calibri" w:hAnsi="Calibri" w:eastAsia="Calibri" w:cs="Calibri"/>
          <w:sz w:val="24"/>
          <w:szCs w:val="24"/>
        </w:rPr>
        <w:t xml:space="preserve"> disability</w:t>
      </w:r>
      <w:r w:rsidRPr="4CB37362" w:rsidR="613DE2F7">
        <w:rPr>
          <w:rFonts w:ascii="Calibri" w:hAnsi="Calibri" w:eastAsia="Calibri" w:cs="Calibri"/>
          <w:sz w:val="24"/>
          <w:szCs w:val="24"/>
        </w:rPr>
        <w:t xml:space="preserve"> and pain. Most of the cohort </w:t>
      </w:r>
      <w:r w:rsidRPr="4CB37362" w:rsidR="328F7E69">
        <w:rPr>
          <w:rFonts w:ascii="Calibri" w:hAnsi="Calibri" w:eastAsia="Calibri" w:cs="Calibri"/>
          <w:sz w:val="24"/>
          <w:szCs w:val="24"/>
        </w:rPr>
        <w:t>described</w:t>
      </w:r>
      <w:r w:rsidRPr="4CB37362" w:rsidR="613DE2F7">
        <w:rPr>
          <w:rFonts w:ascii="Calibri" w:hAnsi="Calibri" w:eastAsia="Calibri" w:cs="Calibri"/>
          <w:sz w:val="24"/>
          <w:szCs w:val="24"/>
        </w:rPr>
        <w:t xml:space="preserve"> impaired QoL</w:t>
      </w:r>
      <w:r w:rsidRPr="4CB37362" w:rsidR="134EA9CD">
        <w:rPr>
          <w:rFonts w:ascii="Calibri" w:hAnsi="Calibri" w:eastAsia="Calibri" w:cs="Calibri"/>
          <w:sz w:val="24"/>
          <w:szCs w:val="24"/>
        </w:rPr>
        <w:t xml:space="preserve"> and self-rated health</w:t>
      </w:r>
      <w:r w:rsidRPr="4CB37362" w:rsidR="613DE2F7">
        <w:rPr>
          <w:rFonts w:ascii="Calibri" w:hAnsi="Calibri" w:eastAsia="Calibri" w:cs="Calibri"/>
          <w:sz w:val="24"/>
          <w:szCs w:val="24"/>
        </w:rPr>
        <w:t xml:space="preserve">. </w:t>
      </w:r>
      <w:r w:rsidRPr="4CB37362" w:rsidR="00144155">
        <w:rPr>
          <w:rFonts w:ascii="Calibri" w:hAnsi="Calibri" w:eastAsia="Calibri" w:cs="Calibri"/>
          <w:sz w:val="24"/>
          <w:szCs w:val="24"/>
        </w:rPr>
        <w:t xml:space="preserve">Around a third of the cohort presented with </w:t>
      </w:r>
      <w:r w:rsidRPr="4CB37362" w:rsidR="00144155">
        <w:rPr>
          <w:rFonts w:eastAsiaTheme="minorEastAsia"/>
          <w:sz w:val="24"/>
          <w:szCs w:val="24"/>
        </w:rPr>
        <w:t>probable anxiety disorde</w:t>
      </w:r>
      <w:r w:rsidRPr="4CB37362" w:rsidR="00144155">
        <w:rPr>
          <w:rFonts w:ascii="Calibri" w:hAnsi="Calibri" w:eastAsia="Calibri" w:cs="Calibri"/>
          <w:sz w:val="24"/>
          <w:szCs w:val="24"/>
        </w:rPr>
        <w:t>rs, and a quarter with depressive disorders (</w:t>
      </w:r>
      <w:proofErr w:type="spellStart"/>
      <w:r w:rsidRPr="4CB37362" w:rsidR="00144155">
        <w:rPr>
          <w:rFonts w:ascii="Calibri" w:hAnsi="Calibri" w:eastAsia="Calibri" w:cs="Calibri"/>
          <w:sz w:val="24"/>
          <w:szCs w:val="24"/>
        </w:rPr>
        <w:t>HADS</w:t>
      </w:r>
      <w:proofErr w:type="spellEnd"/>
      <w:r w:rsidRPr="4CB37362" w:rsidR="00144155">
        <w:rPr>
          <w:rFonts w:ascii="Calibri" w:hAnsi="Calibri" w:eastAsia="Calibri" w:cs="Calibri"/>
          <w:sz w:val="24"/>
          <w:szCs w:val="24"/>
        </w:rPr>
        <w:t xml:space="preserve"> subscales ≥ 11).</w:t>
      </w:r>
      <w:r w:rsidRPr="4CB37362" w:rsidR="008E5528">
        <w:rPr>
          <w:rFonts w:ascii="Calibri" w:hAnsi="Calibri" w:eastAsia="Calibri" w:cs="Calibri"/>
          <w:sz w:val="24"/>
          <w:szCs w:val="24"/>
        </w:rPr>
        <w:t xml:space="preserve"> </w:t>
      </w:r>
      <w:r w:rsidRPr="4CB37362" w:rsidR="4F9C16DE">
        <w:rPr>
          <w:rFonts w:ascii="Calibri" w:hAnsi="Calibri" w:eastAsia="Calibri" w:cs="Calibri"/>
          <w:sz w:val="24"/>
          <w:szCs w:val="24"/>
        </w:rPr>
        <w:t>T</w:t>
      </w:r>
      <w:r w:rsidRPr="4CB37362" w:rsidR="4FAB3BB8">
        <w:rPr>
          <w:rFonts w:ascii="Calibri" w:hAnsi="Calibri" w:eastAsia="Calibri" w:cs="Calibri"/>
          <w:sz w:val="24"/>
          <w:szCs w:val="24"/>
        </w:rPr>
        <w:t>he</w:t>
      </w:r>
      <w:r w:rsidRPr="4CB37362" w:rsidR="5DA78F87">
        <w:rPr>
          <w:rFonts w:ascii="Calibri" w:hAnsi="Calibri" w:eastAsia="Calibri" w:cs="Calibri"/>
          <w:sz w:val="24"/>
          <w:szCs w:val="24"/>
        </w:rPr>
        <w:t xml:space="preserve"> psychosocial</w:t>
      </w:r>
      <w:r w:rsidRPr="4CB37362" w:rsidR="4FAB3BB8">
        <w:rPr>
          <w:rFonts w:ascii="Calibri" w:hAnsi="Calibri" w:eastAsia="Calibri" w:cs="Calibri"/>
          <w:sz w:val="24"/>
          <w:szCs w:val="24"/>
        </w:rPr>
        <w:t xml:space="preserve"> risk of </w:t>
      </w:r>
      <w:proofErr w:type="spellStart"/>
      <w:r w:rsidRPr="4CB37362" w:rsidR="4FAB3BB8">
        <w:rPr>
          <w:rFonts w:ascii="Calibri" w:hAnsi="Calibri" w:eastAsia="Calibri" w:cs="Calibri"/>
          <w:sz w:val="24"/>
          <w:szCs w:val="24"/>
        </w:rPr>
        <w:t>chronification</w:t>
      </w:r>
      <w:proofErr w:type="spellEnd"/>
      <w:r w:rsidRPr="4CB37362" w:rsidR="4F9C16DE">
        <w:rPr>
          <w:rFonts w:ascii="Calibri" w:hAnsi="Calibri" w:eastAsia="Calibri" w:cs="Calibri"/>
          <w:sz w:val="24"/>
          <w:szCs w:val="24"/>
        </w:rPr>
        <w:t xml:space="preserve"> was assessed as high for half of the cohort (</w:t>
      </w:r>
      <w:proofErr w:type="spellStart"/>
      <w:r w:rsidRPr="4CB37362" w:rsidR="4F9C16DE">
        <w:rPr>
          <w:rFonts w:ascii="Calibri" w:hAnsi="Calibri" w:eastAsia="Calibri" w:cs="Calibri"/>
          <w:sz w:val="24"/>
          <w:szCs w:val="24"/>
        </w:rPr>
        <w:t>OMPSQ</w:t>
      </w:r>
      <w:proofErr w:type="spellEnd"/>
      <w:r w:rsidRPr="4CB37362" w:rsidR="2E00D4F7">
        <w:rPr>
          <w:rFonts w:ascii="Calibri" w:hAnsi="Calibri" w:eastAsia="Calibri" w:cs="Calibri"/>
          <w:sz w:val="24"/>
          <w:szCs w:val="24"/>
        </w:rPr>
        <w:t>-SF</w:t>
      </w:r>
      <w:r w:rsidRPr="4CB37362" w:rsidR="04B703AB">
        <w:rPr>
          <w:rFonts w:ascii="Calibri" w:hAnsi="Calibri" w:eastAsia="Calibri" w:cs="Calibri"/>
          <w:sz w:val="24"/>
          <w:szCs w:val="24"/>
        </w:rPr>
        <w:t xml:space="preserve"> ≥ 50).</w:t>
      </w:r>
      <w:r w:rsidRPr="4CB37362" w:rsidR="4F9C16DE">
        <w:rPr>
          <w:rFonts w:ascii="Calibri" w:hAnsi="Calibri" w:eastAsia="Calibri" w:cs="Calibri"/>
          <w:sz w:val="24"/>
          <w:szCs w:val="24"/>
        </w:rPr>
        <w:t xml:space="preserve"> </w:t>
      </w:r>
    </w:p>
    <w:p w:rsidRPr="00171B6F" w:rsidR="2BD6D894" w:rsidP="560E2E1C" w:rsidRDefault="7D2EB6BE" w14:paraId="33E035B2" w14:textId="34FA2DF8">
      <w:pPr>
        <w:spacing w:line="480" w:lineRule="auto"/>
        <w:jc w:val="center"/>
        <w:rPr>
          <w:rFonts w:ascii="Calibri" w:hAnsi="Calibri" w:eastAsia="Calibri" w:cs="Calibri"/>
          <w:i/>
          <w:iCs/>
        </w:rPr>
      </w:pPr>
      <w:r w:rsidRPr="5F7DF4C4">
        <w:rPr>
          <w:rFonts w:ascii="Calibri" w:hAnsi="Calibri" w:eastAsia="Calibri" w:cs="Calibri"/>
          <w:i/>
          <w:iCs/>
        </w:rPr>
        <w:t xml:space="preserve">Table 3. </w:t>
      </w:r>
      <w:r w:rsidRPr="5F7DF4C4" w:rsidR="7CA74327">
        <w:rPr>
          <w:rFonts w:ascii="Calibri" w:hAnsi="Calibri" w:eastAsia="Calibri" w:cs="Calibri"/>
          <w:i/>
          <w:iCs/>
        </w:rPr>
        <w:t>Questionnaires filled at home</w:t>
      </w:r>
      <w:r w:rsidRPr="5F7DF4C4" w:rsidR="7272210F">
        <w:rPr>
          <w:rFonts w:ascii="Calibri" w:hAnsi="Calibri" w:eastAsia="Calibri" w:cs="Calibri"/>
          <w:i/>
          <w:iCs/>
        </w:rPr>
        <w:t>.</w:t>
      </w:r>
    </w:p>
    <w:p w:rsidRPr="00AD055B" w:rsidR="52EF97AC" w:rsidRDefault="52EF97AC" w14:paraId="1B5DA5E2" w14:textId="5422AD61">
      <w:pPr>
        <w:pStyle w:val="Heading2"/>
        <w:numPr>
          <w:ilvl w:val="0"/>
          <w:numId w:val="11"/>
        </w:numPr>
      </w:pPr>
      <w:r w:rsidRPr="5F7DF4C4">
        <w:t>Temporal order judgment task</w:t>
      </w:r>
    </w:p>
    <w:p w:rsidRPr="00171B6F" w:rsidR="6CA10E7B" w:rsidP="560E2E1C" w:rsidRDefault="7E81AF09" w14:paraId="33E45922" w14:textId="650FDA43">
      <w:pPr>
        <w:spacing w:line="480" w:lineRule="auto"/>
        <w:jc w:val="both"/>
        <w:rPr>
          <w:rFonts w:ascii="Calibri" w:hAnsi="Calibri" w:eastAsia="Calibri" w:cs="Calibri"/>
          <w:sz w:val="24"/>
          <w:szCs w:val="24"/>
        </w:rPr>
      </w:pPr>
      <w:r w:rsidRPr="60435B4D">
        <w:rPr>
          <w:rFonts w:ascii="Calibri" w:hAnsi="Calibri" w:eastAsia="Calibri" w:cs="Calibri"/>
          <w:sz w:val="24"/>
          <w:szCs w:val="24"/>
        </w:rPr>
        <w:t xml:space="preserve">We did not observe any systematic bias </w:t>
      </w:r>
      <w:r w:rsidRPr="60435B4D" w:rsidR="4F3953E6">
        <w:rPr>
          <w:rFonts w:ascii="Calibri" w:hAnsi="Calibri" w:eastAsia="Calibri" w:cs="Calibri"/>
          <w:sz w:val="24"/>
          <w:szCs w:val="24"/>
        </w:rPr>
        <w:t>in visuospatial</w:t>
      </w:r>
      <w:r w:rsidRPr="60435B4D">
        <w:rPr>
          <w:rFonts w:ascii="Calibri" w:hAnsi="Calibri" w:eastAsia="Calibri" w:cs="Calibri"/>
          <w:sz w:val="24"/>
          <w:szCs w:val="24"/>
        </w:rPr>
        <w:t xml:space="preserve"> </w:t>
      </w:r>
      <w:r w:rsidRPr="00E55DF8">
        <w:rPr>
          <w:rFonts w:ascii="Calibri" w:hAnsi="Calibri" w:eastAsia="Calibri" w:cs="Calibri"/>
          <w:color w:val="FF0000"/>
          <w:sz w:val="24"/>
          <w:szCs w:val="24"/>
        </w:rPr>
        <w:t>perception</w:t>
      </w:r>
      <w:r w:rsidRPr="00E55DF8" w:rsidR="008E5528">
        <w:rPr>
          <w:rFonts w:ascii="Calibri" w:hAnsi="Calibri" w:eastAsia="Calibri" w:cs="Calibri"/>
          <w:color w:val="FF0000"/>
          <w:sz w:val="24"/>
          <w:szCs w:val="24"/>
        </w:rPr>
        <w:t xml:space="preserve"> </w:t>
      </w:r>
      <w:r w:rsidRPr="00E55DF8" w:rsidR="02301332">
        <w:rPr>
          <w:rFonts w:ascii="Calibri" w:hAnsi="Calibri" w:eastAsia="Calibri" w:cs="Calibri"/>
          <w:color w:val="FF0000"/>
          <w:sz w:val="24"/>
          <w:szCs w:val="24"/>
        </w:rPr>
        <w:t>for</w:t>
      </w:r>
      <w:r w:rsidRPr="00E55DF8">
        <w:rPr>
          <w:rFonts w:ascii="Calibri" w:hAnsi="Calibri" w:eastAsia="Calibri" w:cs="Calibri"/>
          <w:color w:val="FF0000"/>
          <w:sz w:val="24"/>
          <w:szCs w:val="24"/>
        </w:rPr>
        <w:t xml:space="preserve"> the </w:t>
      </w:r>
      <w:r w:rsidR="00E55DF8">
        <w:rPr>
          <w:rFonts w:ascii="Calibri" w:hAnsi="Calibri" w:eastAsia="Calibri" w:cs="Calibri"/>
          <w:color w:val="FF0000"/>
          <w:sz w:val="24"/>
          <w:szCs w:val="24"/>
        </w:rPr>
        <w:t xml:space="preserve">entire </w:t>
      </w:r>
      <w:r w:rsidRPr="00E55DF8" w:rsidR="5D687F5F">
        <w:rPr>
          <w:rFonts w:ascii="Calibri" w:hAnsi="Calibri" w:eastAsia="Calibri" w:cs="Calibri"/>
          <w:color w:val="FF0000"/>
          <w:sz w:val="24"/>
          <w:szCs w:val="24"/>
        </w:rPr>
        <w:t xml:space="preserve">cohort </w:t>
      </w:r>
      <w:r w:rsidRPr="00E55DF8" w:rsidR="008E5528">
        <w:rPr>
          <w:rFonts w:ascii="Calibri" w:hAnsi="Calibri" w:eastAsia="Calibri" w:cs="Calibri"/>
          <w:color w:val="FF0000"/>
          <w:sz w:val="24"/>
          <w:szCs w:val="24"/>
        </w:rPr>
        <w:t xml:space="preserve">as well as for </w:t>
      </w:r>
      <w:r w:rsidRPr="00E55DF8" w:rsidR="1E2A1109">
        <w:rPr>
          <w:rFonts w:ascii="Calibri" w:hAnsi="Calibri" w:eastAsia="Calibri" w:cs="Calibri"/>
          <w:color w:val="FF0000"/>
          <w:sz w:val="24"/>
          <w:szCs w:val="24"/>
        </w:rPr>
        <w:t>UE or LE</w:t>
      </w:r>
      <w:r w:rsidRPr="00E55DF8" w:rsidR="008E5528">
        <w:rPr>
          <w:rFonts w:ascii="Calibri" w:hAnsi="Calibri" w:eastAsia="Calibri" w:cs="Calibri"/>
          <w:color w:val="FF0000"/>
          <w:sz w:val="24"/>
          <w:szCs w:val="24"/>
        </w:rPr>
        <w:t xml:space="preserve"> respectively</w:t>
      </w:r>
      <w:r w:rsidRPr="60435B4D" w:rsidR="46A1F4E7">
        <w:rPr>
          <w:rFonts w:ascii="Calibri" w:hAnsi="Calibri" w:eastAsia="Calibri" w:cs="Calibri"/>
          <w:sz w:val="24"/>
          <w:szCs w:val="24"/>
        </w:rPr>
        <w:t>.</w:t>
      </w:r>
      <w:r w:rsidRPr="60435B4D">
        <w:rPr>
          <w:rFonts w:ascii="Calibri" w:hAnsi="Calibri" w:eastAsia="Calibri" w:cs="Calibri"/>
          <w:sz w:val="24"/>
          <w:szCs w:val="24"/>
        </w:rPr>
        <w:t xml:space="preserve"> </w:t>
      </w:r>
      <w:r w:rsidRPr="60435B4D" w:rsidR="0BFAF762">
        <w:rPr>
          <w:rFonts w:ascii="Calibri" w:hAnsi="Calibri" w:eastAsia="Calibri" w:cs="Calibri"/>
          <w:sz w:val="24"/>
          <w:szCs w:val="24"/>
        </w:rPr>
        <w:t xml:space="preserve">Complete results are available in the </w:t>
      </w:r>
      <w:r w:rsidRPr="60435B4D" w:rsidR="7E55D6DE">
        <w:rPr>
          <w:sz w:val="24"/>
          <w:szCs w:val="24"/>
        </w:rPr>
        <w:t>Supplementary materials</w:t>
      </w:r>
      <w:r w:rsidRPr="60435B4D" w:rsidR="7E55D6DE">
        <w:rPr>
          <w:rFonts w:ascii="Calibri" w:hAnsi="Calibri" w:eastAsia="Calibri" w:cs="Calibri"/>
          <w:sz w:val="24"/>
          <w:szCs w:val="24"/>
        </w:rPr>
        <w:t xml:space="preserve"> </w:t>
      </w:r>
      <w:r w:rsidRPr="60435B4D" w:rsidR="2EDC2BD5">
        <w:rPr>
          <w:rFonts w:ascii="Calibri" w:hAnsi="Calibri" w:eastAsia="Calibri" w:cs="Calibri"/>
          <w:sz w:val="24"/>
          <w:szCs w:val="24"/>
        </w:rPr>
        <w:t>(</w:t>
      </w:r>
      <w:r w:rsidRPr="60435B4D" w:rsidR="2EDC2BD5">
        <w:rPr>
          <w:rFonts w:ascii="Calibri" w:hAnsi="Calibri" w:eastAsia="Calibri" w:cs="Calibri"/>
          <w:i/>
          <w:iCs/>
          <w:sz w:val="24"/>
          <w:szCs w:val="24"/>
        </w:rPr>
        <w:t>3. TOJ results</w:t>
      </w:r>
      <w:r w:rsidR="007D1D0C">
        <w:rPr>
          <w:rFonts w:ascii="Calibri" w:hAnsi="Calibri" w:eastAsia="Calibri" w:cs="Calibri"/>
          <w:i/>
          <w:iCs/>
          <w:sz w:val="24"/>
          <w:szCs w:val="24"/>
        </w:rPr>
        <w:t xml:space="preserve"> [tableS1]</w:t>
      </w:r>
      <w:r w:rsidRPr="60435B4D" w:rsidR="2EDC2BD5">
        <w:rPr>
          <w:rFonts w:ascii="Calibri" w:hAnsi="Calibri" w:eastAsia="Calibri" w:cs="Calibri"/>
          <w:sz w:val="24"/>
          <w:szCs w:val="24"/>
        </w:rPr>
        <w:t>)</w:t>
      </w:r>
      <w:r w:rsidRPr="60435B4D" w:rsidR="0BFAF762">
        <w:rPr>
          <w:rFonts w:ascii="Calibri" w:hAnsi="Calibri" w:eastAsia="Calibri" w:cs="Calibri"/>
          <w:sz w:val="24"/>
          <w:szCs w:val="24"/>
        </w:rPr>
        <w:t xml:space="preserve">. </w:t>
      </w:r>
      <w:r w:rsidRPr="60435B4D">
        <w:rPr>
          <w:rFonts w:ascii="Calibri" w:hAnsi="Calibri" w:eastAsia="Calibri" w:cs="Calibri"/>
          <w:sz w:val="24"/>
          <w:szCs w:val="24"/>
        </w:rPr>
        <w:t>Furthermore, we did not find any significant correlation between the computed PSS and the r-Bath-CRPS-</w:t>
      </w:r>
      <w:proofErr w:type="spellStart"/>
      <w:r w:rsidRPr="60435B4D">
        <w:rPr>
          <w:rFonts w:ascii="Calibri" w:hAnsi="Calibri" w:eastAsia="Calibri" w:cs="Calibri"/>
          <w:sz w:val="24"/>
          <w:szCs w:val="24"/>
        </w:rPr>
        <w:t>BPDS</w:t>
      </w:r>
      <w:proofErr w:type="spellEnd"/>
      <w:r w:rsidRPr="60435B4D">
        <w:rPr>
          <w:rFonts w:ascii="Calibri" w:hAnsi="Calibri" w:eastAsia="Calibri" w:cs="Calibri"/>
          <w:sz w:val="24"/>
          <w:szCs w:val="24"/>
        </w:rPr>
        <w:t xml:space="preserve"> score (</w:t>
      </w:r>
      <w:r w:rsidRPr="60435B4D" w:rsidR="251074D1">
        <w:rPr>
          <w:rFonts w:ascii="Calibri" w:hAnsi="Calibri" w:eastAsia="Calibri" w:cs="Calibri"/>
          <w:sz w:val="24"/>
          <w:szCs w:val="24"/>
        </w:rPr>
        <w:t>ρ</w:t>
      </w:r>
      <w:r w:rsidRPr="60435B4D">
        <w:rPr>
          <w:rFonts w:ascii="Calibri" w:hAnsi="Calibri" w:eastAsia="Calibri" w:cs="Calibri"/>
          <w:sz w:val="24"/>
          <w:szCs w:val="24"/>
        </w:rPr>
        <w:t>=-0.</w:t>
      </w:r>
      <w:r w:rsidRPr="60435B4D" w:rsidR="7B280F9E">
        <w:rPr>
          <w:rFonts w:ascii="Calibri" w:hAnsi="Calibri" w:eastAsia="Calibri" w:cs="Calibri"/>
          <w:sz w:val="24"/>
          <w:szCs w:val="24"/>
        </w:rPr>
        <w:t>91</w:t>
      </w:r>
      <w:r w:rsidRPr="60435B4D" w:rsidR="603BFDB0">
        <w:rPr>
          <w:rFonts w:ascii="Calibri" w:hAnsi="Calibri" w:eastAsia="Calibri" w:cs="Calibri"/>
          <w:sz w:val="24"/>
          <w:szCs w:val="24"/>
        </w:rPr>
        <w:t xml:space="preserve">, </w:t>
      </w:r>
      <w:r w:rsidRPr="60435B4D" w:rsidR="5C690ED9">
        <w:rPr>
          <w:rFonts w:ascii="Calibri" w:hAnsi="Calibri" w:eastAsia="Calibri" w:cs="Calibri"/>
          <w:sz w:val="24"/>
          <w:szCs w:val="24"/>
        </w:rPr>
        <w:t>p</w:t>
      </w:r>
      <w:r w:rsidRPr="60435B4D" w:rsidR="2AFBB06D">
        <w:rPr>
          <w:rFonts w:ascii="Calibri" w:hAnsi="Calibri" w:eastAsia="Calibri" w:cs="Calibri"/>
          <w:sz w:val="24"/>
          <w:szCs w:val="24"/>
        </w:rPr>
        <w:t>=</w:t>
      </w:r>
      <w:r w:rsidRPr="60435B4D" w:rsidR="29A1756B">
        <w:rPr>
          <w:rFonts w:ascii="Calibri" w:hAnsi="Calibri" w:eastAsia="Calibri" w:cs="Calibri"/>
          <w:sz w:val="24"/>
          <w:szCs w:val="24"/>
        </w:rPr>
        <w:t>0.45</w:t>
      </w:r>
      <w:r w:rsidRPr="60435B4D">
        <w:rPr>
          <w:rFonts w:ascii="Calibri" w:hAnsi="Calibri" w:eastAsia="Calibri" w:cs="Calibri"/>
          <w:sz w:val="24"/>
          <w:szCs w:val="24"/>
        </w:rPr>
        <w:t>).</w:t>
      </w:r>
    </w:p>
    <w:p w:rsidRPr="00171B6F" w:rsidR="00E4019E" w:rsidRDefault="41BB94C1" w14:paraId="230848A0" w14:textId="1CA26390">
      <w:pPr>
        <w:pStyle w:val="Heading2"/>
        <w:numPr>
          <w:ilvl w:val="0"/>
          <w:numId w:val="10"/>
        </w:numPr>
        <w:rPr>
          <w:rFonts w:ascii="Calibri" w:hAnsi="Calibri" w:eastAsia="Calibri" w:cs="Calibri"/>
        </w:rPr>
      </w:pPr>
      <w:r w:rsidRPr="560E2E1C">
        <w:lastRenderedPageBreak/>
        <w:t xml:space="preserve">QST </w:t>
      </w:r>
      <w:r w:rsidRPr="560E2E1C" w:rsidR="27D06080">
        <w:t>results</w:t>
      </w:r>
    </w:p>
    <w:p w:rsidRPr="00171B6F" w:rsidR="1B3B7093" w:rsidP="560E2E1C" w:rsidRDefault="42E80B75" w14:paraId="56137025" w14:textId="55549537">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Depending on the </w:t>
      </w:r>
      <w:r w:rsidRPr="4EF8719D" w:rsidR="3C6DFFB8">
        <w:rPr>
          <w:rFonts w:ascii="Calibri" w:hAnsi="Calibri" w:eastAsia="Calibri" w:cs="Calibri"/>
          <w:sz w:val="24"/>
          <w:szCs w:val="24"/>
        </w:rPr>
        <w:t xml:space="preserve">CRPS </w:t>
      </w:r>
      <w:r w:rsidRPr="4EF8719D">
        <w:rPr>
          <w:rFonts w:ascii="Calibri" w:hAnsi="Calibri" w:eastAsia="Calibri" w:cs="Calibri"/>
          <w:sz w:val="24"/>
          <w:szCs w:val="24"/>
        </w:rPr>
        <w:t>localization, t</w:t>
      </w:r>
      <w:r w:rsidRPr="4EF8719D" w:rsidR="0AFDF771">
        <w:rPr>
          <w:rFonts w:ascii="Calibri" w:hAnsi="Calibri" w:eastAsia="Calibri" w:cs="Calibri"/>
          <w:sz w:val="24"/>
          <w:szCs w:val="24"/>
        </w:rPr>
        <w:t xml:space="preserve">he </w:t>
      </w:r>
      <w:r w:rsidRPr="701C51EA" w:rsidR="7CA347BE">
        <w:rPr>
          <w:rFonts w:ascii="Calibri" w:hAnsi="Calibri" w:eastAsia="Calibri" w:cs="Calibri"/>
          <w:sz w:val="24"/>
          <w:szCs w:val="24"/>
        </w:rPr>
        <w:t>area</w:t>
      </w:r>
      <w:r w:rsidRPr="4EF8719D" w:rsidR="58313CE6">
        <w:rPr>
          <w:rFonts w:ascii="Calibri" w:hAnsi="Calibri" w:eastAsia="Calibri" w:cs="Calibri"/>
          <w:sz w:val="24"/>
          <w:szCs w:val="24"/>
        </w:rPr>
        <w:t xml:space="preserve"> </w:t>
      </w:r>
      <w:r w:rsidRPr="4EF8719D" w:rsidR="0AFDF771">
        <w:rPr>
          <w:rFonts w:ascii="Calibri" w:hAnsi="Calibri" w:eastAsia="Calibri" w:cs="Calibri"/>
          <w:sz w:val="24"/>
          <w:szCs w:val="24"/>
        </w:rPr>
        <w:t xml:space="preserve">most </w:t>
      </w:r>
      <w:r w:rsidRPr="4EF8719D" w:rsidR="73909DA6">
        <w:rPr>
          <w:rFonts w:ascii="Calibri" w:hAnsi="Calibri" w:eastAsia="Calibri" w:cs="Calibri"/>
          <w:sz w:val="24"/>
          <w:szCs w:val="24"/>
        </w:rPr>
        <w:t>frequently</w:t>
      </w:r>
      <w:r w:rsidRPr="4EF8719D" w:rsidR="1E66AA27">
        <w:rPr>
          <w:rFonts w:ascii="Calibri" w:hAnsi="Calibri" w:eastAsia="Calibri" w:cs="Calibri"/>
          <w:sz w:val="24"/>
          <w:szCs w:val="24"/>
        </w:rPr>
        <w:t xml:space="preserve"> </w:t>
      </w:r>
      <w:r w:rsidRPr="4EF8719D" w:rsidR="508E5AA7">
        <w:rPr>
          <w:rFonts w:ascii="Calibri" w:hAnsi="Calibri" w:eastAsia="Calibri" w:cs="Calibri"/>
          <w:sz w:val="24"/>
          <w:szCs w:val="24"/>
        </w:rPr>
        <w:t xml:space="preserve">assessed </w:t>
      </w:r>
      <w:r w:rsidRPr="4EF8719D" w:rsidR="0AFDF771">
        <w:rPr>
          <w:rFonts w:ascii="Calibri" w:hAnsi="Calibri" w:eastAsia="Calibri" w:cs="Calibri"/>
          <w:sz w:val="24"/>
          <w:szCs w:val="24"/>
        </w:rPr>
        <w:t>were</w:t>
      </w:r>
      <w:r w:rsidRPr="4EF8719D" w:rsidR="58313CE6">
        <w:rPr>
          <w:rFonts w:ascii="Calibri" w:hAnsi="Calibri" w:eastAsia="Calibri" w:cs="Calibri"/>
          <w:sz w:val="24"/>
          <w:szCs w:val="24"/>
        </w:rPr>
        <w:t xml:space="preserve"> the</w:t>
      </w:r>
      <w:r w:rsidRPr="4EF8719D" w:rsidR="0AFDF771">
        <w:rPr>
          <w:rFonts w:ascii="Calibri" w:hAnsi="Calibri" w:eastAsia="Calibri" w:cs="Calibri"/>
          <w:sz w:val="24"/>
          <w:szCs w:val="24"/>
        </w:rPr>
        <w:t xml:space="preserve"> dorsum</w:t>
      </w:r>
      <w:r w:rsidRPr="4EF8719D" w:rsidR="014E12AD">
        <w:rPr>
          <w:rFonts w:ascii="Calibri" w:hAnsi="Calibri" w:eastAsia="Calibri" w:cs="Calibri"/>
          <w:sz w:val="24"/>
          <w:szCs w:val="24"/>
        </w:rPr>
        <w:t xml:space="preserve"> </w:t>
      </w:r>
      <w:r w:rsidRPr="4EF8719D" w:rsidR="58313CE6">
        <w:rPr>
          <w:rFonts w:ascii="Calibri" w:hAnsi="Calibri" w:eastAsia="Calibri" w:cs="Calibri"/>
          <w:sz w:val="24"/>
          <w:szCs w:val="24"/>
        </w:rPr>
        <w:t>of the</w:t>
      </w:r>
      <w:r w:rsidRPr="4EF8719D" w:rsidR="0AFDF771">
        <w:rPr>
          <w:rFonts w:ascii="Calibri" w:hAnsi="Calibri" w:eastAsia="Calibri" w:cs="Calibri"/>
          <w:color w:val="FF0000"/>
          <w:sz w:val="24"/>
          <w:szCs w:val="24"/>
        </w:rPr>
        <w:t xml:space="preserve"> </w:t>
      </w:r>
      <w:r w:rsidRPr="4EF8719D" w:rsidR="0AFDF771">
        <w:rPr>
          <w:rFonts w:ascii="Calibri" w:hAnsi="Calibri" w:eastAsia="Calibri" w:cs="Calibri"/>
          <w:sz w:val="24"/>
          <w:szCs w:val="24"/>
        </w:rPr>
        <w:t>hand (</w:t>
      </w:r>
      <w:r w:rsidRPr="4EF8719D" w:rsidR="604FD7EA">
        <w:rPr>
          <w:rFonts w:ascii="Calibri" w:hAnsi="Calibri" w:eastAsia="Calibri" w:cs="Calibri"/>
          <w:sz w:val="24"/>
          <w:szCs w:val="24"/>
        </w:rPr>
        <w:t>90</w:t>
      </w:r>
      <w:r w:rsidRPr="4EF8719D" w:rsidR="0AFDF771">
        <w:rPr>
          <w:rFonts w:ascii="Calibri" w:hAnsi="Calibri" w:eastAsia="Calibri" w:cs="Calibri"/>
          <w:sz w:val="24"/>
          <w:szCs w:val="24"/>
        </w:rPr>
        <w:t>%</w:t>
      </w:r>
      <w:r w:rsidRPr="4EF8719D" w:rsidR="102186FA">
        <w:rPr>
          <w:rFonts w:ascii="Calibri" w:hAnsi="Calibri" w:eastAsia="Calibri" w:cs="Calibri"/>
          <w:sz w:val="24"/>
          <w:szCs w:val="24"/>
        </w:rPr>
        <w:t>, for UE</w:t>
      </w:r>
      <w:r w:rsidRPr="4EF8719D" w:rsidR="0AFDF771">
        <w:rPr>
          <w:rFonts w:ascii="Calibri" w:hAnsi="Calibri" w:eastAsia="Calibri" w:cs="Calibri"/>
          <w:sz w:val="24"/>
          <w:szCs w:val="24"/>
        </w:rPr>
        <w:t>) and</w:t>
      </w:r>
      <w:r w:rsidRPr="4EF8719D" w:rsidR="58313CE6">
        <w:rPr>
          <w:rFonts w:ascii="Calibri" w:hAnsi="Calibri" w:eastAsia="Calibri" w:cs="Calibri"/>
          <w:sz w:val="24"/>
          <w:szCs w:val="24"/>
        </w:rPr>
        <w:t xml:space="preserve"> of the</w:t>
      </w:r>
      <w:r w:rsidRPr="4EF8719D" w:rsidR="0AFDF771">
        <w:rPr>
          <w:rFonts w:ascii="Calibri" w:hAnsi="Calibri" w:eastAsia="Calibri" w:cs="Calibri"/>
          <w:sz w:val="24"/>
          <w:szCs w:val="24"/>
        </w:rPr>
        <w:t xml:space="preserve"> foot (</w:t>
      </w:r>
      <w:r w:rsidRPr="4EF8719D" w:rsidR="00BE166E">
        <w:rPr>
          <w:rFonts w:ascii="Calibri" w:hAnsi="Calibri" w:eastAsia="Calibri" w:cs="Calibri"/>
          <w:sz w:val="24"/>
          <w:szCs w:val="24"/>
        </w:rPr>
        <w:t>94</w:t>
      </w:r>
      <w:r w:rsidRPr="4EF8719D" w:rsidR="0AFDF771">
        <w:rPr>
          <w:rFonts w:ascii="Calibri" w:hAnsi="Calibri" w:eastAsia="Calibri" w:cs="Calibri"/>
          <w:sz w:val="24"/>
          <w:szCs w:val="24"/>
        </w:rPr>
        <w:t>%</w:t>
      </w:r>
      <w:r w:rsidRPr="4EF8719D" w:rsidR="622FFB49">
        <w:rPr>
          <w:rFonts w:ascii="Calibri" w:hAnsi="Calibri" w:eastAsia="Calibri" w:cs="Calibri"/>
          <w:sz w:val="24"/>
          <w:szCs w:val="24"/>
        </w:rPr>
        <w:t>, for LE</w:t>
      </w:r>
      <w:r w:rsidRPr="4EF8719D" w:rsidR="0AFDF771">
        <w:rPr>
          <w:rFonts w:ascii="Calibri" w:hAnsi="Calibri" w:eastAsia="Calibri" w:cs="Calibri"/>
          <w:sz w:val="24"/>
          <w:szCs w:val="24"/>
        </w:rPr>
        <w:t>).</w:t>
      </w:r>
      <w:r w:rsidRPr="4EF8719D" w:rsidR="63317A28">
        <w:rPr>
          <w:rFonts w:ascii="Calibri" w:hAnsi="Calibri" w:eastAsia="Calibri" w:cs="Calibri"/>
          <w:sz w:val="24"/>
          <w:szCs w:val="24"/>
        </w:rPr>
        <w:t xml:space="preserve"> For other participants, we tested the palmar </w:t>
      </w:r>
      <w:r w:rsidRPr="4EF8719D" w:rsidR="6A6AB7E7">
        <w:rPr>
          <w:rFonts w:ascii="Calibri" w:hAnsi="Calibri" w:eastAsia="Calibri" w:cs="Calibri"/>
          <w:sz w:val="24"/>
          <w:szCs w:val="24"/>
        </w:rPr>
        <w:t xml:space="preserve">side of the wrist </w:t>
      </w:r>
      <w:r w:rsidRPr="4EF8719D" w:rsidR="63317A28">
        <w:rPr>
          <w:rFonts w:ascii="Calibri" w:hAnsi="Calibri" w:eastAsia="Calibri" w:cs="Calibri"/>
          <w:sz w:val="24"/>
          <w:szCs w:val="24"/>
        </w:rPr>
        <w:t>(</w:t>
      </w:r>
      <w:r w:rsidRPr="4EF8719D" w:rsidR="3276B356">
        <w:rPr>
          <w:rFonts w:ascii="Calibri" w:hAnsi="Calibri" w:eastAsia="Calibri" w:cs="Calibri"/>
          <w:sz w:val="24"/>
          <w:szCs w:val="24"/>
        </w:rPr>
        <w:t>n=</w:t>
      </w:r>
      <w:r w:rsidRPr="4EF8719D" w:rsidR="63317A28">
        <w:rPr>
          <w:rFonts w:ascii="Calibri" w:hAnsi="Calibri" w:eastAsia="Calibri" w:cs="Calibri"/>
          <w:sz w:val="24"/>
          <w:szCs w:val="24"/>
        </w:rPr>
        <w:t xml:space="preserve">2), </w:t>
      </w:r>
      <w:r w:rsidRPr="4EF8719D" w:rsidR="5A419415">
        <w:rPr>
          <w:rFonts w:ascii="Calibri" w:hAnsi="Calibri" w:eastAsia="Calibri" w:cs="Calibri"/>
          <w:sz w:val="24"/>
          <w:szCs w:val="24"/>
        </w:rPr>
        <w:t xml:space="preserve">the </w:t>
      </w:r>
      <w:r w:rsidRPr="4EF8719D" w:rsidR="63317A28">
        <w:rPr>
          <w:rFonts w:ascii="Calibri" w:hAnsi="Calibri" w:eastAsia="Calibri" w:cs="Calibri"/>
          <w:sz w:val="24"/>
          <w:szCs w:val="24"/>
        </w:rPr>
        <w:t>palmar side of the</w:t>
      </w:r>
      <w:r w:rsidRPr="4EF8719D" w:rsidR="6B82E634">
        <w:rPr>
          <w:rFonts w:ascii="Calibri" w:hAnsi="Calibri" w:eastAsia="Calibri" w:cs="Calibri"/>
          <w:sz w:val="24"/>
          <w:szCs w:val="24"/>
        </w:rPr>
        <w:t xml:space="preserve"> hand (</w:t>
      </w:r>
      <w:r w:rsidRPr="4EF8719D" w:rsidR="3276B356">
        <w:rPr>
          <w:rFonts w:ascii="Calibri" w:hAnsi="Calibri" w:eastAsia="Calibri" w:cs="Calibri"/>
          <w:sz w:val="24"/>
          <w:szCs w:val="24"/>
        </w:rPr>
        <w:t>n=</w:t>
      </w:r>
      <w:r w:rsidRPr="4EF8719D" w:rsidR="6B82E634">
        <w:rPr>
          <w:rFonts w:ascii="Calibri" w:hAnsi="Calibri" w:eastAsia="Calibri" w:cs="Calibri"/>
          <w:sz w:val="24"/>
          <w:szCs w:val="24"/>
        </w:rPr>
        <w:t>2)</w:t>
      </w:r>
      <w:r w:rsidRPr="4EF8719D" w:rsidR="07B90F03">
        <w:rPr>
          <w:rFonts w:ascii="Calibri" w:hAnsi="Calibri" w:eastAsia="Calibri" w:cs="Calibri"/>
          <w:sz w:val="24"/>
          <w:szCs w:val="24"/>
        </w:rPr>
        <w:t>,</w:t>
      </w:r>
      <w:r w:rsidRPr="4EF8719D" w:rsidR="108729B3">
        <w:rPr>
          <w:rFonts w:ascii="Calibri" w:hAnsi="Calibri" w:eastAsia="Calibri" w:cs="Calibri"/>
          <w:sz w:val="24"/>
          <w:szCs w:val="24"/>
        </w:rPr>
        <w:t xml:space="preserve"> the</w:t>
      </w:r>
      <w:r w:rsidRPr="4EF8719D" w:rsidR="07B90F03">
        <w:rPr>
          <w:rFonts w:ascii="Calibri" w:hAnsi="Calibri" w:eastAsia="Calibri" w:cs="Calibri"/>
          <w:sz w:val="24"/>
          <w:szCs w:val="24"/>
        </w:rPr>
        <w:t xml:space="preserve"> extensors of the elbow (</w:t>
      </w:r>
      <w:r w:rsidRPr="4EF8719D" w:rsidR="3276B356">
        <w:rPr>
          <w:rFonts w:ascii="Calibri" w:hAnsi="Calibri" w:eastAsia="Calibri" w:cs="Calibri"/>
          <w:sz w:val="24"/>
          <w:szCs w:val="24"/>
        </w:rPr>
        <w:t>n=</w:t>
      </w:r>
      <w:r w:rsidRPr="4EF8719D" w:rsidR="07B90F03">
        <w:rPr>
          <w:rFonts w:ascii="Calibri" w:hAnsi="Calibri" w:eastAsia="Calibri" w:cs="Calibri"/>
          <w:sz w:val="24"/>
          <w:szCs w:val="24"/>
        </w:rPr>
        <w:t xml:space="preserve">1), and </w:t>
      </w:r>
      <w:r w:rsidRPr="4EF8719D" w:rsidR="5D997663">
        <w:rPr>
          <w:rFonts w:ascii="Calibri" w:hAnsi="Calibri" w:eastAsia="Calibri" w:cs="Calibri"/>
          <w:sz w:val="24"/>
          <w:szCs w:val="24"/>
        </w:rPr>
        <w:t xml:space="preserve">the </w:t>
      </w:r>
      <w:r w:rsidRPr="4EF8719D" w:rsidR="07B90F03">
        <w:rPr>
          <w:rFonts w:ascii="Calibri" w:hAnsi="Calibri" w:eastAsia="Calibri" w:cs="Calibri"/>
          <w:sz w:val="24"/>
          <w:szCs w:val="24"/>
        </w:rPr>
        <w:t>medial face of the knee (</w:t>
      </w:r>
      <w:r w:rsidRPr="4EF8719D" w:rsidR="3276B356">
        <w:rPr>
          <w:rFonts w:ascii="Calibri" w:hAnsi="Calibri" w:eastAsia="Calibri" w:cs="Calibri"/>
          <w:sz w:val="24"/>
          <w:szCs w:val="24"/>
        </w:rPr>
        <w:t>n=</w:t>
      </w:r>
      <w:r w:rsidRPr="4EF8719D" w:rsidR="07B90F03">
        <w:rPr>
          <w:rFonts w:ascii="Calibri" w:hAnsi="Calibri" w:eastAsia="Calibri" w:cs="Calibri"/>
          <w:sz w:val="24"/>
          <w:szCs w:val="24"/>
        </w:rPr>
        <w:t>2).</w:t>
      </w:r>
      <w:r w:rsidRPr="4EF8719D" w:rsidR="40D2B175">
        <w:rPr>
          <w:rFonts w:ascii="Calibri" w:hAnsi="Calibri" w:eastAsia="Calibri" w:cs="Calibri"/>
          <w:sz w:val="24"/>
          <w:szCs w:val="24"/>
        </w:rPr>
        <w:t xml:space="preserve"> </w:t>
      </w:r>
      <w:r w:rsidRPr="4EF8719D" w:rsidR="0AFDF771">
        <w:rPr>
          <w:rFonts w:ascii="Calibri" w:hAnsi="Calibri" w:eastAsia="Calibri" w:cs="Calibri"/>
          <w:sz w:val="24"/>
          <w:szCs w:val="24"/>
        </w:rPr>
        <w:t>PPT</w:t>
      </w:r>
      <w:r w:rsidRPr="4EF8719D" w:rsidR="10D511B8">
        <w:rPr>
          <w:rFonts w:ascii="Calibri" w:hAnsi="Calibri" w:eastAsia="Calibri" w:cs="Calibri"/>
          <w:sz w:val="24"/>
          <w:szCs w:val="24"/>
        </w:rPr>
        <w:t xml:space="preserve"> were</w:t>
      </w:r>
      <w:r w:rsidRPr="4EF8719D" w:rsidR="0AFDF771">
        <w:rPr>
          <w:rFonts w:ascii="Calibri" w:hAnsi="Calibri" w:eastAsia="Calibri" w:cs="Calibri"/>
          <w:sz w:val="24"/>
          <w:szCs w:val="24"/>
        </w:rPr>
        <w:t xml:space="preserve"> </w:t>
      </w:r>
      <w:r w:rsidRPr="4EF8719D" w:rsidR="407915E1">
        <w:rPr>
          <w:rFonts w:ascii="Calibri" w:hAnsi="Calibri" w:eastAsia="Calibri" w:cs="Calibri"/>
          <w:sz w:val="24"/>
          <w:szCs w:val="24"/>
        </w:rPr>
        <w:t>a</w:t>
      </w:r>
      <w:r w:rsidRPr="4EF8719D" w:rsidR="0AFDF771">
        <w:rPr>
          <w:rFonts w:ascii="Calibri" w:hAnsi="Calibri" w:eastAsia="Calibri" w:cs="Calibri"/>
          <w:sz w:val="24"/>
          <w:szCs w:val="24"/>
        </w:rPr>
        <w:t xml:space="preserve">lways tested at the same </w:t>
      </w:r>
      <w:r w:rsidRPr="4EF8719D" w:rsidR="6E2ED57B">
        <w:rPr>
          <w:rFonts w:ascii="Calibri" w:hAnsi="Calibri" w:eastAsia="Calibri" w:cs="Calibri"/>
          <w:sz w:val="24"/>
          <w:szCs w:val="24"/>
        </w:rPr>
        <w:t>area</w:t>
      </w:r>
      <w:r w:rsidRPr="4EF8719D" w:rsidR="74BD403E">
        <w:rPr>
          <w:rFonts w:ascii="Calibri" w:hAnsi="Calibri" w:eastAsia="Calibri" w:cs="Calibri"/>
          <w:sz w:val="24"/>
          <w:szCs w:val="24"/>
        </w:rPr>
        <w:t xml:space="preserve"> (</w:t>
      </w:r>
      <w:r w:rsidRPr="4EF8719D" w:rsidR="42856EF2">
        <w:rPr>
          <w:rFonts w:ascii="Calibri" w:hAnsi="Calibri" w:eastAsia="Calibri" w:cs="Calibri"/>
          <w:sz w:val="24"/>
          <w:szCs w:val="24"/>
        </w:rPr>
        <w:t xml:space="preserve">thenar eminence for UE, and </w:t>
      </w:r>
      <w:r w:rsidRPr="4EF8719D" w:rsidR="7A1A331A">
        <w:rPr>
          <w:rFonts w:ascii="Calibri" w:hAnsi="Calibri" w:eastAsia="Calibri" w:cs="Calibri"/>
          <w:sz w:val="24"/>
          <w:szCs w:val="24"/>
        </w:rPr>
        <w:t>abductor hallucis</w:t>
      </w:r>
      <w:r w:rsidRPr="4EF8719D" w:rsidR="42856EF2">
        <w:rPr>
          <w:rFonts w:ascii="Calibri" w:hAnsi="Calibri" w:eastAsia="Calibri" w:cs="Calibri"/>
          <w:sz w:val="24"/>
          <w:szCs w:val="24"/>
        </w:rPr>
        <w:t xml:space="preserve"> for LE</w:t>
      </w:r>
      <w:r w:rsidRPr="4EF8719D" w:rsidR="1755D2D1">
        <w:rPr>
          <w:rFonts w:ascii="Calibri" w:hAnsi="Calibri" w:eastAsia="Calibri" w:cs="Calibri"/>
          <w:sz w:val="24"/>
          <w:szCs w:val="24"/>
        </w:rPr>
        <w:t>) except for knee (</w:t>
      </w:r>
      <w:r w:rsidRPr="4EF8719D" w:rsidR="3276B356">
        <w:rPr>
          <w:rFonts w:ascii="Calibri" w:hAnsi="Calibri" w:eastAsia="Calibri" w:cs="Calibri"/>
          <w:sz w:val="24"/>
          <w:szCs w:val="24"/>
        </w:rPr>
        <w:t>n=</w:t>
      </w:r>
      <w:r w:rsidRPr="4EF8719D" w:rsidR="1755D2D1">
        <w:rPr>
          <w:rFonts w:ascii="Calibri" w:hAnsi="Calibri" w:eastAsia="Calibri" w:cs="Calibri"/>
          <w:sz w:val="24"/>
          <w:szCs w:val="24"/>
        </w:rPr>
        <w:t>2) and elbow (</w:t>
      </w:r>
      <w:r w:rsidRPr="4EF8719D" w:rsidR="3276B356">
        <w:rPr>
          <w:rFonts w:ascii="Calibri" w:hAnsi="Calibri" w:eastAsia="Calibri" w:cs="Calibri"/>
          <w:sz w:val="24"/>
          <w:szCs w:val="24"/>
        </w:rPr>
        <w:t>n=</w:t>
      </w:r>
      <w:r w:rsidRPr="4EF8719D" w:rsidR="1755D2D1">
        <w:rPr>
          <w:rFonts w:ascii="Calibri" w:hAnsi="Calibri" w:eastAsia="Calibri" w:cs="Calibri"/>
          <w:sz w:val="24"/>
          <w:szCs w:val="24"/>
        </w:rPr>
        <w:t>1) CRPS</w:t>
      </w:r>
      <w:r w:rsidRPr="4EF8719D" w:rsidR="7E0DF3DA">
        <w:rPr>
          <w:rFonts w:ascii="Calibri" w:hAnsi="Calibri" w:eastAsia="Calibri" w:cs="Calibri"/>
          <w:sz w:val="24"/>
          <w:szCs w:val="24"/>
        </w:rPr>
        <w:t>.</w:t>
      </w:r>
      <w:r w:rsidRPr="4EF8719D" w:rsidR="6C34FC40">
        <w:rPr>
          <w:rFonts w:ascii="Calibri" w:hAnsi="Calibri" w:eastAsia="Calibri" w:cs="Calibri"/>
          <w:sz w:val="24"/>
          <w:szCs w:val="24"/>
        </w:rPr>
        <w:t xml:space="preserve"> </w:t>
      </w:r>
    </w:p>
    <w:p w:rsidR="3FA9AEA0" w:rsidP="5F7DF4C4" w:rsidRDefault="5BCD94B6" w14:paraId="1078E85F" w14:textId="01E4E35B">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The sensory profile of 80 participants was fully assessed. </w:t>
      </w:r>
      <w:r w:rsidRPr="4EF8719D" w:rsidR="3946ACBA">
        <w:rPr>
          <w:rFonts w:ascii="Calibri" w:hAnsi="Calibri" w:eastAsia="Calibri" w:cs="Calibri"/>
          <w:sz w:val="24"/>
          <w:szCs w:val="24"/>
        </w:rPr>
        <w:t>For some others (</w:t>
      </w:r>
      <w:r w:rsidRPr="4EF8719D" w:rsidR="3276B356">
        <w:rPr>
          <w:rFonts w:ascii="Calibri" w:hAnsi="Calibri" w:eastAsia="Calibri" w:cs="Calibri"/>
          <w:sz w:val="24"/>
          <w:szCs w:val="24"/>
        </w:rPr>
        <w:t>n=</w:t>
      </w:r>
      <w:r w:rsidRPr="4EF8719D" w:rsidR="3946ACBA">
        <w:rPr>
          <w:rFonts w:ascii="Calibri" w:hAnsi="Calibri" w:eastAsia="Calibri" w:cs="Calibri"/>
          <w:sz w:val="24"/>
          <w:szCs w:val="24"/>
        </w:rPr>
        <w:t>5)</w:t>
      </w:r>
      <w:r w:rsidRPr="4EF8719D" w:rsidR="76760CD0">
        <w:rPr>
          <w:rFonts w:ascii="Calibri" w:hAnsi="Calibri" w:eastAsia="Calibri" w:cs="Calibri"/>
          <w:sz w:val="24"/>
          <w:szCs w:val="24"/>
        </w:rPr>
        <w:t>,</w:t>
      </w:r>
      <w:r w:rsidRPr="4EF8719D" w:rsidR="3946ACBA">
        <w:rPr>
          <w:rFonts w:ascii="Calibri" w:hAnsi="Calibri" w:eastAsia="Calibri" w:cs="Calibri"/>
          <w:sz w:val="24"/>
          <w:szCs w:val="24"/>
        </w:rPr>
        <w:t xml:space="preserve"> </w:t>
      </w:r>
      <w:r w:rsidRPr="4EF8719D" w:rsidR="545262F5">
        <w:rPr>
          <w:rFonts w:ascii="Calibri" w:hAnsi="Calibri" w:eastAsia="Calibri" w:cs="Calibri"/>
          <w:sz w:val="24"/>
          <w:szCs w:val="24"/>
        </w:rPr>
        <w:t>i</w:t>
      </w:r>
      <w:r w:rsidRPr="4EF8719D">
        <w:rPr>
          <w:rFonts w:ascii="Calibri" w:hAnsi="Calibri" w:eastAsia="Calibri" w:cs="Calibri"/>
          <w:sz w:val="24"/>
          <w:szCs w:val="24"/>
        </w:rPr>
        <w:t xml:space="preserve">t was only possible to collect part of the QST data </w:t>
      </w:r>
      <w:r w:rsidR="008E5528">
        <w:rPr>
          <w:rFonts w:ascii="Calibri" w:hAnsi="Calibri" w:eastAsia="Calibri" w:cs="Calibri"/>
          <w:sz w:val="24"/>
          <w:szCs w:val="24"/>
        </w:rPr>
        <w:t>(</w:t>
      </w:r>
      <w:r w:rsidRPr="4EF8719D">
        <w:rPr>
          <w:rFonts w:ascii="Calibri" w:hAnsi="Calibri" w:eastAsia="Calibri" w:cs="Calibri"/>
          <w:sz w:val="24"/>
          <w:szCs w:val="24"/>
        </w:rPr>
        <w:t>for logistic reasons</w:t>
      </w:r>
      <w:r w:rsidR="008E5528">
        <w:rPr>
          <w:rFonts w:ascii="Calibri" w:hAnsi="Calibri" w:eastAsia="Calibri" w:cs="Calibri"/>
          <w:sz w:val="24"/>
          <w:szCs w:val="24"/>
        </w:rPr>
        <w:t>)</w:t>
      </w:r>
      <w:r w:rsidRPr="4EF8719D">
        <w:rPr>
          <w:rFonts w:ascii="Calibri" w:hAnsi="Calibri" w:eastAsia="Calibri" w:cs="Calibri"/>
          <w:sz w:val="24"/>
          <w:szCs w:val="24"/>
        </w:rPr>
        <w:t>.</w:t>
      </w:r>
    </w:p>
    <w:p w:rsidRPr="00996DD7" w:rsidR="00197B21" w:rsidP="560E2E1C" w:rsidRDefault="4D6EBF7D" w14:paraId="7C06495C" w14:textId="3F94F5C6">
      <w:pPr>
        <w:spacing w:line="480" w:lineRule="auto"/>
        <w:jc w:val="both"/>
        <w:rPr>
          <w:rFonts w:ascii="Calibri" w:hAnsi="Calibri" w:eastAsia="Calibri" w:cs="Calibri"/>
          <w:strike/>
          <w:color w:val="FF0000"/>
          <w:sz w:val="24"/>
          <w:szCs w:val="24"/>
        </w:rPr>
      </w:pPr>
      <w:r w:rsidRPr="00996DD7">
        <w:rPr>
          <w:rFonts w:ascii="Calibri" w:hAnsi="Calibri" w:eastAsia="Calibri" w:cs="Calibri"/>
          <w:strike/>
          <w:color w:val="FF0000"/>
          <w:sz w:val="24"/>
          <w:szCs w:val="24"/>
        </w:rPr>
        <w:t xml:space="preserve">As some age groups were very small (i.e., only one male </w:t>
      </w:r>
      <w:r w:rsidRPr="00996DD7" w:rsidR="14D38A30">
        <w:rPr>
          <w:rFonts w:ascii="Calibri" w:hAnsi="Calibri" w:eastAsia="Calibri" w:cs="Calibri"/>
          <w:strike/>
          <w:color w:val="FF0000"/>
          <w:sz w:val="24"/>
          <w:szCs w:val="24"/>
        </w:rPr>
        <w:t xml:space="preserve">participant </w:t>
      </w:r>
      <w:r w:rsidRPr="00996DD7" w:rsidR="0420BDBA">
        <w:rPr>
          <w:rFonts w:ascii="Calibri" w:hAnsi="Calibri" w:eastAsia="Calibri" w:cs="Calibri"/>
          <w:strike/>
          <w:color w:val="FF0000"/>
          <w:sz w:val="24"/>
          <w:szCs w:val="24"/>
        </w:rPr>
        <w:t>below</w:t>
      </w:r>
      <w:r w:rsidRPr="00996DD7">
        <w:rPr>
          <w:rFonts w:ascii="Calibri" w:hAnsi="Calibri" w:eastAsia="Calibri" w:cs="Calibri"/>
          <w:strike/>
          <w:color w:val="FF0000"/>
          <w:sz w:val="24"/>
          <w:szCs w:val="24"/>
        </w:rPr>
        <w:t xml:space="preserve"> 40</w:t>
      </w:r>
      <w:r w:rsidRPr="00996DD7" w:rsidR="711D3518">
        <w:rPr>
          <w:rFonts w:ascii="Calibri" w:hAnsi="Calibri" w:eastAsia="Calibri" w:cs="Calibri"/>
          <w:strike/>
          <w:color w:val="FF0000"/>
          <w:sz w:val="24"/>
          <w:szCs w:val="24"/>
        </w:rPr>
        <w:t xml:space="preserve"> years </w:t>
      </w:r>
      <w:r w:rsidRPr="00996DD7" w:rsidR="0081597A">
        <w:rPr>
          <w:rFonts w:ascii="Calibri" w:hAnsi="Calibri" w:eastAsia="Calibri" w:cs="Calibri"/>
          <w:strike/>
          <w:color w:val="FF0000"/>
          <w:sz w:val="24"/>
          <w:szCs w:val="24"/>
        </w:rPr>
        <w:t>old</w:t>
      </w:r>
      <w:r w:rsidRPr="00996DD7">
        <w:rPr>
          <w:rFonts w:ascii="Calibri" w:hAnsi="Calibri" w:eastAsia="Calibri" w:cs="Calibri"/>
          <w:strike/>
          <w:color w:val="FF0000"/>
          <w:sz w:val="24"/>
          <w:szCs w:val="24"/>
        </w:rPr>
        <w:t xml:space="preserve">), we choose to </w:t>
      </w:r>
      <w:r w:rsidRPr="00996DD7" w:rsidR="0457568B">
        <w:rPr>
          <w:rFonts w:ascii="Calibri" w:hAnsi="Calibri" w:eastAsia="Calibri" w:cs="Calibri"/>
          <w:strike/>
          <w:color w:val="FF0000"/>
          <w:sz w:val="24"/>
          <w:szCs w:val="24"/>
        </w:rPr>
        <w:t xml:space="preserve">summarize </w:t>
      </w:r>
      <w:r w:rsidRPr="00996DD7">
        <w:rPr>
          <w:rFonts w:ascii="Calibri" w:hAnsi="Calibri" w:eastAsia="Calibri" w:cs="Calibri"/>
          <w:strike/>
          <w:color w:val="FF0000"/>
          <w:sz w:val="24"/>
          <w:szCs w:val="24"/>
        </w:rPr>
        <w:t xml:space="preserve">raw values according only to </w:t>
      </w:r>
      <w:r w:rsidRPr="00996DD7" w:rsidR="5D75EE2A">
        <w:rPr>
          <w:rFonts w:ascii="Calibri" w:hAnsi="Calibri" w:eastAsia="Calibri" w:cs="Calibri"/>
          <w:strike/>
          <w:color w:val="FF0000"/>
          <w:sz w:val="24"/>
          <w:szCs w:val="24"/>
        </w:rPr>
        <w:t>sex</w:t>
      </w:r>
      <w:r w:rsidRPr="00996DD7">
        <w:rPr>
          <w:rFonts w:ascii="Calibri" w:hAnsi="Calibri" w:eastAsia="Calibri" w:cs="Calibri"/>
          <w:strike/>
          <w:color w:val="FF0000"/>
          <w:sz w:val="24"/>
          <w:szCs w:val="24"/>
        </w:rPr>
        <w:t xml:space="preserve">, and CRPS localization. </w:t>
      </w:r>
      <w:r w:rsidRPr="00996DD7" w:rsidR="058A4B7A">
        <w:rPr>
          <w:rFonts w:ascii="Calibri" w:hAnsi="Calibri" w:eastAsia="Calibri" w:cs="Calibri"/>
          <w:strike/>
          <w:color w:val="FF0000"/>
          <w:sz w:val="24"/>
          <w:szCs w:val="24"/>
        </w:rPr>
        <w:t>Raw values</w:t>
      </w:r>
      <w:r w:rsidRPr="00996DD7" w:rsidR="6FFC1BCB">
        <w:rPr>
          <w:rFonts w:ascii="Calibri" w:hAnsi="Calibri" w:eastAsia="Calibri" w:cs="Calibri"/>
          <w:strike/>
          <w:color w:val="FF0000"/>
          <w:sz w:val="24"/>
          <w:szCs w:val="24"/>
        </w:rPr>
        <w:t xml:space="preserve"> </w:t>
      </w:r>
      <w:r w:rsidRPr="00996DD7" w:rsidR="38E8EC5E">
        <w:rPr>
          <w:rFonts w:ascii="Calibri" w:hAnsi="Calibri" w:eastAsia="Calibri" w:cs="Calibri"/>
          <w:strike/>
          <w:color w:val="FF0000"/>
          <w:sz w:val="24"/>
          <w:szCs w:val="24"/>
        </w:rPr>
        <w:t xml:space="preserve">are presented in Table </w:t>
      </w:r>
      <w:r w:rsidRPr="00996DD7" w:rsidR="0446CF21">
        <w:rPr>
          <w:rFonts w:ascii="Calibri" w:hAnsi="Calibri" w:eastAsia="Calibri" w:cs="Calibri"/>
          <w:strike/>
          <w:color w:val="FF0000"/>
          <w:sz w:val="24"/>
          <w:szCs w:val="24"/>
        </w:rPr>
        <w:t>4</w:t>
      </w:r>
      <w:r w:rsidRPr="00996DD7" w:rsidR="38E8EC5E">
        <w:rPr>
          <w:rFonts w:ascii="Calibri" w:hAnsi="Calibri" w:eastAsia="Calibri" w:cs="Calibri"/>
          <w:strike/>
          <w:color w:val="FF0000"/>
          <w:sz w:val="24"/>
          <w:szCs w:val="24"/>
        </w:rPr>
        <w:t>.</w:t>
      </w:r>
    </w:p>
    <w:p w:rsidRPr="00996DD7" w:rsidR="6ACA7B85" w:rsidP="560E2E1C" w:rsidRDefault="308F0ADE" w14:paraId="3EAE2631" w14:textId="7A58E638">
      <w:pPr>
        <w:spacing w:line="480" w:lineRule="auto"/>
        <w:jc w:val="center"/>
        <w:rPr>
          <w:rFonts w:ascii="Calibri" w:hAnsi="Calibri" w:eastAsia="Calibri" w:cs="Calibri"/>
          <w:i/>
          <w:iCs/>
          <w:strike/>
          <w:color w:val="FF0000"/>
        </w:rPr>
      </w:pPr>
      <w:r w:rsidRPr="00996DD7">
        <w:rPr>
          <w:rFonts w:ascii="Calibri" w:hAnsi="Calibri" w:eastAsia="Calibri" w:cs="Calibri"/>
          <w:i/>
          <w:iCs/>
          <w:strike/>
          <w:color w:val="FF0000"/>
        </w:rPr>
        <w:t xml:space="preserve">Table 4. </w:t>
      </w:r>
      <w:r w:rsidRPr="00996DD7" w:rsidR="05EFF092">
        <w:rPr>
          <w:rFonts w:ascii="Calibri" w:hAnsi="Calibri" w:eastAsia="Calibri" w:cs="Calibri"/>
          <w:i/>
          <w:iCs/>
          <w:strike/>
          <w:color w:val="FF0000"/>
        </w:rPr>
        <w:t xml:space="preserve">Raw values </w:t>
      </w:r>
      <w:r w:rsidRPr="00996DD7" w:rsidR="1E271789">
        <w:rPr>
          <w:rFonts w:ascii="Calibri" w:hAnsi="Calibri" w:eastAsia="Calibri" w:cs="Calibri"/>
          <w:i/>
          <w:iCs/>
          <w:strike/>
          <w:color w:val="FF0000"/>
        </w:rPr>
        <w:t>of QST parameters.</w:t>
      </w:r>
      <w:bookmarkStart w:name="_Hlk164091060" w:id="4"/>
    </w:p>
    <w:bookmarkEnd w:id="4"/>
    <w:p w:rsidRPr="00996DD7" w:rsidR="7405108C" w:rsidP="5F7DF4C4" w:rsidRDefault="63BEFFED" w14:paraId="21FAC0D3" w14:textId="3EBA280B">
      <w:pPr>
        <w:spacing w:line="480" w:lineRule="auto"/>
        <w:jc w:val="both"/>
        <w:rPr>
          <w:rFonts w:ascii="Calibri" w:hAnsi="Calibri" w:eastAsia="Calibri" w:cs="Calibri"/>
          <w:strike/>
          <w:color w:val="FF0000"/>
          <w:sz w:val="24"/>
          <w:szCs w:val="24"/>
        </w:rPr>
      </w:pPr>
      <w:r w:rsidRPr="00996DD7">
        <w:rPr>
          <w:rFonts w:ascii="Calibri" w:hAnsi="Calibri" w:eastAsia="Calibri" w:cs="Calibri"/>
          <w:strike/>
          <w:color w:val="FF0000"/>
          <w:sz w:val="24"/>
          <w:szCs w:val="24"/>
        </w:rPr>
        <w:t xml:space="preserve">Table 5 </w:t>
      </w:r>
      <w:r w:rsidRPr="00996DD7" w:rsidR="5B437B90">
        <w:rPr>
          <w:rFonts w:ascii="Calibri" w:hAnsi="Calibri" w:eastAsia="Calibri" w:cs="Calibri"/>
          <w:strike/>
          <w:color w:val="FF0000"/>
          <w:sz w:val="24"/>
          <w:szCs w:val="24"/>
        </w:rPr>
        <w:t>sh</w:t>
      </w:r>
      <w:r w:rsidRPr="00996DD7" w:rsidR="67C920EF">
        <w:rPr>
          <w:rFonts w:ascii="Calibri" w:hAnsi="Calibri" w:eastAsia="Calibri" w:cs="Calibri"/>
          <w:strike/>
          <w:color w:val="FF0000"/>
          <w:sz w:val="24"/>
          <w:szCs w:val="24"/>
        </w:rPr>
        <w:t>o</w:t>
      </w:r>
      <w:r w:rsidRPr="00996DD7" w:rsidR="5B437B90">
        <w:rPr>
          <w:rFonts w:ascii="Calibri" w:hAnsi="Calibri" w:eastAsia="Calibri" w:cs="Calibri"/>
          <w:strike/>
          <w:color w:val="FF0000"/>
          <w:sz w:val="24"/>
          <w:szCs w:val="24"/>
        </w:rPr>
        <w:t xml:space="preserve">ws the </w:t>
      </w:r>
      <w:r w:rsidRPr="00996DD7">
        <w:rPr>
          <w:rFonts w:ascii="Calibri" w:hAnsi="Calibri" w:eastAsia="Calibri" w:cs="Calibri"/>
          <w:strike/>
          <w:color w:val="FF0000"/>
          <w:sz w:val="24"/>
          <w:szCs w:val="24"/>
        </w:rPr>
        <w:t xml:space="preserve">Z-scores of each </w:t>
      </w:r>
      <w:r w:rsidRPr="00996DD7" w:rsidR="38AA87AD">
        <w:rPr>
          <w:rFonts w:ascii="Calibri" w:hAnsi="Calibri" w:eastAsia="Calibri" w:cs="Calibri"/>
          <w:strike/>
          <w:color w:val="FF0000"/>
          <w:sz w:val="24"/>
          <w:szCs w:val="24"/>
        </w:rPr>
        <w:t>QST modality, computed using normative values of healthy subjects</w:t>
      </w:r>
      <w:r w:rsidRPr="00996DD7">
        <w:rPr>
          <w:rFonts w:ascii="Calibri" w:hAnsi="Calibri" w:eastAsia="Calibri" w:cs="Calibri"/>
          <w:strike/>
          <w:color w:val="FF0000"/>
          <w:sz w:val="24"/>
          <w:szCs w:val="24"/>
        </w:rPr>
        <w:t xml:space="preserve"> </w:t>
      </w:r>
      <w:r w:rsidRPr="00996DD7" w:rsidR="4BB4627B">
        <w:rPr>
          <w:rFonts w:ascii="Calibri" w:hAnsi="Calibri" w:eastAsia="Calibri" w:cs="Calibri"/>
          <w:strike/>
          <w:color w:val="FF0000"/>
        </w:rPr>
        <w:fldChar w:fldCharType="begin"/>
      </w:r>
      <w:r w:rsidRPr="00996DD7" w:rsidR="00A03CF2">
        <w:rPr>
          <w:rFonts w:ascii="Calibri" w:hAnsi="Calibri" w:eastAsia="Calibri" w:cs="Calibri"/>
          <w:strike/>
          <w:color w:val="FF0000"/>
        </w:rPr>
        <w:instrText xml:space="preserve"> ADDIN ZOTERO_ITEM CSL_CITATION {"citationID":"IVNFEkwP","properties":{"formattedCitation":"(Magerl et al., 2010)","plainCitation":"(Magerl et al., 2010)","dontUpdate":true,"noteIndex":0},"citationItems":[{"id":103,"uris":["http://zotero.org/users/8514361/items/VLD3SCKI"],"itemData":{"id":103,"type":"article-journal","abstract":"Clinical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Pr="00996DD7" w:rsidR="4BB4627B">
        <w:rPr>
          <w:rFonts w:ascii="Calibri" w:hAnsi="Calibri" w:eastAsia="Calibri" w:cs="Calibri"/>
          <w:strike/>
          <w:color w:val="FF0000"/>
        </w:rPr>
        <w:fldChar w:fldCharType="separate"/>
      </w:r>
      <w:r w:rsidRPr="00996DD7" w:rsidR="008425F7">
        <w:rPr>
          <w:rFonts w:ascii="Calibri" w:hAnsi="Calibri" w:cs="Calibri"/>
          <w:strike/>
          <w:color w:val="FF0000"/>
          <w:sz w:val="24"/>
          <w:szCs w:val="24"/>
        </w:rPr>
        <w:t>(Magerl et al., 2010)</w:t>
      </w:r>
      <w:r w:rsidRPr="00996DD7" w:rsidR="4BB4627B">
        <w:rPr>
          <w:rFonts w:ascii="Calibri" w:hAnsi="Calibri" w:eastAsia="Calibri" w:cs="Calibri"/>
          <w:strike/>
          <w:color w:val="FF0000"/>
        </w:rPr>
        <w:fldChar w:fldCharType="end"/>
      </w:r>
      <w:r w:rsidRPr="00996DD7">
        <w:rPr>
          <w:rFonts w:ascii="Calibri" w:hAnsi="Calibri" w:eastAsia="Calibri" w:cs="Calibri"/>
          <w:strike/>
          <w:color w:val="FF0000"/>
          <w:sz w:val="24"/>
          <w:szCs w:val="24"/>
        </w:rPr>
        <w:t xml:space="preserve"> </w:t>
      </w:r>
      <w:r w:rsidRPr="00996DD7" w:rsidR="4D375355">
        <w:rPr>
          <w:rFonts w:ascii="Calibri" w:hAnsi="Calibri" w:eastAsia="Calibri" w:cs="Calibri"/>
          <w:strike/>
          <w:color w:val="FF0000"/>
          <w:sz w:val="24"/>
          <w:szCs w:val="24"/>
        </w:rPr>
        <w:t xml:space="preserve">or the individual contralateral side as references values. We observed considerable inter-individual variability for both sides, with SD crossing the </w:t>
      </w:r>
      <w:r w:rsidRPr="00996DD7" w:rsidR="0081597A">
        <w:rPr>
          <w:rFonts w:ascii="Calibri" w:hAnsi="Calibri" w:eastAsia="Calibri" w:cs="Calibri"/>
          <w:strike/>
          <w:color w:val="FF0000"/>
          <w:sz w:val="24"/>
          <w:szCs w:val="24"/>
        </w:rPr>
        <w:t>“</w:t>
      </w:r>
      <w:r w:rsidRPr="00996DD7" w:rsidR="4D375355">
        <w:rPr>
          <w:rFonts w:ascii="Calibri" w:hAnsi="Calibri" w:eastAsia="Calibri" w:cs="Calibri"/>
          <w:strike/>
          <w:color w:val="FF0000"/>
          <w:sz w:val="24"/>
          <w:szCs w:val="24"/>
        </w:rPr>
        <w:t>0</w:t>
      </w:r>
      <w:r w:rsidRPr="00996DD7" w:rsidR="0081597A">
        <w:rPr>
          <w:rFonts w:ascii="Calibri" w:hAnsi="Calibri" w:eastAsia="Calibri" w:cs="Calibri"/>
          <w:strike/>
          <w:color w:val="FF0000"/>
          <w:sz w:val="24"/>
          <w:szCs w:val="24"/>
        </w:rPr>
        <w:t>”</w:t>
      </w:r>
      <w:r w:rsidRPr="00996DD7" w:rsidR="4D375355">
        <w:rPr>
          <w:rFonts w:ascii="Calibri" w:hAnsi="Calibri" w:eastAsia="Calibri" w:cs="Calibri"/>
          <w:strike/>
          <w:color w:val="FF0000"/>
          <w:sz w:val="24"/>
          <w:szCs w:val="24"/>
        </w:rPr>
        <w:t xml:space="preserve"> line for most parameters.</w:t>
      </w:r>
    </w:p>
    <w:p w:rsidRPr="00996DD7" w:rsidR="00FB47C6" w:rsidP="560E2E1C" w:rsidRDefault="20DE9BC4" w14:paraId="2FC1BD04" w14:textId="7F112708">
      <w:pPr>
        <w:spacing w:line="480" w:lineRule="auto"/>
        <w:jc w:val="center"/>
        <w:rPr>
          <w:rFonts w:ascii="Calibri" w:hAnsi="Calibri" w:eastAsia="Calibri" w:cs="Calibri"/>
          <w:i/>
          <w:iCs/>
          <w:strike/>
          <w:color w:val="FF0000"/>
        </w:rPr>
      </w:pPr>
      <w:r w:rsidRPr="00996DD7">
        <w:rPr>
          <w:rFonts w:ascii="Calibri" w:hAnsi="Calibri" w:eastAsia="Calibri" w:cs="Calibri"/>
          <w:i/>
          <w:iCs/>
          <w:strike/>
          <w:color w:val="FF0000"/>
        </w:rPr>
        <w:t xml:space="preserve">Table </w:t>
      </w:r>
      <w:r w:rsidRPr="00996DD7" w:rsidR="30EC9FE2">
        <w:rPr>
          <w:rFonts w:ascii="Calibri" w:hAnsi="Calibri" w:eastAsia="Calibri" w:cs="Calibri"/>
          <w:i/>
          <w:iCs/>
          <w:strike/>
          <w:color w:val="FF0000"/>
        </w:rPr>
        <w:t>5</w:t>
      </w:r>
      <w:bookmarkStart w:name="_Hlk164091298" w:id="5"/>
      <w:r w:rsidRPr="00996DD7" w:rsidR="30EC9FE2">
        <w:rPr>
          <w:rFonts w:ascii="Calibri" w:hAnsi="Calibri" w:eastAsia="Calibri" w:cs="Calibri"/>
          <w:i/>
          <w:iCs/>
          <w:strike/>
          <w:color w:val="FF0000"/>
        </w:rPr>
        <w:t xml:space="preserve">. </w:t>
      </w:r>
      <w:r w:rsidRPr="00996DD7">
        <w:rPr>
          <w:rFonts w:ascii="Calibri" w:hAnsi="Calibri" w:eastAsia="Calibri" w:cs="Calibri"/>
          <w:i/>
          <w:iCs/>
          <w:strike/>
          <w:color w:val="FF0000"/>
        </w:rPr>
        <w:t xml:space="preserve">Z-scores of each </w:t>
      </w:r>
      <w:r w:rsidRPr="00996DD7" w:rsidR="7B7764FB">
        <w:rPr>
          <w:rFonts w:ascii="Calibri" w:hAnsi="Calibri" w:eastAsia="Calibri" w:cs="Calibri"/>
          <w:i/>
          <w:iCs/>
          <w:strike/>
          <w:color w:val="FF0000"/>
        </w:rPr>
        <w:t xml:space="preserve">QST </w:t>
      </w:r>
      <w:r w:rsidRPr="00996DD7">
        <w:rPr>
          <w:rFonts w:ascii="Calibri" w:hAnsi="Calibri" w:eastAsia="Calibri" w:cs="Calibri"/>
          <w:i/>
          <w:iCs/>
          <w:strike/>
          <w:color w:val="FF0000"/>
        </w:rPr>
        <w:t>modality</w:t>
      </w:r>
      <w:bookmarkEnd w:id="5"/>
      <w:r w:rsidRPr="00996DD7" w:rsidR="7D65EABE">
        <w:rPr>
          <w:rFonts w:ascii="Calibri" w:hAnsi="Calibri" w:eastAsia="Calibri" w:cs="Calibri"/>
          <w:i/>
          <w:iCs/>
          <w:strike/>
          <w:color w:val="FF0000"/>
        </w:rPr>
        <w:t>.</w:t>
      </w:r>
    </w:p>
    <w:p w:rsidRPr="00171B6F" w:rsidR="7405108C" w:rsidP="560E2E1C" w:rsidRDefault="5C5E8AAD" w14:paraId="03DBCBA4" w14:textId="64C29243">
      <w:pPr>
        <w:spacing w:line="480" w:lineRule="auto"/>
        <w:jc w:val="both"/>
        <w:rPr>
          <w:rFonts w:ascii="Calibri" w:hAnsi="Calibri" w:eastAsia="Calibri" w:cs="Calibri"/>
          <w:sz w:val="24"/>
          <w:szCs w:val="24"/>
        </w:rPr>
      </w:pPr>
      <w:r w:rsidRPr="4EF8719D">
        <w:rPr>
          <w:rFonts w:ascii="Calibri" w:hAnsi="Calibri" w:eastAsia="Calibri" w:cs="Calibri"/>
          <w:sz w:val="24"/>
          <w:szCs w:val="24"/>
        </w:rPr>
        <w:t>F</w:t>
      </w:r>
      <w:r w:rsidRPr="4EF8719D" w:rsidR="2E4BDB68">
        <w:rPr>
          <w:rFonts w:ascii="Calibri" w:hAnsi="Calibri" w:eastAsia="Calibri" w:cs="Calibri"/>
          <w:sz w:val="24"/>
          <w:szCs w:val="24"/>
        </w:rPr>
        <w:t>i</w:t>
      </w:r>
      <w:r w:rsidRPr="4EF8719D" w:rsidR="3D9E76EA">
        <w:rPr>
          <w:rFonts w:ascii="Calibri" w:hAnsi="Calibri" w:eastAsia="Calibri" w:cs="Calibri"/>
          <w:sz w:val="24"/>
          <w:szCs w:val="24"/>
        </w:rPr>
        <w:t>g</w:t>
      </w:r>
      <w:r w:rsidRPr="4EF8719D" w:rsidR="0C1339D8">
        <w:rPr>
          <w:rFonts w:ascii="Calibri" w:hAnsi="Calibri" w:eastAsia="Calibri" w:cs="Calibri"/>
          <w:sz w:val="24"/>
          <w:szCs w:val="24"/>
        </w:rPr>
        <w:t>ure</w:t>
      </w:r>
      <w:r w:rsidRPr="4EF8719D" w:rsidR="667ED6B3">
        <w:rPr>
          <w:rFonts w:ascii="Calibri" w:hAnsi="Calibri" w:eastAsia="Calibri" w:cs="Calibri"/>
          <w:sz w:val="24"/>
          <w:szCs w:val="24"/>
        </w:rPr>
        <w:t>s</w:t>
      </w:r>
      <w:r w:rsidRPr="4EF8719D" w:rsidR="0C1339D8">
        <w:rPr>
          <w:rFonts w:ascii="Calibri" w:hAnsi="Calibri" w:eastAsia="Calibri" w:cs="Calibri"/>
          <w:sz w:val="24"/>
          <w:szCs w:val="24"/>
        </w:rPr>
        <w:t xml:space="preserve"> </w:t>
      </w:r>
      <w:r w:rsidRPr="4EF8719D" w:rsidR="7A9F003E">
        <w:rPr>
          <w:rFonts w:ascii="Calibri" w:hAnsi="Calibri" w:eastAsia="Calibri" w:cs="Calibri"/>
          <w:sz w:val="24"/>
          <w:szCs w:val="24"/>
        </w:rPr>
        <w:t>2</w:t>
      </w:r>
      <w:r w:rsidRPr="4EF8719D" w:rsidR="32C06DA7">
        <w:rPr>
          <w:rFonts w:ascii="Calibri" w:hAnsi="Calibri" w:eastAsia="Calibri" w:cs="Calibri"/>
          <w:sz w:val="24"/>
          <w:szCs w:val="24"/>
        </w:rPr>
        <w:t xml:space="preserve"> and 3</w:t>
      </w:r>
      <w:r w:rsidRPr="4EF8719D" w:rsidR="7A9F003E">
        <w:rPr>
          <w:rFonts w:ascii="Calibri" w:hAnsi="Calibri" w:eastAsia="Calibri" w:cs="Calibri"/>
          <w:sz w:val="24"/>
          <w:szCs w:val="24"/>
        </w:rPr>
        <w:t xml:space="preserve"> </w:t>
      </w:r>
      <w:r w:rsidRPr="4EF8719D" w:rsidR="0C1339D8">
        <w:rPr>
          <w:rFonts w:ascii="Calibri" w:hAnsi="Calibri" w:eastAsia="Calibri" w:cs="Calibri"/>
          <w:sz w:val="24"/>
          <w:szCs w:val="24"/>
        </w:rPr>
        <w:t>s</w:t>
      </w:r>
      <w:r w:rsidRPr="4EF8719D" w:rsidR="5A507D3A">
        <w:rPr>
          <w:rFonts w:ascii="Calibri" w:hAnsi="Calibri" w:eastAsia="Calibri" w:cs="Calibri"/>
          <w:sz w:val="24"/>
          <w:szCs w:val="24"/>
        </w:rPr>
        <w:t xml:space="preserve">ummarize </w:t>
      </w:r>
      <w:r w:rsidRPr="4EF8719D" w:rsidR="0C1339D8">
        <w:rPr>
          <w:rFonts w:ascii="Calibri" w:hAnsi="Calibri" w:eastAsia="Calibri" w:cs="Calibri"/>
          <w:sz w:val="24"/>
          <w:szCs w:val="24"/>
        </w:rPr>
        <w:t xml:space="preserve">the sensory profiles of </w:t>
      </w:r>
      <w:r w:rsidRPr="4EF8719D" w:rsidR="07ED6EFA">
        <w:rPr>
          <w:rFonts w:ascii="Calibri" w:hAnsi="Calibri" w:eastAsia="Calibri" w:cs="Calibri"/>
          <w:sz w:val="24"/>
          <w:szCs w:val="24"/>
        </w:rPr>
        <w:t xml:space="preserve">early </w:t>
      </w:r>
      <w:r w:rsidRPr="4EF8719D" w:rsidR="0C1339D8">
        <w:rPr>
          <w:rFonts w:ascii="Calibri" w:hAnsi="Calibri" w:eastAsia="Calibri" w:cs="Calibri"/>
          <w:sz w:val="24"/>
          <w:szCs w:val="24"/>
        </w:rPr>
        <w:t>CRPS p</w:t>
      </w:r>
      <w:r w:rsidRPr="4EF8719D" w:rsidR="4C3EC785">
        <w:rPr>
          <w:rFonts w:ascii="Calibri" w:hAnsi="Calibri" w:eastAsia="Calibri" w:cs="Calibri"/>
          <w:sz w:val="24"/>
          <w:szCs w:val="24"/>
        </w:rPr>
        <w:t>a</w:t>
      </w:r>
      <w:r w:rsidRPr="4EF8719D" w:rsidR="69E0301C">
        <w:rPr>
          <w:rFonts w:ascii="Calibri" w:hAnsi="Calibri" w:eastAsia="Calibri" w:cs="Calibri"/>
          <w:sz w:val="24"/>
          <w:szCs w:val="24"/>
        </w:rPr>
        <w:t>tients</w:t>
      </w:r>
      <w:r w:rsidRPr="4EF8719D" w:rsidR="2B739D61">
        <w:rPr>
          <w:rFonts w:ascii="Calibri" w:hAnsi="Calibri" w:eastAsia="Calibri" w:cs="Calibri"/>
          <w:sz w:val="24"/>
          <w:szCs w:val="24"/>
        </w:rPr>
        <w:t xml:space="preserve"> (mean and CI95)</w:t>
      </w:r>
      <w:r w:rsidRPr="4EF8719D" w:rsidR="1010A93F">
        <w:rPr>
          <w:rFonts w:ascii="Calibri" w:hAnsi="Calibri" w:eastAsia="Calibri" w:cs="Calibri"/>
          <w:sz w:val="24"/>
          <w:szCs w:val="24"/>
        </w:rPr>
        <w:t>.</w:t>
      </w:r>
      <w:r w:rsidRPr="5045E0F5" w:rsidR="436CCEE8">
        <w:rPr>
          <w:rFonts w:ascii="Calibri" w:hAnsi="Calibri" w:eastAsia="Calibri" w:cs="Calibri"/>
          <w:sz w:val="24"/>
          <w:szCs w:val="24"/>
        </w:rPr>
        <w:t xml:space="preserve"> Tables showing raw values according to sex, and CRPS localization</w:t>
      </w:r>
      <w:r w:rsidR="008E5528">
        <w:rPr>
          <w:rFonts w:ascii="Calibri" w:hAnsi="Calibri" w:eastAsia="Calibri" w:cs="Calibri"/>
          <w:sz w:val="24"/>
          <w:szCs w:val="24"/>
        </w:rPr>
        <w:t>,</w:t>
      </w:r>
      <w:r w:rsidRPr="5045E0F5" w:rsidR="436CCEE8">
        <w:rPr>
          <w:rFonts w:ascii="Calibri" w:hAnsi="Calibri" w:eastAsia="Calibri" w:cs="Calibri"/>
          <w:sz w:val="24"/>
          <w:szCs w:val="24"/>
        </w:rPr>
        <w:t xml:space="preserve"> as well as Z-score</w:t>
      </w:r>
      <w:r w:rsidRPr="5045E0F5" w:rsidR="5A55AFBB">
        <w:rPr>
          <w:rFonts w:ascii="Calibri" w:hAnsi="Calibri" w:eastAsia="Calibri" w:cs="Calibri"/>
          <w:sz w:val="24"/>
          <w:szCs w:val="24"/>
        </w:rPr>
        <w:t>s of each modality are presented in the supplementary section.</w:t>
      </w:r>
      <w:r w:rsidRPr="4EF8719D" w:rsidR="0FA841FD">
        <w:rPr>
          <w:rFonts w:ascii="Calibri" w:hAnsi="Calibri" w:eastAsia="Calibri" w:cs="Calibri"/>
          <w:sz w:val="24"/>
          <w:szCs w:val="24"/>
        </w:rPr>
        <w:t xml:space="preserve"> </w:t>
      </w:r>
      <w:r w:rsidRPr="4EF8719D" w:rsidR="68CD1A0E">
        <w:rPr>
          <w:rFonts w:ascii="Calibri" w:hAnsi="Calibri" w:eastAsia="Calibri" w:cs="Calibri"/>
          <w:sz w:val="24"/>
          <w:szCs w:val="24"/>
        </w:rPr>
        <w:t>C</w:t>
      </w:r>
      <w:r w:rsidRPr="4EF8719D" w:rsidR="42FE41DF">
        <w:rPr>
          <w:rFonts w:ascii="Calibri" w:hAnsi="Calibri" w:eastAsia="Calibri" w:cs="Calibri"/>
          <w:sz w:val="24"/>
          <w:szCs w:val="24"/>
        </w:rPr>
        <w:t>ompared</w:t>
      </w:r>
      <w:r w:rsidRPr="4EF8719D" w:rsidR="2C1BCE89">
        <w:rPr>
          <w:rFonts w:ascii="Calibri" w:hAnsi="Calibri" w:eastAsia="Calibri" w:cs="Calibri"/>
          <w:sz w:val="24"/>
          <w:szCs w:val="24"/>
        </w:rPr>
        <w:t xml:space="preserve"> to </w:t>
      </w:r>
      <w:r w:rsidRPr="4EF8719D" w:rsidR="042BD464">
        <w:rPr>
          <w:rFonts w:ascii="Calibri" w:hAnsi="Calibri" w:eastAsia="Calibri" w:cs="Calibri"/>
          <w:sz w:val="24"/>
          <w:szCs w:val="24"/>
        </w:rPr>
        <w:t xml:space="preserve">the German </w:t>
      </w:r>
      <w:r w:rsidRPr="4EF8719D" w:rsidR="2C1BCE89">
        <w:rPr>
          <w:rFonts w:ascii="Calibri" w:hAnsi="Calibri" w:eastAsia="Calibri" w:cs="Calibri"/>
          <w:sz w:val="24"/>
          <w:szCs w:val="24"/>
        </w:rPr>
        <w:t>norm</w:t>
      </w:r>
      <w:r w:rsidRPr="4EF8719D" w:rsidR="3E822E61">
        <w:rPr>
          <w:rFonts w:ascii="Calibri" w:hAnsi="Calibri" w:eastAsia="Calibri" w:cs="Calibri"/>
          <w:sz w:val="24"/>
          <w:szCs w:val="24"/>
        </w:rPr>
        <w:t xml:space="preserve">ative </w:t>
      </w:r>
      <w:r w:rsidRPr="4EF8719D" w:rsidR="3C8414B3">
        <w:rPr>
          <w:rFonts w:ascii="Calibri" w:hAnsi="Calibri" w:eastAsia="Calibri" w:cs="Calibri"/>
          <w:sz w:val="24"/>
          <w:szCs w:val="24"/>
        </w:rPr>
        <w:t>da</w:t>
      </w:r>
      <w:r w:rsidRPr="4EF8719D" w:rsidR="3D1D3468">
        <w:rPr>
          <w:rFonts w:ascii="Calibri" w:hAnsi="Calibri" w:eastAsia="Calibri" w:cs="Calibri"/>
          <w:sz w:val="24"/>
          <w:szCs w:val="24"/>
        </w:rPr>
        <w:t>tabase</w:t>
      </w:r>
      <w:r w:rsidRPr="4EF8719D" w:rsidR="3C8414B3">
        <w:rPr>
          <w:rFonts w:ascii="Calibri" w:hAnsi="Calibri" w:eastAsia="Calibri" w:cs="Calibri"/>
          <w:sz w:val="24"/>
          <w:szCs w:val="24"/>
        </w:rPr>
        <w:t xml:space="preserve"> </w:t>
      </w:r>
      <w:r w:rsidRPr="4EF8719D" w:rsidR="374B795C">
        <w:rPr>
          <w:rFonts w:ascii="Calibri" w:hAnsi="Calibri" w:eastAsia="Calibri" w:cs="Calibri"/>
        </w:rPr>
        <w:fldChar w:fldCharType="begin"/>
      </w:r>
      <w:r w:rsidR="00A03CF2">
        <w:rPr>
          <w:rFonts w:ascii="Calibri" w:hAnsi="Calibri" w:eastAsia="Calibri" w:cs="Calibri"/>
        </w:rPr>
        <w:instrText xml:space="preserve"> ADDIN ZOTERO_ITEM CSL_CITATION {"citationID":"93FxEDsA","properties":{"formattedCitation":"(Magerl et al., 2010)","plainCitation":"(Magerl et al., 2010)","noteIndex":0},"citationItems":[{"id":103,"uris":["http://zotero.org/users/8514361/items/VLD3SCKI"],"itemData":{"id":103,"type":"article-journal","abstract":"Clinical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Pr="4EF8719D" w:rsidR="374B795C">
        <w:rPr>
          <w:rFonts w:ascii="Calibri" w:hAnsi="Calibri" w:eastAsia="Calibri" w:cs="Calibri"/>
        </w:rPr>
        <w:fldChar w:fldCharType="separate"/>
      </w:r>
      <w:r w:rsidRPr="5045E0F5" w:rsidR="008425F7">
        <w:rPr>
          <w:rFonts w:ascii="Calibri" w:hAnsi="Calibri" w:cs="Calibri"/>
          <w:sz w:val="24"/>
          <w:szCs w:val="24"/>
        </w:rPr>
        <w:t>(Magerl et al., 2010)</w:t>
      </w:r>
      <w:r w:rsidRPr="4EF8719D" w:rsidR="374B795C">
        <w:rPr>
          <w:rFonts w:ascii="Calibri" w:hAnsi="Calibri" w:eastAsia="Calibri" w:cs="Calibri"/>
        </w:rPr>
        <w:fldChar w:fldCharType="end"/>
      </w:r>
      <w:r w:rsidRPr="4EF8719D" w:rsidR="2C1BCE89">
        <w:rPr>
          <w:rFonts w:ascii="Calibri" w:hAnsi="Calibri" w:eastAsia="Calibri" w:cs="Calibri"/>
          <w:sz w:val="24"/>
          <w:szCs w:val="24"/>
        </w:rPr>
        <w:t xml:space="preserve">, both sides showed similar disturbances, </w:t>
      </w:r>
      <w:r w:rsidRPr="4EF8719D" w:rsidR="0FBE6A1A">
        <w:rPr>
          <w:rFonts w:ascii="Calibri" w:hAnsi="Calibri" w:eastAsia="Calibri" w:cs="Calibri"/>
          <w:sz w:val="24"/>
          <w:szCs w:val="24"/>
        </w:rPr>
        <w:t xml:space="preserve">overall </w:t>
      </w:r>
      <w:r w:rsidRPr="4EF8719D" w:rsidR="2C1BCE89">
        <w:rPr>
          <w:rFonts w:ascii="Calibri" w:hAnsi="Calibri" w:eastAsia="Calibri" w:cs="Calibri"/>
          <w:sz w:val="24"/>
          <w:szCs w:val="24"/>
        </w:rPr>
        <w:t>more pronounced for the affected limb than for the contralateral side.</w:t>
      </w:r>
      <w:r w:rsidRPr="4EF8719D" w:rsidR="7DBDDC23">
        <w:rPr>
          <w:rFonts w:ascii="Calibri" w:hAnsi="Calibri" w:eastAsia="Calibri" w:cs="Calibri"/>
          <w:sz w:val="24"/>
          <w:szCs w:val="24"/>
        </w:rPr>
        <w:t xml:space="preserve"> </w:t>
      </w:r>
      <w:r w:rsidRPr="4EF8719D" w:rsidR="31EA9436">
        <w:rPr>
          <w:rFonts w:ascii="Calibri" w:hAnsi="Calibri" w:eastAsia="Calibri" w:cs="Calibri"/>
          <w:sz w:val="24"/>
          <w:szCs w:val="24"/>
        </w:rPr>
        <w:t>More specifically</w:t>
      </w:r>
      <w:r w:rsidRPr="4EF8719D" w:rsidR="1C6FAA0D">
        <w:rPr>
          <w:rFonts w:ascii="Calibri" w:hAnsi="Calibri" w:eastAsia="Calibri" w:cs="Calibri"/>
          <w:sz w:val="24"/>
          <w:szCs w:val="24"/>
        </w:rPr>
        <w:t xml:space="preserve">, we </w:t>
      </w:r>
      <w:r w:rsidRPr="4EF8719D" w:rsidR="1C6FAA0D">
        <w:rPr>
          <w:rFonts w:ascii="Calibri" w:hAnsi="Calibri" w:eastAsia="Calibri" w:cs="Calibri"/>
          <w:sz w:val="24"/>
          <w:szCs w:val="24"/>
        </w:rPr>
        <w:lastRenderedPageBreak/>
        <w:t xml:space="preserve">observed a loss of function for the detection of thermal </w:t>
      </w:r>
      <w:r w:rsidRPr="4EF8719D" w:rsidR="3ED0A47D">
        <w:rPr>
          <w:rFonts w:ascii="Calibri" w:hAnsi="Calibri" w:eastAsia="Calibri" w:cs="Calibri"/>
          <w:sz w:val="24"/>
          <w:szCs w:val="24"/>
        </w:rPr>
        <w:t xml:space="preserve">(CDT, </w:t>
      </w:r>
      <w:proofErr w:type="spellStart"/>
      <w:r w:rsidRPr="4EF8719D" w:rsidR="3ED0A47D">
        <w:rPr>
          <w:rFonts w:ascii="Calibri" w:hAnsi="Calibri" w:eastAsia="Calibri" w:cs="Calibri"/>
          <w:sz w:val="24"/>
          <w:szCs w:val="24"/>
        </w:rPr>
        <w:t>WDT</w:t>
      </w:r>
      <w:proofErr w:type="spellEnd"/>
      <w:r w:rsidRPr="4EF8719D" w:rsidR="3ED0A47D">
        <w:rPr>
          <w:rFonts w:ascii="Calibri" w:hAnsi="Calibri" w:eastAsia="Calibri" w:cs="Calibri"/>
          <w:sz w:val="24"/>
          <w:szCs w:val="24"/>
        </w:rPr>
        <w:t xml:space="preserve">, </w:t>
      </w:r>
      <w:proofErr w:type="spellStart"/>
      <w:r w:rsidRPr="4EF8719D" w:rsidR="3ED0A47D">
        <w:rPr>
          <w:rFonts w:ascii="Calibri" w:hAnsi="Calibri" w:eastAsia="Calibri" w:cs="Calibri"/>
          <w:sz w:val="24"/>
          <w:szCs w:val="24"/>
        </w:rPr>
        <w:t>TSL</w:t>
      </w:r>
      <w:proofErr w:type="spellEnd"/>
      <w:r w:rsidRPr="4EF8719D" w:rsidR="3ED0A47D">
        <w:rPr>
          <w:rFonts w:ascii="Calibri" w:hAnsi="Calibri" w:eastAsia="Calibri" w:cs="Calibri"/>
          <w:sz w:val="24"/>
          <w:szCs w:val="24"/>
        </w:rPr>
        <w:t xml:space="preserve">) </w:t>
      </w:r>
      <w:r w:rsidRPr="4EF8719D" w:rsidR="1C6FAA0D">
        <w:rPr>
          <w:rFonts w:ascii="Calibri" w:hAnsi="Calibri" w:eastAsia="Calibri" w:cs="Calibri"/>
          <w:sz w:val="24"/>
          <w:szCs w:val="24"/>
        </w:rPr>
        <w:t>and mechanical stimuli</w:t>
      </w:r>
      <w:r w:rsidRPr="4EF8719D" w:rsidR="340577B0">
        <w:rPr>
          <w:rFonts w:ascii="Calibri" w:hAnsi="Calibri" w:eastAsia="Calibri" w:cs="Calibri"/>
          <w:sz w:val="24"/>
          <w:szCs w:val="24"/>
        </w:rPr>
        <w:t xml:space="preserve"> (MDT</w:t>
      </w:r>
      <w:r w:rsidRPr="4EF8719D" w:rsidR="5584F4D9">
        <w:rPr>
          <w:rFonts w:ascii="Calibri" w:hAnsi="Calibri" w:eastAsia="Calibri" w:cs="Calibri"/>
          <w:sz w:val="24"/>
          <w:szCs w:val="24"/>
        </w:rPr>
        <w:t>,</w:t>
      </w:r>
      <w:r w:rsidRPr="4EF8719D" w:rsidR="340577B0">
        <w:rPr>
          <w:rFonts w:ascii="Calibri" w:hAnsi="Calibri" w:eastAsia="Calibri" w:cs="Calibri"/>
          <w:sz w:val="24"/>
          <w:szCs w:val="24"/>
        </w:rPr>
        <w:t xml:space="preserve"> and VDT</w:t>
      </w:r>
      <w:r w:rsidRPr="4EF8719D" w:rsidR="3F771269">
        <w:rPr>
          <w:rFonts w:ascii="Calibri" w:hAnsi="Calibri" w:eastAsia="Calibri" w:cs="Calibri"/>
          <w:sz w:val="24"/>
          <w:szCs w:val="24"/>
        </w:rPr>
        <w:t xml:space="preserve"> [</w:t>
      </w:r>
      <w:r w:rsidRPr="4EF8719D" w:rsidR="6BCF3270">
        <w:rPr>
          <w:rFonts w:ascii="Calibri" w:hAnsi="Calibri" w:eastAsia="Calibri" w:cs="Calibri"/>
          <w:sz w:val="24"/>
          <w:szCs w:val="24"/>
        </w:rPr>
        <w:t xml:space="preserve">which was </w:t>
      </w:r>
      <w:r w:rsidRPr="4EF8719D" w:rsidR="3F771269">
        <w:rPr>
          <w:rFonts w:ascii="Calibri" w:hAnsi="Calibri" w:eastAsia="Calibri" w:cs="Calibri"/>
          <w:sz w:val="24"/>
          <w:szCs w:val="24"/>
        </w:rPr>
        <w:t>not significant after Bonferroni correction]</w:t>
      </w:r>
      <w:r w:rsidRPr="4EF8719D" w:rsidR="340577B0">
        <w:rPr>
          <w:rFonts w:ascii="Calibri" w:hAnsi="Calibri" w:eastAsia="Calibri" w:cs="Calibri"/>
          <w:sz w:val="24"/>
          <w:szCs w:val="24"/>
        </w:rPr>
        <w:t>)</w:t>
      </w:r>
      <w:r w:rsidRPr="4EF8719D" w:rsidR="1C6FAA0D">
        <w:rPr>
          <w:rFonts w:ascii="Calibri" w:hAnsi="Calibri" w:eastAsia="Calibri" w:cs="Calibri"/>
          <w:sz w:val="24"/>
          <w:szCs w:val="24"/>
        </w:rPr>
        <w:t>, and a gain of function for thermal</w:t>
      </w:r>
      <w:r w:rsidRPr="4EF8719D" w:rsidR="60C82BBC">
        <w:rPr>
          <w:rFonts w:ascii="Calibri" w:hAnsi="Calibri" w:eastAsia="Calibri" w:cs="Calibri"/>
          <w:sz w:val="24"/>
          <w:szCs w:val="24"/>
        </w:rPr>
        <w:t xml:space="preserve"> </w:t>
      </w:r>
      <w:r w:rsidRPr="4EF8719D" w:rsidR="1FE6F427">
        <w:rPr>
          <w:rFonts w:ascii="Calibri" w:hAnsi="Calibri" w:eastAsia="Calibri" w:cs="Calibri"/>
          <w:sz w:val="24"/>
          <w:szCs w:val="24"/>
        </w:rPr>
        <w:t xml:space="preserve">and </w:t>
      </w:r>
      <w:r w:rsidRPr="4EF8719D" w:rsidR="21A4F25C">
        <w:rPr>
          <w:rFonts w:ascii="Calibri" w:hAnsi="Calibri" w:eastAsia="Calibri" w:cs="Calibri"/>
          <w:sz w:val="24"/>
          <w:szCs w:val="24"/>
        </w:rPr>
        <w:t xml:space="preserve">blunt </w:t>
      </w:r>
      <w:r w:rsidRPr="4EF8719D" w:rsidR="1FE6F427">
        <w:rPr>
          <w:rFonts w:ascii="Calibri" w:hAnsi="Calibri" w:eastAsia="Calibri" w:cs="Calibri"/>
          <w:sz w:val="24"/>
          <w:szCs w:val="24"/>
        </w:rPr>
        <w:t xml:space="preserve">pressure </w:t>
      </w:r>
      <w:r w:rsidRPr="4EF8719D" w:rsidR="1C6FAA0D">
        <w:rPr>
          <w:rFonts w:ascii="Calibri" w:hAnsi="Calibri" w:eastAsia="Calibri" w:cs="Calibri"/>
          <w:sz w:val="24"/>
          <w:szCs w:val="24"/>
        </w:rPr>
        <w:t>painful stimuli</w:t>
      </w:r>
      <w:r w:rsidRPr="4EF8719D" w:rsidR="0EF8858D">
        <w:rPr>
          <w:rFonts w:ascii="Calibri" w:hAnsi="Calibri" w:eastAsia="Calibri" w:cs="Calibri"/>
          <w:sz w:val="24"/>
          <w:szCs w:val="24"/>
        </w:rPr>
        <w:t xml:space="preserve"> (CPT</w:t>
      </w:r>
      <w:r w:rsidRPr="4EF8719D" w:rsidR="4918285B">
        <w:rPr>
          <w:rFonts w:ascii="Calibri" w:hAnsi="Calibri" w:eastAsia="Calibri" w:cs="Calibri"/>
          <w:sz w:val="24"/>
          <w:szCs w:val="24"/>
        </w:rPr>
        <w:t xml:space="preserve">, </w:t>
      </w:r>
      <w:r w:rsidRPr="4EF8719D" w:rsidR="0EF8858D">
        <w:rPr>
          <w:rFonts w:ascii="Calibri" w:hAnsi="Calibri" w:eastAsia="Calibri" w:cs="Calibri"/>
          <w:sz w:val="24"/>
          <w:szCs w:val="24"/>
        </w:rPr>
        <w:t>HPT</w:t>
      </w:r>
      <w:r w:rsidRPr="4EF8719D" w:rsidR="512F83CD">
        <w:rPr>
          <w:rFonts w:ascii="Calibri" w:hAnsi="Calibri" w:eastAsia="Calibri" w:cs="Calibri"/>
          <w:sz w:val="24"/>
          <w:szCs w:val="24"/>
        </w:rPr>
        <w:t xml:space="preserve"> and PPT</w:t>
      </w:r>
      <w:r w:rsidRPr="4EF8719D" w:rsidR="0EF8858D">
        <w:rPr>
          <w:rFonts w:ascii="Calibri" w:hAnsi="Calibri" w:eastAsia="Calibri" w:cs="Calibri"/>
          <w:sz w:val="24"/>
          <w:szCs w:val="24"/>
        </w:rPr>
        <w:t>)</w:t>
      </w:r>
      <w:r w:rsidRPr="4EF8719D" w:rsidR="1C6FAA0D">
        <w:rPr>
          <w:rFonts w:ascii="Calibri" w:hAnsi="Calibri" w:eastAsia="Calibri" w:cs="Calibri"/>
          <w:sz w:val="24"/>
          <w:szCs w:val="24"/>
        </w:rPr>
        <w:t>.</w:t>
      </w:r>
      <w:r w:rsidRPr="4EF8719D" w:rsidR="3EBBE818">
        <w:rPr>
          <w:rFonts w:ascii="Calibri" w:hAnsi="Calibri" w:eastAsia="Calibri" w:cs="Calibri"/>
          <w:sz w:val="24"/>
          <w:szCs w:val="24"/>
        </w:rPr>
        <w:t xml:space="preserve"> </w:t>
      </w:r>
      <w:r w:rsidRPr="4EF8719D" w:rsidR="607864A3">
        <w:rPr>
          <w:rFonts w:ascii="Calibri" w:hAnsi="Calibri" w:eastAsia="Calibri" w:cs="Calibri"/>
          <w:sz w:val="24"/>
          <w:szCs w:val="24"/>
        </w:rPr>
        <w:t>Some parameters appear to be unaffected by the condition (MPT,</w:t>
      </w:r>
      <w:r w:rsidRPr="4EF8719D" w:rsidR="42727337">
        <w:rPr>
          <w:rFonts w:ascii="Calibri" w:hAnsi="Calibri" w:eastAsia="Calibri" w:cs="Calibri"/>
          <w:sz w:val="24"/>
          <w:szCs w:val="24"/>
        </w:rPr>
        <w:t xml:space="preserve"> MPS,</w:t>
      </w:r>
      <w:r w:rsidRPr="4EF8719D" w:rsidR="607864A3">
        <w:rPr>
          <w:rFonts w:ascii="Calibri" w:hAnsi="Calibri" w:eastAsia="Calibri" w:cs="Calibri"/>
          <w:sz w:val="24"/>
          <w:szCs w:val="24"/>
        </w:rPr>
        <w:t xml:space="preserve"> WUR). </w:t>
      </w:r>
      <w:r w:rsidRPr="4EF8719D" w:rsidR="2548B618">
        <w:rPr>
          <w:rFonts w:ascii="Calibri" w:hAnsi="Calibri" w:eastAsia="Calibri" w:cs="Calibri"/>
          <w:sz w:val="24"/>
          <w:szCs w:val="24"/>
        </w:rPr>
        <w:t>F</w:t>
      </w:r>
      <w:r w:rsidRPr="4EF8719D" w:rsidR="3DBA5370">
        <w:rPr>
          <w:rFonts w:ascii="Calibri" w:hAnsi="Calibri" w:eastAsia="Calibri" w:cs="Calibri"/>
          <w:sz w:val="24"/>
          <w:szCs w:val="24"/>
        </w:rPr>
        <w:t>igure</w:t>
      </w:r>
      <w:r w:rsidRPr="4EF8719D" w:rsidR="028FD67E">
        <w:rPr>
          <w:rFonts w:ascii="Calibri" w:hAnsi="Calibri" w:eastAsia="Calibri" w:cs="Calibri"/>
          <w:sz w:val="24"/>
          <w:szCs w:val="24"/>
        </w:rPr>
        <w:t>s</w:t>
      </w:r>
      <w:r w:rsidRPr="4EF8719D" w:rsidR="507A36F2">
        <w:rPr>
          <w:rFonts w:ascii="Calibri" w:hAnsi="Calibri" w:eastAsia="Calibri" w:cs="Calibri"/>
          <w:sz w:val="24"/>
          <w:szCs w:val="24"/>
        </w:rPr>
        <w:t xml:space="preserve"> </w:t>
      </w:r>
      <w:r w:rsidRPr="4EF8719D" w:rsidR="0FA1DF1B">
        <w:rPr>
          <w:rFonts w:ascii="Calibri" w:hAnsi="Calibri" w:eastAsia="Calibri" w:cs="Calibri"/>
          <w:sz w:val="24"/>
          <w:szCs w:val="24"/>
        </w:rPr>
        <w:t xml:space="preserve">showing </w:t>
      </w:r>
      <w:r w:rsidRPr="4EF8719D" w:rsidR="70590B1C">
        <w:rPr>
          <w:rFonts w:ascii="Calibri" w:hAnsi="Calibri" w:eastAsia="Calibri" w:cs="Calibri"/>
          <w:sz w:val="24"/>
          <w:szCs w:val="24"/>
        </w:rPr>
        <w:t xml:space="preserve">mean and </w:t>
      </w:r>
      <w:r w:rsidRPr="4EF8719D" w:rsidR="0FA1DF1B">
        <w:rPr>
          <w:rFonts w:ascii="Calibri" w:hAnsi="Calibri" w:eastAsia="Calibri" w:cs="Calibri"/>
          <w:sz w:val="24"/>
          <w:szCs w:val="24"/>
        </w:rPr>
        <w:t xml:space="preserve">SD or SEM </w:t>
      </w:r>
      <w:r w:rsidRPr="4EF8719D" w:rsidR="786BD394">
        <w:rPr>
          <w:rFonts w:ascii="Calibri" w:hAnsi="Calibri" w:eastAsia="Calibri" w:cs="Calibri"/>
          <w:sz w:val="24"/>
          <w:szCs w:val="24"/>
        </w:rPr>
        <w:t>of</w:t>
      </w:r>
      <w:r w:rsidRPr="4EF8719D" w:rsidR="0FA1DF1B">
        <w:rPr>
          <w:rFonts w:ascii="Calibri" w:hAnsi="Calibri" w:eastAsia="Calibri" w:cs="Calibri"/>
          <w:sz w:val="24"/>
          <w:szCs w:val="24"/>
        </w:rPr>
        <w:t xml:space="preserve"> </w:t>
      </w:r>
      <w:r w:rsidRPr="4EF8719D" w:rsidR="786BD394">
        <w:rPr>
          <w:rFonts w:ascii="Calibri" w:hAnsi="Calibri" w:eastAsia="Calibri" w:cs="Calibri"/>
          <w:sz w:val="24"/>
          <w:szCs w:val="24"/>
        </w:rPr>
        <w:t xml:space="preserve">the Z-scores </w:t>
      </w:r>
      <w:r w:rsidRPr="4EF8719D" w:rsidR="0FA1DF1B">
        <w:rPr>
          <w:rFonts w:ascii="Calibri" w:hAnsi="Calibri" w:eastAsia="Calibri" w:cs="Calibri"/>
          <w:sz w:val="24"/>
          <w:szCs w:val="24"/>
        </w:rPr>
        <w:t>are</w:t>
      </w:r>
      <w:r w:rsidRPr="4EF8719D" w:rsidR="507A36F2">
        <w:rPr>
          <w:rFonts w:ascii="Calibri" w:hAnsi="Calibri" w:eastAsia="Calibri" w:cs="Calibri"/>
          <w:sz w:val="24"/>
          <w:szCs w:val="24"/>
        </w:rPr>
        <w:t xml:space="preserve"> also available in the </w:t>
      </w:r>
      <w:r w:rsidRPr="4EF8719D" w:rsidR="10D7F085">
        <w:rPr>
          <w:sz w:val="24"/>
          <w:szCs w:val="24"/>
        </w:rPr>
        <w:t>Supplementary materials</w:t>
      </w:r>
      <w:r w:rsidR="007D1D0C">
        <w:rPr>
          <w:sz w:val="24"/>
          <w:szCs w:val="24"/>
        </w:rPr>
        <w:t xml:space="preserve"> [</w:t>
      </w:r>
      <w:r w:rsidR="0070456C">
        <w:rPr>
          <w:sz w:val="24"/>
          <w:szCs w:val="24"/>
        </w:rPr>
        <w:t>figure</w:t>
      </w:r>
      <w:r w:rsidR="008E5528">
        <w:rPr>
          <w:sz w:val="24"/>
          <w:szCs w:val="24"/>
        </w:rPr>
        <w:t xml:space="preserve">s </w:t>
      </w:r>
      <w:r w:rsidR="0070456C">
        <w:rPr>
          <w:sz w:val="24"/>
          <w:szCs w:val="24"/>
        </w:rPr>
        <w:t>S1 &amp; S2)</w:t>
      </w:r>
      <w:r w:rsidRPr="4EF8719D" w:rsidR="507A36F2">
        <w:rPr>
          <w:rFonts w:ascii="Calibri" w:hAnsi="Calibri" w:eastAsia="Calibri" w:cs="Calibri"/>
          <w:sz w:val="24"/>
          <w:szCs w:val="24"/>
        </w:rPr>
        <w:t>.</w:t>
      </w:r>
    </w:p>
    <w:p w:rsidRPr="00171B6F" w:rsidR="00980DA3" w:rsidP="560E2E1C" w:rsidRDefault="17C21D0E" w14:paraId="0BFEB608" w14:textId="33152549">
      <w:pPr>
        <w:spacing w:beforeAutospacing="1" w:afterAutospacing="1" w:line="480" w:lineRule="auto"/>
        <w:jc w:val="center"/>
        <w:rPr>
          <w:rFonts w:eastAsiaTheme="minorEastAsia"/>
          <w:i/>
          <w:iCs/>
        </w:rPr>
      </w:pPr>
      <w:r w:rsidRPr="36495B6F">
        <w:rPr>
          <w:rFonts w:ascii="Calibri" w:hAnsi="Calibri" w:eastAsia="Calibri" w:cs="Calibri"/>
          <w:i/>
          <w:iCs/>
        </w:rPr>
        <w:t>Figure</w:t>
      </w:r>
      <w:r w:rsidRPr="36495B6F">
        <w:rPr>
          <w:rFonts w:eastAsiaTheme="minorEastAsia"/>
          <w:i/>
          <w:iCs/>
        </w:rPr>
        <w:t xml:space="preserve"> </w:t>
      </w:r>
      <w:r w:rsidRPr="36495B6F" w:rsidR="0F2EAD5A">
        <w:rPr>
          <w:rFonts w:eastAsiaTheme="minorEastAsia"/>
          <w:i/>
          <w:iCs/>
        </w:rPr>
        <w:t xml:space="preserve">2. </w:t>
      </w:r>
      <w:r w:rsidRPr="36495B6F" w:rsidR="7569A991">
        <w:rPr>
          <w:rFonts w:eastAsiaTheme="minorEastAsia"/>
          <w:i/>
          <w:iCs/>
        </w:rPr>
        <w:t>Z-scores (normative values), for each QST parameter.</w:t>
      </w:r>
    </w:p>
    <w:p w:rsidR="2FF5C0CC" w:rsidP="36495B6F" w:rsidRDefault="2FF5C0CC" w14:paraId="122185C1" w14:textId="4AE9ABFF">
      <w:pPr>
        <w:spacing w:beforeAutospacing="1" w:afterAutospacing="1" w:line="480" w:lineRule="auto"/>
        <w:jc w:val="center"/>
        <w:rPr>
          <w:rFonts w:eastAsiaTheme="minorEastAsia"/>
          <w:i/>
          <w:iCs/>
        </w:rPr>
      </w:pPr>
      <w:r w:rsidRPr="36495B6F">
        <w:rPr>
          <w:rFonts w:eastAsiaTheme="minorEastAsia"/>
          <w:i/>
          <w:iCs/>
        </w:rPr>
        <w:t>Figure 3. DMA and PHS parameters (raw values)</w:t>
      </w:r>
      <w:r w:rsidR="0068754E">
        <w:rPr>
          <w:rFonts w:eastAsiaTheme="minorEastAsia"/>
          <w:i/>
          <w:iCs/>
        </w:rPr>
        <w:t>.</w:t>
      </w:r>
    </w:p>
    <w:p w:rsidRPr="00996DD7" w:rsidR="3AEE3DCD" w:rsidP="5F7DF4C4" w:rsidRDefault="030CB2CB" w14:paraId="46860732" w14:textId="3C79F286">
      <w:pPr>
        <w:spacing w:line="480" w:lineRule="auto"/>
        <w:jc w:val="both"/>
        <w:rPr>
          <w:rFonts w:ascii="Calibri" w:hAnsi="Calibri" w:eastAsia="Calibri" w:cs="Calibri"/>
          <w:strike/>
          <w:color w:val="FF0000"/>
          <w:sz w:val="24"/>
          <w:szCs w:val="24"/>
        </w:rPr>
      </w:pPr>
      <w:r w:rsidRPr="00996DD7">
        <w:rPr>
          <w:rFonts w:ascii="Calibri" w:hAnsi="Calibri" w:eastAsia="Calibri" w:cs="Calibri"/>
          <w:strike/>
          <w:color w:val="FF0000"/>
          <w:sz w:val="24"/>
          <w:szCs w:val="24"/>
        </w:rPr>
        <w:t xml:space="preserve">Comparing these results with those observed when normalizing according to the contralateral side (Figure </w:t>
      </w:r>
      <w:r w:rsidRPr="00996DD7" w:rsidR="34B3E49A">
        <w:rPr>
          <w:rFonts w:ascii="Calibri" w:hAnsi="Calibri" w:eastAsia="Calibri" w:cs="Calibri"/>
          <w:strike/>
          <w:color w:val="FF0000"/>
          <w:sz w:val="24"/>
          <w:szCs w:val="24"/>
        </w:rPr>
        <w:t>4</w:t>
      </w:r>
      <w:r w:rsidRPr="00996DD7">
        <w:rPr>
          <w:rFonts w:ascii="Calibri" w:hAnsi="Calibri" w:eastAsia="Calibri" w:cs="Calibri"/>
          <w:strike/>
          <w:color w:val="FF0000"/>
          <w:sz w:val="24"/>
          <w:szCs w:val="24"/>
        </w:rPr>
        <w:t xml:space="preserve">), </w:t>
      </w:r>
      <w:r w:rsidRPr="00996DD7" w:rsidR="5352DE4F">
        <w:rPr>
          <w:rFonts w:ascii="Calibri" w:hAnsi="Calibri" w:eastAsia="Calibri" w:cs="Calibri"/>
          <w:strike/>
          <w:color w:val="FF0000"/>
          <w:sz w:val="24"/>
          <w:szCs w:val="24"/>
        </w:rPr>
        <w:t>reveals a different pattern</w:t>
      </w:r>
      <w:r w:rsidRPr="00996DD7">
        <w:rPr>
          <w:rFonts w:ascii="Calibri" w:hAnsi="Calibri" w:eastAsia="Calibri" w:cs="Calibri"/>
          <w:strike/>
          <w:color w:val="FF0000"/>
          <w:sz w:val="24"/>
          <w:szCs w:val="24"/>
        </w:rPr>
        <w:t>. For example, the gain of function for CPT became insignificant, while we observed a reverse of disturbances for HPT, MPS, and VDT (</w:t>
      </w:r>
      <w:r w:rsidRPr="00996DD7" w:rsidR="33538199">
        <w:rPr>
          <w:rFonts w:ascii="Calibri" w:hAnsi="Calibri" w:eastAsia="Calibri" w:cs="Calibri"/>
          <w:strike/>
          <w:color w:val="FF0000"/>
          <w:sz w:val="24"/>
          <w:szCs w:val="24"/>
        </w:rPr>
        <w:t>i</w:t>
      </w:r>
      <w:r w:rsidRPr="00996DD7">
        <w:rPr>
          <w:rFonts w:ascii="Calibri" w:hAnsi="Calibri" w:eastAsia="Calibri" w:cs="Calibri"/>
          <w:strike/>
          <w:color w:val="FF0000"/>
          <w:sz w:val="24"/>
          <w:szCs w:val="24"/>
        </w:rPr>
        <w:t>nsignificant after Bonferroni correction).</w:t>
      </w:r>
    </w:p>
    <w:p w:rsidRPr="00996DD7" w:rsidR="00EB50E4" w:rsidP="36495B6F" w:rsidRDefault="6B170C0E" w14:paraId="2D7355C8" w14:textId="54315873">
      <w:pPr>
        <w:pStyle w:val="ListParagraph"/>
        <w:spacing w:before="100" w:beforeAutospacing="1" w:after="100" w:afterAutospacing="1" w:line="480" w:lineRule="auto"/>
        <w:jc w:val="center"/>
        <w:rPr>
          <w:rFonts w:ascii="Calibri" w:hAnsi="Calibri" w:eastAsia="Calibri" w:cs="Calibri"/>
          <w:i/>
          <w:iCs/>
          <w:strike/>
          <w:color w:val="FF0000"/>
        </w:rPr>
      </w:pPr>
      <w:r w:rsidRPr="00996DD7">
        <w:rPr>
          <w:i/>
          <w:iCs/>
          <w:strike/>
          <w:color w:val="FF0000"/>
        </w:rPr>
        <w:t xml:space="preserve">Figure </w:t>
      </w:r>
      <w:r w:rsidRPr="00996DD7" w:rsidR="3A634C0F">
        <w:rPr>
          <w:i/>
          <w:iCs/>
          <w:strike/>
          <w:color w:val="FF0000"/>
        </w:rPr>
        <w:t>4</w:t>
      </w:r>
      <w:r w:rsidRPr="00996DD7" w:rsidR="0FB893A7">
        <w:rPr>
          <w:i/>
          <w:iCs/>
          <w:strike/>
          <w:color w:val="FF0000"/>
        </w:rPr>
        <w:t>.</w:t>
      </w:r>
      <w:r w:rsidRPr="00996DD7" w:rsidR="748113E9">
        <w:rPr>
          <w:i/>
          <w:iCs/>
          <w:strike/>
          <w:color w:val="FF0000"/>
        </w:rPr>
        <w:t xml:space="preserve"> </w:t>
      </w:r>
      <w:r w:rsidRPr="00996DD7" w:rsidR="748113E9">
        <w:rPr>
          <w:rFonts w:ascii="Calibri" w:hAnsi="Calibri" w:eastAsia="Calibri" w:cs="Calibri"/>
          <w:i/>
          <w:iCs/>
          <w:strike/>
          <w:color w:val="FF0000"/>
        </w:rPr>
        <w:t>Z-scores (contralateral side), for each QST parameter</w:t>
      </w:r>
      <w:r w:rsidRPr="00996DD7" w:rsidR="000C204D">
        <w:rPr>
          <w:rFonts w:ascii="Calibri" w:hAnsi="Calibri" w:eastAsia="Calibri" w:cs="Calibri"/>
          <w:i/>
          <w:iCs/>
          <w:strike/>
          <w:color w:val="FF0000"/>
        </w:rPr>
        <w:t>.</w:t>
      </w:r>
    </w:p>
    <w:p w:rsidRPr="004030B4" w:rsidR="00A91BF4" w:rsidP="004030B4" w:rsidRDefault="2339E854" w14:paraId="62D432C1" w14:textId="5F33F03D">
      <w:pPr>
        <w:pStyle w:val="Heading2"/>
        <w:numPr>
          <w:ilvl w:val="0"/>
          <w:numId w:val="44"/>
        </w:numPr>
        <w:rPr>
          <w:rFonts w:ascii="Calibri" w:hAnsi="Calibri" w:eastAsia="Calibri" w:cs="Calibri"/>
        </w:rPr>
      </w:pPr>
      <w:r w:rsidRPr="00201825">
        <w:t>Differences based on reported classifications</w:t>
      </w:r>
    </w:p>
    <w:p w:rsidRPr="00A91BF4" w:rsidR="008269E2" w:rsidP="4EF8719D" w:rsidRDefault="1A539368" w14:paraId="51D034C3" w14:textId="1D1D0CB9">
      <w:pPr>
        <w:spacing w:before="100" w:beforeAutospacing="1" w:after="100" w:afterAutospacing="1" w:line="480" w:lineRule="auto"/>
        <w:jc w:val="both"/>
        <w:rPr>
          <w:rFonts w:ascii="Calibri" w:hAnsi="Calibri" w:eastAsia="Calibri" w:cs="Calibri"/>
          <w:color w:val="FF0000"/>
          <w:sz w:val="24"/>
          <w:szCs w:val="24"/>
        </w:rPr>
      </w:pPr>
      <w:r w:rsidRPr="4EF8719D">
        <w:rPr>
          <w:rFonts w:ascii="Calibri" w:hAnsi="Calibri" w:eastAsia="Calibri" w:cs="Calibri"/>
          <w:sz w:val="24"/>
          <w:szCs w:val="24"/>
        </w:rPr>
        <w:t>We first</w:t>
      </w:r>
      <w:r w:rsidRPr="4EF8719D" w:rsidR="6223AA6E">
        <w:rPr>
          <w:rFonts w:ascii="Calibri" w:hAnsi="Calibri" w:eastAsia="Calibri" w:cs="Calibri"/>
          <w:sz w:val="24"/>
          <w:szCs w:val="24"/>
        </w:rPr>
        <w:t xml:space="preserve"> examined whether the collected variables differed significantly between several potential </w:t>
      </w:r>
      <w:r w:rsidRPr="4EF8719D" w:rsidR="0B4E2896">
        <w:rPr>
          <w:rFonts w:ascii="Calibri" w:hAnsi="Calibri" w:eastAsia="Calibri" w:cs="Calibri"/>
          <w:sz w:val="24"/>
          <w:szCs w:val="24"/>
        </w:rPr>
        <w:t xml:space="preserve">classifications </w:t>
      </w:r>
      <w:r w:rsidRPr="4EF8719D" w:rsidR="296D22F6">
        <w:rPr>
          <w:rFonts w:ascii="Calibri" w:hAnsi="Calibri" w:eastAsia="Calibri" w:cs="Calibri"/>
          <w:sz w:val="24"/>
          <w:szCs w:val="24"/>
        </w:rPr>
        <w:t xml:space="preserve">described </w:t>
      </w:r>
      <w:r w:rsidRPr="4EF8719D" w:rsidR="08862648">
        <w:rPr>
          <w:rFonts w:ascii="Calibri" w:hAnsi="Calibri" w:eastAsia="Calibri" w:cs="Calibri"/>
          <w:sz w:val="24"/>
          <w:szCs w:val="24"/>
        </w:rPr>
        <w:t>in</w:t>
      </w:r>
      <w:r w:rsidRPr="4EF8719D" w:rsidR="6223AA6E">
        <w:rPr>
          <w:rFonts w:ascii="Calibri" w:hAnsi="Calibri" w:eastAsia="Calibri" w:cs="Calibri"/>
          <w:sz w:val="24"/>
          <w:szCs w:val="24"/>
        </w:rPr>
        <w:t xml:space="preserve"> the literature</w:t>
      </w:r>
      <w:r w:rsidRPr="4EF8719D" w:rsidR="5891EF1A">
        <w:rPr>
          <w:rFonts w:ascii="Calibri" w:hAnsi="Calibri" w:eastAsia="Calibri" w:cs="Calibri"/>
          <w:sz w:val="24"/>
          <w:szCs w:val="24"/>
        </w:rPr>
        <w:t xml:space="preserve"> </w:t>
      </w:r>
      <w:r w:rsidRPr="4EF8719D" w:rsidR="0DB900AC">
        <w:rPr>
          <w:rFonts w:ascii="Calibri" w:hAnsi="Calibri" w:eastAsia="Calibri" w:cs="Calibri"/>
          <w:sz w:val="24"/>
          <w:szCs w:val="24"/>
        </w:rPr>
        <w:fldChar w:fldCharType="begin"/>
      </w:r>
      <w:r w:rsidR="00A03CF2">
        <w:rPr>
          <w:rFonts w:ascii="Calibri" w:hAnsi="Calibri" w:eastAsia="Calibri" w:cs="Calibri"/>
          <w:sz w:val="24"/>
          <w:szCs w:val="24"/>
        </w:rPr>
        <w:instrText xml:space="preserve"> ADDIN ZOTERO_ITEM CSL_CITATION {"citationID":"K5AFgQ16","properties":{"formattedCitation":"(Knudsen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4EF8719D" w:rsidR="0DB900AC">
        <w:rPr>
          <w:rFonts w:ascii="Calibri" w:hAnsi="Calibri" w:eastAsia="Calibri" w:cs="Calibri"/>
          <w:sz w:val="24"/>
          <w:szCs w:val="24"/>
        </w:rPr>
        <w:fldChar w:fldCharType="separate"/>
      </w:r>
      <w:r w:rsidRPr="5045E0F5" w:rsidR="008425F7">
        <w:rPr>
          <w:rFonts w:ascii="Calibri" w:hAnsi="Calibri" w:cs="Calibri"/>
          <w:sz w:val="24"/>
          <w:szCs w:val="24"/>
        </w:rPr>
        <w:t>(Knudsen et al., 2023)</w:t>
      </w:r>
      <w:r w:rsidRPr="4EF8719D" w:rsidR="0DB900AC">
        <w:rPr>
          <w:rFonts w:ascii="Calibri" w:hAnsi="Calibri" w:eastAsia="Calibri" w:cs="Calibri"/>
          <w:sz w:val="24"/>
          <w:szCs w:val="24"/>
        </w:rPr>
        <w:fldChar w:fldCharType="end"/>
      </w:r>
      <w:r w:rsidRPr="4EF8719D" w:rsidR="6223AA6E">
        <w:rPr>
          <w:rFonts w:ascii="Calibri" w:hAnsi="Calibri" w:eastAsia="Calibri" w:cs="Calibri"/>
          <w:sz w:val="24"/>
          <w:szCs w:val="24"/>
        </w:rPr>
        <w:t xml:space="preserve">. </w:t>
      </w:r>
      <w:r w:rsidRPr="4EF8719D" w:rsidR="695BACD0">
        <w:rPr>
          <w:rFonts w:ascii="Calibri" w:hAnsi="Calibri" w:eastAsia="Calibri" w:cs="Calibri"/>
          <w:sz w:val="24"/>
          <w:szCs w:val="24"/>
        </w:rPr>
        <w:t xml:space="preserve">For the sake of brevity, we only report </w:t>
      </w:r>
      <w:r w:rsidRPr="701C51EA" w:rsidR="1D29840C">
        <w:rPr>
          <w:rFonts w:ascii="Calibri" w:hAnsi="Calibri" w:eastAsia="Calibri" w:cs="Calibri"/>
          <w:sz w:val="24"/>
          <w:szCs w:val="24"/>
        </w:rPr>
        <w:t>statistical</w:t>
      </w:r>
      <w:r w:rsidR="003811BD">
        <w:rPr>
          <w:rFonts w:ascii="Calibri" w:hAnsi="Calibri" w:eastAsia="Calibri" w:cs="Calibri"/>
          <w:sz w:val="24"/>
          <w:szCs w:val="24"/>
        </w:rPr>
        <w:t>ly significant</w:t>
      </w:r>
      <w:r w:rsidRPr="4EF8719D" w:rsidR="695BACD0">
        <w:rPr>
          <w:rFonts w:ascii="Calibri" w:hAnsi="Calibri" w:eastAsia="Calibri" w:cs="Calibri"/>
          <w:sz w:val="24"/>
          <w:szCs w:val="24"/>
        </w:rPr>
        <w:t xml:space="preserve"> differences (p&lt;0.05</w:t>
      </w:r>
      <w:r w:rsidRPr="77F1298D" w:rsidR="1D29840C">
        <w:rPr>
          <w:rFonts w:ascii="Calibri" w:hAnsi="Calibri" w:eastAsia="Calibri" w:cs="Calibri"/>
          <w:sz w:val="24"/>
          <w:szCs w:val="24"/>
        </w:rPr>
        <w:t>)</w:t>
      </w:r>
      <w:r w:rsidRPr="701C51EA" w:rsidR="7A05228C">
        <w:rPr>
          <w:rFonts w:ascii="Calibri" w:hAnsi="Calibri" w:eastAsia="Calibri" w:cs="Calibri"/>
          <w:sz w:val="24"/>
          <w:szCs w:val="24"/>
        </w:rPr>
        <w:t xml:space="preserve"> </w:t>
      </w:r>
      <w:r w:rsidRPr="4EF8719D" w:rsidR="695BACD0">
        <w:rPr>
          <w:rFonts w:ascii="Calibri" w:hAnsi="Calibri" w:eastAsia="Calibri" w:cs="Calibri"/>
          <w:sz w:val="24"/>
          <w:szCs w:val="24"/>
        </w:rPr>
        <w:t xml:space="preserve">in Table </w:t>
      </w:r>
      <w:r w:rsidRPr="5045E0F5" w:rsidR="0CAB5CDC">
        <w:rPr>
          <w:rFonts w:ascii="Calibri" w:hAnsi="Calibri" w:eastAsia="Calibri" w:cs="Calibri"/>
          <w:sz w:val="24"/>
          <w:szCs w:val="24"/>
        </w:rPr>
        <w:t>4</w:t>
      </w:r>
      <w:r w:rsidRPr="4EF8719D" w:rsidR="7F8F7C68">
        <w:rPr>
          <w:rFonts w:ascii="Calibri" w:hAnsi="Calibri" w:eastAsia="Calibri" w:cs="Calibri"/>
          <w:sz w:val="24"/>
          <w:szCs w:val="24"/>
        </w:rPr>
        <w:t>. Complete results are</w:t>
      </w:r>
      <w:r w:rsidRPr="4EF8719D" w:rsidR="695BACD0">
        <w:rPr>
          <w:rFonts w:ascii="Calibri" w:hAnsi="Calibri" w:eastAsia="Calibri" w:cs="Calibri"/>
          <w:sz w:val="24"/>
          <w:szCs w:val="24"/>
        </w:rPr>
        <w:t xml:space="preserve"> available in the </w:t>
      </w:r>
      <w:r w:rsidRPr="4EF8719D" w:rsidR="4C6C166A">
        <w:rPr>
          <w:i/>
          <w:iCs/>
          <w:sz w:val="24"/>
          <w:szCs w:val="24"/>
        </w:rPr>
        <w:t>Supplementary materials</w:t>
      </w:r>
      <w:r w:rsidRPr="4EF8719D" w:rsidR="4C6C166A">
        <w:rPr>
          <w:rFonts w:ascii="Calibri" w:hAnsi="Calibri" w:eastAsia="Calibri" w:cs="Calibri"/>
          <w:i/>
          <w:iCs/>
          <w:sz w:val="24"/>
          <w:szCs w:val="24"/>
        </w:rPr>
        <w:t xml:space="preserve"> </w:t>
      </w:r>
      <w:r w:rsidRPr="4EF8719D" w:rsidR="5EC34B36">
        <w:rPr>
          <w:rFonts w:ascii="Calibri" w:hAnsi="Calibri" w:eastAsia="Calibri" w:cs="Calibri"/>
          <w:i/>
          <w:iCs/>
          <w:sz w:val="24"/>
          <w:szCs w:val="24"/>
        </w:rPr>
        <w:t>5. Potential classifications: s</w:t>
      </w:r>
      <w:r w:rsidRPr="4EF8719D" w:rsidR="49A8F5BB">
        <w:rPr>
          <w:rFonts w:ascii="Calibri" w:hAnsi="Calibri" w:eastAsia="Calibri" w:cs="Calibri"/>
          <w:i/>
          <w:iCs/>
          <w:sz w:val="24"/>
          <w:szCs w:val="24"/>
        </w:rPr>
        <w:t>tatistical results</w:t>
      </w:r>
      <w:r w:rsidR="0070456C">
        <w:rPr>
          <w:rFonts w:ascii="Calibri" w:hAnsi="Calibri" w:eastAsia="Calibri" w:cs="Calibri"/>
          <w:i/>
          <w:iCs/>
          <w:sz w:val="24"/>
          <w:szCs w:val="24"/>
        </w:rPr>
        <w:t xml:space="preserve"> [</w:t>
      </w:r>
      <w:r w:rsidRPr="5045E0F5" w:rsidR="0070456C">
        <w:rPr>
          <w:rFonts w:ascii="Calibri" w:hAnsi="Calibri" w:eastAsia="Calibri" w:cs="Calibri"/>
          <w:i/>
          <w:iCs/>
          <w:sz w:val="24"/>
          <w:szCs w:val="24"/>
        </w:rPr>
        <w:t>tableS</w:t>
      </w:r>
      <w:r w:rsidRPr="5045E0F5" w:rsidR="11E01454">
        <w:rPr>
          <w:rFonts w:ascii="Calibri" w:hAnsi="Calibri" w:eastAsia="Calibri" w:cs="Calibri"/>
          <w:i/>
          <w:iCs/>
          <w:sz w:val="24"/>
          <w:szCs w:val="24"/>
        </w:rPr>
        <w:t>4</w:t>
      </w:r>
      <w:r w:rsidR="0070456C">
        <w:rPr>
          <w:rFonts w:ascii="Calibri" w:hAnsi="Calibri" w:eastAsia="Calibri" w:cs="Calibri"/>
          <w:i/>
          <w:iCs/>
          <w:sz w:val="24"/>
          <w:szCs w:val="24"/>
        </w:rPr>
        <w:t xml:space="preserve"> to </w:t>
      </w:r>
      <w:r w:rsidRPr="5045E0F5" w:rsidR="0070456C">
        <w:rPr>
          <w:rFonts w:ascii="Calibri" w:hAnsi="Calibri" w:eastAsia="Calibri" w:cs="Calibri"/>
          <w:i/>
          <w:iCs/>
          <w:sz w:val="24"/>
          <w:szCs w:val="24"/>
        </w:rPr>
        <w:t>S1</w:t>
      </w:r>
      <w:r w:rsidRPr="5045E0F5" w:rsidR="5D8E6539">
        <w:rPr>
          <w:rFonts w:ascii="Calibri" w:hAnsi="Calibri" w:eastAsia="Calibri" w:cs="Calibri"/>
          <w:i/>
          <w:iCs/>
          <w:sz w:val="24"/>
          <w:szCs w:val="24"/>
        </w:rPr>
        <w:t>3</w:t>
      </w:r>
      <w:r w:rsidR="0070456C">
        <w:rPr>
          <w:rFonts w:ascii="Calibri" w:hAnsi="Calibri" w:eastAsia="Calibri" w:cs="Calibri"/>
          <w:i/>
          <w:iCs/>
          <w:sz w:val="24"/>
          <w:szCs w:val="24"/>
        </w:rPr>
        <w:t>]</w:t>
      </w:r>
      <w:r w:rsidRPr="4EF8719D" w:rsidR="695BACD0">
        <w:rPr>
          <w:rFonts w:ascii="Calibri" w:hAnsi="Calibri" w:eastAsia="Calibri" w:cs="Calibri"/>
          <w:sz w:val="24"/>
          <w:szCs w:val="24"/>
        </w:rPr>
        <w:t>.</w:t>
      </w:r>
      <w:r w:rsidRPr="4EF8719D" w:rsidR="377DB55B">
        <w:rPr>
          <w:rFonts w:ascii="Calibri" w:hAnsi="Calibri" w:eastAsia="Calibri" w:cs="Calibri"/>
          <w:sz w:val="24"/>
          <w:szCs w:val="24"/>
        </w:rPr>
        <w:t xml:space="preserve"> </w:t>
      </w:r>
    </w:p>
    <w:p w:rsidRPr="00A91BF4" w:rsidR="71182ED7" w:rsidP="00A91BF4" w:rsidRDefault="112FF210" w14:paraId="154CD460" w14:textId="2126C836">
      <w:pPr>
        <w:pStyle w:val="Heading3"/>
      </w:pPr>
      <w:r w:rsidRPr="00A91BF4">
        <w:t>Sex</w:t>
      </w:r>
    </w:p>
    <w:p w:rsidRPr="00171B6F" w:rsidR="008269E2" w:rsidP="560E2E1C" w:rsidRDefault="29A5E548" w14:paraId="260B1166" w14:textId="418EE36C">
      <w:pPr>
        <w:spacing w:line="480" w:lineRule="auto"/>
        <w:jc w:val="both"/>
        <w:rPr>
          <w:rFonts w:ascii="Calibri" w:hAnsi="Calibri" w:eastAsia="Calibri" w:cs="Calibri"/>
          <w:sz w:val="24"/>
          <w:szCs w:val="24"/>
        </w:rPr>
      </w:pPr>
      <w:r w:rsidRPr="4D9D7929">
        <w:rPr>
          <w:rFonts w:ascii="Calibri" w:hAnsi="Calibri" w:eastAsia="Calibri" w:cs="Calibri"/>
          <w:sz w:val="24"/>
          <w:szCs w:val="24"/>
        </w:rPr>
        <w:t>O</w:t>
      </w:r>
      <w:r w:rsidRPr="4D9D7929" w:rsidR="43AD3232">
        <w:rPr>
          <w:rFonts w:ascii="Calibri" w:hAnsi="Calibri" w:eastAsia="Calibri" w:cs="Calibri"/>
          <w:sz w:val="24"/>
          <w:szCs w:val="24"/>
        </w:rPr>
        <w:t>nly UE disability was significantly higher among females</w:t>
      </w:r>
      <w:r w:rsidRPr="00E55DF8" w:rsidR="002A50EC">
        <w:rPr>
          <w:rFonts w:ascii="Calibri" w:hAnsi="Calibri" w:eastAsia="Calibri" w:cs="Calibri"/>
          <w:color w:val="FF0000"/>
          <w:sz w:val="24"/>
          <w:szCs w:val="24"/>
        </w:rPr>
        <w:t xml:space="preserve"> (n=</w:t>
      </w:r>
      <w:r w:rsidRPr="00E55DF8" w:rsidR="00FD29E9">
        <w:rPr>
          <w:rFonts w:ascii="Calibri" w:hAnsi="Calibri" w:eastAsia="Calibri" w:cs="Calibri"/>
          <w:color w:val="FF0000"/>
          <w:sz w:val="24"/>
          <w:szCs w:val="24"/>
        </w:rPr>
        <w:t>87</w:t>
      </w:r>
      <w:r w:rsidRPr="00E55DF8" w:rsidR="001F35F3">
        <w:rPr>
          <w:rFonts w:ascii="Calibri" w:hAnsi="Calibri" w:eastAsia="Calibri" w:cs="Calibri"/>
          <w:color w:val="FF0000"/>
          <w:sz w:val="24"/>
          <w:szCs w:val="24"/>
        </w:rPr>
        <w:t>)</w:t>
      </w:r>
      <w:r w:rsidRPr="4D9D7929" w:rsidR="43AD3232">
        <w:rPr>
          <w:rFonts w:ascii="Calibri" w:hAnsi="Calibri" w:eastAsia="Calibri" w:cs="Calibri"/>
          <w:sz w:val="24"/>
          <w:szCs w:val="24"/>
        </w:rPr>
        <w:t xml:space="preserve"> than males. Two social variables </w:t>
      </w:r>
      <w:r w:rsidRPr="00644AC1" w:rsidR="000433EB">
        <w:rPr>
          <w:rFonts w:ascii="Calibri" w:hAnsi="Calibri" w:eastAsia="Calibri" w:cs="Calibri"/>
          <w:color w:val="FF0000"/>
          <w:sz w:val="24"/>
          <w:szCs w:val="24"/>
        </w:rPr>
        <w:t>differed in both sexes</w:t>
      </w:r>
      <w:r w:rsidRPr="00644AC1" w:rsidR="16339E59">
        <w:rPr>
          <w:rFonts w:ascii="Calibri" w:hAnsi="Calibri" w:eastAsia="Calibri" w:cs="Calibri"/>
          <w:color w:val="FF0000"/>
          <w:sz w:val="24"/>
          <w:szCs w:val="24"/>
        </w:rPr>
        <w:t xml:space="preserve"> </w:t>
      </w:r>
      <w:r w:rsidRPr="4D9D7929" w:rsidR="43AD3232">
        <w:rPr>
          <w:rFonts w:ascii="Calibri" w:hAnsi="Calibri" w:eastAsia="Calibri" w:cs="Calibri"/>
          <w:sz w:val="24"/>
          <w:szCs w:val="24"/>
        </w:rPr>
        <w:t>(alcohol consumption and education level).</w:t>
      </w:r>
    </w:p>
    <w:p w:rsidRPr="00A91BF4" w:rsidR="5ACF4EF1" w:rsidP="00A91BF4" w:rsidRDefault="590C2651" w14:paraId="6D2E8CFA" w14:textId="74D6ABE4">
      <w:pPr>
        <w:pStyle w:val="Heading3"/>
      </w:pPr>
      <w:r w:rsidRPr="00A91BF4">
        <w:lastRenderedPageBreak/>
        <w:t>Family or personal history of CRPS</w:t>
      </w:r>
    </w:p>
    <w:p w:rsidRPr="00171B6F" w:rsidR="5ACF4EF1" w:rsidP="560E2E1C" w:rsidRDefault="2538EC57" w14:paraId="50A61431" w14:textId="7986ACD9">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No differences were observed between the participants reporting </w:t>
      </w:r>
      <w:r w:rsidRPr="701C51EA" w:rsidR="4FC7E04F">
        <w:rPr>
          <w:rFonts w:ascii="Calibri" w:hAnsi="Calibri" w:eastAsia="Calibri" w:cs="Calibri"/>
          <w:sz w:val="24"/>
          <w:szCs w:val="24"/>
        </w:rPr>
        <w:t>a</w:t>
      </w:r>
      <w:r w:rsidR="00644AC1">
        <w:rPr>
          <w:rFonts w:ascii="Calibri" w:hAnsi="Calibri" w:eastAsia="Calibri" w:cs="Calibri"/>
          <w:sz w:val="24"/>
          <w:szCs w:val="24"/>
        </w:rPr>
        <w:t xml:space="preserve"> </w:t>
      </w:r>
      <w:r w:rsidR="000433EB">
        <w:rPr>
          <w:rFonts w:ascii="Calibri" w:hAnsi="Calibri" w:eastAsia="Calibri" w:cs="Calibri"/>
          <w:sz w:val="24"/>
          <w:szCs w:val="24"/>
        </w:rPr>
        <w:t>family</w:t>
      </w:r>
      <w:r w:rsidRPr="4EF8719D" w:rsidR="000433EB">
        <w:rPr>
          <w:rFonts w:ascii="Calibri" w:hAnsi="Calibri" w:eastAsia="Calibri" w:cs="Calibri"/>
          <w:sz w:val="24"/>
          <w:szCs w:val="24"/>
        </w:rPr>
        <w:t xml:space="preserve"> </w:t>
      </w:r>
      <w:r w:rsidRPr="4EF8719D">
        <w:rPr>
          <w:rFonts w:ascii="Calibri" w:hAnsi="Calibri" w:eastAsia="Calibri" w:cs="Calibri"/>
          <w:sz w:val="24"/>
          <w:szCs w:val="24"/>
        </w:rPr>
        <w:t>history of CRPS (</w:t>
      </w:r>
      <w:r w:rsidRPr="4EF8719D" w:rsidR="3276B356">
        <w:rPr>
          <w:rFonts w:ascii="Calibri" w:hAnsi="Calibri" w:eastAsia="Calibri" w:cs="Calibri"/>
          <w:sz w:val="24"/>
          <w:szCs w:val="24"/>
        </w:rPr>
        <w:t>n=</w:t>
      </w:r>
      <w:r w:rsidRPr="4EF8719D">
        <w:rPr>
          <w:rFonts w:ascii="Calibri" w:hAnsi="Calibri" w:eastAsia="Calibri" w:cs="Calibri"/>
          <w:sz w:val="24"/>
          <w:szCs w:val="24"/>
        </w:rPr>
        <w:t>14) and the others. Subjects with a personal history of CRPS</w:t>
      </w:r>
      <w:r w:rsidRPr="00644AC1" w:rsidR="000433EB">
        <w:rPr>
          <w:rFonts w:ascii="Calibri" w:hAnsi="Calibri" w:eastAsia="Calibri" w:cs="Calibri"/>
          <w:color w:val="FF0000"/>
          <w:sz w:val="24"/>
          <w:szCs w:val="24"/>
        </w:rPr>
        <w:t xml:space="preserve"> at another limb</w:t>
      </w:r>
      <w:r w:rsidRPr="4EF8719D">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Pr>
          <w:rFonts w:ascii="Calibri" w:hAnsi="Calibri" w:eastAsia="Calibri" w:cs="Calibri"/>
          <w:sz w:val="24"/>
          <w:szCs w:val="24"/>
        </w:rPr>
        <w:t>14) reported a higher mean disability score for UE, more sweating symptoms, and more allodynia to joint mobilization.</w:t>
      </w:r>
    </w:p>
    <w:p w:rsidRPr="00A91BF4" w:rsidR="5ACF4EF1" w:rsidP="00A91BF4" w:rsidRDefault="590C2651" w14:paraId="237D0E7C" w14:textId="755796A8">
      <w:pPr>
        <w:pStyle w:val="Heading3"/>
      </w:pPr>
      <w:r w:rsidRPr="00A91BF4">
        <w:t>Triggering event</w:t>
      </w:r>
    </w:p>
    <w:p w:rsidRPr="00171B6F" w:rsidR="00097C72" w:rsidP="4EF8719D" w:rsidRDefault="7878CF25" w14:paraId="013F1A6E" w14:textId="199D0C79">
      <w:pPr>
        <w:spacing w:line="480" w:lineRule="auto"/>
        <w:jc w:val="both"/>
        <w:rPr>
          <w:rFonts w:ascii="Calibri" w:hAnsi="Calibri" w:eastAsia="Calibri" w:cs="Calibri"/>
          <w:sz w:val="24"/>
          <w:szCs w:val="24"/>
        </w:rPr>
      </w:pPr>
      <w:r w:rsidRPr="60435B4D">
        <w:rPr>
          <w:rFonts w:ascii="Calibri" w:hAnsi="Calibri" w:eastAsia="Calibri" w:cs="Calibri"/>
          <w:sz w:val="24"/>
          <w:szCs w:val="24"/>
        </w:rPr>
        <w:t xml:space="preserve">Participants </w:t>
      </w:r>
      <w:r w:rsidRPr="60435B4D" w:rsidR="5D71EDFC">
        <w:rPr>
          <w:rFonts w:ascii="Calibri" w:hAnsi="Calibri" w:eastAsia="Calibri" w:cs="Calibri"/>
          <w:sz w:val="24"/>
          <w:szCs w:val="24"/>
        </w:rPr>
        <w:t xml:space="preserve">whose initial event was a minor trauma </w:t>
      </w:r>
      <w:r w:rsidRPr="60435B4D" w:rsidR="2D82CB26">
        <w:rPr>
          <w:rFonts w:ascii="Calibri" w:hAnsi="Calibri" w:eastAsia="Calibri" w:cs="Calibri"/>
          <w:sz w:val="24"/>
          <w:szCs w:val="24"/>
        </w:rPr>
        <w:t>(</w:t>
      </w:r>
      <w:r w:rsidRPr="60435B4D" w:rsidR="3276B356">
        <w:rPr>
          <w:rFonts w:ascii="Calibri" w:hAnsi="Calibri" w:eastAsia="Calibri" w:cs="Calibri"/>
          <w:sz w:val="24"/>
          <w:szCs w:val="24"/>
        </w:rPr>
        <w:t>n=</w:t>
      </w:r>
      <w:r w:rsidRPr="60435B4D" w:rsidR="2D82CB26">
        <w:rPr>
          <w:rFonts w:ascii="Calibri" w:hAnsi="Calibri" w:eastAsia="Calibri" w:cs="Calibri"/>
          <w:sz w:val="24"/>
          <w:szCs w:val="24"/>
        </w:rPr>
        <w:t>16)</w:t>
      </w:r>
      <w:r w:rsidRPr="60435B4D" w:rsidR="1E3A4CCF">
        <w:rPr>
          <w:rFonts w:ascii="Calibri" w:hAnsi="Calibri" w:eastAsia="Calibri" w:cs="Calibri"/>
          <w:sz w:val="24"/>
          <w:szCs w:val="24"/>
        </w:rPr>
        <w:t xml:space="preserve"> </w:t>
      </w:r>
      <w:r w:rsidRPr="60435B4D" w:rsidR="5D71EDFC">
        <w:rPr>
          <w:rFonts w:ascii="Calibri" w:hAnsi="Calibri" w:eastAsia="Calibri" w:cs="Calibri"/>
          <w:sz w:val="24"/>
          <w:szCs w:val="24"/>
        </w:rPr>
        <w:t>were younger</w:t>
      </w:r>
      <w:r w:rsidRPr="60435B4D" w:rsidR="69190D3D">
        <w:rPr>
          <w:rFonts w:ascii="Calibri" w:hAnsi="Calibri" w:eastAsia="Calibri" w:cs="Calibri"/>
          <w:sz w:val="24"/>
          <w:szCs w:val="24"/>
        </w:rPr>
        <w:t>,</w:t>
      </w:r>
      <w:r w:rsidRPr="60435B4D" w:rsidR="5D71EDFC">
        <w:rPr>
          <w:rFonts w:ascii="Calibri" w:hAnsi="Calibri" w:eastAsia="Calibri" w:cs="Calibri"/>
          <w:sz w:val="24"/>
          <w:szCs w:val="24"/>
        </w:rPr>
        <w:t xml:space="preserve"> presented more allodynia to touch or pressure</w:t>
      </w:r>
      <w:r w:rsidRPr="60435B4D" w:rsidR="717BF743">
        <w:rPr>
          <w:rFonts w:ascii="Calibri" w:hAnsi="Calibri" w:eastAsia="Calibri" w:cs="Calibri"/>
          <w:sz w:val="24"/>
          <w:szCs w:val="24"/>
        </w:rPr>
        <w:t xml:space="preserve">, while the LE was more often </w:t>
      </w:r>
      <w:r w:rsidRPr="60435B4D" w:rsidR="5D637CD7">
        <w:rPr>
          <w:rFonts w:ascii="Calibri" w:hAnsi="Calibri" w:eastAsia="Calibri" w:cs="Calibri"/>
          <w:sz w:val="24"/>
          <w:szCs w:val="24"/>
        </w:rPr>
        <w:t xml:space="preserve">involved </w:t>
      </w:r>
      <w:r w:rsidRPr="60435B4D" w:rsidR="15488630">
        <w:rPr>
          <w:rFonts w:ascii="Calibri" w:hAnsi="Calibri" w:eastAsia="Calibri" w:cs="Calibri"/>
          <w:sz w:val="24"/>
          <w:szCs w:val="24"/>
        </w:rPr>
        <w:t>than in the rest of the cohort</w:t>
      </w:r>
      <w:r w:rsidRPr="60435B4D" w:rsidR="006D7DCE">
        <w:rPr>
          <w:rFonts w:ascii="Calibri" w:hAnsi="Calibri" w:eastAsia="Calibri" w:cs="Calibri"/>
          <w:sz w:val="24"/>
          <w:szCs w:val="24"/>
        </w:rPr>
        <w:t>.</w:t>
      </w:r>
      <w:r w:rsidRPr="60435B4D" w:rsidR="5D71EDFC">
        <w:rPr>
          <w:rFonts w:ascii="Calibri" w:hAnsi="Calibri" w:eastAsia="Calibri" w:cs="Calibri"/>
          <w:sz w:val="24"/>
          <w:szCs w:val="24"/>
        </w:rPr>
        <w:t xml:space="preserve"> Interestingly, t</w:t>
      </w:r>
      <w:r w:rsidRPr="60435B4D" w:rsidR="185885FE">
        <w:rPr>
          <w:rFonts w:ascii="Calibri" w:hAnsi="Calibri" w:eastAsia="Calibri" w:cs="Calibri"/>
          <w:sz w:val="24"/>
          <w:szCs w:val="24"/>
        </w:rPr>
        <w:t xml:space="preserve">hese subjects </w:t>
      </w:r>
      <w:r w:rsidRPr="60435B4D" w:rsidR="5D71EDFC">
        <w:rPr>
          <w:rFonts w:ascii="Calibri" w:hAnsi="Calibri" w:eastAsia="Calibri" w:cs="Calibri"/>
          <w:sz w:val="24"/>
          <w:szCs w:val="24"/>
        </w:rPr>
        <w:t xml:space="preserve">presented higher </w:t>
      </w:r>
      <w:proofErr w:type="spellStart"/>
      <w:r w:rsidRPr="60435B4D" w:rsidR="5D71EDFC">
        <w:rPr>
          <w:rFonts w:ascii="Calibri" w:hAnsi="Calibri" w:eastAsia="Calibri" w:cs="Calibri"/>
          <w:sz w:val="24"/>
          <w:szCs w:val="24"/>
        </w:rPr>
        <w:t>OMPSQ</w:t>
      </w:r>
      <w:proofErr w:type="spellEnd"/>
      <w:r w:rsidRPr="60435B4D" w:rsidR="17A2B280">
        <w:rPr>
          <w:rFonts w:ascii="Calibri" w:hAnsi="Calibri" w:eastAsia="Calibri" w:cs="Calibri"/>
          <w:sz w:val="24"/>
          <w:szCs w:val="24"/>
        </w:rPr>
        <w:t>-SF</w:t>
      </w:r>
      <w:r w:rsidRPr="60435B4D" w:rsidR="5D71EDFC">
        <w:rPr>
          <w:rFonts w:ascii="Calibri" w:hAnsi="Calibri" w:eastAsia="Calibri" w:cs="Calibri"/>
          <w:sz w:val="24"/>
          <w:szCs w:val="24"/>
        </w:rPr>
        <w:t xml:space="preserve"> score, and higher depressive disorder score</w:t>
      </w:r>
      <w:r w:rsidRPr="60435B4D" w:rsidR="00CE5DB6">
        <w:rPr>
          <w:rFonts w:ascii="Calibri" w:hAnsi="Calibri" w:eastAsia="Calibri" w:cs="Calibri"/>
          <w:sz w:val="24"/>
          <w:szCs w:val="24"/>
        </w:rPr>
        <w:t xml:space="preserve"> </w:t>
      </w:r>
      <w:r w:rsidRPr="60435B4D" w:rsidR="00BA74D5">
        <w:rPr>
          <w:rFonts w:ascii="Calibri" w:hAnsi="Calibri" w:eastAsia="Calibri" w:cs="Calibri"/>
          <w:sz w:val="24"/>
          <w:szCs w:val="24"/>
        </w:rPr>
        <w:t>than other participants</w:t>
      </w:r>
      <w:r w:rsidRPr="60435B4D" w:rsidR="006D7DCE">
        <w:rPr>
          <w:rFonts w:ascii="Calibri" w:hAnsi="Calibri" w:eastAsia="Calibri" w:cs="Calibri"/>
          <w:sz w:val="24"/>
          <w:szCs w:val="24"/>
        </w:rPr>
        <w:t>.</w:t>
      </w:r>
      <w:r w:rsidRPr="60435B4D" w:rsidR="5D71EDFC">
        <w:rPr>
          <w:rFonts w:ascii="Calibri" w:hAnsi="Calibri" w:eastAsia="Calibri" w:cs="Calibri"/>
          <w:sz w:val="24"/>
          <w:szCs w:val="24"/>
        </w:rPr>
        <w:t xml:space="preserve"> </w:t>
      </w:r>
      <w:r w:rsidRPr="60435B4D" w:rsidR="5D71EDFC">
        <w:rPr>
          <w:rFonts w:ascii="Calibri" w:hAnsi="Calibri" w:eastAsia="Calibri" w:cs="Calibri"/>
          <w:color w:val="000000" w:themeColor="text1"/>
          <w:sz w:val="24"/>
          <w:szCs w:val="24"/>
        </w:rPr>
        <w:t>In cases of fracture or trauma requiring surgical intervention</w:t>
      </w:r>
      <w:r w:rsidR="00AB3805">
        <w:rPr>
          <w:rFonts w:ascii="Calibri" w:hAnsi="Calibri" w:eastAsia="Calibri" w:cs="Calibri"/>
          <w:color w:val="000000" w:themeColor="text1"/>
          <w:sz w:val="24"/>
          <w:szCs w:val="24"/>
        </w:rPr>
        <w:t xml:space="preserve"> </w:t>
      </w:r>
      <w:r w:rsidRPr="00AB3805" w:rsidR="00AB3805">
        <w:rPr>
          <w:rFonts w:ascii="Calibri" w:hAnsi="Calibri" w:eastAsia="Calibri" w:cs="Calibri"/>
          <w:color w:val="FF0000"/>
          <w:sz w:val="24"/>
          <w:szCs w:val="24"/>
        </w:rPr>
        <w:t>(n=</w:t>
      </w:r>
      <w:r w:rsidR="000E7D4F">
        <w:rPr>
          <w:rFonts w:ascii="Calibri" w:hAnsi="Calibri" w:eastAsia="Calibri" w:cs="Calibri"/>
          <w:color w:val="FF0000"/>
          <w:sz w:val="24"/>
          <w:szCs w:val="24"/>
        </w:rPr>
        <w:t>71)</w:t>
      </w:r>
      <w:r w:rsidRPr="60435B4D" w:rsidR="5D71EDFC">
        <w:rPr>
          <w:rFonts w:ascii="Calibri" w:hAnsi="Calibri" w:eastAsia="Calibri" w:cs="Calibri"/>
          <w:color w:val="000000" w:themeColor="text1"/>
          <w:sz w:val="24"/>
          <w:szCs w:val="24"/>
        </w:rPr>
        <w:t>, participants reported lower pain intensity and interference</w:t>
      </w:r>
      <w:r w:rsidRPr="60435B4D" w:rsidR="5515060E">
        <w:rPr>
          <w:rFonts w:ascii="Calibri" w:hAnsi="Calibri" w:eastAsia="Calibri" w:cs="Calibri"/>
          <w:color w:val="000000" w:themeColor="text1"/>
          <w:sz w:val="24"/>
          <w:szCs w:val="24"/>
        </w:rPr>
        <w:t xml:space="preserve">, they </w:t>
      </w:r>
      <w:r w:rsidRPr="60435B4D" w:rsidR="5D71EDFC">
        <w:rPr>
          <w:rFonts w:ascii="Calibri" w:hAnsi="Calibri" w:eastAsia="Calibri" w:cs="Calibri"/>
          <w:color w:val="000000" w:themeColor="text1"/>
          <w:sz w:val="24"/>
          <w:szCs w:val="24"/>
        </w:rPr>
        <w:t xml:space="preserve">were </w:t>
      </w:r>
      <w:r w:rsidRPr="60435B4D" w:rsidR="2D454491">
        <w:rPr>
          <w:rFonts w:ascii="Calibri" w:hAnsi="Calibri" w:eastAsia="Calibri" w:cs="Calibri"/>
          <w:color w:val="000000" w:themeColor="text1"/>
          <w:sz w:val="24"/>
          <w:szCs w:val="24"/>
        </w:rPr>
        <w:t xml:space="preserve">also </w:t>
      </w:r>
      <w:r w:rsidRPr="60435B4D" w:rsidR="5D71EDFC">
        <w:rPr>
          <w:rFonts w:ascii="Calibri" w:hAnsi="Calibri" w:eastAsia="Calibri" w:cs="Calibri"/>
          <w:color w:val="000000" w:themeColor="text1"/>
          <w:sz w:val="24"/>
          <w:szCs w:val="24"/>
        </w:rPr>
        <w:t>immobilized longer than other</w:t>
      </w:r>
      <w:r w:rsidRPr="60435B4D" w:rsidR="5B4877BB">
        <w:rPr>
          <w:rFonts w:ascii="Calibri" w:hAnsi="Calibri" w:eastAsia="Calibri" w:cs="Calibri"/>
          <w:color w:val="000000" w:themeColor="text1"/>
          <w:sz w:val="24"/>
          <w:szCs w:val="24"/>
        </w:rPr>
        <w:t xml:space="preserve"> participant</w:t>
      </w:r>
      <w:r w:rsidRPr="60435B4D" w:rsidR="5D71EDFC">
        <w:rPr>
          <w:rFonts w:ascii="Calibri" w:hAnsi="Calibri" w:eastAsia="Calibri" w:cs="Calibri"/>
          <w:color w:val="000000" w:themeColor="text1"/>
          <w:sz w:val="24"/>
          <w:szCs w:val="24"/>
        </w:rPr>
        <w:t>s.</w:t>
      </w:r>
      <w:r w:rsidRPr="60435B4D" w:rsidR="5D71EDFC">
        <w:rPr>
          <w:rFonts w:ascii="Calibri" w:hAnsi="Calibri" w:eastAsia="Calibri" w:cs="Calibri"/>
          <w:sz w:val="24"/>
          <w:szCs w:val="24"/>
        </w:rPr>
        <w:t xml:space="preserve"> </w:t>
      </w:r>
      <w:r w:rsidRPr="60435B4D" w:rsidR="15AD2651">
        <w:rPr>
          <w:rFonts w:ascii="Calibri" w:hAnsi="Calibri" w:eastAsia="Calibri" w:cs="Calibri"/>
          <w:sz w:val="24"/>
          <w:szCs w:val="24"/>
        </w:rPr>
        <w:t xml:space="preserve">Subjects with </w:t>
      </w:r>
      <w:r w:rsidRPr="60435B4D" w:rsidR="5D71EDFC">
        <w:rPr>
          <w:rFonts w:ascii="Calibri" w:hAnsi="Calibri" w:eastAsia="Calibri" w:cs="Calibri"/>
          <w:sz w:val="24"/>
          <w:szCs w:val="24"/>
        </w:rPr>
        <w:t>CRPS induced by surgical procedures (elective or post-trauma</w:t>
      </w:r>
      <w:r w:rsidRPr="00644AC1" w:rsidR="0043676F">
        <w:rPr>
          <w:rFonts w:ascii="Calibri" w:hAnsi="Calibri" w:eastAsia="Calibri" w:cs="Calibri"/>
          <w:color w:val="FF0000"/>
          <w:sz w:val="24"/>
          <w:szCs w:val="24"/>
        </w:rPr>
        <w:t>, n=</w:t>
      </w:r>
      <w:r w:rsidRPr="00644AC1" w:rsidR="00826492">
        <w:rPr>
          <w:rFonts w:ascii="Calibri" w:hAnsi="Calibri" w:eastAsia="Calibri" w:cs="Calibri"/>
          <w:color w:val="FF0000"/>
          <w:sz w:val="24"/>
          <w:szCs w:val="24"/>
        </w:rPr>
        <w:t>63</w:t>
      </w:r>
      <w:r w:rsidRPr="60435B4D" w:rsidR="5D71EDFC">
        <w:rPr>
          <w:rFonts w:ascii="Calibri" w:hAnsi="Calibri" w:eastAsia="Calibri" w:cs="Calibri"/>
          <w:sz w:val="24"/>
          <w:szCs w:val="24"/>
        </w:rPr>
        <w:t xml:space="preserve">) reported significantly more skin disturbances than </w:t>
      </w:r>
      <w:r w:rsidRPr="60435B4D" w:rsidR="27CFB668">
        <w:rPr>
          <w:rFonts w:ascii="Calibri" w:hAnsi="Calibri" w:eastAsia="Calibri" w:cs="Calibri"/>
          <w:sz w:val="24"/>
          <w:szCs w:val="24"/>
        </w:rPr>
        <w:t xml:space="preserve">those with </w:t>
      </w:r>
      <w:r w:rsidRPr="60435B4D" w:rsidR="5D71EDFC">
        <w:rPr>
          <w:rFonts w:ascii="Calibri" w:hAnsi="Calibri" w:eastAsia="Calibri" w:cs="Calibri"/>
          <w:sz w:val="24"/>
          <w:szCs w:val="24"/>
        </w:rPr>
        <w:t>other</w:t>
      </w:r>
      <w:r w:rsidRPr="60435B4D" w:rsidR="6301859D">
        <w:rPr>
          <w:rFonts w:ascii="Calibri" w:hAnsi="Calibri" w:eastAsia="Calibri" w:cs="Calibri"/>
          <w:sz w:val="24"/>
          <w:szCs w:val="24"/>
        </w:rPr>
        <w:t xml:space="preserve"> initial events</w:t>
      </w:r>
      <w:r w:rsidRPr="60435B4D" w:rsidR="5D71EDFC">
        <w:rPr>
          <w:rFonts w:ascii="Calibri" w:hAnsi="Calibri" w:eastAsia="Calibri" w:cs="Calibri"/>
          <w:sz w:val="24"/>
          <w:szCs w:val="24"/>
        </w:rPr>
        <w:t>.</w:t>
      </w:r>
      <w:r w:rsidRPr="60435B4D" w:rsidR="75D8DA15">
        <w:rPr>
          <w:rFonts w:ascii="Calibri" w:hAnsi="Calibri" w:eastAsia="Calibri" w:cs="Calibri"/>
          <w:sz w:val="24"/>
          <w:szCs w:val="24"/>
        </w:rPr>
        <w:t xml:space="preserve"> </w:t>
      </w:r>
      <w:r w:rsidRPr="60435B4D" w:rsidR="5D71EDFC">
        <w:rPr>
          <w:rFonts w:ascii="Calibri" w:hAnsi="Calibri" w:eastAsia="Calibri" w:cs="Calibri"/>
          <w:sz w:val="24"/>
          <w:szCs w:val="24"/>
        </w:rPr>
        <w:t xml:space="preserve">Some QST variables </w:t>
      </w:r>
      <w:r w:rsidR="000433EB">
        <w:rPr>
          <w:rFonts w:ascii="Calibri" w:hAnsi="Calibri" w:eastAsia="Calibri" w:cs="Calibri"/>
          <w:sz w:val="24"/>
          <w:szCs w:val="24"/>
        </w:rPr>
        <w:t xml:space="preserve">differed according to </w:t>
      </w:r>
      <w:r w:rsidRPr="60435B4D" w:rsidR="5D71EDFC">
        <w:rPr>
          <w:rFonts w:ascii="Calibri" w:hAnsi="Calibri" w:eastAsia="Calibri" w:cs="Calibri"/>
          <w:sz w:val="24"/>
          <w:szCs w:val="24"/>
        </w:rPr>
        <w:t xml:space="preserve">the </w:t>
      </w:r>
      <w:r w:rsidRPr="60435B4D" w:rsidR="49FE3287">
        <w:rPr>
          <w:rFonts w:ascii="Calibri" w:hAnsi="Calibri" w:eastAsia="Calibri" w:cs="Calibri"/>
          <w:sz w:val="24"/>
          <w:szCs w:val="24"/>
        </w:rPr>
        <w:t xml:space="preserve">triggering </w:t>
      </w:r>
      <w:r w:rsidRPr="60435B4D" w:rsidR="5D71EDFC">
        <w:rPr>
          <w:rFonts w:ascii="Calibri" w:hAnsi="Calibri" w:eastAsia="Calibri" w:cs="Calibri"/>
          <w:sz w:val="24"/>
          <w:szCs w:val="24"/>
        </w:rPr>
        <w:t>event</w:t>
      </w:r>
      <w:r w:rsidRPr="60435B4D" w:rsidR="26BF5A65">
        <w:rPr>
          <w:rFonts w:ascii="Calibri" w:hAnsi="Calibri" w:eastAsia="Calibri" w:cs="Calibri"/>
          <w:sz w:val="24"/>
          <w:szCs w:val="24"/>
        </w:rPr>
        <w:t>:</w:t>
      </w:r>
      <w:r w:rsidRPr="60435B4D" w:rsidR="58E18257">
        <w:rPr>
          <w:rFonts w:ascii="Calibri" w:hAnsi="Calibri" w:eastAsia="Calibri" w:cs="Calibri"/>
          <w:sz w:val="24"/>
          <w:szCs w:val="24"/>
        </w:rPr>
        <w:t xml:space="preserve"> we observed </w:t>
      </w:r>
      <w:r w:rsidR="000433EB">
        <w:rPr>
          <w:rFonts w:ascii="Calibri" w:hAnsi="Calibri" w:eastAsia="Calibri" w:cs="Calibri"/>
          <w:sz w:val="24"/>
          <w:szCs w:val="24"/>
        </w:rPr>
        <w:t xml:space="preserve">a </w:t>
      </w:r>
      <w:r w:rsidRPr="60435B4D" w:rsidR="58E18257">
        <w:rPr>
          <w:rFonts w:ascii="Calibri" w:hAnsi="Calibri" w:eastAsia="Calibri" w:cs="Calibri"/>
          <w:sz w:val="24"/>
          <w:szCs w:val="24"/>
        </w:rPr>
        <w:t xml:space="preserve">higher gain of function in </w:t>
      </w:r>
      <w:r w:rsidRPr="60435B4D" w:rsidR="34CB7851">
        <w:rPr>
          <w:rFonts w:ascii="Calibri" w:hAnsi="Calibri" w:eastAsia="Calibri" w:cs="Calibri"/>
          <w:sz w:val="24"/>
          <w:szCs w:val="24"/>
        </w:rPr>
        <w:t xml:space="preserve">blunt </w:t>
      </w:r>
      <w:r w:rsidRPr="60435B4D" w:rsidR="58E18257">
        <w:rPr>
          <w:rFonts w:ascii="Calibri" w:hAnsi="Calibri" w:eastAsia="Calibri" w:cs="Calibri"/>
          <w:sz w:val="24"/>
          <w:szCs w:val="24"/>
        </w:rPr>
        <w:t xml:space="preserve">pressure and </w:t>
      </w:r>
      <w:r w:rsidR="00AB3805">
        <w:rPr>
          <w:rFonts w:ascii="Calibri" w:hAnsi="Calibri" w:eastAsia="Calibri" w:cs="Calibri"/>
          <w:sz w:val="24"/>
          <w:szCs w:val="24"/>
        </w:rPr>
        <w:t>MPS</w:t>
      </w:r>
      <w:r w:rsidRPr="60435B4D" w:rsidR="58E18257">
        <w:rPr>
          <w:rFonts w:ascii="Calibri" w:hAnsi="Calibri" w:eastAsia="Calibri" w:cs="Calibri"/>
          <w:sz w:val="24"/>
          <w:szCs w:val="24"/>
        </w:rPr>
        <w:t xml:space="preserve"> </w:t>
      </w:r>
      <w:r w:rsidRPr="60435B4D" w:rsidR="474DFCC8">
        <w:rPr>
          <w:rFonts w:ascii="Calibri" w:hAnsi="Calibri" w:eastAsia="Calibri" w:cs="Calibri"/>
          <w:sz w:val="24"/>
          <w:szCs w:val="24"/>
        </w:rPr>
        <w:t xml:space="preserve">for minor trauma and </w:t>
      </w:r>
      <w:r w:rsidRPr="60435B4D" w:rsidR="6F92E5F3">
        <w:rPr>
          <w:rFonts w:ascii="Calibri" w:hAnsi="Calibri" w:eastAsia="Calibri" w:cs="Calibri"/>
          <w:sz w:val="24"/>
          <w:szCs w:val="24"/>
        </w:rPr>
        <w:t>elective surgery in comparison with fracture or trauma requiring surgical repair.</w:t>
      </w:r>
    </w:p>
    <w:p w:rsidRPr="00A91BF4" w:rsidR="00601FD2" w:rsidP="00A91BF4" w:rsidRDefault="3639AC8B" w14:paraId="463B9733" w14:textId="7DE97BCB">
      <w:pPr>
        <w:pStyle w:val="Heading3"/>
      </w:pPr>
      <w:r w:rsidRPr="00A91BF4">
        <w:t>Historical CRPS subtypes / major peripheral nerve lesion</w:t>
      </w:r>
    </w:p>
    <w:p w:rsidRPr="00171B6F" w:rsidR="00601FD2" w:rsidP="560E2E1C" w:rsidRDefault="2BFF8D5F" w14:paraId="5E3F876F" w14:textId="3F47A083">
      <w:pPr>
        <w:spacing w:line="480" w:lineRule="auto"/>
        <w:jc w:val="both"/>
        <w:rPr>
          <w:rFonts w:ascii="Calibri" w:hAnsi="Calibri" w:eastAsia="Calibri" w:cs="Calibri"/>
          <w:sz w:val="24"/>
          <w:szCs w:val="24"/>
        </w:rPr>
      </w:pPr>
      <w:r w:rsidRPr="60435B4D">
        <w:rPr>
          <w:rFonts w:ascii="Calibri" w:hAnsi="Calibri" w:eastAsia="Calibri" w:cs="Calibri"/>
          <w:sz w:val="24"/>
          <w:szCs w:val="24"/>
        </w:rPr>
        <w:t xml:space="preserve">We observed </w:t>
      </w:r>
      <w:r w:rsidRPr="60435B4D" w:rsidR="7E727BD6">
        <w:rPr>
          <w:rFonts w:ascii="Calibri" w:hAnsi="Calibri" w:eastAsia="Calibri" w:cs="Calibri"/>
          <w:sz w:val="24"/>
          <w:szCs w:val="24"/>
        </w:rPr>
        <w:t xml:space="preserve">a </w:t>
      </w:r>
      <w:r w:rsidRPr="60435B4D">
        <w:rPr>
          <w:rFonts w:ascii="Calibri" w:hAnsi="Calibri" w:eastAsia="Calibri" w:cs="Calibri"/>
          <w:sz w:val="24"/>
          <w:szCs w:val="24"/>
        </w:rPr>
        <w:t xml:space="preserve">higher proportion of skin disturbance signs in CRPS type II </w:t>
      </w:r>
      <w:r w:rsidRPr="60435B4D" w:rsidR="6AAEFB08">
        <w:rPr>
          <w:rFonts w:ascii="Calibri" w:hAnsi="Calibri" w:eastAsia="Calibri" w:cs="Calibri"/>
          <w:sz w:val="24"/>
          <w:szCs w:val="24"/>
        </w:rPr>
        <w:t>(</w:t>
      </w:r>
      <w:r w:rsidRPr="60435B4D" w:rsidR="3276B356">
        <w:rPr>
          <w:rFonts w:ascii="Calibri" w:hAnsi="Calibri" w:eastAsia="Calibri" w:cs="Calibri"/>
          <w:sz w:val="24"/>
          <w:szCs w:val="24"/>
        </w:rPr>
        <w:t>n=</w:t>
      </w:r>
      <w:r w:rsidRPr="60435B4D" w:rsidR="6AAEFB08">
        <w:rPr>
          <w:rFonts w:ascii="Calibri" w:hAnsi="Calibri" w:eastAsia="Calibri" w:cs="Calibri"/>
          <w:sz w:val="24"/>
          <w:szCs w:val="24"/>
        </w:rPr>
        <w:t xml:space="preserve">11) </w:t>
      </w:r>
      <w:r w:rsidRPr="60435B4D">
        <w:rPr>
          <w:rFonts w:ascii="Calibri" w:hAnsi="Calibri" w:eastAsia="Calibri" w:cs="Calibri"/>
          <w:sz w:val="24"/>
          <w:szCs w:val="24"/>
        </w:rPr>
        <w:t xml:space="preserve">than in CRPS type </w:t>
      </w:r>
      <w:r w:rsidRPr="60435B4D" w:rsidR="0EB9C464">
        <w:rPr>
          <w:rFonts w:ascii="Calibri" w:hAnsi="Calibri" w:eastAsia="Calibri" w:cs="Calibri"/>
          <w:sz w:val="24"/>
          <w:szCs w:val="24"/>
        </w:rPr>
        <w:t>I</w:t>
      </w:r>
      <w:r w:rsidRPr="60435B4D">
        <w:rPr>
          <w:rFonts w:ascii="Calibri" w:hAnsi="Calibri" w:eastAsia="Calibri" w:cs="Calibri"/>
          <w:sz w:val="24"/>
          <w:szCs w:val="24"/>
        </w:rPr>
        <w:t xml:space="preserve">. All CRPS type II were triggered by surgery (elective or post-trauma), while only 51% of </w:t>
      </w:r>
      <w:r w:rsidRPr="60435B4D" w:rsidR="4C26E492">
        <w:rPr>
          <w:rFonts w:ascii="Calibri" w:hAnsi="Calibri" w:eastAsia="Calibri" w:cs="Calibri"/>
          <w:sz w:val="24"/>
          <w:szCs w:val="24"/>
        </w:rPr>
        <w:t xml:space="preserve">subjects with </w:t>
      </w:r>
      <w:r w:rsidRPr="60435B4D">
        <w:rPr>
          <w:rFonts w:ascii="Calibri" w:hAnsi="Calibri" w:eastAsia="Calibri" w:cs="Calibri"/>
          <w:sz w:val="24"/>
          <w:szCs w:val="24"/>
        </w:rPr>
        <w:t>CRPS type I ha</w:t>
      </w:r>
      <w:r w:rsidRPr="60435B4D" w:rsidR="17EE6EF1">
        <w:rPr>
          <w:rFonts w:ascii="Calibri" w:hAnsi="Calibri" w:eastAsia="Calibri" w:cs="Calibri"/>
          <w:sz w:val="24"/>
          <w:szCs w:val="24"/>
        </w:rPr>
        <w:t xml:space="preserve">d </w:t>
      </w:r>
      <w:r w:rsidRPr="60435B4D">
        <w:rPr>
          <w:rFonts w:ascii="Calibri" w:hAnsi="Calibri" w:eastAsia="Calibri" w:cs="Calibri"/>
          <w:sz w:val="24"/>
          <w:szCs w:val="24"/>
        </w:rPr>
        <w:t>been operated</w:t>
      </w:r>
      <w:r w:rsidRPr="60435B4D" w:rsidR="28169737">
        <w:rPr>
          <w:rFonts w:ascii="Calibri" w:hAnsi="Calibri" w:eastAsia="Calibri" w:cs="Calibri"/>
          <w:sz w:val="24"/>
          <w:szCs w:val="24"/>
        </w:rPr>
        <w:t xml:space="preserve">. </w:t>
      </w:r>
      <w:r w:rsidRPr="60435B4D" w:rsidR="52A4EAC7">
        <w:rPr>
          <w:rFonts w:ascii="Calibri" w:hAnsi="Calibri" w:eastAsia="Calibri" w:cs="Calibri"/>
          <w:sz w:val="24"/>
          <w:szCs w:val="24"/>
        </w:rPr>
        <w:t xml:space="preserve">Interestingly, none of the QST parameters were </w:t>
      </w:r>
      <w:r w:rsidRPr="60435B4D" w:rsidR="56AFE406">
        <w:rPr>
          <w:rFonts w:ascii="Calibri" w:hAnsi="Calibri" w:eastAsia="Calibri" w:cs="Calibri"/>
          <w:sz w:val="24"/>
          <w:szCs w:val="24"/>
        </w:rPr>
        <w:t>different between these two subgroups.</w:t>
      </w:r>
    </w:p>
    <w:p w:rsidRPr="00A91BF4" w:rsidR="00601FD2" w:rsidP="00A91BF4" w:rsidRDefault="494C96BD" w14:paraId="1D2C2683" w14:textId="55F9DA00">
      <w:pPr>
        <w:pStyle w:val="Heading3"/>
      </w:pPr>
      <w:r w:rsidRPr="00A91BF4">
        <w:t>Involved l</w:t>
      </w:r>
      <w:r w:rsidRPr="00A91BF4" w:rsidR="247A55CB">
        <w:t xml:space="preserve">imb </w:t>
      </w:r>
    </w:p>
    <w:p w:rsidRPr="00171B6F" w:rsidR="00601FD2" w:rsidP="560E2E1C" w:rsidRDefault="0D802D61" w14:paraId="699C5283" w14:textId="715716F3">
      <w:pPr>
        <w:spacing w:line="480" w:lineRule="auto"/>
        <w:jc w:val="both"/>
        <w:rPr>
          <w:rFonts w:ascii="Calibri" w:hAnsi="Calibri" w:eastAsia="Calibri" w:cs="Calibri"/>
          <w:sz w:val="24"/>
          <w:szCs w:val="24"/>
        </w:rPr>
      </w:pPr>
      <w:r w:rsidRPr="4EF8719D">
        <w:rPr>
          <w:rFonts w:ascii="Calibri" w:hAnsi="Calibri" w:eastAsia="Calibri" w:cs="Calibri"/>
          <w:sz w:val="24"/>
          <w:szCs w:val="24"/>
        </w:rPr>
        <w:t>Participants with LE CRPS</w:t>
      </w:r>
      <w:r w:rsidRPr="4EF8719D" w:rsidR="3FBBEF2A">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sidR="3FBBEF2A">
        <w:rPr>
          <w:rFonts w:ascii="Calibri" w:hAnsi="Calibri" w:eastAsia="Calibri" w:cs="Calibri"/>
          <w:sz w:val="24"/>
          <w:szCs w:val="24"/>
        </w:rPr>
        <w:t>46)</w:t>
      </w:r>
      <w:r w:rsidRPr="4EF8719D">
        <w:rPr>
          <w:rFonts w:ascii="Calibri" w:hAnsi="Calibri" w:eastAsia="Calibri" w:cs="Calibri"/>
          <w:sz w:val="24"/>
          <w:szCs w:val="24"/>
        </w:rPr>
        <w:t xml:space="preserve"> were younger, presented more allodynia, but less skin disturbance</w:t>
      </w:r>
      <w:r w:rsidR="00DA2B8D">
        <w:rPr>
          <w:rFonts w:ascii="Calibri" w:hAnsi="Calibri" w:eastAsia="Calibri" w:cs="Calibri"/>
          <w:sz w:val="24"/>
          <w:szCs w:val="24"/>
        </w:rPr>
        <w:t>s</w:t>
      </w:r>
      <w:r w:rsidRPr="4EF8719D" w:rsidR="3FBBEF2A">
        <w:rPr>
          <w:rFonts w:ascii="Calibri" w:hAnsi="Calibri" w:eastAsia="Calibri" w:cs="Calibri"/>
          <w:sz w:val="24"/>
          <w:szCs w:val="24"/>
        </w:rPr>
        <w:t xml:space="preserve"> than UE CRPS</w:t>
      </w:r>
      <w:r w:rsidRPr="4EF8719D">
        <w:rPr>
          <w:rFonts w:ascii="Calibri" w:hAnsi="Calibri" w:eastAsia="Calibri" w:cs="Calibri"/>
          <w:sz w:val="24"/>
          <w:szCs w:val="24"/>
        </w:rPr>
        <w:t xml:space="preserve">. They reported more pain interference. The physical intensity of </w:t>
      </w:r>
      <w:r w:rsidRPr="4EF8719D">
        <w:rPr>
          <w:rFonts w:ascii="Calibri" w:hAnsi="Calibri" w:eastAsia="Calibri" w:cs="Calibri"/>
          <w:sz w:val="24"/>
          <w:szCs w:val="24"/>
        </w:rPr>
        <w:lastRenderedPageBreak/>
        <w:t>the triggering event differed, with more minor trauma</w:t>
      </w:r>
      <w:r w:rsidRPr="4EF8719D" w:rsidR="3CCDB6C1">
        <w:rPr>
          <w:rFonts w:ascii="Calibri" w:hAnsi="Calibri" w:eastAsia="Calibri" w:cs="Calibri"/>
          <w:sz w:val="24"/>
          <w:szCs w:val="24"/>
        </w:rPr>
        <w:t>s</w:t>
      </w:r>
      <w:r w:rsidRPr="4EF8719D">
        <w:rPr>
          <w:rFonts w:ascii="Calibri" w:hAnsi="Calibri" w:eastAsia="Calibri" w:cs="Calibri"/>
          <w:sz w:val="24"/>
          <w:szCs w:val="24"/>
        </w:rPr>
        <w:t xml:space="preserve"> for LE and more trauma</w:t>
      </w:r>
      <w:r w:rsidRPr="4EF8719D" w:rsidR="38AA9F70">
        <w:rPr>
          <w:rFonts w:ascii="Calibri" w:hAnsi="Calibri" w:eastAsia="Calibri" w:cs="Calibri"/>
          <w:sz w:val="24"/>
          <w:szCs w:val="24"/>
        </w:rPr>
        <w:t>s</w:t>
      </w:r>
      <w:r w:rsidRPr="4EF8719D">
        <w:rPr>
          <w:rFonts w:ascii="Calibri" w:hAnsi="Calibri" w:eastAsia="Calibri" w:cs="Calibri"/>
          <w:sz w:val="24"/>
          <w:szCs w:val="24"/>
        </w:rPr>
        <w:t xml:space="preserve"> requiring surgery for UE</w:t>
      </w:r>
      <w:r w:rsidRPr="4EF8719D" w:rsidR="48440FD7">
        <w:rPr>
          <w:rFonts w:ascii="Calibri" w:hAnsi="Calibri" w:eastAsia="Calibri" w:cs="Calibri"/>
          <w:sz w:val="24"/>
          <w:szCs w:val="24"/>
        </w:rPr>
        <w:t xml:space="preserve"> CRPS</w:t>
      </w:r>
      <w:r w:rsidRPr="4EF8719D">
        <w:rPr>
          <w:rFonts w:ascii="Calibri" w:hAnsi="Calibri" w:eastAsia="Calibri" w:cs="Calibri"/>
          <w:sz w:val="24"/>
          <w:szCs w:val="24"/>
        </w:rPr>
        <w:t>. Temperature of the contralateral side was significantly different between UE and LE. We also observed more asymmetric temperature (warmer or colder) in LE than in UE, and more asymmetric skin colour.</w:t>
      </w:r>
      <w:r w:rsidRPr="4EF8719D" w:rsidR="34FB65BE">
        <w:rPr>
          <w:rFonts w:ascii="Calibri" w:hAnsi="Calibri" w:eastAsia="Calibri" w:cs="Calibri"/>
          <w:sz w:val="24"/>
          <w:szCs w:val="24"/>
        </w:rPr>
        <w:t xml:space="preserve"> Therefore, CSS </w:t>
      </w:r>
      <w:r w:rsidRPr="4EF8719D" w:rsidR="0A4BC4CF">
        <w:rPr>
          <w:rFonts w:ascii="Calibri" w:hAnsi="Calibri" w:eastAsia="Calibri" w:cs="Calibri"/>
          <w:sz w:val="24"/>
          <w:szCs w:val="24"/>
        </w:rPr>
        <w:t>was significantly higher in LE than UE</w:t>
      </w:r>
      <w:r w:rsidRPr="4EF8719D" w:rsidR="701F7FA5">
        <w:rPr>
          <w:rFonts w:ascii="Calibri" w:hAnsi="Calibri" w:eastAsia="Calibri" w:cs="Calibri"/>
          <w:sz w:val="24"/>
          <w:szCs w:val="24"/>
        </w:rPr>
        <w:t xml:space="preserve"> CRPS</w:t>
      </w:r>
      <w:r w:rsidRPr="4EF8719D" w:rsidR="0A4BC4CF">
        <w:rPr>
          <w:rFonts w:ascii="Calibri" w:hAnsi="Calibri" w:eastAsia="Calibri" w:cs="Calibri"/>
          <w:sz w:val="24"/>
          <w:szCs w:val="24"/>
        </w:rPr>
        <w:t>.</w:t>
      </w:r>
      <w:r w:rsidRPr="4EF8719D" w:rsidR="6FE494B1">
        <w:rPr>
          <w:rFonts w:ascii="Calibri" w:hAnsi="Calibri" w:eastAsia="Calibri" w:cs="Calibri"/>
          <w:sz w:val="24"/>
          <w:szCs w:val="24"/>
        </w:rPr>
        <w:t xml:space="preserve"> Regarding QST values, LE presented </w:t>
      </w:r>
      <w:r w:rsidRPr="4EF8719D" w:rsidR="2810363D">
        <w:rPr>
          <w:rFonts w:ascii="Calibri" w:hAnsi="Calibri" w:eastAsia="Calibri" w:cs="Calibri"/>
          <w:sz w:val="24"/>
          <w:szCs w:val="24"/>
        </w:rPr>
        <w:t xml:space="preserve">higher gain of function for </w:t>
      </w:r>
      <w:r w:rsidRPr="4EF8719D" w:rsidR="458CA9DC">
        <w:rPr>
          <w:rFonts w:ascii="Calibri" w:hAnsi="Calibri" w:eastAsia="Calibri" w:cs="Calibri"/>
          <w:sz w:val="24"/>
          <w:szCs w:val="24"/>
        </w:rPr>
        <w:t>thermal painful stimuli</w:t>
      </w:r>
      <w:r w:rsidRPr="4EF8719D" w:rsidR="76DB1EF0">
        <w:rPr>
          <w:rFonts w:ascii="Calibri" w:hAnsi="Calibri" w:eastAsia="Calibri" w:cs="Calibri"/>
          <w:sz w:val="24"/>
          <w:szCs w:val="24"/>
        </w:rPr>
        <w:t>.</w:t>
      </w:r>
    </w:p>
    <w:p w:rsidRPr="00A91BF4" w:rsidR="00866FC8" w:rsidP="00A91BF4" w:rsidRDefault="57192A9D" w14:paraId="116AD2DF" w14:textId="6B3D5601">
      <w:pPr>
        <w:pStyle w:val="Heading3"/>
      </w:pPr>
      <w:r w:rsidRPr="00A91BF4">
        <w:t>Research Budapest criteria</w:t>
      </w:r>
    </w:p>
    <w:p w:rsidRPr="00171B6F" w:rsidR="00EB2843" w:rsidP="560E2E1C" w:rsidRDefault="487B6C47" w14:paraId="3CA86548" w14:textId="0F629BC8">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Participant </w:t>
      </w:r>
      <w:r w:rsidRPr="4EF8719D" w:rsidR="039D8C78">
        <w:rPr>
          <w:rFonts w:ascii="Calibri" w:hAnsi="Calibri" w:eastAsia="Calibri" w:cs="Calibri"/>
          <w:sz w:val="24"/>
          <w:szCs w:val="24"/>
        </w:rPr>
        <w:t>fulfilling</w:t>
      </w:r>
      <w:r w:rsidRPr="4EF8719D">
        <w:rPr>
          <w:rFonts w:ascii="Calibri" w:hAnsi="Calibri" w:eastAsia="Calibri" w:cs="Calibri"/>
          <w:sz w:val="24"/>
          <w:szCs w:val="24"/>
        </w:rPr>
        <w:t xml:space="preserve"> the </w:t>
      </w:r>
      <w:r w:rsidRPr="4EF8719D" w:rsidR="77328F62">
        <w:rPr>
          <w:rFonts w:ascii="Calibri" w:hAnsi="Calibri" w:eastAsia="Calibri" w:cs="Calibri"/>
          <w:sz w:val="24"/>
          <w:szCs w:val="24"/>
        </w:rPr>
        <w:t>Research Budapest criteria</w:t>
      </w:r>
      <w:r w:rsidRPr="4EF8719D">
        <w:rPr>
          <w:rFonts w:ascii="Calibri" w:hAnsi="Calibri" w:eastAsia="Calibri" w:cs="Calibri"/>
          <w:sz w:val="24"/>
          <w:szCs w:val="24"/>
        </w:rPr>
        <w:t xml:space="preserve"> </w:t>
      </w:r>
      <w:r w:rsidRPr="4EF8719D" w:rsidR="34BED0A4">
        <w:rPr>
          <w:rFonts w:ascii="Calibri" w:hAnsi="Calibri" w:eastAsia="Calibri" w:cs="Calibri"/>
          <w:sz w:val="24"/>
          <w:szCs w:val="24"/>
        </w:rPr>
        <w:t>(</w:t>
      </w:r>
      <w:r w:rsidRPr="4EF8719D" w:rsidR="3276B356">
        <w:rPr>
          <w:rFonts w:ascii="Calibri" w:hAnsi="Calibri" w:eastAsia="Calibri" w:cs="Calibri"/>
          <w:sz w:val="24"/>
          <w:szCs w:val="24"/>
        </w:rPr>
        <w:t>n=</w:t>
      </w:r>
      <w:r w:rsidRPr="4EF8719D" w:rsidR="34BED0A4">
        <w:rPr>
          <w:rFonts w:ascii="Calibri" w:hAnsi="Calibri" w:eastAsia="Calibri" w:cs="Calibri"/>
          <w:sz w:val="24"/>
          <w:szCs w:val="24"/>
        </w:rPr>
        <w:t xml:space="preserve">89) </w:t>
      </w:r>
      <w:r w:rsidRPr="4EF8719D">
        <w:rPr>
          <w:rFonts w:ascii="Calibri" w:hAnsi="Calibri" w:eastAsia="Calibri" w:cs="Calibri"/>
          <w:sz w:val="24"/>
          <w:szCs w:val="24"/>
        </w:rPr>
        <w:t xml:space="preserve">were </w:t>
      </w:r>
      <w:r w:rsidRPr="4EF8719D" w:rsidR="7DB659F0">
        <w:rPr>
          <w:rFonts w:ascii="Calibri" w:hAnsi="Calibri" w:eastAsia="Calibri" w:cs="Calibri"/>
          <w:sz w:val="24"/>
          <w:szCs w:val="24"/>
        </w:rPr>
        <w:t xml:space="preserve">younger, </w:t>
      </w:r>
      <w:r w:rsidRPr="4EF8719D" w:rsidR="30F2A19B">
        <w:rPr>
          <w:rFonts w:ascii="Calibri" w:hAnsi="Calibri" w:eastAsia="Calibri" w:cs="Calibri"/>
          <w:sz w:val="24"/>
          <w:szCs w:val="24"/>
        </w:rPr>
        <w:t xml:space="preserve">presented higher body perception disturbances, reported more pain (intensity and interference), higher </w:t>
      </w:r>
      <w:r w:rsidRPr="4EF8719D" w:rsidR="6D68B8C0">
        <w:rPr>
          <w:rFonts w:ascii="Calibri" w:hAnsi="Calibri" w:eastAsia="Calibri" w:cs="Calibri"/>
          <w:sz w:val="24"/>
          <w:szCs w:val="24"/>
        </w:rPr>
        <w:t xml:space="preserve">disability (UE and LE), </w:t>
      </w:r>
      <w:proofErr w:type="spellStart"/>
      <w:r w:rsidRPr="4EF8719D" w:rsidR="30F2A19B">
        <w:rPr>
          <w:rFonts w:ascii="Calibri" w:hAnsi="Calibri" w:eastAsia="Calibri" w:cs="Calibri"/>
          <w:sz w:val="24"/>
          <w:szCs w:val="24"/>
        </w:rPr>
        <w:t>OMPSQ</w:t>
      </w:r>
      <w:proofErr w:type="spellEnd"/>
      <w:r w:rsidRPr="4EF8719D" w:rsidR="4919EA20">
        <w:rPr>
          <w:rFonts w:ascii="Calibri" w:hAnsi="Calibri" w:eastAsia="Calibri" w:cs="Calibri"/>
          <w:sz w:val="24"/>
          <w:szCs w:val="24"/>
        </w:rPr>
        <w:t>-SF</w:t>
      </w:r>
      <w:r w:rsidRPr="4EF8719D" w:rsidR="30F2A19B">
        <w:rPr>
          <w:rFonts w:ascii="Calibri" w:hAnsi="Calibri" w:eastAsia="Calibri" w:cs="Calibri"/>
          <w:sz w:val="24"/>
          <w:szCs w:val="24"/>
        </w:rPr>
        <w:t xml:space="preserve"> score</w:t>
      </w:r>
      <w:r w:rsidRPr="4EF8719D" w:rsidR="688151EC">
        <w:rPr>
          <w:rFonts w:ascii="Calibri" w:hAnsi="Calibri" w:eastAsia="Calibri" w:cs="Calibri"/>
          <w:sz w:val="24"/>
          <w:szCs w:val="24"/>
        </w:rPr>
        <w:t xml:space="preserve">, </w:t>
      </w:r>
      <w:r w:rsidRPr="4EF8719D" w:rsidR="6BA827C0">
        <w:rPr>
          <w:rFonts w:ascii="Calibri" w:hAnsi="Calibri" w:eastAsia="Calibri" w:cs="Calibri"/>
          <w:sz w:val="24"/>
          <w:szCs w:val="24"/>
        </w:rPr>
        <w:t xml:space="preserve">pain-related fear of movement, </w:t>
      </w:r>
      <w:proofErr w:type="spellStart"/>
      <w:r w:rsidRPr="4EF8719D" w:rsidR="688151EC">
        <w:rPr>
          <w:rFonts w:ascii="Calibri" w:hAnsi="Calibri" w:eastAsia="Calibri" w:cs="Calibri"/>
          <w:sz w:val="24"/>
          <w:szCs w:val="24"/>
        </w:rPr>
        <w:t>HADS</w:t>
      </w:r>
      <w:proofErr w:type="spellEnd"/>
      <w:r w:rsidRPr="4EF8719D" w:rsidR="688151EC">
        <w:rPr>
          <w:rFonts w:ascii="Calibri" w:hAnsi="Calibri" w:eastAsia="Calibri" w:cs="Calibri"/>
          <w:sz w:val="24"/>
          <w:szCs w:val="24"/>
        </w:rPr>
        <w:t xml:space="preserve"> scores</w:t>
      </w:r>
      <w:r w:rsidRPr="4EF8719D" w:rsidR="30F2A19B">
        <w:rPr>
          <w:rFonts w:ascii="Calibri" w:hAnsi="Calibri" w:eastAsia="Calibri" w:cs="Calibri"/>
          <w:sz w:val="24"/>
          <w:szCs w:val="24"/>
        </w:rPr>
        <w:t xml:space="preserve">, and </w:t>
      </w:r>
      <w:r w:rsidRPr="4EF8719D" w:rsidR="4CE5E60C">
        <w:rPr>
          <w:rFonts w:ascii="Calibri" w:hAnsi="Calibri" w:eastAsia="Calibri" w:cs="Calibri"/>
          <w:sz w:val="24"/>
          <w:szCs w:val="24"/>
        </w:rPr>
        <w:t>impaired Qo</w:t>
      </w:r>
      <w:r w:rsidRPr="4EF8719D" w:rsidR="62339189">
        <w:rPr>
          <w:rFonts w:ascii="Calibri" w:hAnsi="Calibri" w:eastAsia="Calibri" w:cs="Calibri"/>
          <w:sz w:val="24"/>
          <w:szCs w:val="24"/>
        </w:rPr>
        <w:t>L</w:t>
      </w:r>
      <w:r w:rsidRPr="4EF8719D" w:rsidR="34BED0A4">
        <w:rPr>
          <w:rFonts w:ascii="Calibri" w:hAnsi="Calibri" w:eastAsia="Calibri" w:cs="Calibri"/>
          <w:sz w:val="24"/>
          <w:szCs w:val="24"/>
        </w:rPr>
        <w:t xml:space="preserve"> than participants</w:t>
      </w:r>
      <w:r w:rsidRPr="4EF8719D" w:rsidR="4E87989F">
        <w:rPr>
          <w:rFonts w:ascii="Calibri" w:hAnsi="Calibri" w:eastAsia="Calibri" w:cs="Calibri"/>
          <w:sz w:val="24"/>
          <w:szCs w:val="24"/>
        </w:rPr>
        <w:t xml:space="preserve"> whose symptoms did not completely meet the research criteria</w:t>
      </w:r>
      <w:r w:rsidRPr="4EF8719D" w:rsidR="4CE5E60C">
        <w:rPr>
          <w:rFonts w:ascii="Calibri" w:hAnsi="Calibri" w:eastAsia="Calibri" w:cs="Calibri"/>
          <w:sz w:val="24"/>
          <w:szCs w:val="24"/>
        </w:rPr>
        <w:t>.</w:t>
      </w:r>
      <w:r w:rsidRPr="4EF8719D" w:rsidR="1CD21CA8">
        <w:rPr>
          <w:rFonts w:ascii="Calibri" w:hAnsi="Calibri" w:eastAsia="Calibri" w:cs="Calibri"/>
          <w:sz w:val="24"/>
          <w:szCs w:val="24"/>
        </w:rPr>
        <w:t xml:space="preserve"> </w:t>
      </w:r>
      <w:r w:rsidRPr="4EF8719D" w:rsidR="6BCF27AF">
        <w:rPr>
          <w:rFonts w:ascii="Calibri" w:hAnsi="Calibri" w:eastAsia="Calibri" w:cs="Calibri"/>
          <w:sz w:val="24"/>
          <w:szCs w:val="24"/>
        </w:rPr>
        <w:t>Th</w:t>
      </w:r>
      <w:r w:rsidRPr="4EF8719D" w:rsidR="7FBC73EB">
        <w:rPr>
          <w:rFonts w:ascii="Calibri" w:hAnsi="Calibri" w:eastAsia="Calibri" w:cs="Calibri"/>
          <w:sz w:val="24"/>
          <w:szCs w:val="24"/>
        </w:rPr>
        <w:t>ose</w:t>
      </w:r>
      <w:r w:rsidRPr="4EF8719D" w:rsidR="6BCF27AF">
        <w:rPr>
          <w:rFonts w:ascii="Calibri" w:hAnsi="Calibri" w:eastAsia="Calibri" w:cs="Calibri"/>
          <w:sz w:val="24"/>
          <w:szCs w:val="24"/>
        </w:rPr>
        <w:t xml:space="preserve"> 89 subject</w:t>
      </w:r>
      <w:r w:rsidRPr="4EF8719D" w:rsidR="317C52CA">
        <w:rPr>
          <w:rFonts w:ascii="Calibri" w:hAnsi="Calibri" w:eastAsia="Calibri" w:cs="Calibri"/>
          <w:sz w:val="24"/>
          <w:szCs w:val="24"/>
        </w:rPr>
        <w:t>s</w:t>
      </w:r>
      <w:r w:rsidRPr="4EF8719D" w:rsidR="6BCF27AF">
        <w:rPr>
          <w:rFonts w:ascii="Calibri" w:hAnsi="Calibri" w:eastAsia="Calibri" w:cs="Calibri"/>
          <w:sz w:val="24"/>
          <w:szCs w:val="24"/>
        </w:rPr>
        <w:t xml:space="preserve"> reported poorer g</w:t>
      </w:r>
      <w:r w:rsidRPr="4EF8719D" w:rsidR="605F8164">
        <w:rPr>
          <w:rFonts w:ascii="Calibri" w:hAnsi="Calibri" w:eastAsia="Calibri" w:cs="Calibri"/>
          <w:sz w:val="24"/>
          <w:szCs w:val="24"/>
        </w:rPr>
        <w:t>eneral self-rated health</w:t>
      </w:r>
      <w:r w:rsidRPr="4EF8719D" w:rsidR="28F2DC9B">
        <w:rPr>
          <w:rFonts w:ascii="Calibri" w:hAnsi="Calibri" w:eastAsia="Calibri" w:cs="Calibri"/>
          <w:sz w:val="24"/>
          <w:szCs w:val="24"/>
        </w:rPr>
        <w:t xml:space="preserve"> and higher</w:t>
      </w:r>
      <w:r w:rsidRPr="4EF8719D" w:rsidR="605F8164">
        <w:rPr>
          <w:rFonts w:ascii="Calibri" w:hAnsi="Calibri" w:eastAsia="Calibri" w:cs="Calibri"/>
          <w:sz w:val="24"/>
          <w:szCs w:val="24"/>
        </w:rPr>
        <w:t xml:space="preserve"> </w:t>
      </w:r>
      <w:r w:rsidRPr="4EF8719D" w:rsidR="3F7892AC">
        <w:rPr>
          <w:rFonts w:ascii="Calibri" w:hAnsi="Calibri" w:eastAsia="Calibri" w:cs="Calibri"/>
          <w:sz w:val="24"/>
          <w:szCs w:val="24"/>
        </w:rPr>
        <w:t>catastrophizing CSQ subscale</w:t>
      </w:r>
      <w:r w:rsidRPr="4EF8719D" w:rsidR="45C49507">
        <w:rPr>
          <w:rFonts w:ascii="Calibri" w:hAnsi="Calibri" w:eastAsia="Calibri" w:cs="Calibri"/>
          <w:sz w:val="24"/>
          <w:szCs w:val="24"/>
        </w:rPr>
        <w:t>.</w:t>
      </w:r>
      <w:r w:rsidRPr="4EF8719D" w:rsidR="19CEA30F">
        <w:rPr>
          <w:rFonts w:ascii="Calibri" w:hAnsi="Calibri" w:eastAsia="Calibri" w:cs="Calibri"/>
          <w:sz w:val="24"/>
          <w:szCs w:val="24"/>
        </w:rPr>
        <w:t xml:space="preserve"> </w:t>
      </w:r>
      <w:r w:rsidRPr="4EF8719D" w:rsidR="4CE5E60C">
        <w:rPr>
          <w:rFonts w:ascii="Calibri" w:hAnsi="Calibri" w:eastAsia="Calibri" w:cs="Calibri"/>
          <w:sz w:val="24"/>
          <w:szCs w:val="24"/>
        </w:rPr>
        <w:t>As expected,</w:t>
      </w:r>
      <w:r w:rsidRPr="701C51EA" w:rsidR="04BFC99A">
        <w:rPr>
          <w:rFonts w:ascii="Calibri" w:hAnsi="Calibri" w:eastAsia="Calibri" w:cs="Calibri"/>
          <w:sz w:val="24"/>
          <w:szCs w:val="24"/>
        </w:rPr>
        <w:t xml:space="preserve"> </w:t>
      </w:r>
      <w:r w:rsidRPr="4EF8719D" w:rsidR="72C15729">
        <w:rPr>
          <w:rFonts w:ascii="Calibri" w:hAnsi="Calibri" w:eastAsia="Calibri" w:cs="Calibri"/>
          <w:sz w:val="24"/>
          <w:szCs w:val="24"/>
        </w:rPr>
        <w:t xml:space="preserve">they had </w:t>
      </w:r>
      <w:r w:rsidRPr="4EF8719D" w:rsidR="4CE5E60C">
        <w:rPr>
          <w:rFonts w:ascii="Calibri" w:hAnsi="Calibri" w:eastAsia="Calibri" w:cs="Calibri"/>
          <w:sz w:val="24"/>
          <w:szCs w:val="24"/>
        </w:rPr>
        <w:t>higher</w:t>
      </w:r>
      <w:r w:rsidRPr="4EF8719D" w:rsidR="588B160A">
        <w:rPr>
          <w:rFonts w:ascii="Calibri" w:hAnsi="Calibri" w:eastAsia="Calibri" w:cs="Calibri"/>
          <w:sz w:val="24"/>
          <w:szCs w:val="24"/>
        </w:rPr>
        <w:t xml:space="preserve"> CSS</w:t>
      </w:r>
      <w:r w:rsidRPr="4EF8719D" w:rsidR="7D9B5731">
        <w:rPr>
          <w:rFonts w:ascii="Calibri" w:hAnsi="Calibri" w:eastAsia="Calibri" w:cs="Calibri"/>
          <w:sz w:val="24"/>
          <w:szCs w:val="24"/>
        </w:rPr>
        <w:t xml:space="preserve">, </w:t>
      </w:r>
      <w:r w:rsidRPr="4EF8719D" w:rsidR="2F19A87A">
        <w:rPr>
          <w:rFonts w:ascii="Calibri" w:hAnsi="Calibri" w:eastAsia="Calibri" w:cs="Calibri"/>
          <w:sz w:val="24"/>
          <w:szCs w:val="24"/>
        </w:rPr>
        <w:t xml:space="preserve">with significantly more </w:t>
      </w:r>
      <w:r w:rsidRPr="4EF8719D" w:rsidR="367728E6">
        <w:rPr>
          <w:rFonts w:ascii="Calibri" w:hAnsi="Calibri" w:eastAsia="Calibri" w:cs="Calibri"/>
          <w:sz w:val="24"/>
          <w:szCs w:val="24"/>
        </w:rPr>
        <w:t xml:space="preserve">vasomotor symptoms, </w:t>
      </w:r>
      <w:r w:rsidRPr="4EF8719D" w:rsidR="36CF0498">
        <w:rPr>
          <w:rFonts w:ascii="Calibri" w:hAnsi="Calibri" w:eastAsia="Calibri" w:cs="Calibri"/>
          <w:sz w:val="24"/>
          <w:szCs w:val="24"/>
        </w:rPr>
        <w:t>asymmetric colour</w:t>
      </w:r>
      <w:r w:rsidR="00BA74D5">
        <w:rPr>
          <w:rFonts w:ascii="Calibri" w:hAnsi="Calibri" w:eastAsia="Calibri" w:cs="Calibri"/>
          <w:sz w:val="24"/>
          <w:szCs w:val="24"/>
        </w:rPr>
        <w:t>,</w:t>
      </w:r>
      <w:r w:rsidRPr="4EF8719D" w:rsidR="36CF0498">
        <w:rPr>
          <w:rFonts w:ascii="Calibri" w:hAnsi="Calibri" w:eastAsia="Calibri" w:cs="Calibri"/>
          <w:sz w:val="24"/>
          <w:szCs w:val="24"/>
        </w:rPr>
        <w:t xml:space="preserve"> and </w:t>
      </w:r>
      <w:r w:rsidRPr="4EF8719D" w:rsidR="2F19A87A">
        <w:rPr>
          <w:rFonts w:ascii="Calibri" w:hAnsi="Calibri" w:eastAsia="Calibri" w:cs="Calibri"/>
          <w:sz w:val="24"/>
          <w:szCs w:val="24"/>
        </w:rPr>
        <w:t xml:space="preserve">neuropathic </w:t>
      </w:r>
      <w:r w:rsidRPr="4EF8719D" w:rsidR="071BC89F">
        <w:rPr>
          <w:rFonts w:ascii="Calibri" w:hAnsi="Calibri" w:eastAsia="Calibri" w:cs="Calibri"/>
          <w:sz w:val="24"/>
          <w:szCs w:val="24"/>
        </w:rPr>
        <w:t xml:space="preserve">disturbances (symptoms </w:t>
      </w:r>
      <w:r w:rsidRPr="4EF8719D" w:rsidR="7D9B5731">
        <w:rPr>
          <w:rFonts w:ascii="Calibri" w:hAnsi="Calibri" w:eastAsia="Calibri" w:cs="Calibri"/>
          <w:sz w:val="24"/>
          <w:szCs w:val="24"/>
        </w:rPr>
        <w:t>and signs</w:t>
      </w:r>
      <w:r w:rsidRPr="4EF8719D" w:rsidR="071BC89F">
        <w:rPr>
          <w:rFonts w:ascii="Calibri" w:hAnsi="Calibri" w:eastAsia="Calibri" w:cs="Calibri"/>
          <w:sz w:val="24"/>
          <w:szCs w:val="24"/>
        </w:rPr>
        <w:t>).</w:t>
      </w:r>
      <w:r w:rsidRPr="4EF8719D" w:rsidR="19CEA30F">
        <w:rPr>
          <w:rFonts w:ascii="Calibri" w:hAnsi="Calibri" w:eastAsia="Calibri" w:cs="Calibri"/>
          <w:sz w:val="24"/>
          <w:szCs w:val="24"/>
        </w:rPr>
        <w:t xml:space="preserve"> </w:t>
      </w:r>
    </w:p>
    <w:p w:rsidRPr="00A91BF4" w:rsidR="4FEBA143" w:rsidP="00A91BF4" w:rsidRDefault="389AE9F8" w14:paraId="69519840" w14:textId="0EB17F10">
      <w:pPr>
        <w:pStyle w:val="Heading3"/>
      </w:pPr>
      <w:r w:rsidRPr="00A91BF4">
        <w:t>Skin temperature</w:t>
      </w:r>
      <w:r w:rsidRPr="00A91BF4" w:rsidR="0162185A">
        <w:t xml:space="preserve"> changes</w:t>
      </w:r>
    </w:p>
    <w:p w:rsidRPr="00171B6F" w:rsidR="008F6D38" w:rsidP="560E2E1C" w:rsidRDefault="47FDF702" w14:paraId="5031510B" w14:textId="354FC8A0">
      <w:pPr>
        <w:spacing w:line="480" w:lineRule="auto"/>
        <w:jc w:val="both"/>
        <w:rPr>
          <w:rFonts w:ascii="Calibri" w:hAnsi="Calibri" w:eastAsia="Calibri" w:cs="Calibri"/>
          <w:sz w:val="24"/>
          <w:szCs w:val="24"/>
          <w:lang w:val="en-BZ"/>
        </w:rPr>
      </w:pPr>
      <w:r w:rsidRPr="4EF8719D">
        <w:rPr>
          <w:rFonts w:ascii="Calibri" w:hAnsi="Calibri" w:eastAsia="Calibri" w:cs="Calibri"/>
          <w:sz w:val="24"/>
          <w:szCs w:val="24"/>
        </w:rPr>
        <w:t>Participants with c</w:t>
      </w:r>
      <w:r w:rsidRPr="4EF8719D" w:rsidR="53C7A39F">
        <w:rPr>
          <w:rFonts w:ascii="Calibri" w:hAnsi="Calibri" w:eastAsia="Calibri" w:cs="Calibri"/>
          <w:sz w:val="24"/>
          <w:szCs w:val="24"/>
        </w:rPr>
        <w:t>old</w:t>
      </w:r>
      <w:r w:rsidRPr="4EF8719D" w:rsidR="23872511">
        <w:rPr>
          <w:rFonts w:ascii="Calibri" w:hAnsi="Calibri" w:eastAsia="Calibri" w:cs="Calibri"/>
          <w:sz w:val="24"/>
          <w:szCs w:val="24"/>
        </w:rPr>
        <w:t>er</w:t>
      </w:r>
      <w:r w:rsidRPr="4EF8719D" w:rsidR="53C7A39F">
        <w:rPr>
          <w:rFonts w:ascii="Calibri" w:hAnsi="Calibri" w:eastAsia="Calibri" w:cs="Calibri"/>
          <w:sz w:val="24"/>
          <w:szCs w:val="24"/>
        </w:rPr>
        <w:t xml:space="preserve"> skin </w:t>
      </w:r>
      <w:r w:rsidRPr="4EF8719D" w:rsidR="0BABF1DC">
        <w:rPr>
          <w:rFonts w:ascii="Calibri" w:hAnsi="Calibri" w:eastAsia="Calibri" w:cs="Calibri"/>
          <w:sz w:val="24"/>
          <w:szCs w:val="24"/>
        </w:rPr>
        <w:t>(</w:t>
      </w:r>
      <w:r w:rsidRPr="4EF8719D" w:rsidR="3276B356">
        <w:rPr>
          <w:rFonts w:ascii="Calibri" w:hAnsi="Calibri" w:eastAsia="Calibri" w:cs="Calibri"/>
          <w:sz w:val="24"/>
          <w:szCs w:val="24"/>
        </w:rPr>
        <w:t>n=</w:t>
      </w:r>
      <w:r w:rsidRPr="4EF8719D" w:rsidR="0BABF1DC">
        <w:rPr>
          <w:rFonts w:ascii="Calibri" w:hAnsi="Calibri" w:eastAsia="Calibri" w:cs="Calibri"/>
          <w:sz w:val="24"/>
          <w:szCs w:val="24"/>
        </w:rPr>
        <w:t xml:space="preserve">16) </w:t>
      </w:r>
      <w:r w:rsidRPr="4EF8719D">
        <w:rPr>
          <w:rFonts w:ascii="Calibri" w:hAnsi="Calibri" w:eastAsia="Calibri" w:cs="Calibri"/>
          <w:sz w:val="24"/>
          <w:szCs w:val="24"/>
        </w:rPr>
        <w:t>were</w:t>
      </w:r>
      <w:r w:rsidRPr="4EF8719D" w:rsidR="1C27907C">
        <w:rPr>
          <w:rFonts w:ascii="Calibri" w:hAnsi="Calibri" w:eastAsia="Calibri" w:cs="Calibri"/>
          <w:sz w:val="24"/>
          <w:szCs w:val="24"/>
        </w:rPr>
        <w:t xml:space="preserve"> younger</w:t>
      </w:r>
      <w:r w:rsidRPr="4EF8719D" w:rsidR="2E3BAB2C">
        <w:rPr>
          <w:rFonts w:ascii="Calibri" w:hAnsi="Calibri" w:eastAsia="Calibri" w:cs="Calibri"/>
          <w:sz w:val="24"/>
          <w:szCs w:val="24"/>
        </w:rPr>
        <w:t xml:space="preserve">, </w:t>
      </w:r>
      <w:r w:rsidRPr="4EF8719D" w:rsidR="53C7A39F">
        <w:rPr>
          <w:rFonts w:ascii="Calibri" w:hAnsi="Calibri" w:eastAsia="Calibri" w:cs="Calibri"/>
          <w:sz w:val="24"/>
          <w:szCs w:val="24"/>
        </w:rPr>
        <w:t>presented significantly more allodynia to</w:t>
      </w:r>
      <w:r w:rsidRPr="4EF8719D" w:rsidR="2E3BAB2C">
        <w:rPr>
          <w:rFonts w:ascii="Calibri" w:hAnsi="Calibri" w:eastAsia="Calibri" w:cs="Calibri"/>
          <w:sz w:val="24"/>
          <w:szCs w:val="24"/>
        </w:rPr>
        <w:t xml:space="preserve"> touch than </w:t>
      </w:r>
      <w:r w:rsidRPr="4EF8719D">
        <w:rPr>
          <w:rFonts w:ascii="Calibri" w:hAnsi="Calibri" w:eastAsia="Calibri" w:cs="Calibri"/>
          <w:sz w:val="24"/>
          <w:szCs w:val="24"/>
        </w:rPr>
        <w:t xml:space="preserve">participants with </w:t>
      </w:r>
      <w:r w:rsidRPr="4EF8719D" w:rsidR="2E3BAB2C">
        <w:rPr>
          <w:rFonts w:ascii="Calibri" w:hAnsi="Calibri" w:eastAsia="Calibri" w:cs="Calibri"/>
          <w:sz w:val="24"/>
          <w:szCs w:val="24"/>
        </w:rPr>
        <w:t xml:space="preserve">warmer </w:t>
      </w:r>
      <w:r w:rsidRPr="4EF8719D" w:rsidR="0BABF1DC">
        <w:rPr>
          <w:rFonts w:ascii="Calibri" w:hAnsi="Calibri" w:eastAsia="Calibri" w:cs="Calibri"/>
          <w:sz w:val="24"/>
          <w:szCs w:val="24"/>
        </w:rPr>
        <w:t>(</w:t>
      </w:r>
      <w:r w:rsidRPr="4EF8719D" w:rsidR="3276B356">
        <w:rPr>
          <w:rFonts w:ascii="Calibri" w:hAnsi="Calibri" w:eastAsia="Calibri" w:cs="Calibri"/>
          <w:sz w:val="24"/>
          <w:szCs w:val="24"/>
        </w:rPr>
        <w:t>n=</w:t>
      </w:r>
      <w:r w:rsidRPr="4EF8719D" w:rsidR="2AE8351C">
        <w:rPr>
          <w:rFonts w:ascii="Calibri" w:hAnsi="Calibri" w:eastAsia="Calibri" w:cs="Calibri"/>
          <w:sz w:val="24"/>
          <w:szCs w:val="24"/>
        </w:rPr>
        <w:t xml:space="preserve">24) </w:t>
      </w:r>
      <w:r w:rsidRPr="4EF8719D" w:rsidR="2E3BAB2C">
        <w:rPr>
          <w:rFonts w:ascii="Calibri" w:hAnsi="Calibri" w:eastAsia="Calibri" w:cs="Calibri"/>
          <w:sz w:val="24"/>
          <w:szCs w:val="24"/>
        </w:rPr>
        <w:t>or neutral skin</w:t>
      </w:r>
      <w:r w:rsidRPr="4EF8719D">
        <w:rPr>
          <w:rFonts w:ascii="Calibri" w:hAnsi="Calibri" w:eastAsia="Calibri" w:cs="Calibri"/>
          <w:sz w:val="24"/>
          <w:szCs w:val="24"/>
        </w:rPr>
        <w:t xml:space="preserve"> temperature</w:t>
      </w:r>
      <w:r w:rsidRPr="4EF8719D" w:rsidR="2AE8351C">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sidR="2AE8351C">
        <w:rPr>
          <w:rFonts w:ascii="Calibri" w:hAnsi="Calibri" w:eastAsia="Calibri" w:cs="Calibri"/>
          <w:sz w:val="24"/>
          <w:szCs w:val="24"/>
        </w:rPr>
        <w:t>49)</w:t>
      </w:r>
      <w:r w:rsidRPr="4EF8719D" w:rsidR="2E3BAB2C">
        <w:rPr>
          <w:rFonts w:ascii="Calibri" w:hAnsi="Calibri" w:eastAsia="Calibri" w:cs="Calibri"/>
          <w:sz w:val="24"/>
          <w:szCs w:val="24"/>
        </w:rPr>
        <w:t>.</w:t>
      </w:r>
      <w:r w:rsidRPr="4EF8719D" w:rsidR="4B8DA589">
        <w:rPr>
          <w:rFonts w:ascii="Calibri" w:hAnsi="Calibri" w:eastAsia="Calibri" w:cs="Calibri"/>
          <w:sz w:val="24"/>
          <w:szCs w:val="24"/>
        </w:rPr>
        <w:t xml:space="preserve"> </w:t>
      </w:r>
      <w:r w:rsidRPr="4EF8719D" w:rsidR="2E3BAB2C">
        <w:rPr>
          <w:rFonts w:ascii="Calibri" w:hAnsi="Calibri" w:eastAsia="Calibri" w:cs="Calibri"/>
          <w:sz w:val="24"/>
          <w:szCs w:val="24"/>
        </w:rPr>
        <w:t>The colour of the skin was significantly different between the three subgroups, with more reddish skin for warmer</w:t>
      </w:r>
      <w:r w:rsidRPr="4EF8719D" w:rsidR="5C444115">
        <w:rPr>
          <w:rFonts w:ascii="Calibri" w:hAnsi="Calibri" w:eastAsia="Calibri" w:cs="Calibri"/>
          <w:sz w:val="24"/>
          <w:szCs w:val="24"/>
        </w:rPr>
        <w:t>, and more bluish skin for colder skin temperature</w:t>
      </w:r>
      <w:r w:rsidRPr="4EF8719D" w:rsidR="53C7A39F">
        <w:rPr>
          <w:rFonts w:ascii="Calibri" w:hAnsi="Calibri" w:eastAsia="Calibri" w:cs="Calibri"/>
          <w:sz w:val="24"/>
          <w:szCs w:val="24"/>
        </w:rPr>
        <w:t xml:space="preserve">. </w:t>
      </w:r>
      <w:r w:rsidRPr="4EF8719D" w:rsidR="2452A23D">
        <w:rPr>
          <w:rFonts w:ascii="Calibri" w:hAnsi="Calibri" w:eastAsia="Calibri" w:cs="Calibri"/>
          <w:sz w:val="24"/>
          <w:szCs w:val="24"/>
        </w:rPr>
        <w:t>As expected, m</w:t>
      </w:r>
      <w:r w:rsidRPr="4EF8719D" w:rsidR="53C7A39F">
        <w:rPr>
          <w:rFonts w:ascii="Calibri" w:hAnsi="Calibri" w:eastAsia="Calibri" w:cs="Calibri"/>
          <w:sz w:val="24"/>
          <w:szCs w:val="24"/>
        </w:rPr>
        <w:t xml:space="preserve">ean CSS was statistically </w:t>
      </w:r>
      <w:r w:rsidRPr="4EF8719D" w:rsidR="07D7BF27">
        <w:rPr>
          <w:rFonts w:ascii="Calibri" w:hAnsi="Calibri" w:eastAsia="Calibri" w:cs="Calibri"/>
          <w:sz w:val="24"/>
          <w:szCs w:val="24"/>
        </w:rPr>
        <w:t xml:space="preserve">higher for warmer and colder </w:t>
      </w:r>
      <w:r w:rsidRPr="4EF8719D" w:rsidR="121E8847">
        <w:rPr>
          <w:rFonts w:ascii="Calibri" w:hAnsi="Calibri" w:eastAsia="Calibri" w:cs="Calibri"/>
          <w:sz w:val="24"/>
          <w:szCs w:val="24"/>
        </w:rPr>
        <w:t>skin</w:t>
      </w:r>
      <w:r w:rsidRPr="4EF8719D" w:rsidR="7F469177">
        <w:rPr>
          <w:rFonts w:ascii="Calibri" w:hAnsi="Calibri" w:eastAsia="Calibri" w:cs="Calibri"/>
          <w:sz w:val="24"/>
          <w:szCs w:val="24"/>
        </w:rPr>
        <w:t xml:space="preserve"> than neutral</w:t>
      </w:r>
      <w:r w:rsidRPr="4EF8719D" w:rsidR="07D7BF27">
        <w:rPr>
          <w:rFonts w:ascii="Calibri" w:hAnsi="Calibri" w:eastAsia="Calibri" w:cs="Calibri"/>
          <w:sz w:val="24"/>
          <w:szCs w:val="24"/>
        </w:rPr>
        <w:t>.</w:t>
      </w:r>
      <w:r w:rsidRPr="4EF8719D" w:rsidR="5D999120">
        <w:rPr>
          <w:rFonts w:ascii="Calibri" w:hAnsi="Calibri" w:eastAsia="Calibri" w:cs="Calibri"/>
          <w:sz w:val="24"/>
          <w:szCs w:val="24"/>
        </w:rPr>
        <w:t xml:space="preserve"> </w:t>
      </w:r>
    </w:p>
    <w:p w:rsidRPr="00A91BF4" w:rsidR="00601FD2" w:rsidP="00A91BF4" w:rsidRDefault="219FB382" w14:paraId="23838B87" w14:textId="5F9CE697">
      <w:pPr>
        <w:pStyle w:val="Heading3"/>
      </w:pPr>
      <w:r w:rsidRPr="00A91BF4">
        <w:t>Very early CRPS</w:t>
      </w:r>
    </w:p>
    <w:p w:rsidRPr="00171B6F" w:rsidR="00601FD2" w:rsidP="560E2E1C" w:rsidRDefault="2F56D9A4" w14:paraId="7D8E3BEB" w14:textId="6756E586">
      <w:pPr>
        <w:spacing w:line="480" w:lineRule="auto"/>
        <w:jc w:val="both"/>
        <w:rPr>
          <w:rFonts w:ascii="Calibri" w:hAnsi="Calibri" w:eastAsia="Calibri" w:cs="Calibri"/>
          <w:sz w:val="24"/>
          <w:szCs w:val="24"/>
        </w:rPr>
      </w:pPr>
      <w:r w:rsidRPr="4EF8719D">
        <w:rPr>
          <w:rFonts w:ascii="Calibri" w:hAnsi="Calibri" w:eastAsia="Calibri" w:cs="Calibri"/>
          <w:sz w:val="24"/>
          <w:szCs w:val="24"/>
        </w:rPr>
        <w:lastRenderedPageBreak/>
        <w:t>CRPS participants with symptoms duration &lt; 90 days (</w:t>
      </w:r>
      <w:r w:rsidRPr="4EF8719D" w:rsidR="3276B356">
        <w:rPr>
          <w:rFonts w:ascii="Calibri" w:hAnsi="Calibri" w:eastAsia="Calibri" w:cs="Calibri"/>
          <w:sz w:val="24"/>
          <w:szCs w:val="24"/>
        </w:rPr>
        <w:t>n=</w:t>
      </w:r>
      <w:r w:rsidRPr="4EF8719D">
        <w:rPr>
          <w:rFonts w:ascii="Calibri" w:hAnsi="Calibri" w:eastAsia="Calibri" w:cs="Calibri"/>
          <w:sz w:val="24"/>
          <w:szCs w:val="24"/>
        </w:rPr>
        <w:t xml:space="preserve">75) presented significantly higher mean temperature asymmetry, and </w:t>
      </w:r>
      <w:r w:rsidRPr="4EF8719D" w:rsidR="411A24D3">
        <w:rPr>
          <w:rFonts w:ascii="Calibri" w:hAnsi="Calibri" w:eastAsia="Calibri" w:cs="Calibri"/>
          <w:sz w:val="24"/>
          <w:szCs w:val="24"/>
        </w:rPr>
        <w:t xml:space="preserve">UE </w:t>
      </w:r>
      <w:r w:rsidRPr="4EF8719D">
        <w:rPr>
          <w:rFonts w:ascii="Calibri" w:hAnsi="Calibri" w:eastAsia="Calibri" w:cs="Calibri"/>
          <w:sz w:val="24"/>
          <w:szCs w:val="24"/>
        </w:rPr>
        <w:t xml:space="preserve">disability score than other participants. They reported and </w:t>
      </w:r>
      <w:r w:rsidRPr="4EF8719D" w:rsidR="6A9DC8B3">
        <w:rPr>
          <w:rFonts w:ascii="Calibri" w:hAnsi="Calibri" w:eastAsia="Calibri" w:cs="Calibri"/>
          <w:sz w:val="24"/>
          <w:szCs w:val="24"/>
        </w:rPr>
        <w:t xml:space="preserve">presented </w:t>
      </w:r>
      <w:r w:rsidRPr="4EF8719D">
        <w:rPr>
          <w:rFonts w:ascii="Calibri" w:hAnsi="Calibri" w:eastAsia="Calibri" w:cs="Calibri"/>
          <w:sz w:val="24"/>
          <w:szCs w:val="24"/>
        </w:rPr>
        <w:t>more trophic disturbances.</w:t>
      </w:r>
    </w:p>
    <w:p w:rsidRPr="00A91BF4" w:rsidR="00601FD2" w:rsidP="00A91BF4" w:rsidRDefault="0D802D61" w14:paraId="43F36B88" w14:textId="0E7A1BEE">
      <w:pPr>
        <w:pStyle w:val="Heading3"/>
      </w:pPr>
      <w:r>
        <w:t>Smoking habits</w:t>
      </w:r>
    </w:p>
    <w:p w:rsidR="002520BF" w:rsidP="560E2E1C" w:rsidRDefault="2F56D9A4" w14:paraId="10C62587" w14:textId="1E212CE7">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Smokers </w:t>
      </w:r>
      <w:r w:rsidRPr="4EF8719D" w:rsidR="411A24D3">
        <w:rPr>
          <w:rFonts w:ascii="Calibri" w:hAnsi="Calibri" w:eastAsia="Calibri" w:cs="Calibri"/>
          <w:sz w:val="24"/>
          <w:szCs w:val="24"/>
        </w:rPr>
        <w:t>(</w:t>
      </w:r>
      <w:r w:rsidRPr="4EF8719D" w:rsidR="3276B356">
        <w:rPr>
          <w:rFonts w:ascii="Calibri" w:hAnsi="Calibri" w:eastAsia="Calibri" w:cs="Calibri"/>
          <w:sz w:val="24"/>
          <w:szCs w:val="24"/>
        </w:rPr>
        <w:t>n=</w:t>
      </w:r>
      <w:r w:rsidRPr="4EF8719D" w:rsidR="411A24D3">
        <w:rPr>
          <w:rFonts w:ascii="Calibri" w:hAnsi="Calibri" w:eastAsia="Calibri" w:cs="Calibri"/>
          <w:sz w:val="24"/>
          <w:szCs w:val="24"/>
        </w:rPr>
        <w:t xml:space="preserve">24) </w:t>
      </w:r>
      <w:r w:rsidRPr="4EF8719D">
        <w:rPr>
          <w:rFonts w:ascii="Calibri" w:hAnsi="Calibri" w:eastAsia="Calibri" w:cs="Calibri"/>
          <w:sz w:val="24"/>
          <w:szCs w:val="24"/>
        </w:rPr>
        <w:t>described more temperature asymmetry,</w:t>
      </w:r>
      <w:r w:rsidRPr="4EF8719D" w:rsidR="2301F288">
        <w:rPr>
          <w:rFonts w:ascii="Calibri" w:hAnsi="Calibri" w:eastAsia="Calibri" w:cs="Calibri"/>
          <w:sz w:val="24"/>
          <w:szCs w:val="24"/>
        </w:rPr>
        <w:t xml:space="preserve"> reported higher pain interference,</w:t>
      </w:r>
      <w:r w:rsidRPr="4EF8719D">
        <w:rPr>
          <w:rFonts w:ascii="Calibri" w:hAnsi="Calibri" w:eastAsia="Calibri" w:cs="Calibri"/>
          <w:sz w:val="24"/>
          <w:szCs w:val="24"/>
        </w:rPr>
        <w:t xml:space="preserve"> </w:t>
      </w:r>
      <w:r w:rsidRPr="4EF8719D" w:rsidR="5BAFA9C9">
        <w:rPr>
          <w:rFonts w:ascii="Calibri" w:hAnsi="Calibri" w:eastAsia="Calibri" w:cs="Calibri"/>
          <w:sz w:val="24"/>
          <w:szCs w:val="24"/>
        </w:rPr>
        <w:t>depressive disorders,</w:t>
      </w:r>
      <w:r w:rsidRPr="4EF8719D">
        <w:rPr>
          <w:rFonts w:ascii="Calibri" w:hAnsi="Calibri" w:eastAsia="Calibri" w:cs="Calibri"/>
          <w:sz w:val="24"/>
          <w:szCs w:val="24"/>
        </w:rPr>
        <w:t xml:space="preserve"> </w:t>
      </w:r>
      <w:proofErr w:type="spellStart"/>
      <w:r w:rsidRPr="4EF8719D">
        <w:rPr>
          <w:rFonts w:ascii="Calibri" w:hAnsi="Calibri" w:eastAsia="Calibri" w:cs="Calibri"/>
          <w:sz w:val="24"/>
          <w:szCs w:val="24"/>
        </w:rPr>
        <w:t>OMPSQ</w:t>
      </w:r>
      <w:proofErr w:type="spellEnd"/>
      <w:r w:rsidRPr="4EF8719D" w:rsidR="17A2B280">
        <w:rPr>
          <w:rFonts w:ascii="Calibri" w:hAnsi="Calibri" w:eastAsia="Calibri" w:cs="Calibri"/>
          <w:sz w:val="24"/>
          <w:szCs w:val="24"/>
        </w:rPr>
        <w:t>-SF</w:t>
      </w:r>
      <w:r w:rsidRPr="4EF8719D">
        <w:rPr>
          <w:rFonts w:ascii="Calibri" w:hAnsi="Calibri" w:eastAsia="Calibri" w:cs="Calibri"/>
          <w:sz w:val="24"/>
          <w:szCs w:val="24"/>
        </w:rPr>
        <w:t xml:space="preserve"> score, and </w:t>
      </w:r>
      <w:r w:rsidRPr="4EF8719D" w:rsidR="15E322EE">
        <w:rPr>
          <w:rFonts w:ascii="Calibri" w:hAnsi="Calibri" w:eastAsia="Calibri" w:cs="Calibri"/>
          <w:sz w:val="24"/>
          <w:szCs w:val="24"/>
        </w:rPr>
        <w:t>presented higher catastrophizing CSQ subscale</w:t>
      </w:r>
      <w:r w:rsidRPr="4EF8719D">
        <w:rPr>
          <w:rFonts w:ascii="Calibri" w:hAnsi="Calibri" w:eastAsia="Calibri" w:cs="Calibri"/>
          <w:sz w:val="24"/>
          <w:szCs w:val="24"/>
        </w:rPr>
        <w:t xml:space="preserve">. </w:t>
      </w:r>
      <w:r w:rsidRPr="4EF8719D" w:rsidR="19C3D534">
        <w:rPr>
          <w:rFonts w:ascii="Calibri" w:hAnsi="Calibri" w:eastAsia="Calibri" w:cs="Calibri"/>
          <w:sz w:val="24"/>
          <w:szCs w:val="24"/>
        </w:rPr>
        <w:t xml:space="preserve">We observed more hypertrichosis. </w:t>
      </w:r>
      <w:r w:rsidRPr="4EF8719D">
        <w:rPr>
          <w:rFonts w:ascii="Calibri" w:hAnsi="Calibri" w:eastAsia="Calibri" w:cs="Calibri"/>
          <w:sz w:val="24"/>
          <w:szCs w:val="24"/>
        </w:rPr>
        <w:t xml:space="preserve">MPS was also </w:t>
      </w:r>
      <w:r w:rsidRPr="4EF8719D" w:rsidR="33F1D204">
        <w:rPr>
          <w:rFonts w:ascii="Calibri" w:hAnsi="Calibri" w:eastAsia="Calibri" w:cs="Calibri"/>
          <w:sz w:val="24"/>
          <w:szCs w:val="24"/>
        </w:rPr>
        <w:t>lower</w:t>
      </w:r>
      <w:r w:rsidRPr="4EF8719D" w:rsidR="1308CD5C">
        <w:rPr>
          <w:rFonts w:ascii="Calibri" w:hAnsi="Calibri" w:eastAsia="Calibri" w:cs="Calibri"/>
          <w:sz w:val="24"/>
          <w:szCs w:val="24"/>
        </w:rPr>
        <w:t xml:space="preserve"> in smokers than others</w:t>
      </w:r>
      <w:r w:rsidRPr="4EF8719D" w:rsidR="50841E92">
        <w:rPr>
          <w:rFonts w:ascii="Calibri" w:hAnsi="Calibri" w:eastAsia="Calibri" w:cs="Calibri"/>
          <w:sz w:val="24"/>
          <w:szCs w:val="24"/>
        </w:rPr>
        <w:t xml:space="preserve"> (minor </w:t>
      </w:r>
      <w:r w:rsidRPr="4EF8719D" w:rsidR="6C096CEF">
        <w:rPr>
          <w:rFonts w:ascii="Calibri" w:hAnsi="Calibri" w:eastAsia="Calibri" w:cs="Calibri"/>
          <w:sz w:val="24"/>
          <w:szCs w:val="24"/>
        </w:rPr>
        <w:t>loss</w:t>
      </w:r>
      <w:r w:rsidRPr="4EF8719D" w:rsidR="50841E92">
        <w:rPr>
          <w:rFonts w:ascii="Calibri" w:hAnsi="Calibri" w:eastAsia="Calibri" w:cs="Calibri"/>
          <w:sz w:val="24"/>
          <w:szCs w:val="24"/>
        </w:rPr>
        <w:t xml:space="preserve"> of </w:t>
      </w:r>
      <w:r w:rsidRPr="4EF8719D" w:rsidR="6C096CEF">
        <w:rPr>
          <w:rFonts w:ascii="Calibri" w:hAnsi="Calibri" w:eastAsia="Calibri" w:cs="Calibri"/>
          <w:sz w:val="24"/>
          <w:szCs w:val="24"/>
        </w:rPr>
        <w:t>function)</w:t>
      </w:r>
      <w:r w:rsidRPr="4EF8719D" w:rsidR="33F1D204">
        <w:rPr>
          <w:rFonts w:ascii="Calibri" w:hAnsi="Calibri" w:eastAsia="Calibri" w:cs="Calibri"/>
          <w:sz w:val="24"/>
          <w:szCs w:val="24"/>
        </w:rPr>
        <w:t>.</w:t>
      </w:r>
    </w:p>
    <w:p w:rsidRPr="001210B9" w:rsidR="001210B9" w:rsidP="001210B9" w:rsidRDefault="001210B9" w14:paraId="3633E613" w14:textId="38F44404">
      <w:pPr>
        <w:spacing w:line="480" w:lineRule="auto"/>
        <w:jc w:val="center"/>
        <w:rPr>
          <w:rFonts w:ascii="Calibri" w:hAnsi="Calibri" w:eastAsia="Calibri" w:cs="Calibri"/>
          <w:i/>
          <w:iCs/>
        </w:rPr>
      </w:pPr>
      <w:bookmarkStart w:name="_Hlk164091453" w:id="6"/>
      <w:r w:rsidRPr="3613E1E1">
        <w:rPr>
          <w:rFonts w:ascii="Calibri" w:hAnsi="Calibri" w:eastAsia="Calibri" w:cs="Calibri"/>
          <w:i/>
          <w:iCs/>
        </w:rPr>
        <w:t xml:space="preserve">Table </w:t>
      </w:r>
      <w:r w:rsidRPr="5045E0F5" w:rsidR="1F7B7492">
        <w:rPr>
          <w:rFonts w:ascii="Calibri" w:hAnsi="Calibri" w:eastAsia="Calibri" w:cs="Calibri"/>
          <w:i/>
          <w:iCs/>
        </w:rPr>
        <w:t>5</w:t>
      </w:r>
      <w:r w:rsidRPr="3613E1E1">
        <w:rPr>
          <w:rFonts w:ascii="Calibri" w:hAnsi="Calibri" w:eastAsia="Calibri" w:cs="Calibri"/>
          <w:i/>
          <w:iCs/>
        </w:rPr>
        <w:t>. Exploratory subgroups analysis</w:t>
      </w:r>
      <w:bookmarkEnd w:id="6"/>
      <w:r w:rsidR="000C204D">
        <w:rPr>
          <w:rFonts w:ascii="Calibri" w:hAnsi="Calibri" w:eastAsia="Calibri" w:cs="Calibri"/>
          <w:i/>
          <w:iCs/>
        </w:rPr>
        <w:t>.</w:t>
      </w:r>
    </w:p>
    <w:p w:rsidR="006F2DF6" w:rsidP="004030B4" w:rsidRDefault="770A7B6F" w14:paraId="5D23A964" w14:textId="32F982EB">
      <w:pPr>
        <w:pStyle w:val="Heading2"/>
      </w:pPr>
      <w:r>
        <w:t>Latent class analysis</w:t>
      </w:r>
    </w:p>
    <w:p w:rsidRPr="00171B6F" w:rsidR="002520BF" w:rsidP="0C2EDE46" w:rsidRDefault="7A009DC4" w14:paraId="58502E07" w14:textId="10736F23">
      <w:pPr>
        <w:spacing w:line="480" w:lineRule="auto"/>
        <w:jc w:val="both"/>
        <w:rPr>
          <w:rFonts w:ascii="Calibri" w:hAnsi="Calibri" w:eastAsia="Calibri" w:cs="Calibri"/>
          <w:sz w:val="24"/>
          <w:szCs w:val="24"/>
        </w:rPr>
      </w:pPr>
      <w:r w:rsidRPr="60435B4D">
        <w:rPr>
          <w:rFonts w:ascii="Calibri" w:hAnsi="Calibri" w:eastAsia="Calibri" w:cs="Calibri"/>
          <w:sz w:val="24"/>
          <w:szCs w:val="24"/>
        </w:rPr>
        <w:t xml:space="preserve">No collinearity was observed between the </w:t>
      </w:r>
      <w:r w:rsidRPr="60435B4D" w:rsidR="58136B88">
        <w:rPr>
          <w:rFonts w:ascii="Calibri" w:hAnsi="Calibri" w:eastAsia="Calibri" w:cs="Calibri"/>
          <w:sz w:val="24"/>
          <w:szCs w:val="24"/>
        </w:rPr>
        <w:t>variables</w:t>
      </w:r>
      <w:r w:rsidRPr="60435B4D">
        <w:rPr>
          <w:rFonts w:ascii="Calibri" w:hAnsi="Calibri" w:eastAsia="Calibri" w:cs="Calibri"/>
          <w:sz w:val="24"/>
          <w:szCs w:val="24"/>
        </w:rPr>
        <w:t xml:space="preserve">. </w:t>
      </w:r>
      <w:r w:rsidRPr="60435B4D" w:rsidR="39ABFB85">
        <w:rPr>
          <w:rFonts w:ascii="Calibri" w:hAnsi="Calibri" w:eastAsia="Calibri" w:cs="Calibri"/>
          <w:sz w:val="24"/>
          <w:szCs w:val="24"/>
        </w:rPr>
        <w:t>The skin temperature did not distinguish participants and was thus removed from the model.</w:t>
      </w:r>
      <w:r w:rsidRPr="60435B4D">
        <w:rPr>
          <w:rFonts w:ascii="Calibri" w:hAnsi="Calibri" w:eastAsia="Calibri" w:cs="Calibri"/>
          <w:sz w:val="24"/>
          <w:szCs w:val="24"/>
        </w:rPr>
        <w:t xml:space="preserve"> </w:t>
      </w:r>
      <w:r w:rsidRPr="60435B4D" w:rsidR="194EA65F">
        <w:rPr>
          <w:rFonts w:ascii="Calibri" w:hAnsi="Calibri" w:eastAsia="Calibri" w:cs="Calibri"/>
          <w:sz w:val="24"/>
          <w:szCs w:val="24"/>
        </w:rPr>
        <w:t>T</w:t>
      </w:r>
      <w:r w:rsidRPr="60435B4D">
        <w:rPr>
          <w:rFonts w:ascii="Calibri" w:hAnsi="Calibri" w:eastAsia="Calibri" w:cs="Calibri"/>
          <w:sz w:val="24"/>
          <w:szCs w:val="24"/>
        </w:rPr>
        <w:t xml:space="preserve">he best </w:t>
      </w:r>
      <w:r w:rsidRPr="60435B4D" w:rsidR="5262011B">
        <w:rPr>
          <w:rFonts w:ascii="Calibri" w:hAnsi="Calibri" w:eastAsia="Calibri" w:cs="Calibri"/>
          <w:sz w:val="24"/>
          <w:szCs w:val="24"/>
        </w:rPr>
        <w:t xml:space="preserve">fit </w:t>
      </w:r>
      <w:r w:rsidRPr="60435B4D">
        <w:rPr>
          <w:rFonts w:ascii="Calibri" w:hAnsi="Calibri" w:eastAsia="Calibri" w:cs="Calibri"/>
          <w:sz w:val="24"/>
          <w:szCs w:val="24"/>
        </w:rPr>
        <w:t xml:space="preserve">was </w:t>
      </w:r>
      <w:r w:rsidRPr="60435B4D" w:rsidR="58136B88">
        <w:rPr>
          <w:rFonts w:ascii="Calibri" w:hAnsi="Calibri" w:eastAsia="Calibri" w:cs="Calibri"/>
          <w:sz w:val="24"/>
          <w:szCs w:val="24"/>
        </w:rPr>
        <w:t>a</w:t>
      </w:r>
      <w:r w:rsidRPr="60435B4D">
        <w:rPr>
          <w:rFonts w:ascii="Calibri" w:hAnsi="Calibri" w:eastAsia="Calibri" w:cs="Calibri"/>
          <w:sz w:val="24"/>
          <w:szCs w:val="24"/>
        </w:rPr>
        <w:t xml:space="preserve"> 4-</w:t>
      </w:r>
      <w:r w:rsidRPr="60435B4D" w:rsidR="393BF36E">
        <w:rPr>
          <w:rFonts w:ascii="Calibri" w:hAnsi="Calibri" w:eastAsia="Calibri" w:cs="Calibri"/>
          <w:sz w:val="24"/>
          <w:szCs w:val="24"/>
        </w:rPr>
        <w:t xml:space="preserve">profile </w:t>
      </w:r>
      <w:r w:rsidRPr="60435B4D" w:rsidR="6B26F76D">
        <w:rPr>
          <w:rFonts w:ascii="Calibri" w:hAnsi="Calibri" w:eastAsia="Calibri" w:cs="Calibri"/>
          <w:sz w:val="24"/>
          <w:szCs w:val="24"/>
        </w:rPr>
        <w:t xml:space="preserve">model </w:t>
      </w:r>
      <w:r w:rsidRPr="60435B4D" w:rsidR="194EA65F">
        <w:rPr>
          <w:rFonts w:ascii="Calibri" w:hAnsi="Calibri" w:eastAsia="Calibri" w:cs="Calibri"/>
          <w:sz w:val="24"/>
          <w:szCs w:val="24"/>
        </w:rPr>
        <w:t>(</w:t>
      </w:r>
      <w:r w:rsidRPr="60435B4D" w:rsidR="73C3920D">
        <w:rPr>
          <w:rFonts w:ascii="Calibri" w:hAnsi="Calibri" w:eastAsia="Calibri" w:cs="Calibri"/>
          <w:sz w:val="24"/>
          <w:szCs w:val="24"/>
        </w:rPr>
        <w:t xml:space="preserve">for </w:t>
      </w:r>
      <w:r w:rsidRPr="60435B4D" w:rsidR="23468D31">
        <w:rPr>
          <w:rFonts w:ascii="Calibri" w:hAnsi="Calibri" w:eastAsia="Calibri" w:cs="Calibri"/>
          <w:sz w:val="24"/>
          <w:szCs w:val="24"/>
        </w:rPr>
        <w:t xml:space="preserve">details, see </w:t>
      </w:r>
      <w:r w:rsidRPr="60435B4D" w:rsidR="10D7F085">
        <w:rPr>
          <w:i/>
          <w:iCs/>
          <w:sz w:val="24"/>
          <w:szCs w:val="24"/>
        </w:rPr>
        <w:t>Supplementary materials</w:t>
      </w:r>
      <w:r w:rsidRPr="60435B4D" w:rsidR="10D7F085">
        <w:rPr>
          <w:rFonts w:ascii="Calibri" w:hAnsi="Calibri" w:eastAsia="Calibri" w:cs="Calibri"/>
          <w:i/>
          <w:iCs/>
          <w:sz w:val="24"/>
          <w:szCs w:val="24"/>
        </w:rPr>
        <w:t xml:space="preserve"> </w:t>
      </w:r>
      <w:r w:rsidRPr="60435B4D" w:rsidR="73C3920D">
        <w:rPr>
          <w:rFonts w:ascii="Calibri" w:hAnsi="Calibri" w:eastAsia="Calibri" w:cs="Calibri"/>
          <w:i/>
          <w:iCs/>
          <w:sz w:val="24"/>
          <w:szCs w:val="24"/>
        </w:rPr>
        <w:t>6. Latent class analysis – statistical considerations</w:t>
      </w:r>
      <w:r w:rsidR="0070456C">
        <w:rPr>
          <w:rFonts w:ascii="Calibri" w:hAnsi="Calibri" w:eastAsia="Calibri" w:cs="Calibri"/>
          <w:i/>
          <w:iCs/>
          <w:sz w:val="24"/>
          <w:szCs w:val="24"/>
        </w:rPr>
        <w:t xml:space="preserve"> [</w:t>
      </w:r>
      <w:r w:rsidRPr="5045E0F5" w:rsidR="0070456C">
        <w:rPr>
          <w:rFonts w:ascii="Calibri" w:hAnsi="Calibri" w:eastAsia="Calibri" w:cs="Calibri"/>
          <w:i/>
          <w:iCs/>
          <w:sz w:val="24"/>
          <w:szCs w:val="24"/>
        </w:rPr>
        <w:t>tableS1</w:t>
      </w:r>
      <w:r w:rsidRPr="5045E0F5" w:rsidR="4938CD27">
        <w:rPr>
          <w:rFonts w:ascii="Calibri" w:hAnsi="Calibri" w:eastAsia="Calibri" w:cs="Calibri"/>
          <w:i/>
          <w:iCs/>
          <w:sz w:val="24"/>
          <w:szCs w:val="24"/>
        </w:rPr>
        <w:t>4</w:t>
      </w:r>
      <w:r w:rsidRPr="5045E0F5" w:rsidR="0070456C">
        <w:rPr>
          <w:rFonts w:ascii="Calibri" w:hAnsi="Calibri" w:eastAsia="Calibri" w:cs="Calibri"/>
          <w:i/>
          <w:iCs/>
          <w:sz w:val="24"/>
          <w:szCs w:val="24"/>
        </w:rPr>
        <w:t>]</w:t>
      </w:r>
      <w:r w:rsidRPr="5045E0F5" w:rsidR="194EA65F">
        <w:rPr>
          <w:rFonts w:ascii="Calibri" w:hAnsi="Calibri" w:eastAsia="Calibri" w:cs="Calibri"/>
          <w:sz w:val="24"/>
          <w:szCs w:val="24"/>
        </w:rPr>
        <w:t>)</w:t>
      </w:r>
      <w:r w:rsidRPr="5045E0F5">
        <w:rPr>
          <w:rFonts w:ascii="Calibri" w:hAnsi="Calibri" w:eastAsia="Calibri" w:cs="Calibri"/>
          <w:sz w:val="24"/>
          <w:szCs w:val="24"/>
        </w:rPr>
        <w:t>.</w:t>
      </w:r>
      <w:r w:rsidRPr="60435B4D" w:rsidR="6D57E889">
        <w:rPr>
          <w:rFonts w:ascii="Calibri" w:hAnsi="Calibri" w:eastAsia="Calibri" w:cs="Calibri"/>
          <w:sz w:val="24"/>
          <w:szCs w:val="24"/>
        </w:rPr>
        <w:t xml:space="preserve"> Characteristics of each profile are summarized in Table </w:t>
      </w:r>
      <w:r w:rsidRPr="5045E0F5" w:rsidR="08E803C0">
        <w:rPr>
          <w:rFonts w:ascii="Calibri" w:hAnsi="Calibri" w:eastAsia="Calibri" w:cs="Calibri"/>
          <w:sz w:val="24"/>
          <w:szCs w:val="24"/>
        </w:rPr>
        <w:t>5</w:t>
      </w:r>
      <w:r w:rsidRPr="60435B4D" w:rsidR="44BEB6E0">
        <w:rPr>
          <w:rFonts w:ascii="Calibri" w:hAnsi="Calibri" w:eastAsia="Calibri" w:cs="Calibri"/>
          <w:sz w:val="24"/>
          <w:szCs w:val="24"/>
        </w:rPr>
        <w:t xml:space="preserve">, while </w:t>
      </w:r>
      <w:r w:rsidRPr="60435B4D" w:rsidR="5EE8569D">
        <w:rPr>
          <w:rFonts w:ascii="Calibri" w:hAnsi="Calibri" w:eastAsia="Calibri" w:cs="Calibri"/>
          <w:sz w:val="24"/>
          <w:szCs w:val="24"/>
        </w:rPr>
        <w:t>Figure</w:t>
      </w:r>
      <w:r w:rsidRPr="60435B4D" w:rsidR="44BEB6E0">
        <w:rPr>
          <w:rFonts w:ascii="Calibri" w:hAnsi="Calibri" w:eastAsia="Calibri" w:cs="Calibri"/>
          <w:sz w:val="24"/>
          <w:szCs w:val="24"/>
        </w:rPr>
        <w:t xml:space="preserve"> </w:t>
      </w:r>
      <w:r w:rsidR="00D1344D">
        <w:rPr>
          <w:rFonts w:ascii="Calibri" w:hAnsi="Calibri" w:eastAsia="Calibri" w:cs="Calibri"/>
          <w:sz w:val="24"/>
          <w:szCs w:val="24"/>
        </w:rPr>
        <w:t>4</w:t>
      </w:r>
      <w:r w:rsidRPr="60435B4D" w:rsidR="00F65A17">
        <w:rPr>
          <w:rFonts w:ascii="Calibri" w:hAnsi="Calibri" w:eastAsia="Calibri" w:cs="Calibri"/>
          <w:sz w:val="24"/>
          <w:szCs w:val="24"/>
        </w:rPr>
        <w:t xml:space="preserve"> illustrates</w:t>
      </w:r>
      <w:r w:rsidRPr="60435B4D" w:rsidR="004A0F49">
        <w:rPr>
          <w:rFonts w:ascii="Calibri" w:hAnsi="Calibri" w:eastAsia="Calibri" w:cs="Calibri"/>
          <w:sz w:val="24"/>
          <w:szCs w:val="24"/>
        </w:rPr>
        <w:t xml:space="preserve"> </w:t>
      </w:r>
      <w:r w:rsidRPr="60435B4D" w:rsidR="00F65A17">
        <w:rPr>
          <w:rFonts w:ascii="Calibri" w:hAnsi="Calibri" w:eastAsia="Calibri" w:cs="Calibri"/>
          <w:sz w:val="24"/>
          <w:szCs w:val="24"/>
        </w:rPr>
        <w:t>the variables used to classify subjects</w:t>
      </w:r>
      <w:r w:rsidRPr="60435B4D" w:rsidR="00BD16F8">
        <w:rPr>
          <w:rFonts w:ascii="Calibri" w:hAnsi="Calibri" w:eastAsia="Calibri" w:cs="Calibri"/>
          <w:sz w:val="24"/>
          <w:szCs w:val="24"/>
        </w:rPr>
        <w:t xml:space="preserve">, and Figure </w:t>
      </w:r>
      <w:r w:rsidR="00D1344D">
        <w:rPr>
          <w:rFonts w:ascii="Calibri" w:hAnsi="Calibri" w:eastAsia="Calibri" w:cs="Calibri"/>
          <w:sz w:val="24"/>
          <w:szCs w:val="24"/>
        </w:rPr>
        <w:t>5</w:t>
      </w:r>
      <w:r w:rsidRPr="60435B4D" w:rsidR="00BD16F8">
        <w:rPr>
          <w:rFonts w:ascii="Calibri" w:hAnsi="Calibri" w:eastAsia="Calibri" w:cs="Calibri"/>
          <w:sz w:val="24"/>
          <w:szCs w:val="24"/>
        </w:rPr>
        <w:t xml:space="preserve"> the</w:t>
      </w:r>
      <w:r w:rsidRPr="60435B4D" w:rsidR="00F65A17">
        <w:rPr>
          <w:rFonts w:ascii="Calibri" w:hAnsi="Calibri" w:eastAsia="Calibri" w:cs="Calibri"/>
          <w:sz w:val="24"/>
          <w:szCs w:val="24"/>
        </w:rPr>
        <w:t xml:space="preserve"> </w:t>
      </w:r>
      <w:r w:rsidRPr="60435B4D" w:rsidR="00BD16F8">
        <w:rPr>
          <w:rFonts w:ascii="Calibri" w:hAnsi="Calibri" w:eastAsia="Calibri" w:cs="Calibri"/>
          <w:sz w:val="24"/>
          <w:szCs w:val="24"/>
        </w:rPr>
        <w:t>differences between subgroups</w:t>
      </w:r>
      <w:r w:rsidRPr="60435B4D" w:rsidR="385852F4">
        <w:rPr>
          <w:rFonts w:ascii="Calibri" w:hAnsi="Calibri" w:eastAsia="Calibri" w:cs="Calibri"/>
          <w:sz w:val="24"/>
          <w:szCs w:val="24"/>
        </w:rPr>
        <w:t>.</w:t>
      </w:r>
      <w:r w:rsidRPr="60435B4D" w:rsidR="08F9DB0C">
        <w:rPr>
          <w:rFonts w:ascii="Calibri" w:hAnsi="Calibri" w:eastAsia="Calibri" w:cs="Calibri"/>
          <w:sz w:val="24"/>
          <w:szCs w:val="24"/>
        </w:rPr>
        <w:t xml:space="preserve"> </w:t>
      </w:r>
      <w:r w:rsidRPr="60435B4D" w:rsidR="7AA829B0">
        <w:rPr>
          <w:rFonts w:ascii="Calibri" w:hAnsi="Calibri" w:eastAsia="Calibri" w:cs="Calibri"/>
          <w:sz w:val="24"/>
          <w:szCs w:val="24"/>
        </w:rPr>
        <w:t xml:space="preserve"> No significant differences were observed in terms of CRPS duration (onset of symptoms or trauma), temperature, </w:t>
      </w:r>
      <w:r w:rsidRPr="60435B4D" w:rsidR="3B425A54">
        <w:rPr>
          <w:rFonts w:ascii="Calibri" w:hAnsi="Calibri" w:eastAsia="Calibri" w:cs="Calibri"/>
          <w:sz w:val="24"/>
          <w:szCs w:val="24"/>
        </w:rPr>
        <w:t>or classic CRPS features (symptoms or signs</w:t>
      </w:r>
      <w:r w:rsidRPr="60435B4D" w:rsidR="4C54B093">
        <w:rPr>
          <w:rFonts w:ascii="Calibri" w:hAnsi="Calibri" w:eastAsia="Calibri" w:cs="Calibri"/>
          <w:sz w:val="24"/>
          <w:szCs w:val="24"/>
        </w:rPr>
        <w:t xml:space="preserve"> used in the Budapest criteria</w:t>
      </w:r>
      <w:r w:rsidRPr="60435B4D" w:rsidR="3B425A54">
        <w:rPr>
          <w:rFonts w:ascii="Calibri" w:hAnsi="Calibri" w:eastAsia="Calibri" w:cs="Calibri"/>
          <w:sz w:val="24"/>
          <w:szCs w:val="24"/>
        </w:rPr>
        <w:t xml:space="preserve">), except for </w:t>
      </w:r>
      <w:r w:rsidRPr="60435B4D" w:rsidR="2AACAACF">
        <w:rPr>
          <w:rFonts w:ascii="Calibri" w:hAnsi="Calibri" w:eastAsia="Calibri" w:cs="Calibri"/>
          <w:sz w:val="24"/>
          <w:szCs w:val="24"/>
        </w:rPr>
        <w:t>sensory</w:t>
      </w:r>
      <w:r w:rsidRPr="60435B4D" w:rsidR="3B425A54">
        <w:rPr>
          <w:rFonts w:ascii="Calibri" w:hAnsi="Calibri" w:eastAsia="Calibri" w:cs="Calibri"/>
          <w:sz w:val="24"/>
          <w:szCs w:val="24"/>
        </w:rPr>
        <w:t xml:space="preserve"> features.</w:t>
      </w:r>
    </w:p>
    <w:p w:rsidR="00A030C8" w:rsidP="6EB6F637" w:rsidRDefault="00A030C8" w14:paraId="7F4E2B72" w14:textId="6780ACDC">
      <w:pPr>
        <w:spacing w:line="480" w:lineRule="auto"/>
        <w:jc w:val="center"/>
        <w:rPr>
          <w:rFonts w:ascii="Calibri" w:hAnsi="Calibri" w:eastAsia="Calibri" w:cs="Calibri"/>
          <w:i/>
          <w:iCs/>
        </w:rPr>
      </w:pPr>
      <w:r w:rsidRPr="6EB6F637">
        <w:rPr>
          <w:rFonts w:ascii="Calibri" w:hAnsi="Calibri" w:eastAsia="Calibri" w:cs="Calibri"/>
          <w:i/>
          <w:iCs/>
        </w:rPr>
        <w:t xml:space="preserve">Figure </w:t>
      </w:r>
      <w:r w:rsidR="00D1344D">
        <w:rPr>
          <w:rFonts w:ascii="Calibri" w:hAnsi="Calibri" w:eastAsia="Calibri" w:cs="Calibri"/>
          <w:i/>
          <w:iCs/>
        </w:rPr>
        <w:t>4</w:t>
      </w:r>
      <w:r w:rsidRPr="6EB6F637">
        <w:rPr>
          <w:rFonts w:ascii="Calibri" w:hAnsi="Calibri" w:eastAsia="Calibri" w:cs="Calibri"/>
          <w:i/>
          <w:iCs/>
        </w:rPr>
        <w:t xml:space="preserve">. Results of the </w:t>
      </w:r>
      <w:proofErr w:type="spellStart"/>
      <w:r w:rsidRPr="6EB6F637">
        <w:rPr>
          <w:rFonts w:ascii="Calibri" w:hAnsi="Calibri" w:eastAsia="Calibri" w:cs="Calibri"/>
          <w:i/>
          <w:iCs/>
        </w:rPr>
        <w:t>LCA</w:t>
      </w:r>
      <w:proofErr w:type="spellEnd"/>
      <w:r w:rsidRPr="6EB6F637">
        <w:rPr>
          <w:rFonts w:ascii="Calibri" w:hAnsi="Calibri" w:eastAsia="Calibri" w:cs="Calibri"/>
          <w:i/>
          <w:iCs/>
        </w:rPr>
        <w:t>: variables determining the different profiles</w:t>
      </w:r>
      <w:r w:rsidRPr="6EB6F637" w:rsidR="557DE3E3">
        <w:rPr>
          <w:rFonts w:ascii="Calibri" w:hAnsi="Calibri" w:eastAsia="Calibri" w:cs="Calibri"/>
          <w:i/>
          <w:iCs/>
        </w:rPr>
        <w:t>.</w:t>
      </w:r>
    </w:p>
    <w:p w:rsidRPr="00171B6F" w:rsidR="006735E4" w:rsidP="0BEC6559" w:rsidRDefault="02F56AB1" w14:paraId="5D7900A5" w14:textId="0EA02F13">
      <w:pPr>
        <w:spacing w:line="480" w:lineRule="auto"/>
        <w:jc w:val="both"/>
        <w:rPr>
          <w:rFonts w:ascii="Calibri" w:hAnsi="Calibri" w:eastAsia="Calibri" w:cs="Calibri"/>
          <w:sz w:val="24"/>
          <w:szCs w:val="24"/>
        </w:rPr>
      </w:pPr>
      <w:r w:rsidRPr="4EF8719D">
        <w:rPr>
          <w:rFonts w:ascii="Calibri" w:hAnsi="Calibri" w:eastAsia="Calibri" w:cs="Calibri"/>
          <w:sz w:val="24"/>
          <w:szCs w:val="24"/>
        </w:rPr>
        <w:t>A</w:t>
      </w:r>
      <w:r w:rsidRPr="4EF8719D" w:rsidR="397829BC">
        <w:rPr>
          <w:rFonts w:ascii="Calibri" w:hAnsi="Calibri" w:eastAsia="Calibri" w:cs="Calibri"/>
          <w:sz w:val="24"/>
          <w:szCs w:val="24"/>
        </w:rPr>
        <w:t xml:space="preserve"> </w:t>
      </w:r>
      <w:r w:rsidRPr="4EF8719D" w:rsidR="7A1AD4F0">
        <w:rPr>
          <w:rFonts w:ascii="Calibri" w:hAnsi="Calibri" w:eastAsia="Calibri" w:cs="Calibri"/>
          <w:sz w:val="24"/>
          <w:szCs w:val="24"/>
        </w:rPr>
        <w:t>first</w:t>
      </w:r>
      <w:r w:rsidRPr="4EF8719D" w:rsidR="397829BC">
        <w:rPr>
          <w:rFonts w:ascii="Calibri" w:hAnsi="Calibri" w:eastAsia="Calibri" w:cs="Calibri"/>
          <w:sz w:val="24"/>
          <w:szCs w:val="24"/>
        </w:rPr>
        <w:t xml:space="preserve"> group (</w:t>
      </w:r>
      <w:r w:rsidRPr="4EF8719D" w:rsidR="7B01AABE">
        <w:rPr>
          <w:rFonts w:ascii="Calibri" w:hAnsi="Calibri" w:eastAsia="Calibri" w:cs="Calibri"/>
          <w:i/>
          <w:iCs/>
          <w:sz w:val="24"/>
          <w:szCs w:val="24"/>
        </w:rPr>
        <w:t>Mild CRPS</w:t>
      </w:r>
      <w:r w:rsidRPr="4EF8719D" w:rsidR="7B01AABE">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sidR="397829BC">
        <w:rPr>
          <w:rFonts w:ascii="Calibri" w:hAnsi="Calibri" w:eastAsia="Calibri" w:cs="Calibri"/>
          <w:sz w:val="24"/>
          <w:szCs w:val="24"/>
        </w:rPr>
        <w:t>2</w:t>
      </w:r>
      <w:r w:rsidRPr="4EF8719D" w:rsidR="571B4FA5">
        <w:rPr>
          <w:rFonts w:ascii="Calibri" w:hAnsi="Calibri" w:eastAsia="Calibri" w:cs="Calibri"/>
          <w:sz w:val="24"/>
          <w:szCs w:val="24"/>
        </w:rPr>
        <w:t>2</w:t>
      </w:r>
      <w:r w:rsidRPr="4EF8719D" w:rsidR="7B01AABE">
        <w:rPr>
          <w:rFonts w:ascii="Calibri" w:hAnsi="Calibri" w:eastAsia="Calibri" w:cs="Calibri"/>
          <w:sz w:val="24"/>
          <w:szCs w:val="24"/>
        </w:rPr>
        <w:t>)</w:t>
      </w:r>
      <w:r w:rsidRPr="4EF8719D" w:rsidR="397829BC">
        <w:rPr>
          <w:rFonts w:ascii="Calibri" w:hAnsi="Calibri" w:eastAsia="Calibri" w:cs="Calibri"/>
          <w:sz w:val="24"/>
          <w:szCs w:val="24"/>
        </w:rPr>
        <w:t xml:space="preserve"> was composed of older people</w:t>
      </w:r>
      <w:r w:rsidRPr="4EF8719D" w:rsidR="6FCBCCBE">
        <w:rPr>
          <w:rFonts w:ascii="Calibri" w:hAnsi="Calibri" w:eastAsia="Calibri" w:cs="Calibri"/>
          <w:sz w:val="24"/>
          <w:szCs w:val="24"/>
        </w:rPr>
        <w:t xml:space="preserve"> than</w:t>
      </w:r>
      <w:r w:rsidRPr="4EF8719D" w:rsidR="163BCF05">
        <w:rPr>
          <w:rFonts w:ascii="Calibri" w:hAnsi="Calibri" w:eastAsia="Calibri" w:cs="Calibri"/>
          <w:sz w:val="24"/>
          <w:szCs w:val="24"/>
        </w:rPr>
        <w:t xml:space="preserve"> in the</w:t>
      </w:r>
      <w:r w:rsidRPr="4EF8719D" w:rsidR="6FCBCCBE">
        <w:rPr>
          <w:rFonts w:ascii="Calibri" w:hAnsi="Calibri" w:eastAsia="Calibri" w:cs="Calibri"/>
          <w:sz w:val="24"/>
          <w:szCs w:val="24"/>
        </w:rPr>
        <w:t xml:space="preserve"> other subgroups</w:t>
      </w:r>
      <w:r w:rsidRPr="4EF8719D" w:rsidR="11414A04">
        <w:rPr>
          <w:rFonts w:ascii="Calibri" w:hAnsi="Calibri" w:eastAsia="Calibri" w:cs="Calibri"/>
          <w:sz w:val="24"/>
          <w:szCs w:val="24"/>
        </w:rPr>
        <w:t xml:space="preserve">. The </w:t>
      </w:r>
      <w:r w:rsidRPr="4EF8719D" w:rsidR="397829BC">
        <w:rPr>
          <w:rFonts w:ascii="Calibri" w:hAnsi="Calibri" w:eastAsia="Calibri" w:cs="Calibri"/>
          <w:sz w:val="24"/>
          <w:szCs w:val="24"/>
        </w:rPr>
        <w:t xml:space="preserve">initiating event was either a fracture or a major trauma requiring surgical repair. </w:t>
      </w:r>
      <w:r w:rsidRPr="4EF8719D" w:rsidR="64A8BB9D">
        <w:rPr>
          <w:rFonts w:ascii="Calibri" w:hAnsi="Calibri" w:eastAsia="Calibri" w:cs="Calibri"/>
          <w:sz w:val="24"/>
          <w:szCs w:val="24"/>
        </w:rPr>
        <w:t xml:space="preserve">In comparison to the </w:t>
      </w:r>
      <w:r w:rsidRPr="4EF8719D" w:rsidR="75919B60">
        <w:rPr>
          <w:rFonts w:ascii="Calibri" w:hAnsi="Calibri" w:eastAsia="Calibri" w:cs="Calibri"/>
          <w:sz w:val="24"/>
          <w:szCs w:val="24"/>
        </w:rPr>
        <w:t>other</w:t>
      </w:r>
      <w:r w:rsidRPr="4EF8719D" w:rsidR="64A8BB9D">
        <w:rPr>
          <w:rFonts w:ascii="Calibri" w:hAnsi="Calibri" w:eastAsia="Calibri" w:cs="Calibri"/>
          <w:sz w:val="24"/>
          <w:szCs w:val="24"/>
        </w:rPr>
        <w:t xml:space="preserve"> profiles, </w:t>
      </w:r>
      <w:r w:rsidRPr="4EF8719D" w:rsidR="5E51B653">
        <w:rPr>
          <w:rFonts w:ascii="Calibri" w:hAnsi="Calibri" w:eastAsia="Calibri" w:cs="Calibri"/>
          <w:sz w:val="24"/>
          <w:szCs w:val="24"/>
        </w:rPr>
        <w:t>th</w:t>
      </w:r>
      <w:r w:rsidRPr="4EF8719D" w:rsidR="0F88CFC1">
        <w:rPr>
          <w:rFonts w:ascii="Calibri" w:hAnsi="Calibri" w:eastAsia="Calibri" w:cs="Calibri"/>
          <w:sz w:val="24"/>
          <w:szCs w:val="24"/>
        </w:rPr>
        <w:t>is</w:t>
      </w:r>
      <w:r w:rsidRPr="4EF8719D" w:rsidR="5E51B653">
        <w:rPr>
          <w:rFonts w:ascii="Calibri" w:hAnsi="Calibri" w:eastAsia="Calibri" w:cs="Calibri"/>
          <w:sz w:val="24"/>
          <w:szCs w:val="24"/>
        </w:rPr>
        <w:t xml:space="preserve"> </w:t>
      </w:r>
      <w:r w:rsidRPr="4EF8719D" w:rsidR="5E51B653">
        <w:rPr>
          <w:rFonts w:ascii="Calibri" w:hAnsi="Calibri" w:eastAsia="Calibri" w:cs="Calibri"/>
          <w:i/>
          <w:iCs/>
          <w:sz w:val="24"/>
          <w:szCs w:val="24"/>
        </w:rPr>
        <w:t>Mild CRPS</w:t>
      </w:r>
      <w:r w:rsidRPr="4EF8719D" w:rsidR="5E51B653">
        <w:rPr>
          <w:rFonts w:ascii="Calibri" w:hAnsi="Calibri" w:eastAsia="Calibri" w:cs="Calibri"/>
          <w:sz w:val="24"/>
          <w:szCs w:val="24"/>
        </w:rPr>
        <w:t xml:space="preserve"> </w:t>
      </w:r>
      <w:r w:rsidRPr="4EF8719D" w:rsidR="345CC1A7">
        <w:rPr>
          <w:rFonts w:ascii="Calibri" w:hAnsi="Calibri" w:eastAsia="Calibri" w:cs="Calibri"/>
          <w:sz w:val="24"/>
          <w:szCs w:val="24"/>
        </w:rPr>
        <w:t>sub</w:t>
      </w:r>
      <w:r w:rsidRPr="4EF8719D" w:rsidR="5E51B653">
        <w:rPr>
          <w:rFonts w:ascii="Calibri" w:hAnsi="Calibri" w:eastAsia="Calibri" w:cs="Calibri"/>
          <w:sz w:val="24"/>
          <w:szCs w:val="24"/>
        </w:rPr>
        <w:t>group</w:t>
      </w:r>
      <w:r w:rsidRPr="4EF8719D" w:rsidR="397829BC">
        <w:rPr>
          <w:rFonts w:ascii="Calibri" w:hAnsi="Calibri" w:eastAsia="Calibri" w:cs="Calibri"/>
          <w:sz w:val="24"/>
          <w:szCs w:val="24"/>
        </w:rPr>
        <w:t xml:space="preserve"> presented a milder condition in all measures: less allodynia, CSS, body perception disorders, disability, depressi</w:t>
      </w:r>
      <w:r w:rsidRPr="4EF8719D" w:rsidR="2F364D00">
        <w:rPr>
          <w:rFonts w:ascii="Calibri" w:hAnsi="Calibri" w:eastAsia="Calibri" w:cs="Calibri"/>
          <w:sz w:val="24"/>
          <w:szCs w:val="24"/>
        </w:rPr>
        <w:t>ve scores</w:t>
      </w:r>
      <w:r w:rsidRPr="4EF8719D" w:rsidR="397829BC">
        <w:rPr>
          <w:rFonts w:ascii="Calibri" w:hAnsi="Calibri" w:eastAsia="Calibri" w:cs="Calibri"/>
          <w:sz w:val="24"/>
          <w:szCs w:val="24"/>
        </w:rPr>
        <w:t xml:space="preserve">, pain </w:t>
      </w:r>
      <w:r w:rsidRPr="4EF8719D" w:rsidR="39B762F8">
        <w:rPr>
          <w:rFonts w:ascii="Calibri" w:hAnsi="Calibri" w:eastAsia="Calibri" w:cs="Calibri"/>
          <w:sz w:val="24"/>
          <w:szCs w:val="24"/>
        </w:rPr>
        <w:lastRenderedPageBreak/>
        <w:t>ratings</w:t>
      </w:r>
      <w:r w:rsidRPr="4EF8719D" w:rsidR="397829BC">
        <w:rPr>
          <w:rFonts w:ascii="Calibri" w:hAnsi="Calibri" w:eastAsia="Calibri" w:cs="Calibri"/>
          <w:sz w:val="24"/>
          <w:szCs w:val="24"/>
        </w:rPr>
        <w:t xml:space="preserve">. </w:t>
      </w:r>
      <w:r w:rsidRPr="4EF8719D" w:rsidR="7B01AABE">
        <w:rPr>
          <w:rFonts w:ascii="Calibri" w:hAnsi="Calibri" w:eastAsia="Calibri" w:cs="Calibri"/>
          <w:sz w:val="24"/>
          <w:szCs w:val="24"/>
        </w:rPr>
        <w:t xml:space="preserve">They reported better </w:t>
      </w:r>
      <w:r w:rsidRPr="4EF8719D" w:rsidR="39B762F8">
        <w:rPr>
          <w:rFonts w:ascii="Calibri" w:hAnsi="Calibri" w:eastAsia="Calibri" w:cs="Calibri"/>
          <w:sz w:val="24"/>
          <w:szCs w:val="24"/>
        </w:rPr>
        <w:t>QoL</w:t>
      </w:r>
      <w:r w:rsidRPr="4EF8719D" w:rsidR="397829BC">
        <w:rPr>
          <w:rFonts w:ascii="Calibri" w:hAnsi="Calibri" w:eastAsia="Calibri" w:cs="Calibri"/>
          <w:sz w:val="24"/>
          <w:szCs w:val="24"/>
        </w:rPr>
        <w:t xml:space="preserve"> and </w:t>
      </w:r>
      <w:proofErr w:type="spellStart"/>
      <w:r w:rsidRPr="4EF8719D" w:rsidR="397829BC">
        <w:rPr>
          <w:rFonts w:ascii="Calibri" w:hAnsi="Calibri" w:eastAsia="Calibri" w:cs="Calibri"/>
          <w:sz w:val="24"/>
          <w:szCs w:val="24"/>
        </w:rPr>
        <w:t>GSR</w:t>
      </w:r>
      <w:r w:rsidRPr="4EF8719D" w:rsidR="7B01AABE">
        <w:rPr>
          <w:rFonts w:ascii="Calibri" w:hAnsi="Calibri" w:eastAsia="Calibri" w:cs="Calibri"/>
          <w:sz w:val="24"/>
          <w:szCs w:val="24"/>
        </w:rPr>
        <w:t>H</w:t>
      </w:r>
      <w:proofErr w:type="spellEnd"/>
      <w:r w:rsidRPr="4EF8719D" w:rsidR="397829BC">
        <w:rPr>
          <w:rFonts w:ascii="Calibri" w:hAnsi="Calibri" w:eastAsia="Calibri" w:cs="Calibri"/>
          <w:sz w:val="24"/>
          <w:szCs w:val="24"/>
        </w:rPr>
        <w:t xml:space="preserve">. The catastrophizing subscale was lower, as was </w:t>
      </w:r>
      <w:r w:rsidRPr="4EF8719D" w:rsidR="64A8BB9D">
        <w:rPr>
          <w:rFonts w:ascii="Calibri" w:hAnsi="Calibri" w:eastAsia="Calibri" w:cs="Calibri"/>
          <w:sz w:val="24"/>
          <w:szCs w:val="24"/>
        </w:rPr>
        <w:t>the</w:t>
      </w:r>
      <w:r w:rsidRPr="4EF8719D" w:rsidR="397829BC">
        <w:rPr>
          <w:rFonts w:ascii="Calibri" w:hAnsi="Calibri" w:eastAsia="Calibri" w:cs="Calibri"/>
          <w:sz w:val="24"/>
          <w:szCs w:val="24"/>
        </w:rPr>
        <w:t xml:space="preserve"> </w:t>
      </w:r>
      <w:proofErr w:type="spellStart"/>
      <w:r w:rsidRPr="4EF8719D" w:rsidR="397829BC">
        <w:rPr>
          <w:rFonts w:ascii="Calibri" w:hAnsi="Calibri" w:eastAsia="Calibri" w:cs="Calibri"/>
          <w:sz w:val="24"/>
          <w:szCs w:val="24"/>
        </w:rPr>
        <w:t>OMPSQ</w:t>
      </w:r>
      <w:proofErr w:type="spellEnd"/>
      <w:r w:rsidRPr="4EF8719D" w:rsidR="397829BC">
        <w:rPr>
          <w:rFonts w:ascii="Calibri" w:hAnsi="Calibri" w:eastAsia="Calibri" w:cs="Calibri"/>
          <w:sz w:val="24"/>
          <w:szCs w:val="24"/>
        </w:rPr>
        <w:t xml:space="preserve">-SF score. </w:t>
      </w:r>
      <w:r w:rsidR="000433EB">
        <w:rPr>
          <w:rFonts w:ascii="Calibri" w:hAnsi="Calibri" w:eastAsia="Calibri" w:cs="Calibri"/>
          <w:sz w:val="24"/>
          <w:szCs w:val="24"/>
        </w:rPr>
        <w:t>S</w:t>
      </w:r>
      <w:r w:rsidRPr="4EF8719D" w:rsidR="664E97B6">
        <w:rPr>
          <w:rFonts w:ascii="Calibri" w:hAnsi="Calibri" w:eastAsia="Calibri" w:cs="Calibri"/>
          <w:sz w:val="24"/>
          <w:szCs w:val="24"/>
        </w:rPr>
        <w:t xml:space="preserve">ocial support was higher than in </w:t>
      </w:r>
      <w:r w:rsidR="000433EB">
        <w:rPr>
          <w:rFonts w:ascii="Calibri" w:hAnsi="Calibri" w:eastAsia="Calibri" w:cs="Calibri"/>
          <w:sz w:val="24"/>
          <w:szCs w:val="24"/>
        </w:rPr>
        <w:t xml:space="preserve">the </w:t>
      </w:r>
      <w:r w:rsidRPr="4EF8719D" w:rsidR="664E97B6">
        <w:rPr>
          <w:rFonts w:ascii="Calibri" w:hAnsi="Calibri" w:eastAsia="Calibri" w:cs="Calibri"/>
          <w:sz w:val="24"/>
          <w:szCs w:val="24"/>
        </w:rPr>
        <w:t xml:space="preserve">three other subgroups. </w:t>
      </w:r>
      <w:r w:rsidRPr="4EF8719D" w:rsidR="397829BC">
        <w:rPr>
          <w:rFonts w:ascii="Calibri" w:hAnsi="Calibri" w:eastAsia="Calibri" w:cs="Calibri"/>
          <w:sz w:val="24"/>
          <w:szCs w:val="24"/>
        </w:rPr>
        <w:t>The average gain in function for PPT was the lowest</w:t>
      </w:r>
      <w:r w:rsidRPr="4EF8719D" w:rsidR="543AEBB3">
        <w:rPr>
          <w:rFonts w:ascii="Calibri" w:hAnsi="Calibri" w:eastAsia="Calibri" w:cs="Calibri"/>
          <w:sz w:val="24"/>
          <w:szCs w:val="24"/>
        </w:rPr>
        <w:t xml:space="preserve"> of four profiles</w:t>
      </w:r>
      <w:r w:rsidRPr="4EF8719D" w:rsidR="397829BC">
        <w:rPr>
          <w:rFonts w:ascii="Calibri" w:hAnsi="Calibri" w:eastAsia="Calibri" w:cs="Calibri"/>
          <w:sz w:val="24"/>
          <w:szCs w:val="24"/>
        </w:rPr>
        <w:t>, while there was a loss of function for MPS compared to healthy subjects</w:t>
      </w:r>
      <w:r w:rsidRPr="4EF8719D" w:rsidR="1D0241A7">
        <w:rPr>
          <w:rFonts w:ascii="Calibri" w:hAnsi="Calibri" w:eastAsia="Calibri" w:cs="Calibri"/>
          <w:sz w:val="24"/>
          <w:szCs w:val="24"/>
        </w:rPr>
        <w:t xml:space="preserve"> </w:t>
      </w:r>
      <w:r w:rsidRPr="4EF8719D" w:rsidR="70829F45">
        <w:rPr>
          <w:rFonts w:ascii="Calibri" w:hAnsi="Calibri" w:eastAsia="Calibri" w:cs="Calibri"/>
        </w:rPr>
        <w:fldChar w:fldCharType="begin"/>
      </w:r>
      <w:r w:rsidR="00A03CF2">
        <w:rPr>
          <w:rFonts w:ascii="Calibri" w:hAnsi="Calibri" w:eastAsia="Calibri" w:cs="Calibri"/>
        </w:rPr>
        <w:instrText xml:space="preserve"> ADDIN ZOTERO_ITEM CSL_CITATION {"citationID":"SpJBLR9m","properties":{"formattedCitation":"(Magerl et al., 2010)","plainCitation":"(Magerl et al., 2010)","noteIndex":0},"citationItems":[{"id":103,"uris":["http://zotero.org/users/8514361/items/VLD3SCKI"],"itemData":{"id":103,"type":"article-journal","abstract":"Clinical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Pr="4EF8719D" w:rsidR="70829F45">
        <w:rPr>
          <w:rFonts w:ascii="Calibri" w:hAnsi="Calibri" w:eastAsia="Calibri" w:cs="Calibri"/>
        </w:rPr>
        <w:fldChar w:fldCharType="separate"/>
      </w:r>
      <w:r w:rsidRPr="008425F7" w:rsidR="008425F7">
        <w:rPr>
          <w:rFonts w:ascii="Calibri" w:hAnsi="Calibri" w:cs="Calibri"/>
          <w:sz w:val="24"/>
        </w:rPr>
        <w:t>(Magerl et al., 2010)</w:t>
      </w:r>
      <w:r w:rsidRPr="4EF8719D" w:rsidR="70829F45">
        <w:rPr>
          <w:rFonts w:ascii="Calibri" w:hAnsi="Calibri" w:eastAsia="Calibri" w:cs="Calibri"/>
        </w:rPr>
        <w:fldChar w:fldCharType="end"/>
      </w:r>
      <w:r w:rsidRPr="4EF8719D" w:rsidR="397829BC">
        <w:rPr>
          <w:rFonts w:ascii="Calibri" w:hAnsi="Calibri" w:eastAsia="Calibri" w:cs="Calibri"/>
          <w:sz w:val="24"/>
          <w:szCs w:val="24"/>
        </w:rPr>
        <w:t xml:space="preserve">. </w:t>
      </w:r>
      <w:r w:rsidRPr="4EF8719D" w:rsidR="00C50E86">
        <w:rPr>
          <w:rFonts w:ascii="Calibri" w:hAnsi="Calibri" w:eastAsia="Calibri" w:cs="Calibri"/>
          <w:sz w:val="24"/>
          <w:szCs w:val="24"/>
        </w:rPr>
        <w:t>Half</w:t>
      </w:r>
      <w:r w:rsidRPr="4EF8719D" w:rsidR="397829BC">
        <w:rPr>
          <w:rFonts w:ascii="Calibri" w:hAnsi="Calibri" w:eastAsia="Calibri" w:cs="Calibri"/>
          <w:sz w:val="24"/>
          <w:szCs w:val="24"/>
        </w:rPr>
        <w:t xml:space="preserve"> </w:t>
      </w:r>
      <w:r w:rsidRPr="4EF8719D">
        <w:rPr>
          <w:rFonts w:ascii="Calibri" w:hAnsi="Calibri" w:eastAsia="Calibri" w:cs="Calibri"/>
          <w:sz w:val="24"/>
          <w:szCs w:val="24"/>
        </w:rPr>
        <w:t xml:space="preserve">of these patients </w:t>
      </w:r>
      <w:r w:rsidRPr="4EF8719D" w:rsidR="397829BC">
        <w:rPr>
          <w:rFonts w:ascii="Calibri" w:hAnsi="Calibri" w:eastAsia="Calibri" w:cs="Calibri"/>
          <w:sz w:val="24"/>
          <w:szCs w:val="24"/>
        </w:rPr>
        <w:t xml:space="preserve">did not fulfil the </w:t>
      </w:r>
      <w:r w:rsidRPr="4EF8719D" w:rsidR="77328F62">
        <w:rPr>
          <w:rFonts w:ascii="Calibri" w:hAnsi="Calibri" w:eastAsia="Calibri" w:cs="Calibri"/>
          <w:sz w:val="24"/>
          <w:szCs w:val="24"/>
        </w:rPr>
        <w:t>research Budapest criteria</w:t>
      </w:r>
      <w:r w:rsidRPr="4EF8719D" w:rsidR="397829BC">
        <w:rPr>
          <w:rFonts w:ascii="Calibri" w:hAnsi="Calibri" w:eastAsia="Calibri" w:cs="Calibri"/>
          <w:sz w:val="24"/>
          <w:szCs w:val="24"/>
        </w:rPr>
        <w:t>.</w:t>
      </w:r>
      <w:r w:rsidRPr="4EF8719D" w:rsidR="31E95CC7">
        <w:rPr>
          <w:rFonts w:ascii="Calibri" w:hAnsi="Calibri" w:eastAsia="Calibri" w:cs="Calibri"/>
          <w:sz w:val="24"/>
          <w:szCs w:val="24"/>
        </w:rPr>
        <w:t xml:space="preserve"> </w:t>
      </w:r>
    </w:p>
    <w:p w:rsidRPr="00171B6F" w:rsidR="00607283" w:rsidP="560E2E1C" w:rsidRDefault="60F39794" w14:paraId="27084F12" w14:textId="414D27CF">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The </w:t>
      </w:r>
      <w:r w:rsidRPr="4EF8719D" w:rsidR="7EA83E4D">
        <w:rPr>
          <w:rFonts w:ascii="Calibri" w:hAnsi="Calibri" w:eastAsia="Calibri" w:cs="Calibri"/>
          <w:sz w:val="24"/>
          <w:szCs w:val="24"/>
        </w:rPr>
        <w:t>second</w:t>
      </w:r>
      <w:r w:rsidRPr="4EF8719D">
        <w:rPr>
          <w:rFonts w:ascii="Calibri" w:hAnsi="Calibri" w:eastAsia="Calibri" w:cs="Calibri"/>
          <w:sz w:val="24"/>
          <w:szCs w:val="24"/>
        </w:rPr>
        <w:t xml:space="preserve"> </w:t>
      </w:r>
      <w:r w:rsidRPr="4EF8719D" w:rsidR="7EA83E4D">
        <w:rPr>
          <w:rFonts w:ascii="Calibri" w:hAnsi="Calibri" w:eastAsia="Calibri" w:cs="Calibri"/>
          <w:sz w:val="24"/>
          <w:szCs w:val="24"/>
        </w:rPr>
        <w:t>profile</w:t>
      </w:r>
      <w:r w:rsidRPr="4EF8719D">
        <w:rPr>
          <w:rFonts w:ascii="Calibri" w:hAnsi="Calibri" w:eastAsia="Calibri" w:cs="Calibri"/>
          <w:sz w:val="24"/>
          <w:szCs w:val="24"/>
        </w:rPr>
        <w:t xml:space="preserve"> </w:t>
      </w:r>
      <w:r w:rsidRPr="4EF8719D" w:rsidR="348D8EBC">
        <w:rPr>
          <w:rFonts w:ascii="Calibri" w:hAnsi="Calibri" w:eastAsia="Calibri" w:cs="Calibri"/>
          <w:sz w:val="24"/>
          <w:szCs w:val="24"/>
        </w:rPr>
        <w:t>(</w:t>
      </w:r>
      <w:r w:rsidRPr="4EF8719D" w:rsidR="3DAD5B1A">
        <w:rPr>
          <w:rFonts w:ascii="Calibri" w:hAnsi="Calibri" w:eastAsia="Calibri" w:cs="Calibri"/>
          <w:i/>
          <w:iCs/>
          <w:sz w:val="24"/>
          <w:szCs w:val="24"/>
        </w:rPr>
        <w:t>Moderate CRPS</w:t>
      </w:r>
      <w:r w:rsidRPr="4EF8719D" w:rsidR="3DAD5B1A">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sidR="087B2CD9">
        <w:rPr>
          <w:rFonts w:ascii="Calibri" w:hAnsi="Calibri" w:eastAsia="Calibri" w:cs="Calibri"/>
          <w:sz w:val="24"/>
          <w:szCs w:val="24"/>
        </w:rPr>
        <w:t>31</w:t>
      </w:r>
      <w:r w:rsidRPr="4EF8719D" w:rsidR="348D8EBC">
        <w:rPr>
          <w:rFonts w:ascii="Calibri" w:hAnsi="Calibri" w:eastAsia="Calibri" w:cs="Calibri"/>
          <w:sz w:val="24"/>
          <w:szCs w:val="24"/>
        </w:rPr>
        <w:t xml:space="preserve">) </w:t>
      </w:r>
      <w:r w:rsidRPr="4EF8719D" w:rsidR="22E04A54">
        <w:rPr>
          <w:rFonts w:ascii="Calibri" w:hAnsi="Calibri" w:eastAsia="Calibri" w:cs="Calibri"/>
          <w:sz w:val="24"/>
          <w:szCs w:val="24"/>
        </w:rPr>
        <w:t xml:space="preserve">mainly </w:t>
      </w:r>
      <w:r w:rsidRPr="4EF8719D" w:rsidR="3AE46B2F">
        <w:rPr>
          <w:rFonts w:ascii="Calibri" w:hAnsi="Calibri" w:eastAsia="Calibri" w:cs="Calibri"/>
          <w:sz w:val="24"/>
          <w:szCs w:val="24"/>
        </w:rPr>
        <w:t>consisted</w:t>
      </w:r>
      <w:r w:rsidRPr="4EF8719D" w:rsidR="2D155FB9">
        <w:rPr>
          <w:rFonts w:ascii="Calibri" w:hAnsi="Calibri" w:eastAsia="Calibri" w:cs="Calibri"/>
          <w:sz w:val="24"/>
          <w:szCs w:val="24"/>
        </w:rPr>
        <w:t xml:space="preserve"> of subjects whose </w:t>
      </w:r>
      <w:r w:rsidRPr="4EF8719D" w:rsidR="22E04A54">
        <w:rPr>
          <w:rFonts w:ascii="Calibri" w:hAnsi="Calibri" w:eastAsia="Calibri" w:cs="Calibri"/>
          <w:sz w:val="24"/>
          <w:szCs w:val="24"/>
        </w:rPr>
        <w:t>CRPS</w:t>
      </w:r>
      <w:r w:rsidRPr="4EF8719D" w:rsidR="2D155FB9">
        <w:rPr>
          <w:rFonts w:ascii="Calibri" w:hAnsi="Calibri" w:eastAsia="Calibri" w:cs="Calibri"/>
          <w:sz w:val="24"/>
          <w:szCs w:val="24"/>
        </w:rPr>
        <w:t xml:space="preserve"> was</w:t>
      </w:r>
      <w:r w:rsidRPr="4EF8719D" w:rsidR="22E04A54">
        <w:rPr>
          <w:rFonts w:ascii="Calibri" w:hAnsi="Calibri" w:eastAsia="Calibri" w:cs="Calibri"/>
          <w:sz w:val="24"/>
          <w:szCs w:val="24"/>
        </w:rPr>
        <w:t xml:space="preserve"> triggered </w:t>
      </w:r>
      <w:r w:rsidRPr="4EF8719D" w:rsidR="2D155FB9">
        <w:rPr>
          <w:rFonts w:ascii="Calibri" w:hAnsi="Calibri" w:eastAsia="Calibri" w:cs="Calibri"/>
          <w:sz w:val="24"/>
          <w:szCs w:val="24"/>
        </w:rPr>
        <w:t>by a</w:t>
      </w:r>
      <w:r w:rsidRPr="4EF8719D" w:rsidR="22E04A54">
        <w:rPr>
          <w:rFonts w:ascii="Calibri" w:hAnsi="Calibri" w:eastAsia="Calibri" w:cs="Calibri"/>
          <w:sz w:val="24"/>
          <w:szCs w:val="24"/>
        </w:rPr>
        <w:t xml:space="preserve"> major trauma</w:t>
      </w:r>
      <w:r w:rsidRPr="4EF8719D" w:rsidR="2CFB0BD7">
        <w:rPr>
          <w:rFonts w:ascii="Calibri" w:hAnsi="Calibri" w:eastAsia="Calibri" w:cs="Calibri"/>
          <w:sz w:val="24"/>
          <w:szCs w:val="24"/>
        </w:rPr>
        <w:t xml:space="preserve"> </w:t>
      </w:r>
      <w:r w:rsidRPr="4EF8719D" w:rsidR="2D155FB9">
        <w:rPr>
          <w:rFonts w:ascii="Calibri" w:hAnsi="Calibri" w:eastAsia="Calibri" w:cs="Calibri"/>
          <w:sz w:val="24"/>
          <w:szCs w:val="24"/>
        </w:rPr>
        <w:t>or</w:t>
      </w:r>
      <w:r w:rsidRPr="4EF8719D" w:rsidR="2CFB0BD7">
        <w:rPr>
          <w:rFonts w:ascii="Calibri" w:hAnsi="Calibri" w:eastAsia="Calibri" w:cs="Calibri"/>
          <w:sz w:val="24"/>
          <w:szCs w:val="24"/>
        </w:rPr>
        <w:t xml:space="preserve"> some fractures</w:t>
      </w:r>
      <w:r w:rsidRPr="4EF8719D" w:rsidR="2CDE6A8C">
        <w:rPr>
          <w:rFonts w:ascii="Calibri" w:hAnsi="Calibri" w:eastAsia="Calibri" w:cs="Calibri"/>
          <w:sz w:val="24"/>
          <w:szCs w:val="24"/>
        </w:rPr>
        <w:t>.</w:t>
      </w:r>
      <w:r w:rsidRPr="4EF8719D" w:rsidR="22E04A54">
        <w:rPr>
          <w:rFonts w:ascii="Calibri" w:hAnsi="Calibri" w:eastAsia="Calibri" w:cs="Calibri"/>
          <w:sz w:val="24"/>
          <w:szCs w:val="24"/>
        </w:rPr>
        <w:t xml:space="preserve"> </w:t>
      </w:r>
      <w:r w:rsidRPr="4EF8719D" w:rsidR="42BACE8A">
        <w:rPr>
          <w:rFonts w:ascii="Calibri" w:hAnsi="Calibri" w:eastAsia="Calibri" w:cs="Calibri"/>
          <w:sz w:val="24"/>
          <w:szCs w:val="24"/>
        </w:rPr>
        <w:t xml:space="preserve">In comparison to the other </w:t>
      </w:r>
      <w:r w:rsidRPr="4EF8719D" w:rsidR="1B67F205">
        <w:rPr>
          <w:rFonts w:ascii="Calibri" w:hAnsi="Calibri" w:eastAsia="Calibri" w:cs="Calibri"/>
          <w:sz w:val="24"/>
          <w:szCs w:val="24"/>
        </w:rPr>
        <w:t>participants</w:t>
      </w:r>
      <w:r w:rsidRPr="4EF8719D" w:rsidR="42BACE8A">
        <w:rPr>
          <w:rFonts w:ascii="Calibri" w:hAnsi="Calibri" w:eastAsia="Calibri" w:cs="Calibri"/>
          <w:sz w:val="24"/>
          <w:szCs w:val="24"/>
        </w:rPr>
        <w:t xml:space="preserve">, </w:t>
      </w:r>
      <w:r w:rsidRPr="4EF8719D" w:rsidR="7BDEA22C">
        <w:rPr>
          <w:rFonts w:ascii="Calibri" w:hAnsi="Calibri" w:eastAsia="Calibri" w:cs="Calibri"/>
          <w:sz w:val="24"/>
          <w:szCs w:val="24"/>
        </w:rPr>
        <w:t>this subgroup</w:t>
      </w:r>
      <w:r w:rsidRPr="4EF8719D" w:rsidR="5BB02509">
        <w:rPr>
          <w:rFonts w:ascii="Calibri" w:hAnsi="Calibri" w:eastAsia="Calibri" w:cs="Calibri"/>
          <w:sz w:val="24"/>
          <w:szCs w:val="24"/>
        </w:rPr>
        <w:t xml:space="preserve"> </w:t>
      </w:r>
      <w:r w:rsidRPr="4EF8719D" w:rsidR="42BACE8A">
        <w:rPr>
          <w:rFonts w:ascii="Calibri" w:hAnsi="Calibri" w:eastAsia="Calibri" w:cs="Calibri"/>
          <w:sz w:val="24"/>
          <w:szCs w:val="24"/>
        </w:rPr>
        <w:t xml:space="preserve">seemed to present a moderate condition, with more impairments than the first profile but fewer than the two others </w:t>
      </w:r>
      <w:r w:rsidRPr="4EF8719D" w:rsidR="428F9E7C">
        <w:rPr>
          <w:rFonts w:ascii="Calibri" w:hAnsi="Calibri" w:eastAsia="Calibri" w:cs="Calibri"/>
          <w:sz w:val="24"/>
          <w:szCs w:val="24"/>
        </w:rPr>
        <w:t xml:space="preserve">in terms of </w:t>
      </w:r>
      <w:r w:rsidRPr="4EF8719D" w:rsidR="42BACE8A">
        <w:rPr>
          <w:rFonts w:ascii="Calibri" w:hAnsi="Calibri" w:eastAsia="Calibri" w:cs="Calibri"/>
          <w:sz w:val="24"/>
          <w:szCs w:val="24"/>
        </w:rPr>
        <w:t xml:space="preserve">sensory signs, disability, QoL, </w:t>
      </w:r>
      <w:proofErr w:type="spellStart"/>
      <w:r w:rsidRPr="4EF8719D" w:rsidR="42BACE8A">
        <w:rPr>
          <w:rFonts w:ascii="Calibri" w:hAnsi="Calibri" w:eastAsia="Calibri" w:cs="Calibri"/>
          <w:sz w:val="24"/>
          <w:szCs w:val="24"/>
        </w:rPr>
        <w:t>GSRH</w:t>
      </w:r>
      <w:proofErr w:type="spellEnd"/>
      <w:r w:rsidRPr="4EF8719D" w:rsidR="42BACE8A">
        <w:rPr>
          <w:rFonts w:ascii="Calibri" w:hAnsi="Calibri" w:eastAsia="Calibri" w:cs="Calibri"/>
          <w:sz w:val="24"/>
          <w:szCs w:val="24"/>
        </w:rPr>
        <w:t>,</w:t>
      </w:r>
      <w:r w:rsidRPr="4EF8719D" w:rsidR="428F9E7C">
        <w:rPr>
          <w:rFonts w:ascii="Calibri" w:hAnsi="Calibri" w:eastAsia="Calibri" w:cs="Calibri"/>
          <w:sz w:val="24"/>
          <w:szCs w:val="24"/>
        </w:rPr>
        <w:t xml:space="preserve"> pain ratings, and </w:t>
      </w:r>
      <w:r w:rsidRPr="4EF8719D" w:rsidR="51BAB664">
        <w:rPr>
          <w:rFonts w:ascii="Calibri" w:hAnsi="Calibri" w:eastAsia="Calibri" w:cs="Calibri"/>
          <w:sz w:val="24"/>
          <w:szCs w:val="24"/>
        </w:rPr>
        <w:t>depressive scores</w:t>
      </w:r>
      <w:r w:rsidRPr="4EF8719D" w:rsidR="428F9E7C">
        <w:rPr>
          <w:rFonts w:ascii="Calibri" w:hAnsi="Calibri" w:eastAsia="Calibri" w:cs="Calibri"/>
          <w:sz w:val="24"/>
          <w:szCs w:val="24"/>
        </w:rPr>
        <w:t>.</w:t>
      </w:r>
      <w:r w:rsidRPr="4EF8719D" w:rsidR="51BAB664">
        <w:rPr>
          <w:rFonts w:ascii="Calibri" w:hAnsi="Calibri" w:eastAsia="Calibri" w:cs="Calibri"/>
          <w:sz w:val="24"/>
          <w:szCs w:val="24"/>
        </w:rPr>
        <w:t xml:space="preserve"> </w:t>
      </w:r>
      <w:r w:rsidRPr="4EF8719D" w:rsidR="5B1F81B7">
        <w:rPr>
          <w:rFonts w:ascii="Calibri" w:hAnsi="Calibri" w:eastAsia="Calibri" w:cs="Calibri"/>
          <w:i/>
          <w:iCs/>
          <w:sz w:val="24"/>
          <w:szCs w:val="24"/>
        </w:rPr>
        <w:t>Moderate CRPS</w:t>
      </w:r>
      <w:r w:rsidRPr="4EF8719D" w:rsidR="5B1F81B7">
        <w:rPr>
          <w:rFonts w:ascii="Calibri" w:hAnsi="Calibri" w:eastAsia="Calibri" w:cs="Calibri"/>
          <w:sz w:val="24"/>
          <w:szCs w:val="24"/>
        </w:rPr>
        <w:t xml:space="preserve"> </w:t>
      </w:r>
      <w:r w:rsidR="000433EB">
        <w:rPr>
          <w:rFonts w:ascii="Calibri" w:hAnsi="Calibri" w:eastAsia="Calibri" w:cs="Calibri"/>
          <w:sz w:val="24"/>
          <w:szCs w:val="24"/>
        </w:rPr>
        <w:t xml:space="preserve">patients </w:t>
      </w:r>
      <w:r w:rsidRPr="4EF8719D" w:rsidR="51BAB664">
        <w:rPr>
          <w:rFonts w:ascii="Calibri" w:hAnsi="Calibri" w:eastAsia="Calibri" w:cs="Calibri"/>
          <w:sz w:val="24"/>
          <w:szCs w:val="24"/>
        </w:rPr>
        <w:t>presented a significant impairment in body perception and an increased pain sensitivity to blunt pressure</w:t>
      </w:r>
      <w:r w:rsidRPr="4EF8719D" w:rsidR="4414ADDB">
        <w:rPr>
          <w:rFonts w:ascii="Calibri" w:hAnsi="Calibri" w:eastAsia="Calibri" w:cs="Calibri"/>
          <w:sz w:val="24"/>
          <w:szCs w:val="24"/>
        </w:rPr>
        <w:t xml:space="preserve"> in comparison </w:t>
      </w:r>
      <w:r w:rsidRPr="4EF8719D" w:rsidR="0EB85809">
        <w:rPr>
          <w:rFonts w:ascii="Calibri" w:hAnsi="Calibri" w:eastAsia="Calibri" w:cs="Calibri"/>
          <w:sz w:val="24"/>
          <w:szCs w:val="24"/>
        </w:rPr>
        <w:t xml:space="preserve">to the normative values </w:t>
      </w:r>
      <w:r w:rsidRPr="4EF8719D" w:rsidR="394D9FCF">
        <w:rPr>
          <w:rFonts w:ascii="Calibri" w:hAnsi="Calibri" w:eastAsia="Calibri" w:cs="Calibri"/>
        </w:rPr>
        <w:fldChar w:fldCharType="begin"/>
      </w:r>
      <w:r w:rsidR="00A03CF2">
        <w:rPr>
          <w:rFonts w:ascii="Calibri" w:hAnsi="Calibri" w:eastAsia="Calibri" w:cs="Calibri"/>
        </w:rPr>
        <w:instrText xml:space="preserve"> ADDIN ZOTERO_ITEM CSL_CITATION {"citationID":"Gx9OkWhW","properties":{"formattedCitation":"(Magerl et al., 2010)","plainCitation":"(Magerl et al., 2010)","noteIndex":0},"citationItems":[{"id":103,"uris":["http://zotero.org/users/8514361/items/VLD3SCKI"],"itemData":{"id":103,"type":"article-journal","abstract":"Clinical use of quantitative sensory testing (QST) requires standardization. The German research network on neuropathic pain (DFNS) solves this problem by defining reference data stratified for test site, gender and age for a standardized QST protocol. In this report we have targeted two further problems: how to adjust for age-related sensory changes, and how to compare groups of patients with the reference database. We applied a moving average across ages to define reference values per decade. This analysis revealed that women were more sensitive to heat pain independent of age. In contrast, functions were converging at older age for blunt pressure pain, but diverging for punctate mechanical pain (pin prick). The probability that an individual patient dataset is within the range of normal variability is calculated by z-transform using site-, gender- and age-specific reference data. To compare groups of patients with reference data, we evaluated two techniques: A: paired t-test versus fixed mean; i.e. the reference mean value is considered as the known population mean, B: non-paired t-test versus the reference dataset and number of cases restrained to the same number of cases as the patient data set. Simulations for various sample sizes and variances showed that method B was more conservative than method A. We present a simple way of calculating method B for data that have been z-normalized. This technique makes the DFNS reference data bank applicable for researchers beyond the DFNS community without a need for subsampling of subjects from the database.","container-title":"Pain","DOI":"10.1016/j.pain.2010.07.026","ISSN":"1872-6623","issue":"3","journalAbbreviation":"Pain","language":"eng","note":"PMID: 20965658","page":"598-605","source":"PubMed","title":"Reference data for quantitative sensory testing (QST): refined stratification for age and a novel method for statistical comparison of group data","title-short":"Reference data for quantitative sensory testing (QST)","volume":"151","author":[{"family":"Magerl","given":"Walter"},{"family":"Krumova","given":"Elena K."},{"family":"Baron","given":"Ralf"},{"family":"Tölle","given":"Thomas"},{"family":"Treede","given":"Rolf-Detlef"},{"family":"Maier","given":"Christoph"}],"issued":{"date-parts":[["2010",12]]}}}],"schema":"https://github.com/citation-style-language/schema/raw/master/csl-citation.json"} </w:instrText>
      </w:r>
      <w:r w:rsidRPr="4EF8719D" w:rsidR="394D9FCF">
        <w:rPr>
          <w:rFonts w:ascii="Calibri" w:hAnsi="Calibri" w:eastAsia="Calibri" w:cs="Calibri"/>
        </w:rPr>
        <w:fldChar w:fldCharType="separate"/>
      </w:r>
      <w:r w:rsidRPr="5045E0F5" w:rsidR="008425F7">
        <w:rPr>
          <w:rFonts w:ascii="Calibri" w:hAnsi="Calibri" w:cs="Calibri"/>
          <w:sz w:val="24"/>
          <w:szCs w:val="24"/>
        </w:rPr>
        <w:t>(Magerl et al., 2010)</w:t>
      </w:r>
      <w:r w:rsidRPr="4EF8719D" w:rsidR="394D9FCF">
        <w:rPr>
          <w:rFonts w:ascii="Calibri" w:hAnsi="Calibri" w:eastAsia="Calibri" w:cs="Calibri"/>
        </w:rPr>
        <w:fldChar w:fldCharType="end"/>
      </w:r>
      <w:r w:rsidRPr="4EF8719D" w:rsidR="51BAB664">
        <w:rPr>
          <w:rFonts w:ascii="Calibri" w:hAnsi="Calibri" w:eastAsia="Calibri" w:cs="Calibri"/>
          <w:sz w:val="24"/>
          <w:szCs w:val="24"/>
        </w:rPr>
        <w:t>.</w:t>
      </w:r>
      <w:r w:rsidRPr="4EF8719D" w:rsidR="0CB751C7">
        <w:rPr>
          <w:rFonts w:ascii="Calibri" w:hAnsi="Calibri" w:eastAsia="Calibri" w:cs="Calibri"/>
          <w:sz w:val="24"/>
          <w:szCs w:val="24"/>
        </w:rPr>
        <w:t xml:space="preserve"> This profile showed a significant systematic</w:t>
      </w:r>
      <w:r w:rsidRPr="4EF8719D" w:rsidR="278F5FE4">
        <w:rPr>
          <w:rFonts w:ascii="Calibri" w:hAnsi="Calibri" w:eastAsia="Calibri" w:cs="Calibri"/>
          <w:sz w:val="24"/>
          <w:szCs w:val="24"/>
        </w:rPr>
        <w:t xml:space="preserve"> </w:t>
      </w:r>
      <w:r w:rsidRPr="4EF8719D" w:rsidR="6F5B352F">
        <w:rPr>
          <w:rFonts w:ascii="Calibri" w:hAnsi="Calibri" w:eastAsia="Calibri" w:cs="Calibri"/>
          <w:sz w:val="24"/>
          <w:szCs w:val="24"/>
        </w:rPr>
        <w:t>perceptual</w:t>
      </w:r>
      <w:r w:rsidRPr="4EF8719D" w:rsidR="0CB751C7">
        <w:rPr>
          <w:rFonts w:ascii="Calibri" w:hAnsi="Calibri" w:eastAsia="Calibri" w:cs="Calibri"/>
          <w:sz w:val="24"/>
          <w:szCs w:val="24"/>
        </w:rPr>
        <w:t xml:space="preserve"> bias</w:t>
      </w:r>
      <w:r w:rsidRPr="4EF8719D" w:rsidR="0CB9D521">
        <w:rPr>
          <w:rFonts w:ascii="Calibri" w:hAnsi="Calibri" w:eastAsia="Calibri" w:cs="Calibri"/>
          <w:sz w:val="24"/>
          <w:szCs w:val="24"/>
        </w:rPr>
        <w:t xml:space="preserve"> during TOJ</w:t>
      </w:r>
      <w:r w:rsidRPr="4EF8719D" w:rsidR="2B6A4E3C">
        <w:rPr>
          <w:rFonts w:ascii="Calibri" w:hAnsi="Calibri" w:eastAsia="Calibri" w:cs="Calibri"/>
          <w:sz w:val="24"/>
          <w:szCs w:val="24"/>
        </w:rPr>
        <w:t>,</w:t>
      </w:r>
      <w:r w:rsidRPr="4EF8719D" w:rsidR="278F5FE4">
        <w:rPr>
          <w:rFonts w:ascii="Calibri" w:hAnsi="Calibri" w:eastAsia="Calibri" w:cs="Calibri"/>
          <w:sz w:val="24"/>
          <w:szCs w:val="24"/>
        </w:rPr>
        <w:t xml:space="preserve"> </w:t>
      </w:r>
      <w:r w:rsidRPr="4EF8719D" w:rsidR="558B8B39">
        <w:rPr>
          <w:rFonts w:ascii="Calibri" w:hAnsi="Calibri" w:eastAsia="Calibri" w:cs="Calibri"/>
          <w:sz w:val="24"/>
          <w:szCs w:val="24"/>
        </w:rPr>
        <w:t>suggesting</w:t>
      </w:r>
      <w:r w:rsidRPr="4EF8719D" w:rsidR="0CB751C7">
        <w:rPr>
          <w:rFonts w:ascii="Calibri" w:hAnsi="Calibri" w:eastAsia="Calibri" w:cs="Calibri"/>
          <w:sz w:val="24"/>
          <w:szCs w:val="24"/>
        </w:rPr>
        <w:t xml:space="preserve"> </w:t>
      </w:r>
      <w:r w:rsidRPr="4EF8719D" w:rsidR="4B12ED7D">
        <w:rPr>
          <w:rFonts w:ascii="Calibri" w:hAnsi="Calibri" w:eastAsia="Calibri" w:cs="Calibri"/>
          <w:sz w:val="24"/>
          <w:szCs w:val="24"/>
        </w:rPr>
        <w:t xml:space="preserve">that </w:t>
      </w:r>
      <w:r w:rsidRPr="4EF8719D" w:rsidR="0CB751C7">
        <w:rPr>
          <w:rFonts w:ascii="Calibri" w:hAnsi="Calibri" w:eastAsia="Calibri" w:cs="Calibri"/>
          <w:sz w:val="24"/>
          <w:szCs w:val="24"/>
        </w:rPr>
        <w:t>participants pa</w:t>
      </w:r>
      <w:r w:rsidRPr="4EF8719D" w:rsidR="3622BED2">
        <w:rPr>
          <w:rFonts w:ascii="Calibri" w:hAnsi="Calibri" w:eastAsia="Calibri" w:cs="Calibri"/>
          <w:sz w:val="24"/>
          <w:szCs w:val="24"/>
        </w:rPr>
        <w:t>id</w:t>
      </w:r>
      <w:r w:rsidRPr="4EF8719D" w:rsidR="0CB751C7">
        <w:rPr>
          <w:rFonts w:ascii="Calibri" w:hAnsi="Calibri" w:eastAsia="Calibri" w:cs="Calibri"/>
          <w:sz w:val="24"/>
          <w:szCs w:val="24"/>
        </w:rPr>
        <w:t xml:space="preserve"> more attention to the unaffected limb </w:t>
      </w:r>
      <w:r w:rsidRPr="701C51EA" w:rsidR="076D014E">
        <w:rPr>
          <w:rFonts w:ascii="Calibri" w:hAnsi="Calibri" w:eastAsia="Calibri" w:cs="Calibri"/>
          <w:sz w:val="24"/>
          <w:szCs w:val="24"/>
        </w:rPr>
        <w:t>than to the affected limb</w:t>
      </w:r>
      <w:r w:rsidRPr="701C51EA" w:rsidR="0398A21D">
        <w:rPr>
          <w:rFonts w:ascii="Calibri" w:hAnsi="Calibri" w:eastAsia="Calibri" w:cs="Calibri"/>
          <w:sz w:val="24"/>
          <w:szCs w:val="24"/>
        </w:rPr>
        <w:t xml:space="preserve"> </w:t>
      </w:r>
      <w:r w:rsidRPr="4EF8719D" w:rsidR="097285DB">
        <w:rPr>
          <w:rFonts w:ascii="Calibri" w:hAnsi="Calibri" w:eastAsia="Calibri" w:cs="Calibri"/>
          <w:sz w:val="24"/>
          <w:szCs w:val="24"/>
        </w:rPr>
        <w:t xml:space="preserve">(see Table </w:t>
      </w:r>
      <w:r w:rsidRPr="5045E0F5" w:rsidR="6C8A3197">
        <w:rPr>
          <w:rFonts w:ascii="Calibri" w:hAnsi="Calibri" w:eastAsia="Calibri" w:cs="Calibri"/>
          <w:sz w:val="24"/>
          <w:szCs w:val="24"/>
        </w:rPr>
        <w:t>5</w:t>
      </w:r>
      <w:r w:rsidRPr="4EF8719D" w:rsidR="097285DB">
        <w:rPr>
          <w:rFonts w:ascii="Calibri" w:hAnsi="Calibri" w:eastAsia="Calibri" w:cs="Calibri"/>
          <w:sz w:val="24"/>
          <w:szCs w:val="24"/>
        </w:rPr>
        <w:t xml:space="preserve"> and </w:t>
      </w:r>
      <w:r w:rsidRPr="4EF8719D" w:rsidR="4C6C166A">
        <w:rPr>
          <w:i/>
          <w:iCs/>
          <w:sz w:val="24"/>
          <w:szCs w:val="24"/>
        </w:rPr>
        <w:t>Supplementary materials</w:t>
      </w:r>
      <w:r w:rsidRPr="4EF8719D" w:rsidR="4C6C166A">
        <w:rPr>
          <w:rFonts w:ascii="Calibri" w:hAnsi="Calibri" w:eastAsia="Calibri" w:cs="Calibri"/>
          <w:i/>
          <w:iCs/>
          <w:sz w:val="24"/>
          <w:szCs w:val="24"/>
        </w:rPr>
        <w:t xml:space="preserve"> </w:t>
      </w:r>
      <w:r w:rsidRPr="4EF8719D" w:rsidR="097285DB">
        <w:rPr>
          <w:rFonts w:ascii="Calibri" w:hAnsi="Calibri" w:eastAsia="Calibri" w:cs="Calibri"/>
          <w:i/>
          <w:iCs/>
          <w:sz w:val="24"/>
          <w:szCs w:val="24"/>
        </w:rPr>
        <w:t>3</w:t>
      </w:r>
      <w:r w:rsidRPr="4EF8719D" w:rsidR="3D5088B4">
        <w:rPr>
          <w:rFonts w:ascii="Calibri" w:hAnsi="Calibri" w:eastAsia="Calibri" w:cs="Calibri"/>
          <w:i/>
          <w:iCs/>
          <w:sz w:val="24"/>
          <w:szCs w:val="24"/>
        </w:rPr>
        <w:t>. TOJ results</w:t>
      </w:r>
      <w:r w:rsidRPr="4EF8719D" w:rsidR="097285DB">
        <w:rPr>
          <w:rFonts w:ascii="Calibri" w:hAnsi="Calibri" w:eastAsia="Calibri" w:cs="Calibri"/>
          <w:sz w:val="24"/>
          <w:szCs w:val="24"/>
        </w:rPr>
        <w:t xml:space="preserve"> </w:t>
      </w:r>
      <w:r w:rsidR="0070456C">
        <w:rPr>
          <w:rFonts w:ascii="Calibri" w:hAnsi="Calibri" w:eastAsia="Calibri" w:cs="Calibri"/>
          <w:i/>
          <w:iCs/>
          <w:sz w:val="24"/>
          <w:szCs w:val="24"/>
        </w:rPr>
        <w:t xml:space="preserve">[tableS1] </w:t>
      </w:r>
      <w:r w:rsidRPr="4EF8719D" w:rsidR="097285DB">
        <w:rPr>
          <w:rFonts w:ascii="Calibri" w:hAnsi="Calibri" w:eastAsia="Calibri" w:cs="Calibri"/>
          <w:sz w:val="24"/>
          <w:szCs w:val="24"/>
        </w:rPr>
        <w:t>for statistical results).</w:t>
      </w:r>
    </w:p>
    <w:p w:rsidRPr="00E727B8" w:rsidR="00D45BED" w:rsidP="3A5E4D47" w:rsidRDefault="770A7B6F" w14:paraId="64FD62DB" w14:textId="3612A407">
      <w:pPr>
        <w:spacing w:line="480" w:lineRule="auto"/>
        <w:jc w:val="both"/>
        <w:rPr>
          <w:rFonts w:ascii="Calibri" w:hAnsi="Calibri" w:eastAsia="Calibri" w:cs="Calibri"/>
          <w:sz w:val="24"/>
          <w:szCs w:val="24"/>
        </w:rPr>
      </w:pPr>
      <w:proofErr w:type="spellStart"/>
      <w:r w:rsidRPr="4EF8719D">
        <w:rPr>
          <w:rFonts w:ascii="Calibri" w:hAnsi="Calibri" w:eastAsia="Calibri" w:cs="Calibri"/>
          <w:sz w:val="24"/>
          <w:szCs w:val="24"/>
        </w:rPr>
        <w:t>LCA</w:t>
      </w:r>
      <w:proofErr w:type="spellEnd"/>
      <w:r w:rsidRPr="4EF8719D" w:rsidR="1AF8A8EA">
        <w:rPr>
          <w:rFonts w:ascii="Calibri" w:hAnsi="Calibri" w:eastAsia="Calibri" w:cs="Calibri"/>
          <w:sz w:val="24"/>
          <w:szCs w:val="24"/>
        </w:rPr>
        <w:t xml:space="preserve"> identified </w:t>
      </w:r>
      <w:r w:rsidRPr="4EF8719D" w:rsidR="36F5CCC3">
        <w:rPr>
          <w:rFonts w:ascii="Calibri" w:hAnsi="Calibri" w:eastAsia="Calibri" w:cs="Calibri"/>
          <w:sz w:val="24"/>
          <w:szCs w:val="24"/>
        </w:rPr>
        <w:t xml:space="preserve">two </w:t>
      </w:r>
      <w:r w:rsidRPr="4EF8719D" w:rsidR="4B52DFF3">
        <w:rPr>
          <w:rFonts w:ascii="Calibri" w:hAnsi="Calibri" w:eastAsia="Calibri" w:cs="Calibri"/>
          <w:sz w:val="24"/>
          <w:szCs w:val="24"/>
        </w:rPr>
        <w:t>last profiles</w:t>
      </w:r>
      <w:r w:rsidRPr="4EF8719D" w:rsidR="1041356B">
        <w:rPr>
          <w:rFonts w:ascii="Calibri" w:hAnsi="Calibri" w:eastAsia="Calibri" w:cs="Calibri"/>
          <w:sz w:val="24"/>
          <w:szCs w:val="24"/>
        </w:rPr>
        <w:t xml:space="preserve"> of </w:t>
      </w:r>
      <w:r w:rsidRPr="4EF8719D" w:rsidR="1041356B">
        <w:rPr>
          <w:rFonts w:ascii="Calibri" w:hAnsi="Calibri" w:eastAsia="Calibri" w:cs="Calibri"/>
          <w:i/>
          <w:iCs/>
          <w:sz w:val="24"/>
          <w:szCs w:val="24"/>
        </w:rPr>
        <w:t xml:space="preserve">severe </w:t>
      </w:r>
      <w:r w:rsidRPr="4EF8719D" w:rsidR="1041356B">
        <w:rPr>
          <w:rFonts w:ascii="Calibri" w:hAnsi="Calibri" w:eastAsia="Calibri" w:cs="Calibri"/>
          <w:sz w:val="24"/>
          <w:szCs w:val="24"/>
        </w:rPr>
        <w:t>CRPS</w:t>
      </w:r>
      <w:r w:rsidRPr="4EF8719D" w:rsidR="5E75D6A1">
        <w:rPr>
          <w:rFonts w:ascii="Calibri" w:hAnsi="Calibri" w:eastAsia="Calibri" w:cs="Calibri"/>
          <w:sz w:val="24"/>
          <w:szCs w:val="24"/>
        </w:rPr>
        <w:t xml:space="preserve">: </w:t>
      </w:r>
      <w:r w:rsidRPr="00F31286" w:rsidR="00F31286">
        <w:rPr>
          <w:rFonts w:ascii="Calibri" w:hAnsi="Calibri" w:eastAsia="Calibri" w:cs="Calibri"/>
          <w:i/>
          <w:iCs/>
          <w:color w:val="FF0000"/>
          <w:sz w:val="24"/>
          <w:szCs w:val="24"/>
        </w:rPr>
        <w:t>body representation disturbance (BRD)</w:t>
      </w:r>
      <w:r w:rsidR="0083495D">
        <w:rPr>
          <w:rFonts w:ascii="Calibri" w:hAnsi="Calibri" w:eastAsia="Calibri" w:cs="Calibri"/>
          <w:i/>
          <w:iCs/>
          <w:color w:val="FF0000"/>
          <w:sz w:val="24"/>
          <w:szCs w:val="24"/>
        </w:rPr>
        <w:t xml:space="preserve"> </w:t>
      </w:r>
      <w:r w:rsidRPr="00F31286" w:rsidR="3BECD6A7">
        <w:rPr>
          <w:rFonts w:ascii="Calibri" w:hAnsi="Calibri" w:eastAsia="Calibri" w:cs="Calibri"/>
          <w:i/>
          <w:iCs/>
          <w:color w:val="FF0000"/>
          <w:sz w:val="24"/>
          <w:szCs w:val="24"/>
        </w:rPr>
        <w:t>CRPS</w:t>
      </w:r>
      <w:r w:rsidRPr="00F31286" w:rsidR="3BECD6A7">
        <w:rPr>
          <w:rFonts w:ascii="Calibri" w:hAnsi="Calibri" w:eastAsia="Calibri" w:cs="Calibri"/>
          <w:color w:val="FF0000"/>
          <w:sz w:val="24"/>
          <w:szCs w:val="24"/>
        </w:rPr>
        <w:t xml:space="preserve"> </w:t>
      </w:r>
      <w:r w:rsidRPr="4EF8719D" w:rsidR="3BECD6A7">
        <w:rPr>
          <w:rFonts w:ascii="Calibri" w:hAnsi="Calibri" w:eastAsia="Calibri" w:cs="Calibri"/>
          <w:sz w:val="24"/>
          <w:szCs w:val="24"/>
        </w:rPr>
        <w:t>(</w:t>
      </w:r>
      <w:r w:rsidRPr="4EF8719D" w:rsidR="3276B356">
        <w:rPr>
          <w:rFonts w:ascii="Calibri" w:hAnsi="Calibri" w:eastAsia="Calibri" w:cs="Calibri"/>
          <w:sz w:val="24"/>
          <w:szCs w:val="24"/>
        </w:rPr>
        <w:t>n=</w:t>
      </w:r>
      <w:r w:rsidRPr="4EF8719D" w:rsidR="3BECD6A7">
        <w:rPr>
          <w:rFonts w:ascii="Calibri" w:hAnsi="Calibri" w:eastAsia="Calibri" w:cs="Calibri"/>
          <w:sz w:val="24"/>
          <w:szCs w:val="24"/>
        </w:rPr>
        <w:t xml:space="preserve">20) and </w:t>
      </w:r>
      <w:r w:rsidRPr="4EF8719D" w:rsidR="3BECD6A7">
        <w:rPr>
          <w:rFonts w:ascii="Calibri" w:hAnsi="Calibri" w:eastAsia="Calibri" w:cs="Calibri"/>
          <w:i/>
          <w:iCs/>
          <w:sz w:val="24"/>
          <w:szCs w:val="24"/>
        </w:rPr>
        <w:t>Pressure allodynia CRPS</w:t>
      </w:r>
      <w:r w:rsidRPr="4EF8719D" w:rsidR="3BECD6A7">
        <w:rPr>
          <w:rFonts w:ascii="Calibri" w:hAnsi="Calibri" w:eastAsia="Calibri" w:cs="Calibri"/>
          <w:sz w:val="24"/>
          <w:szCs w:val="24"/>
        </w:rPr>
        <w:t xml:space="preserve"> (</w:t>
      </w:r>
      <w:r w:rsidRPr="4EF8719D" w:rsidR="3276B356">
        <w:rPr>
          <w:rFonts w:ascii="Calibri" w:hAnsi="Calibri" w:eastAsia="Calibri" w:cs="Calibri"/>
          <w:sz w:val="24"/>
          <w:szCs w:val="24"/>
        </w:rPr>
        <w:t>n=</w:t>
      </w:r>
      <w:r w:rsidRPr="4EF8719D" w:rsidR="3BECD6A7">
        <w:rPr>
          <w:rFonts w:ascii="Calibri" w:hAnsi="Calibri" w:eastAsia="Calibri" w:cs="Calibri"/>
          <w:sz w:val="24"/>
          <w:szCs w:val="24"/>
        </w:rPr>
        <w:t xml:space="preserve">12). </w:t>
      </w:r>
      <w:r w:rsidRPr="4EF8719D" w:rsidR="5B18490C">
        <w:rPr>
          <w:rFonts w:ascii="Calibri" w:hAnsi="Calibri" w:eastAsia="Calibri" w:cs="Calibri"/>
          <w:sz w:val="24"/>
          <w:szCs w:val="24"/>
        </w:rPr>
        <w:t xml:space="preserve">In comparison with the two first </w:t>
      </w:r>
      <w:r w:rsidRPr="4EF8719D" w:rsidR="2CA8F49C">
        <w:rPr>
          <w:rFonts w:ascii="Calibri" w:hAnsi="Calibri" w:eastAsia="Calibri" w:cs="Calibri"/>
          <w:sz w:val="24"/>
          <w:szCs w:val="24"/>
        </w:rPr>
        <w:t>profiles</w:t>
      </w:r>
      <w:r w:rsidRPr="4EF8719D" w:rsidR="5B18490C">
        <w:rPr>
          <w:rFonts w:ascii="Calibri" w:hAnsi="Calibri" w:eastAsia="Calibri" w:cs="Calibri"/>
          <w:sz w:val="24"/>
          <w:szCs w:val="24"/>
        </w:rPr>
        <w:t>, the</w:t>
      </w:r>
      <w:r w:rsidRPr="4EF8719D" w:rsidR="3BECD6A7">
        <w:rPr>
          <w:rFonts w:ascii="Calibri" w:hAnsi="Calibri" w:eastAsia="Calibri" w:cs="Calibri"/>
          <w:sz w:val="24"/>
          <w:szCs w:val="24"/>
        </w:rPr>
        <w:t>y</w:t>
      </w:r>
      <w:r w:rsidRPr="4EF8719D" w:rsidR="5B18490C">
        <w:rPr>
          <w:rFonts w:ascii="Calibri" w:hAnsi="Calibri" w:eastAsia="Calibri" w:cs="Calibri"/>
          <w:sz w:val="24"/>
          <w:szCs w:val="24"/>
        </w:rPr>
        <w:t xml:space="preserve"> </w:t>
      </w:r>
      <w:r w:rsidRPr="4EF8719D" w:rsidR="6096A0DB">
        <w:rPr>
          <w:rFonts w:ascii="Calibri" w:hAnsi="Calibri" w:eastAsia="Calibri" w:cs="Calibri"/>
          <w:sz w:val="24"/>
          <w:szCs w:val="24"/>
        </w:rPr>
        <w:t xml:space="preserve">both </w:t>
      </w:r>
      <w:r w:rsidRPr="4EF8719D" w:rsidR="5B18490C">
        <w:rPr>
          <w:rFonts w:ascii="Calibri" w:hAnsi="Calibri" w:eastAsia="Calibri" w:cs="Calibri"/>
          <w:sz w:val="24"/>
          <w:szCs w:val="24"/>
        </w:rPr>
        <w:t>reported poorer outcomes in all measures</w:t>
      </w:r>
      <w:r w:rsidRPr="4EF8719D" w:rsidR="5BFD0422">
        <w:rPr>
          <w:rFonts w:ascii="Calibri" w:hAnsi="Calibri" w:eastAsia="Calibri" w:cs="Calibri"/>
          <w:sz w:val="24"/>
          <w:szCs w:val="24"/>
        </w:rPr>
        <w:t xml:space="preserve">. </w:t>
      </w:r>
      <w:r w:rsidRPr="5045E0F5" w:rsidR="6251AF45">
        <w:rPr>
          <w:rFonts w:ascii="Calibri" w:hAnsi="Calibri" w:eastAsia="Calibri" w:cs="Calibri"/>
          <w:sz w:val="24"/>
          <w:szCs w:val="24"/>
        </w:rPr>
        <w:t xml:space="preserve">The </w:t>
      </w:r>
      <w:r w:rsidRPr="00141E52" w:rsidR="5BA3C22A">
        <w:rPr>
          <w:rFonts w:ascii="Calibri" w:hAnsi="Calibri" w:eastAsia="Calibri" w:cs="Calibri"/>
          <w:i/>
          <w:iCs/>
          <w:color w:val="FF0000"/>
          <w:sz w:val="24"/>
          <w:szCs w:val="24"/>
        </w:rPr>
        <w:t>BRD</w:t>
      </w:r>
      <w:r w:rsidRPr="00141E52" w:rsidR="00141E52">
        <w:rPr>
          <w:rFonts w:ascii="Calibri" w:hAnsi="Calibri" w:eastAsia="Calibri" w:cs="Calibri"/>
          <w:i/>
          <w:iCs/>
          <w:color w:val="FF0000"/>
          <w:sz w:val="24"/>
          <w:szCs w:val="24"/>
        </w:rPr>
        <w:t xml:space="preserve"> </w:t>
      </w:r>
      <w:r w:rsidRPr="4EF8719D" w:rsidR="06386B95">
        <w:rPr>
          <w:rFonts w:ascii="Calibri" w:hAnsi="Calibri" w:eastAsia="Calibri" w:cs="Calibri"/>
          <w:i/>
          <w:iCs/>
          <w:sz w:val="24"/>
          <w:szCs w:val="24"/>
        </w:rPr>
        <w:t>CRPS</w:t>
      </w:r>
      <w:r w:rsidRPr="4EF8719D" w:rsidR="75364185">
        <w:rPr>
          <w:rFonts w:ascii="Calibri" w:hAnsi="Calibri" w:eastAsia="Calibri" w:cs="Calibri"/>
          <w:sz w:val="24"/>
          <w:szCs w:val="24"/>
        </w:rPr>
        <w:t xml:space="preserve"> </w:t>
      </w:r>
      <w:r w:rsidRPr="4EF8719D" w:rsidR="5BFD0422">
        <w:rPr>
          <w:rFonts w:ascii="Calibri" w:hAnsi="Calibri" w:eastAsia="Calibri" w:cs="Calibri"/>
          <w:sz w:val="24"/>
          <w:szCs w:val="24"/>
        </w:rPr>
        <w:t>profile</w:t>
      </w:r>
      <w:r w:rsidRPr="4EF8719D" w:rsidR="75364185">
        <w:rPr>
          <w:rFonts w:ascii="Calibri" w:hAnsi="Calibri" w:eastAsia="Calibri" w:cs="Calibri"/>
          <w:sz w:val="24"/>
          <w:szCs w:val="24"/>
        </w:rPr>
        <w:t xml:space="preserve"> </w:t>
      </w:r>
      <w:r w:rsidRPr="4EF8719D" w:rsidR="22440F2B">
        <w:rPr>
          <w:rFonts w:ascii="Calibri" w:hAnsi="Calibri" w:eastAsia="Calibri" w:cs="Calibri"/>
          <w:sz w:val="24"/>
          <w:szCs w:val="24"/>
        </w:rPr>
        <w:t>was composed of CRPS</w:t>
      </w:r>
      <w:r w:rsidRPr="4EF8719D" w:rsidR="16C977B3">
        <w:rPr>
          <w:rFonts w:ascii="Calibri" w:hAnsi="Calibri" w:eastAsia="Calibri" w:cs="Calibri"/>
          <w:sz w:val="24"/>
          <w:szCs w:val="24"/>
        </w:rPr>
        <w:t xml:space="preserve"> triggered by various events, but</w:t>
      </w:r>
      <w:r w:rsidRPr="4EF8719D" w:rsidR="22440F2B">
        <w:rPr>
          <w:rFonts w:eastAsiaTheme="minorEastAsia"/>
          <w:sz w:val="24"/>
          <w:szCs w:val="24"/>
        </w:rPr>
        <w:t xml:space="preserve"> mostly by elective surgery.</w:t>
      </w:r>
      <w:r w:rsidRPr="4EF8719D" w:rsidR="305B1A3A">
        <w:rPr>
          <w:rFonts w:eastAsiaTheme="minorEastAsia"/>
          <w:sz w:val="24"/>
          <w:szCs w:val="24"/>
        </w:rPr>
        <w:t xml:space="preserve"> </w:t>
      </w:r>
      <w:r w:rsidRPr="4EF8719D" w:rsidR="22440F2B">
        <w:rPr>
          <w:rFonts w:eastAsiaTheme="minorEastAsia"/>
          <w:sz w:val="24"/>
          <w:szCs w:val="24"/>
        </w:rPr>
        <w:t>A</w:t>
      </w:r>
      <w:r w:rsidRPr="4EF8719D" w:rsidR="6251AF45">
        <w:rPr>
          <w:rFonts w:eastAsiaTheme="minorEastAsia"/>
          <w:sz w:val="24"/>
          <w:szCs w:val="24"/>
        </w:rPr>
        <w:t>llodynia was highly prevalent</w:t>
      </w:r>
      <w:r w:rsidRPr="4EF8719D" w:rsidR="06386B95">
        <w:rPr>
          <w:rFonts w:eastAsiaTheme="minorEastAsia"/>
          <w:sz w:val="24"/>
          <w:szCs w:val="24"/>
        </w:rPr>
        <w:t xml:space="preserve">, </w:t>
      </w:r>
      <w:r w:rsidRPr="4EF8719D" w:rsidR="58EFEBB6">
        <w:rPr>
          <w:rFonts w:eastAsiaTheme="minorEastAsia"/>
          <w:sz w:val="24"/>
          <w:szCs w:val="24"/>
        </w:rPr>
        <w:t xml:space="preserve">and </w:t>
      </w:r>
      <w:r w:rsidRPr="4EF8719D" w:rsidR="06386B95">
        <w:rPr>
          <w:rFonts w:eastAsiaTheme="minorEastAsia"/>
          <w:sz w:val="24"/>
          <w:szCs w:val="24"/>
        </w:rPr>
        <w:t>CSS</w:t>
      </w:r>
      <w:r w:rsidRPr="4EF8719D" w:rsidR="22440F2B">
        <w:rPr>
          <w:rFonts w:eastAsiaTheme="minorEastAsia"/>
          <w:sz w:val="24"/>
          <w:szCs w:val="24"/>
        </w:rPr>
        <w:t xml:space="preserve"> score</w:t>
      </w:r>
      <w:r w:rsidRPr="4EF8719D" w:rsidR="06386B95">
        <w:rPr>
          <w:rFonts w:eastAsiaTheme="minorEastAsia"/>
          <w:sz w:val="24"/>
          <w:szCs w:val="24"/>
        </w:rPr>
        <w:t xml:space="preserve"> was high</w:t>
      </w:r>
      <w:r w:rsidRPr="4EF8719D" w:rsidR="6251AF45">
        <w:rPr>
          <w:rFonts w:eastAsiaTheme="minorEastAsia"/>
          <w:sz w:val="24"/>
          <w:szCs w:val="24"/>
        </w:rPr>
        <w:t>.</w:t>
      </w:r>
      <w:r w:rsidRPr="4EF8719D" w:rsidR="22440F2B">
        <w:rPr>
          <w:rFonts w:eastAsiaTheme="minorEastAsia"/>
          <w:sz w:val="24"/>
          <w:szCs w:val="24"/>
        </w:rPr>
        <w:t xml:space="preserve"> </w:t>
      </w:r>
      <w:r w:rsidRPr="4EF8719D" w:rsidR="584C2D2D">
        <w:rPr>
          <w:rFonts w:eastAsiaTheme="minorEastAsia"/>
          <w:sz w:val="24"/>
          <w:szCs w:val="24"/>
        </w:rPr>
        <w:t xml:space="preserve">Those participants </w:t>
      </w:r>
      <w:r w:rsidRPr="4EF8719D" w:rsidR="6251AF45">
        <w:rPr>
          <w:rFonts w:eastAsiaTheme="minorEastAsia"/>
          <w:sz w:val="24"/>
          <w:szCs w:val="24"/>
        </w:rPr>
        <w:t xml:space="preserve">presented the highest body perception </w:t>
      </w:r>
      <w:r w:rsidRPr="6CFBCA64" w:rsidR="6251AF45">
        <w:rPr>
          <w:rFonts w:eastAsiaTheme="minorEastAsia"/>
          <w:sz w:val="24"/>
          <w:szCs w:val="24"/>
        </w:rPr>
        <w:t>disturbance</w:t>
      </w:r>
      <w:r w:rsidRPr="00141E52" w:rsidR="6296293F">
        <w:rPr>
          <w:rFonts w:eastAsiaTheme="minorEastAsia"/>
          <w:sz w:val="24"/>
          <w:szCs w:val="24"/>
        </w:rPr>
        <w:t>s score</w:t>
      </w:r>
      <w:r w:rsidRPr="4EF8719D" w:rsidR="22440F2B">
        <w:rPr>
          <w:rFonts w:eastAsiaTheme="minorEastAsia"/>
          <w:sz w:val="24"/>
          <w:szCs w:val="24"/>
        </w:rPr>
        <w:t xml:space="preserve"> and pain sensitivity to mechanical stimuli (MPS) </w:t>
      </w:r>
      <w:r w:rsidRPr="4EF8719D" w:rsidR="6251AF45">
        <w:rPr>
          <w:rFonts w:ascii="Calibri" w:hAnsi="Calibri" w:eastAsia="Calibri" w:cs="Calibri"/>
          <w:sz w:val="24"/>
          <w:szCs w:val="24"/>
        </w:rPr>
        <w:t xml:space="preserve">in our sample. </w:t>
      </w:r>
      <w:r w:rsidRPr="4EF8719D" w:rsidR="63D63D66">
        <w:rPr>
          <w:rFonts w:ascii="Calibri" w:hAnsi="Calibri" w:eastAsia="Calibri" w:cs="Calibri"/>
          <w:sz w:val="24"/>
          <w:szCs w:val="24"/>
        </w:rPr>
        <w:t>The</w:t>
      </w:r>
      <w:r w:rsidRPr="4EF8719D" w:rsidR="6223AA6E">
        <w:rPr>
          <w:rFonts w:ascii="Calibri" w:hAnsi="Calibri" w:eastAsia="Calibri" w:cs="Calibri"/>
          <w:sz w:val="24"/>
          <w:szCs w:val="24"/>
        </w:rPr>
        <w:t xml:space="preserve"> </w:t>
      </w:r>
      <w:r w:rsidRPr="4EF8719D" w:rsidR="5E9F040A">
        <w:rPr>
          <w:rFonts w:ascii="Calibri" w:hAnsi="Calibri" w:eastAsia="Calibri" w:cs="Calibri"/>
          <w:i/>
          <w:iCs/>
          <w:sz w:val="24"/>
          <w:szCs w:val="24"/>
        </w:rPr>
        <w:t>Pressure</w:t>
      </w:r>
      <w:r w:rsidRPr="4EF8719D" w:rsidR="22440F2B">
        <w:rPr>
          <w:rFonts w:ascii="Calibri" w:hAnsi="Calibri" w:eastAsia="Calibri" w:cs="Calibri"/>
          <w:i/>
          <w:iCs/>
          <w:sz w:val="24"/>
          <w:szCs w:val="24"/>
        </w:rPr>
        <w:t xml:space="preserve"> Allodynia</w:t>
      </w:r>
      <w:r w:rsidRPr="4EF8719D" w:rsidR="3505A2C5">
        <w:rPr>
          <w:rFonts w:ascii="Calibri" w:hAnsi="Calibri" w:eastAsia="Calibri" w:cs="Calibri"/>
          <w:i/>
          <w:iCs/>
          <w:sz w:val="24"/>
          <w:szCs w:val="24"/>
        </w:rPr>
        <w:t xml:space="preserve"> CRPS</w:t>
      </w:r>
      <w:r w:rsidRPr="4EF8719D" w:rsidR="519F1685">
        <w:rPr>
          <w:rFonts w:ascii="Calibri" w:hAnsi="Calibri" w:eastAsia="Calibri" w:cs="Calibri"/>
          <w:sz w:val="24"/>
          <w:szCs w:val="24"/>
        </w:rPr>
        <w:t xml:space="preserve"> </w:t>
      </w:r>
      <w:r w:rsidRPr="4EF8719D" w:rsidR="77EDBA15">
        <w:rPr>
          <w:rFonts w:ascii="Calibri" w:hAnsi="Calibri" w:eastAsia="Calibri" w:cs="Calibri"/>
          <w:sz w:val="24"/>
          <w:szCs w:val="24"/>
        </w:rPr>
        <w:t xml:space="preserve">profile </w:t>
      </w:r>
      <w:r w:rsidRPr="4EF8719D" w:rsidR="6984D806">
        <w:rPr>
          <w:rFonts w:ascii="Calibri" w:hAnsi="Calibri" w:eastAsia="Calibri" w:cs="Calibri"/>
          <w:sz w:val="24"/>
          <w:szCs w:val="24"/>
        </w:rPr>
        <w:t xml:space="preserve">is </w:t>
      </w:r>
      <w:r w:rsidRPr="4EF8719D" w:rsidR="23B97605">
        <w:rPr>
          <w:rFonts w:ascii="Calibri" w:hAnsi="Calibri" w:eastAsia="Calibri" w:cs="Calibri"/>
          <w:sz w:val="24"/>
          <w:szCs w:val="24"/>
        </w:rPr>
        <w:t>composed of younger sub</w:t>
      </w:r>
      <w:r w:rsidRPr="4EF8719D" w:rsidR="22440F2B">
        <w:rPr>
          <w:rFonts w:ascii="Calibri" w:hAnsi="Calibri" w:eastAsia="Calibri" w:cs="Calibri"/>
          <w:sz w:val="24"/>
          <w:szCs w:val="24"/>
        </w:rPr>
        <w:t>jects</w:t>
      </w:r>
      <w:r w:rsidRPr="4EF8719D" w:rsidR="3CC448D3">
        <w:rPr>
          <w:rFonts w:ascii="Calibri" w:hAnsi="Calibri" w:eastAsia="Calibri" w:cs="Calibri"/>
          <w:sz w:val="24"/>
          <w:szCs w:val="24"/>
        </w:rPr>
        <w:t xml:space="preserve"> than </w:t>
      </w:r>
      <w:r w:rsidR="0087359F">
        <w:rPr>
          <w:rFonts w:ascii="Calibri" w:hAnsi="Calibri" w:eastAsia="Calibri" w:cs="Calibri"/>
          <w:sz w:val="24"/>
          <w:szCs w:val="24"/>
        </w:rPr>
        <w:t xml:space="preserve">the </w:t>
      </w:r>
      <w:r w:rsidRPr="4EF8719D" w:rsidR="3CC448D3">
        <w:rPr>
          <w:rFonts w:ascii="Calibri" w:hAnsi="Calibri" w:eastAsia="Calibri" w:cs="Calibri"/>
          <w:sz w:val="24"/>
          <w:szCs w:val="24"/>
        </w:rPr>
        <w:t xml:space="preserve">other </w:t>
      </w:r>
      <w:r w:rsidRPr="4EF8719D" w:rsidR="40FD6EB8">
        <w:rPr>
          <w:rFonts w:ascii="Calibri" w:hAnsi="Calibri" w:eastAsia="Calibri" w:cs="Calibri"/>
          <w:sz w:val="24"/>
          <w:szCs w:val="24"/>
        </w:rPr>
        <w:t>subgroups</w:t>
      </w:r>
      <w:r w:rsidRPr="4EF8719D" w:rsidR="6ABB1924">
        <w:rPr>
          <w:rFonts w:ascii="Calibri" w:hAnsi="Calibri" w:eastAsia="Calibri" w:cs="Calibri"/>
          <w:sz w:val="24"/>
          <w:szCs w:val="24"/>
        </w:rPr>
        <w:t>.</w:t>
      </w:r>
      <w:r w:rsidRPr="4EF8719D" w:rsidR="63D63D66">
        <w:rPr>
          <w:rFonts w:ascii="Calibri" w:hAnsi="Calibri" w:eastAsia="Calibri" w:cs="Calibri"/>
          <w:sz w:val="24"/>
          <w:szCs w:val="24"/>
        </w:rPr>
        <w:t xml:space="preserve">  The physical intensity of the initial event was low (</w:t>
      </w:r>
      <w:r w:rsidRPr="4EF8719D" w:rsidR="6130C801">
        <w:rPr>
          <w:rFonts w:ascii="Calibri" w:hAnsi="Calibri" w:eastAsia="Calibri" w:cs="Calibri"/>
          <w:sz w:val="24"/>
          <w:szCs w:val="24"/>
        </w:rPr>
        <w:t>almost exclusively</w:t>
      </w:r>
      <w:r w:rsidRPr="4EF8719D" w:rsidR="63D63D66">
        <w:rPr>
          <w:rFonts w:ascii="Calibri" w:hAnsi="Calibri" w:eastAsia="Calibri" w:cs="Calibri"/>
          <w:sz w:val="24"/>
          <w:szCs w:val="24"/>
        </w:rPr>
        <w:t xml:space="preserve"> minor traumas or </w:t>
      </w:r>
      <w:r w:rsidRPr="4EF8719D" w:rsidR="63D63D66">
        <w:rPr>
          <w:rFonts w:ascii="Calibri" w:hAnsi="Calibri" w:eastAsia="Calibri" w:cs="Calibri"/>
          <w:sz w:val="24"/>
          <w:szCs w:val="24"/>
        </w:rPr>
        <w:lastRenderedPageBreak/>
        <w:t xml:space="preserve">elective surgeries). </w:t>
      </w:r>
      <w:r w:rsidRPr="4EF8719D" w:rsidR="11EAF7EA">
        <w:rPr>
          <w:rFonts w:ascii="Calibri" w:hAnsi="Calibri" w:eastAsia="Calibri" w:cs="Calibri"/>
          <w:sz w:val="24"/>
          <w:szCs w:val="24"/>
        </w:rPr>
        <w:t xml:space="preserve"> Allodynia to cold </w:t>
      </w:r>
      <w:r w:rsidRPr="4EF8719D" w:rsidR="379B355C">
        <w:rPr>
          <w:rFonts w:ascii="Calibri" w:hAnsi="Calibri" w:eastAsia="Calibri" w:cs="Calibri"/>
          <w:sz w:val="24"/>
          <w:szCs w:val="24"/>
        </w:rPr>
        <w:t xml:space="preserve">and pressure </w:t>
      </w:r>
      <w:r w:rsidRPr="4EF8719D" w:rsidR="7E856535">
        <w:rPr>
          <w:rFonts w:ascii="Calibri" w:hAnsi="Calibri" w:eastAsia="Calibri" w:cs="Calibri"/>
          <w:sz w:val="24"/>
          <w:szCs w:val="24"/>
        </w:rPr>
        <w:t>w</w:t>
      </w:r>
      <w:r w:rsidRPr="4EF8719D" w:rsidR="3B963FB3">
        <w:rPr>
          <w:rFonts w:ascii="Calibri" w:hAnsi="Calibri" w:eastAsia="Calibri" w:cs="Calibri"/>
          <w:sz w:val="24"/>
          <w:szCs w:val="24"/>
        </w:rPr>
        <w:t xml:space="preserve">ere </w:t>
      </w:r>
      <w:r w:rsidRPr="4EF8719D" w:rsidR="11EAF7EA">
        <w:rPr>
          <w:rFonts w:ascii="Calibri" w:hAnsi="Calibri" w:eastAsia="Calibri" w:cs="Calibri"/>
          <w:sz w:val="24"/>
          <w:szCs w:val="24"/>
        </w:rPr>
        <w:t xml:space="preserve">often found. </w:t>
      </w:r>
      <w:r w:rsidRPr="4EF8719D" w:rsidR="401A30AC">
        <w:rPr>
          <w:rFonts w:ascii="Calibri" w:hAnsi="Calibri" w:eastAsia="Calibri" w:cs="Calibri"/>
          <w:sz w:val="24"/>
          <w:szCs w:val="24"/>
        </w:rPr>
        <w:t xml:space="preserve">They </w:t>
      </w:r>
      <w:r w:rsidRPr="4EF8719D" w:rsidR="63D63D66">
        <w:rPr>
          <w:rFonts w:ascii="Calibri" w:hAnsi="Calibri" w:eastAsia="Calibri" w:cs="Calibri"/>
          <w:sz w:val="24"/>
          <w:szCs w:val="24"/>
        </w:rPr>
        <w:t xml:space="preserve">presented </w:t>
      </w:r>
      <w:r w:rsidRPr="4EF8719D" w:rsidR="11EAF7EA">
        <w:rPr>
          <w:rFonts w:ascii="Calibri" w:hAnsi="Calibri" w:eastAsia="Calibri" w:cs="Calibri"/>
          <w:sz w:val="24"/>
          <w:szCs w:val="24"/>
        </w:rPr>
        <w:t xml:space="preserve">similar body perception disturbances than the </w:t>
      </w:r>
      <w:r w:rsidRPr="4EF8719D" w:rsidR="179408A9">
        <w:rPr>
          <w:rFonts w:ascii="Calibri" w:hAnsi="Calibri" w:eastAsia="Calibri" w:cs="Calibri"/>
          <w:i/>
          <w:iCs/>
          <w:sz w:val="24"/>
          <w:szCs w:val="24"/>
        </w:rPr>
        <w:t>Moderate CRPS</w:t>
      </w:r>
      <w:r w:rsidRPr="4EF8719D" w:rsidR="3765AB27">
        <w:rPr>
          <w:rFonts w:ascii="Calibri" w:hAnsi="Calibri" w:eastAsia="Calibri" w:cs="Calibri"/>
          <w:sz w:val="24"/>
          <w:szCs w:val="24"/>
        </w:rPr>
        <w:t xml:space="preserve"> </w:t>
      </w:r>
      <w:r w:rsidRPr="4EF8719D" w:rsidR="6EB2F0D4">
        <w:rPr>
          <w:rFonts w:ascii="Calibri" w:hAnsi="Calibri" w:eastAsia="Calibri" w:cs="Calibri"/>
          <w:sz w:val="24"/>
          <w:szCs w:val="24"/>
        </w:rPr>
        <w:t>profile</w:t>
      </w:r>
      <w:r w:rsidRPr="4EF8719D" w:rsidR="11EAF7EA">
        <w:rPr>
          <w:rFonts w:ascii="Calibri" w:hAnsi="Calibri" w:eastAsia="Calibri" w:cs="Calibri"/>
          <w:sz w:val="24"/>
          <w:szCs w:val="24"/>
        </w:rPr>
        <w:t xml:space="preserve">. </w:t>
      </w:r>
      <w:proofErr w:type="spellStart"/>
      <w:r w:rsidRPr="4EF8719D" w:rsidR="09233228">
        <w:rPr>
          <w:rFonts w:ascii="Calibri" w:hAnsi="Calibri" w:eastAsia="Calibri" w:cs="Calibri"/>
          <w:sz w:val="24"/>
          <w:szCs w:val="24"/>
        </w:rPr>
        <w:t>OMPSQ</w:t>
      </w:r>
      <w:proofErr w:type="spellEnd"/>
      <w:r w:rsidRPr="4EF8719D" w:rsidR="09233228">
        <w:rPr>
          <w:rFonts w:ascii="Calibri" w:hAnsi="Calibri" w:eastAsia="Calibri" w:cs="Calibri"/>
          <w:sz w:val="24"/>
          <w:szCs w:val="24"/>
        </w:rPr>
        <w:t xml:space="preserve">-SF score was the highest of the four </w:t>
      </w:r>
      <w:r w:rsidRPr="4EF8719D" w:rsidR="7E856535">
        <w:rPr>
          <w:rFonts w:ascii="Calibri" w:hAnsi="Calibri" w:eastAsia="Calibri" w:cs="Calibri"/>
          <w:sz w:val="24"/>
          <w:szCs w:val="24"/>
        </w:rPr>
        <w:t>profiles</w:t>
      </w:r>
      <w:r w:rsidRPr="4EF8719D" w:rsidR="09233228">
        <w:rPr>
          <w:rFonts w:ascii="Calibri" w:hAnsi="Calibri" w:eastAsia="Calibri" w:cs="Calibri"/>
          <w:sz w:val="24"/>
          <w:szCs w:val="24"/>
        </w:rPr>
        <w:t xml:space="preserve">. </w:t>
      </w:r>
      <w:r w:rsidRPr="4EF8719D" w:rsidR="55DA5ADE">
        <w:rPr>
          <w:rFonts w:ascii="Calibri" w:hAnsi="Calibri" w:eastAsia="Calibri" w:cs="Calibri"/>
          <w:sz w:val="24"/>
          <w:szCs w:val="24"/>
        </w:rPr>
        <w:t>Those 12 participants</w:t>
      </w:r>
      <w:r w:rsidRPr="4EF8719D" w:rsidR="394658C5">
        <w:rPr>
          <w:rFonts w:ascii="Calibri" w:hAnsi="Calibri" w:eastAsia="Calibri" w:cs="Calibri"/>
          <w:sz w:val="24"/>
          <w:szCs w:val="24"/>
        </w:rPr>
        <w:t xml:space="preserve"> presen</w:t>
      </w:r>
      <w:r w:rsidRPr="4EF8719D" w:rsidR="28CF3151">
        <w:rPr>
          <w:rFonts w:ascii="Calibri" w:hAnsi="Calibri" w:eastAsia="Calibri" w:cs="Calibri"/>
          <w:sz w:val="24"/>
          <w:szCs w:val="24"/>
        </w:rPr>
        <w:t>ted a</w:t>
      </w:r>
      <w:r w:rsidRPr="4EF8719D" w:rsidR="63D63D66">
        <w:rPr>
          <w:rFonts w:ascii="Calibri" w:hAnsi="Calibri" w:eastAsia="Calibri" w:cs="Calibri"/>
          <w:sz w:val="24"/>
          <w:szCs w:val="24"/>
        </w:rPr>
        <w:t xml:space="preserve"> </w:t>
      </w:r>
      <w:r w:rsidRPr="4EF8719D" w:rsidR="55CF7FDD">
        <w:rPr>
          <w:rFonts w:ascii="Calibri" w:hAnsi="Calibri" w:eastAsia="Calibri" w:cs="Calibri"/>
          <w:sz w:val="24"/>
          <w:szCs w:val="24"/>
        </w:rPr>
        <w:t>major sensitivity to blunt pressure</w:t>
      </w:r>
      <w:r w:rsidRPr="4EF8719D" w:rsidR="111D710B">
        <w:rPr>
          <w:rFonts w:ascii="Calibri" w:hAnsi="Calibri" w:eastAsia="Calibri" w:cs="Calibri"/>
          <w:sz w:val="24"/>
          <w:szCs w:val="24"/>
        </w:rPr>
        <w:t xml:space="preserve"> (</w:t>
      </w:r>
      <w:r w:rsidRPr="4EF8719D" w:rsidR="0681E40E">
        <w:rPr>
          <w:rFonts w:ascii="Calibri" w:hAnsi="Calibri" w:eastAsia="Calibri" w:cs="Calibri"/>
          <w:sz w:val="24"/>
          <w:szCs w:val="24"/>
        </w:rPr>
        <w:t xml:space="preserve">on </w:t>
      </w:r>
      <w:r w:rsidRPr="4EF8719D" w:rsidR="0410122D">
        <w:rPr>
          <w:rFonts w:ascii="Calibri" w:hAnsi="Calibri" w:eastAsia="Calibri" w:cs="Calibri"/>
          <w:sz w:val="24"/>
          <w:szCs w:val="24"/>
        </w:rPr>
        <w:t>both sides</w:t>
      </w:r>
      <w:r w:rsidRPr="4EF8719D" w:rsidR="3A574962">
        <w:rPr>
          <w:rFonts w:ascii="Calibri" w:hAnsi="Calibri" w:eastAsia="Calibri" w:cs="Calibri"/>
          <w:sz w:val="24"/>
          <w:szCs w:val="24"/>
        </w:rPr>
        <w:t>), and a significant increase of DMA.</w:t>
      </w:r>
      <w:r w:rsidRPr="4EF8719D" w:rsidR="4431AC6C">
        <w:rPr>
          <w:rFonts w:ascii="Calibri" w:hAnsi="Calibri" w:eastAsia="Calibri" w:cs="Calibri"/>
          <w:sz w:val="24"/>
          <w:szCs w:val="24"/>
        </w:rPr>
        <w:t xml:space="preserve"> </w:t>
      </w:r>
      <w:r w:rsidRPr="4EF8719D" w:rsidR="0D91EF2D">
        <w:rPr>
          <w:rFonts w:ascii="Calibri" w:hAnsi="Calibri" w:eastAsia="Calibri" w:cs="Calibri"/>
          <w:sz w:val="24"/>
          <w:szCs w:val="24"/>
        </w:rPr>
        <w:t xml:space="preserve">In contrast </w:t>
      </w:r>
      <w:r w:rsidRPr="4EF8719D" w:rsidR="6CF7830F">
        <w:rPr>
          <w:rFonts w:ascii="Calibri" w:hAnsi="Calibri" w:eastAsia="Calibri" w:cs="Calibri"/>
          <w:sz w:val="24"/>
          <w:szCs w:val="24"/>
        </w:rPr>
        <w:t xml:space="preserve">to </w:t>
      </w:r>
      <w:r w:rsidRPr="4EF8719D" w:rsidR="6CF7830F">
        <w:rPr>
          <w:rFonts w:ascii="Calibri" w:hAnsi="Calibri" w:eastAsia="Calibri" w:cs="Calibri"/>
          <w:i/>
          <w:iCs/>
          <w:sz w:val="24"/>
          <w:szCs w:val="24"/>
        </w:rPr>
        <w:t>Moderate</w:t>
      </w:r>
      <w:r w:rsidRPr="4EF8719D" w:rsidR="348C0BD6">
        <w:rPr>
          <w:rFonts w:ascii="Calibri" w:hAnsi="Calibri" w:eastAsia="Calibri" w:cs="Calibri"/>
          <w:i/>
          <w:iCs/>
          <w:sz w:val="24"/>
          <w:szCs w:val="24"/>
        </w:rPr>
        <w:t xml:space="preserve"> CRPS</w:t>
      </w:r>
      <w:r w:rsidRPr="4EF8719D" w:rsidR="0D91EF2D">
        <w:rPr>
          <w:rFonts w:ascii="Calibri" w:hAnsi="Calibri" w:eastAsia="Calibri" w:cs="Calibri"/>
          <w:sz w:val="24"/>
          <w:szCs w:val="24"/>
        </w:rPr>
        <w:t xml:space="preserve"> profile</w:t>
      </w:r>
      <w:r w:rsidRPr="4EF8719D" w:rsidR="7E315458">
        <w:rPr>
          <w:rFonts w:ascii="Calibri" w:hAnsi="Calibri" w:eastAsia="Calibri" w:cs="Calibri"/>
          <w:sz w:val="24"/>
          <w:szCs w:val="24"/>
        </w:rPr>
        <w:t>,</w:t>
      </w:r>
      <w:r w:rsidRPr="4EF8719D" w:rsidR="72746124">
        <w:rPr>
          <w:rFonts w:ascii="Calibri" w:hAnsi="Calibri" w:eastAsia="Calibri" w:cs="Calibri"/>
          <w:sz w:val="24"/>
          <w:szCs w:val="24"/>
        </w:rPr>
        <w:t xml:space="preserve"> </w:t>
      </w:r>
      <w:r w:rsidRPr="00141E52" w:rsidR="0087359F">
        <w:rPr>
          <w:rFonts w:ascii="Calibri" w:hAnsi="Calibri" w:eastAsia="Calibri" w:cs="Calibri"/>
          <w:sz w:val="24"/>
          <w:szCs w:val="24"/>
        </w:rPr>
        <w:t xml:space="preserve">the TOJ task identified </w:t>
      </w:r>
      <w:r w:rsidRPr="4EF8719D" w:rsidR="7FCCA3B0">
        <w:rPr>
          <w:rFonts w:ascii="Calibri" w:hAnsi="Calibri" w:eastAsia="Calibri" w:cs="Calibri"/>
          <w:sz w:val="24"/>
          <w:szCs w:val="24"/>
        </w:rPr>
        <w:t xml:space="preserve">a </w:t>
      </w:r>
      <w:r w:rsidRPr="4EF8719D" w:rsidR="49A0055A">
        <w:rPr>
          <w:rFonts w:ascii="Calibri" w:hAnsi="Calibri" w:eastAsia="Calibri" w:cs="Calibri"/>
          <w:sz w:val="24"/>
          <w:szCs w:val="24"/>
        </w:rPr>
        <w:t xml:space="preserve">spatial bias to the </w:t>
      </w:r>
      <w:r w:rsidRPr="4EF8719D" w:rsidR="1C2ED452">
        <w:rPr>
          <w:rFonts w:ascii="Calibri" w:hAnsi="Calibri" w:eastAsia="Calibri" w:cs="Calibri"/>
          <w:sz w:val="24"/>
          <w:szCs w:val="24"/>
        </w:rPr>
        <w:t>detriment</w:t>
      </w:r>
      <w:r w:rsidRPr="4EF8719D" w:rsidR="49A0055A">
        <w:rPr>
          <w:rFonts w:ascii="Calibri" w:hAnsi="Calibri" w:eastAsia="Calibri" w:cs="Calibri"/>
          <w:sz w:val="24"/>
          <w:szCs w:val="24"/>
        </w:rPr>
        <w:t xml:space="preserve"> of the perception of visual </w:t>
      </w:r>
      <w:r w:rsidRPr="4EF8719D" w:rsidR="1C2ED452">
        <w:rPr>
          <w:rFonts w:ascii="Calibri" w:hAnsi="Calibri" w:eastAsia="Calibri" w:cs="Calibri"/>
          <w:sz w:val="24"/>
          <w:szCs w:val="24"/>
        </w:rPr>
        <w:t>stimuli</w:t>
      </w:r>
      <w:r w:rsidRPr="4EF8719D" w:rsidR="49A0055A">
        <w:rPr>
          <w:rFonts w:ascii="Calibri" w:hAnsi="Calibri" w:eastAsia="Calibri" w:cs="Calibri"/>
          <w:sz w:val="24"/>
          <w:szCs w:val="24"/>
        </w:rPr>
        <w:t xml:space="preserve"> occurring in the</w:t>
      </w:r>
      <w:r w:rsidRPr="4EF8719D" w:rsidR="1C2ED452">
        <w:rPr>
          <w:rFonts w:ascii="Calibri" w:hAnsi="Calibri" w:eastAsia="Calibri" w:cs="Calibri"/>
          <w:sz w:val="24"/>
          <w:szCs w:val="24"/>
        </w:rPr>
        <w:t xml:space="preserve"> contralateral side</w:t>
      </w:r>
      <w:r w:rsidRPr="4EF8719D" w:rsidR="43C48002">
        <w:rPr>
          <w:rFonts w:ascii="Calibri" w:hAnsi="Calibri" w:eastAsia="Calibri" w:cs="Calibri"/>
          <w:sz w:val="24"/>
          <w:szCs w:val="24"/>
        </w:rPr>
        <w:t xml:space="preserve">, suggesting </w:t>
      </w:r>
      <w:r w:rsidRPr="4EF8719D" w:rsidR="4238ED68">
        <w:rPr>
          <w:rFonts w:ascii="Calibri" w:hAnsi="Calibri" w:eastAsia="Calibri" w:cs="Calibri"/>
          <w:sz w:val="24"/>
          <w:szCs w:val="24"/>
        </w:rPr>
        <w:t xml:space="preserve">that </w:t>
      </w:r>
      <w:r w:rsidRPr="4EF8719D" w:rsidR="43C48002">
        <w:rPr>
          <w:rFonts w:ascii="Calibri" w:hAnsi="Calibri" w:eastAsia="Calibri" w:cs="Calibri"/>
          <w:sz w:val="24"/>
          <w:szCs w:val="24"/>
        </w:rPr>
        <w:t>patients pa</w:t>
      </w:r>
      <w:r w:rsidRPr="4EF8719D" w:rsidR="2D39EB35">
        <w:rPr>
          <w:rFonts w:ascii="Calibri" w:hAnsi="Calibri" w:eastAsia="Calibri" w:cs="Calibri"/>
          <w:sz w:val="24"/>
          <w:szCs w:val="24"/>
        </w:rPr>
        <w:t>id</w:t>
      </w:r>
      <w:r w:rsidRPr="4EF8719D" w:rsidR="43C48002">
        <w:rPr>
          <w:rFonts w:ascii="Calibri" w:hAnsi="Calibri" w:eastAsia="Calibri" w:cs="Calibri"/>
          <w:sz w:val="24"/>
          <w:szCs w:val="24"/>
        </w:rPr>
        <w:t xml:space="preserve"> more attention to the</w:t>
      </w:r>
      <w:r w:rsidRPr="4EF8719D" w:rsidR="6802DC09">
        <w:rPr>
          <w:rFonts w:ascii="Calibri" w:hAnsi="Calibri" w:eastAsia="Calibri" w:cs="Calibri"/>
          <w:sz w:val="24"/>
          <w:szCs w:val="24"/>
        </w:rPr>
        <w:t xml:space="preserve"> affected limb</w:t>
      </w:r>
      <w:r w:rsidRPr="4EF8719D" w:rsidR="43C48002">
        <w:rPr>
          <w:rFonts w:ascii="Calibri" w:hAnsi="Calibri" w:eastAsia="Calibri" w:cs="Calibri"/>
          <w:sz w:val="24"/>
          <w:szCs w:val="24"/>
        </w:rPr>
        <w:t xml:space="preserve"> </w:t>
      </w:r>
      <w:r w:rsidRPr="701C51EA" w:rsidR="44E54C16">
        <w:rPr>
          <w:rFonts w:ascii="Calibri" w:hAnsi="Calibri" w:eastAsia="Calibri" w:cs="Calibri"/>
          <w:sz w:val="24"/>
          <w:szCs w:val="24"/>
        </w:rPr>
        <w:t>than to the unaffected limb</w:t>
      </w:r>
      <w:r w:rsidRPr="701C51EA" w:rsidR="7C831FC4">
        <w:rPr>
          <w:rFonts w:ascii="Calibri" w:hAnsi="Calibri" w:eastAsia="Calibri" w:cs="Calibri"/>
          <w:sz w:val="24"/>
          <w:szCs w:val="24"/>
        </w:rPr>
        <w:t xml:space="preserve"> </w:t>
      </w:r>
      <w:r w:rsidRPr="4EF8719D" w:rsidR="2BD1451C">
        <w:rPr>
          <w:rFonts w:ascii="Calibri" w:hAnsi="Calibri" w:eastAsia="Calibri" w:cs="Calibri"/>
          <w:sz w:val="24"/>
          <w:szCs w:val="24"/>
        </w:rPr>
        <w:t xml:space="preserve">(see Table </w:t>
      </w:r>
      <w:r w:rsidRPr="5045E0F5" w:rsidR="63B1B8B7">
        <w:rPr>
          <w:rFonts w:ascii="Calibri" w:hAnsi="Calibri" w:eastAsia="Calibri" w:cs="Calibri"/>
          <w:sz w:val="24"/>
          <w:szCs w:val="24"/>
        </w:rPr>
        <w:t>5</w:t>
      </w:r>
      <w:r w:rsidRPr="4EF8719D" w:rsidR="2BD1451C">
        <w:rPr>
          <w:rFonts w:ascii="Calibri" w:hAnsi="Calibri" w:eastAsia="Calibri" w:cs="Calibri"/>
          <w:sz w:val="24"/>
          <w:szCs w:val="24"/>
        </w:rPr>
        <w:t xml:space="preserve"> and </w:t>
      </w:r>
      <w:r w:rsidRPr="4EF8719D" w:rsidR="3D5088B4">
        <w:rPr>
          <w:sz w:val="24"/>
          <w:szCs w:val="24"/>
        </w:rPr>
        <w:t>Supplementary materials</w:t>
      </w:r>
      <w:r w:rsidRPr="4EF8719D" w:rsidR="3D5088B4">
        <w:rPr>
          <w:rFonts w:ascii="Calibri" w:hAnsi="Calibri" w:eastAsia="Calibri" w:cs="Calibri"/>
          <w:sz w:val="24"/>
          <w:szCs w:val="24"/>
        </w:rPr>
        <w:t xml:space="preserve"> </w:t>
      </w:r>
      <w:r w:rsidRPr="4EF8719D" w:rsidR="2BD1451C">
        <w:rPr>
          <w:rFonts w:ascii="Calibri" w:hAnsi="Calibri" w:eastAsia="Calibri" w:cs="Calibri"/>
          <w:sz w:val="24"/>
          <w:szCs w:val="24"/>
        </w:rPr>
        <w:t>3</w:t>
      </w:r>
      <w:r w:rsidR="0070456C">
        <w:rPr>
          <w:rFonts w:ascii="Calibri" w:hAnsi="Calibri" w:eastAsia="Calibri" w:cs="Calibri"/>
          <w:sz w:val="24"/>
          <w:szCs w:val="24"/>
        </w:rPr>
        <w:t xml:space="preserve"> [tableS1]</w:t>
      </w:r>
      <w:r w:rsidRPr="4EF8719D" w:rsidR="2BD1451C">
        <w:rPr>
          <w:rFonts w:ascii="Calibri" w:hAnsi="Calibri" w:eastAsia="Calibri" w:cs="Calibri"/>
          <w:sz w:val="24"/>
          <w:szCs w:val="24"/>
        </w:rPr>
        <w:t>).</w:t>
      </w:r>
    </w:p>
    <w:p w:rsidRPr="00171B6F" w:rsidR="00814482" w:rsidP="560E2E1C" w:rsidRDefault="672B1EB7" w14:paraId="407A5C86" w14:textId="21A78CC8">
      <w:pPr>
        <w:spacing w:line="480" w:lineRule="auto"/>
        <w:jc w:val="both"/>
        <w:rPr>
          <w:rFonts w:ascii="Calibri" w:hAnsi="Calibri" w:eastAsia="Calibri" w:cs="Calibri"/>
          <w:sz w:val="24"/>
          <w:szCs w:val="24"/>
        </w:rPr>
      </w:pPr>
      <w:r w:rsidRPr="4EF8719D">
        <w:rPr>
          <w:rFonts w:eastAsiaTheme="minorEastAsia"/>
          <w:sz w:val="24"/>
          <w:szCs w:val="24"/>
        </w:rPr>
        <w:t xml:space="preserve">Overall, the presence of allodynia, higher psychosocial risk of </w:t>
      </w:r>
      <w:proofErr w:type="spellStart"/>
      <w:r w:rsidRPr="4EF8719D">
        <w:rPr>
          <w:rFonts w:eastAsiaTheme="minorEastAsia"/>
          <w:sz w:val="24"/>
          <w:szCs w:val="24"/>
        </w:rPr>
        <w:t>chronification</w:t>
      </w:r>
      <w:proofErr w:type="spellEnd"/>
      <w:r w:rsidRPr="4EF8719D">
        <w:rPr>
          <w:rFonts w:eastAsiaTheme="minorEastAsia"/>
          <w:sz w:val="24"/>
          <w:szCs w:val="24"/>
        </w:rPr>
        <w:t>, higher body perception impairment, low physical intensity initiating event, and lower PPT were associated with poorer outcomes.</w:t>
      </w:r>
      <w:r w:rsidRPr="4EF8719D" w:rsidR="77B56BE0">
        <w:rPr>
          <w:rFonts w:eastAsiaTheme="minorEastAsia"/>
          <w:sz w:val="24"/>
          <w:szCs w:val="24"/>
        </w:rPr>
        <w:t xml:space="preserve"> </w:t>
      </w:r>
    </w:p>
    <w:p w:rsidR="46B65BCC" w:rsidP="3613E1E1" w:rsidRDefault="46B65BCC" w14:paraId="695642A2" w14:textId="33D0A02F">
      <w:pPr>
        <w:spacing w:line="480" w:lineRule="auto"/>
        <w:jc w:val="center"/>
        <w:rPr>
          <w:rFonts w:ascii="Calibri" w:hAnsi="Calibri" w:eastAsia="Calibri" w:cs="Calibri"/>
          <w:i/>
          <w:iCs/>
        </w:rPr>
      </w:pPr>
      <w:r w:rsidRPr="3613E1E1">
        <w:rPr>
          <w:rFonts w:ascii="Calibri" w:hAnsi="Calibri" w:eastAsia="Calibri" w:cs="Calibri"/>
          <w:i/>
          <w:iCs/>
        </w:rPr>
        <w:t xml:space="preserve">Table </w:t>
      </w:r>
      <w:r w:rsidRPr="5045E0F5" w:rsidR="4B85086E">
        <w:rPr>
          <w:rFonts w:ascii="Calibri" w:hAnsi="Calibri" w:eastAsia="Calibri" w:cs="Calibri"/>
          <w:i/>
          <w:iCs/>
        </w:rPr>
        <w:t>5</w:t>
      </w:r>
      <w:r w:rsidRPr="3613E1E1">
        <w:rPr>
          <w:rFonts w:ascii="Calibri" w:hAnsi="Calibri" w:eastAsia="Calibri" w:cs="Calibri"/>
          <w:i/>
          <w:iCs/>
        </w:rPr>
        <w:t xml:space="preserve">. Characteristics of the four profiles identified by </w:t>
      </w:r>
      <w:r w:rsidR="00B53FCA">
        <w:rPr>
          <w:rFonts w:ascii="Calibri" w:hAnsi="Calibri" w:eastAsia="Calibri" w:cs="Calibri"/>
          <w:i/>
          <w:iCs/>
        </w:rPr>
        <w:t>latent class analysis</w:t>
      </w:r>
      <w:r w:rsidRPr="3613E1E1">
        <w:rPr>
          <w:rFonts w:ascii="Calibri" w:hAnsi="Calibri" w:eastAsia="Calibri" w:cs="Calibri"/>
          <w:i/>
          <w:iCs/>
        </w:rPr>
        <w:t xml:space="preserve"> in the cohort</w:t>
      </w:r>
      <w:r w:rsidR="000C204D">
        <w:rPr>
          <w:rFonts w:ascii="Calibri" w:hAnsi="Calibri" w:eastAsia="Calibri" w:cs="Calibri"/>
          <w:i/>
          <w:iCs/>
        </w:rPr>
        <w:t>.</w:t>
      </w:r>
      <w:r w:rsidRPr="3613E1E1">
        <w:rPr>
          <w:rFonts w:ascii="Calibri" w:hAnsi="Calibri" w:eastAsia="Calibri" w:cs="Calibri"/>
          <w:i/>
          <w:iCs/>
        </w:rPr>
        <w:t xml:space="preserve"> </w:t>
      </w:r>
    </w:p>
    <w:p w:rsidRPr="00171673" w:rsidR="0C2EDE46" w:rsidP="6EB6F637" w:rsidRDefault="004A0F49" w14:paraId="07AE21DB" w14:textId="659E0882">
      <w:pPr>
        <w:spacing w:line="480" w:lineRule="auto"/>
        <w:jc w:val="center"/>
        <w:rPr>
          <w:rFonts w:ascii="Calibri" w:hAnsi="Calibri" w:eastAsia="Calibri" w:cs="Calibri"/>
          <w:i/>
          <w:iCs/>
        </w:rPr>
      </w:pPr>
      <w:r w:rsidRPr="6EB6F637">
        <w:rPr>
          <w:rFonts w:ascii="Calibri" w:hAnsi="Calibri" w:eastAsia="Calibri" w:cs="Calibri"/>
          <w:i/>
          <w:iCs/>
        </w:rPr>
        <w:t xml:space="preserve">Figure </w:t>
      </w:r>
      <w:r w:rsidRPr="5045E0F5" w:rsidR="41E0E898">
        <w:rPr>
          <w:rFonts w:ascii="Calibri" w:hAnsi="Calibri" w:eastAsia="Calibri" w:cs="Calibri"/>
          <w:i/>
          <w:iCs/>
        </w:rPr>
        <w:t>5</w:t>
      </w:r>
      <w:r w:rsidRPr="6EB6F637">
        <w:rPr>
          <w:rFonts w:ascii="Calibri" w:hAnsi="Calibri" w:eastAsia="Calibri" w:cs="Calibri"/>
          <w:i/>
          <w:iCs/>
        </w:rPr>
        <w:t xml:space="preserve">. </w:t>
      </w:r>
      <w:r w:rsidRPr="6EB6F637" w:rsidR="2C8846AD">
        <w:rPr>
          <w:rFonts w:ascii="Calibri" w:hAnsi="Calibri" w:eastAsia="Calibri" w:cs="Calibri"/>
          <w:i/>
          <w:iCs/>
        </w:rPr>
        <w:t>Distribution of patient’s CRPS characteristics according to the four profiles created in latent class analysis.</w:t>
      </w:r>
    </w:p>
    <w:p w:rsidRPr="00171B6F" w:rsidR="380FDC73" w:rsidP="560E2E1C" w:rsidRDefault="5F82D1F9" w14:paraId="546F5E22" w14:textId="61AD76C3">
      <w:pPr>
        <w:pStyle w:val="Heading1"/>
        <w:spacing w:line="480" w:lineRule="auto"/>
        <w:rPr>
          <w:sz w:val="24"/>
          <w:szCs w:val="24"/>
          <w:lang w:val="fr-FR"/>
        </w:rPr>
      </w:pPr>
      <w:r w:rsidRPr="60435B4D">
        <w:rPr>
          <w:sz w:val="24"/>
          <w:szCs w:val="24"/>
          <w:lang w:val="fr-FR"/>
        </w:rPr>
        <w:t>Discussion</w:t>
      </w:r>
    </w:p>
    <w:p w:rsidRPr="00171B6F" w:rsidR="5FAB7B21" w:rsidP="4CB37362" w:rsidRDefault="2FE43955" w14:paraId="411D1F9E" w14:textId="2BE352DF">
      <w:pPr>
        <w:spacing w:after="0" w:line="480" w:lineRule="auto"/>
        <w:jc w:val="both"/>
        <w:rPr>
          <w:rFonts w:ascii="Calibri" w:hAnsi="Calibri" w:eastAsia="Calibri" w:cs="Calibri"/>
          <w:sz w:val="24"/>
          <w:szCs w:val="24"/>
        </w:rPr>
      </w:pPr>
      <w:r w:rsidRPr="792AD32B" w:rsidR="2FE43955">
        <w:rPr>
          <w:rFonts w:ascii="Calibri" w:hAnsi="Calibri" w:eastAsia="Calibri" w:cs="Calibri"/>
          <w:sz w:val="24"/>
          <w:szCs w:val="24"/>
        </w:rPr>
        <w:t>T</w:t>
      </w:r>
      <w:r w:rsidRPr="792AD32B" w:rsidR="3F9CF6E0">
        <w:rPr>
          <w:rFonts w:ascii="Calibri" w:hAnsi="Calibri" w:eastAsia="Calibri" w:cs="Calibri"/>
          <w:sz w:val="24"/>
          <w:szCs w:val="24"/>
        </w:rPr>
        <w:t>his</w:t>
      </w:r>
      <w:r w:rsidRPr="792AD32B" w:rsidR="20743A63">
        <w:rPr>
          <w:rFonts w:ascii="Calibri" w:hAnsi="Calibri" w:eastAsia="Calibri" w:cs="Calibri"/>
          <w:sz w:val="24"/>
          <w:szCs w:val="24"/>
        </w:rPr>
        <w:t xml:space="preserve"> study</w:t>
      </w:r>
      <w:r w:rsidRPr="792AD32B" w:rsidR="2315A9B8">
        <w:rPr>
          <w:rFonts w:ascii="Calibri" w:hAnsi="Calibri" w:eastAsia="Calibri" w:cs="Calibri"/>
          <w:sz w:val="24"/>
          <w:szCs w:val="24"/>
        </w:rPr>
        <w:t>,</w:t>
      </w:r>
      <w:r w:rsidRPr="792AD32B" w:rsidR="3F9CF6E0">
        <w:rPr>
          <w:rFonts w:ascii="Calibri" w:hAnsi="Calibri" w:eastAsia="Calibri" w:cs="Calibri"/>
          <w:sz w:val="24"/>
          <w:szCs w:val="24"/>
        </w:rPr>
        <w:t xml:space="preserve"> evaluat</w:t>
      </w:r>
      <w:r w:rsidRPr="792AD32B" w:rsidR="77DA4090">
        <w:rPr>
          <w:rFonts w:ascii="Calibri" w:hAnsi="Calibri" w:eastAsia="Calibri" w:cs="Calibri"/>
          <w:sz w:val="24"/>
          <w:szCs w:val="24"/>
        </w:rPr>
        <w:t>ing</w:t>
      </w:r>
      <w:r w:rsidRPr="792AD32B" w:rsidR="20743A63">
        <w:rPr>
          <w:rFonts w:ascii="Calibri" w:hAnsi="Calibri" w:eastAsia="Calibri" w:cs="Calibri"/>
          <w:sz w:val="24"/>
          <w:szCs w:val="24"/>
        </w:rPr>
        <w:t xml:space="preserve"> </w:t>
      </w:r>
      <w:r w:rsidRPr="792AD32B" w:rsidR="33708C37">
        <w:rPr>
          <w:rFonts w:ascii="Calibri" w:hAnsi="Calibri" w:eastAsia="Calibri" w:cs="Calibri"/>
          <w:sz w:val="24"/>
          <w:szCs w:val="24"/>
        </w:rPr>
        <w:t xml:space="preserve">the </w:t>
      </w:r>
      <w:r w:rsidRPr="792AD32B" w:rsidR="20743A63">
        <w:rPr>
          <w:rFonts w:ascii="Calibri" w:hAnsi="Calibri" w:eastAsia="Calibri" w:cs="Calibri"/>
          <w:sz w:val="24"/>
          <w:szCs w:val="24"/>
        </w:rPr>
        <w:t xml:space="preserve">biopsychosocial characteristics of </w:t>
      </w:r>
      <w:r w:rsidRPr="792AD32B" w:rsidR="33BF334D">
        <w:rPr>
          <w:rFonts w:ascii="Calibri" w:hAnsi="Calibri" w:eastAsia="Calibri" w:cs="Calibri"/>
          <w:sz w:val="24"/>
          <w:szCs w:val="24"/>
        </w:rPr>
        <w:t xml:space="preserve">113 </w:t>
      </w:r>
      <w:r w:rsidRPr="792AD32B" w:rsidR="033D40E0">
        <w:rPr>
          <w:rFonts w:ascii="Calibri" w:hAnsi="Calibri" w:eastAsia="Calibri" w:cs="Calibri"/>
          <w:sz w:val="24"/>
          <w:szCs w:val="24"/>
        </w:rPr>
        <w:t>subjects</w:t>
      </w:r>
      <w:r w:rsidRPr="792AD32B" w:rsidR="33BF334D">
        <w:rPr>
          <w:rFonts w:ascii="Calibri" w:hAnsi="Calibri" w:eastAsia="Calibri" w:cs="Calibri"/>
          <w:sz w:val="24"/>
          <w:szCs w:val="24"/>
        </w:rPr>
        <w:t xml:space="preserve"> suffering from</w:t>
      </w:r>
      <w:r w:rsidRPr="792AD32B" w:rsidR="0005651E">
        <w:rPr>
          <w:rFonts w:ascii="Calibri" w:hAnsi="Calibri" w:eastAsia="Calibri" w:cs="Calibri"/>
          <w:color w:val="FF0000"/>
          <w:sz w:val="24"/>
          <w:szCs w:val="24"/>
        </w:rPr>
        <w:t xml:space="preserve"> (very)</w:t>
      </w:r>
      <w:r w:rsidRPr="792AD32B" w:rsidR="33BF334D">
        <w:rPr>
          <w:rFonts w:ascii="Calibri" w:hAnsi="Calibri" w:eastAsia="Calibri" w:cs="Calibri"/>
          <w:sz w:val="24"/>
          <w:szCs w:val="24"/>
        </w:rPr>
        <w:t xml:space="preserve"> </w:t>
      </w:r>
      <w:r w:rsidRPr="792AD32B" w:rsidR="4D40075A">
        <w:rPr>
          <w:rFonts w:ascii="Calibri" w:hAnsi="Calibri" w:eastAsia="Calibri" w:cs="Calibri"/>
          <w:sz w:val="24"/>
          <w:szCs w:val="24"/>
        </w:rPr>
        <w:t xml:space="preserve">early </w:t>
      </w:r>
      <w:r w:rsidRPr="792AD32B" w:rsidR="6AB82069">
        <w:rPr>
          <w:rFonts w:ascii="Calibri" w:hAnsi="Calibri" w:eastAsia="Calibri" w:cs="Calibri"/>
          <w:sz w:val="24"/>
          <w:szCs w:val="24"/>
        </w:rPr>
        <w:t xml:space="preserve">CRPS </w:t>
      </w:r>
      <w:r w:rsidRPr="792AD32B" w:rsidR="65FF5F53">
        <w:rPr>
          <w:rFonts w:ascii="Calibri" w:hAnsi="Calibri" w:eastAsia="Calibri" w:cs="Calibri"/>
          <w:sz w:val="24"/>
          <w:szCs w:val="24"/>
        </w:rPr>
        <w:t>(</w:t>
      </w:r>
      <w:r w:rsidRPr="792AD32B" w:rsidR="5CE9E4ED">
        <w:rPr>
          <w:rFonts w:ascii="Calibri" w:hAnsi="Calibri" w:eastAsia="Calibri" w:cs="Calibri"/>
          <w:sz w:val="24"/>
          <w:szCs w:val="24"/>
        </w:rPr>
        <w:t>&lt;</w:t>
      </w:r>
      <w:r w:rsidRPr="792AD32B" w:rsidR="73F6C276">
        <w:rPr>
          <w:rFonts w:ascii="Calibri" w:hAnsi="Calibri" w:eastAsia="Calibri" w:cs="Calibri"/>
          <w:sz w:val="24"/>
          <w:szCs w:val="24"/>
        </w:rPr>
        <w:t xml:space="preserve"> </w:t>
      </w:r>
      <w:r w:rsidRPr="792AD32B" w:rsidR="3A74BA8D">
        <w:rPr>
          <w:rFonts w:ascii="Calibri" w:hAnsi="Calibri" w:eastAsia="Calibri" w:cs="Calibri"/>
          <w:sz w:val="24"/>
          <w:szCs w:val="24"/>
        </w:rPr>
        <w:t>6 months</w:t>
      </w:r>
      <w:r w:rsidRPr="792AD32B" w:rsidR="5D56EE8A">
        <w:rPr>
          <w:rFonts w:ascii="Calibri" w:hAnsi="Calibri" w:eastAsia="Calibri" w:cs="Calibri"/>
          <w:sz w:val="24"/>
          <w:szCs w:val="24"/>
        </w:rPr>
        <w:t>)</w:t>
      </w:r>
      <w:r w:rsidRPr="792AD32B" w:rsidR="324773EF">
        <w:rPr>
          <w:rFonts w:ascii="Calibri" w:hAnsi="Calibri" w:eastAsia="Calibri" w:cs="Calibri"/>
          <w:sz w:val="24"/>
          <w:szCs w:val="24"/>
        </w:rPr>
        <w:t>,</w:t>
      </w:r>
      <w:r w:rsidRPr="792AD32B" w:rsidR="2F7583FC">
        <w:rPr>
          <w:rFonts w:ascii="Calibri" w:hAnsi="Calibri" w:eastAsia="Calibri" w:cs="Calibri"/>
          <w:sz w:val="24"/>
          <w:szCs w:val="24"/>
        </w:rPr>
        <w:t xml:space="preserve"> </w:t>
      </w:r>
      <w:r w:rsidRPr="792AD32B" w:rsidR="3A1AE14A">
        <w:rPr>
          <w:rFonts w:ascii="Calibri" w:hAnsi="Calibri" w:eastAsia="Calibri" w:cs="Calibri"/>
          <w:sz w:val="24"/>
          <w:szCs w:val="24"/>
        </w:rPr>
        <w:t xml:space="preserve">confirmed the heterogeneity </w:t>
      </w:r>
      <w:r w:rsidRPr="792AD32B" w:rsidR="717C038C">
        <w:rPr>
          <w:rFonts w:ascii="Calibri" w:hAnsi="Calibri" w:eastAsia="Calibri" w:cs="Calibri"/>
          <w:sz w:val="24"/>
          <w:szCs w:val="24"/>
        </w:rPr>
        <w:t>of clinical presentations</w:t>
      </w:r>
      <w:r w:rsidRPr="792AD32B" w:rsidR="00012E2B">
        <w:rPr>
          <w:rFonts w:ascii="Calibri" w:hAnsi="Calibri" w:eastAsia="Calibri" w:cs="Calibri"/>
          <w:sz w:val="24"/>
          <w:szCs w:val="24"/>
        </w:rPr>
        <w:t>.</w:t>
      </w:r>
      <w:r w:rsidRPr="792AD32B" w:rsidR="717C038C">
        <w:rPr>
          <w:rFonts w:ascii="Calibri" w:hAnsi="Calibri" w:eastAsia="Calibri" w:cs="Calibri"/>
          <w:sz w:val="20"/>
          <w:szCs w:val="20"/>
        </w:rPr>
        <w:t xml:space="preserve"> </w:t>
      </w:r>
      <w:r w:rsidRPr="792AD32B" w:rsidR="3A5EA9E5">
        <w:rPr>
          <w:rFonts w:ascii="Calibri" w:hAnsi="Calibri" w:eastAsia="Calibri" w:cs="Calibri"/>
          <w:sz w:val="20"/>
          <w:szCs w:val="20"/>
        </w:rPr>
        <w:t xml:space="preserve"> </w:t>
      </w:r>
      <w:r w:rsidRPr="792AD32B" w:rsidR="4F43E20F">
        <w:rPr>
          <w:rFonts w:ascii="Calibri" w:hAnsi="Calibri" w:eastAsia="Calibri" w:cs="Calibri"/>
          <w:sz w:val="24"/>
          <w:szCs w:val="24"/>
        </w:rPr>
        <w:t>Overall</w:t>
      </w:r>
      <w:r w:rsidRPr="792AD32B" w:rsidR="753BD46A">
        <w:rPr>
          <w:rFonts w:ascii="Calibri" w:hAnsi="Calibri" w:eastAsia="Calibri" w:cs="Calibri"/>
          <w:sz w:val="24"/>
          <w:szCs w:val="24"/>
        </w:rPr>
        <w:t>, the CSS score was high</w:t>
      </w:r>
      <w:r w:rsidRPr="792AD32B" w:rsidR="5CB51F9F">
        <w:rPr>
          <w:rFonts w:ascii="Calibri" w:hAnsi="Calibri" w:eastAsia="Calibri" w:cs="Calibri"/>
          <w:sz w:val="24"/>
          <w:szCs w:val="24"/>
        </w:rPr>
        <w:t>, fun</w:t>
      </w:r>
      <w:r w:rsidRPr="792AD32B" w:rsidR="3806FBEB">
        <w:rPr>
          <w:rFonts w:ascii="Calibri" w:hAnsi="Calibri" w:eastAsia="Calibri" w:cs="Calibri"/>
          <w:sz w:val="24"/>
          <w:szCs w:val="24"/>
        </w:rPr>
        <w:t xml:space="preserve">ction and QoL </w:t>
      </w:r>
      <w:r w:rsidRPr="792AD32B" w:rsidR="665FAD9B">
        <w:rPr>
          <w:rFonts w:ascii="Calibri" w:hAnsi="Calibri" w:eastAsia="Calibri" w:cs="Calibri"/>
          <w:sz w:val="24"/>
          <w:szCs w:val="24"/>
        </w:rPr>
        <w:t xml:space="preserve">were </w:t>
      </w:r>
      <w:r w:rsidRPr="792AD32B" w:rsidR="3806FBEB">
        <w:rPr>
          <w:rFonts w:ascii="Calibri" w:hAnsi="Calibri" w:eastAsia="Calibri" w:cs="Calibri"/>
          <w:sz w:val="24"/>
          <w:szCs w:val="24"/>
        </w:rPr>
        <w:t xml:space="preserve">considerably </w:t>
      </w:r>
      <w:r w:rsidRPr="792AD32B" w:rsidR="52FD3355">
        <w:rPr>
          <w:rFonts w:ascii="Calibri" w:hAnsi="Calibri" w:eastAsia="Calibri" w:cs="Calibri"/>
          <w:sz w:val="24"/>
          <w:szCs w:val="24"/>
        </w:rPr>
        <w:t>impaired</w:t>
      </w:r>
      <w:r w:rsidRPr="792AD32B" w:rsidR="3806FBEB">
        <w:rPr>
          <w:rFonts w:ascii="Calibri" w:hAnsi="Calibri" w:eastAsia="Calibri" w:cs="Calibri"/>
          <w:sz w:val="24"/>
          <w:szCs w:val="24"/>
        </w:rPr>
        <w:t xml:space="preserve">. </w:t>
      </w:r>
      <w:r w:rsidRPr="792AD32B" w:rsidR="00B30C5B">
        <w:rPr>
          <w:rFonts w:ascii="Calibri" w:hAnsi="Calibri" w:eastAsia="Calibri" w:cs="Calibri"/>
          <w:sz w:val="24"/>
          <w:szCs w:val="24"/>
        </w:rPr>
        <w:t xml:space="preserve">While no significant visuospatial bias was </w:t>
      </w:r>
      <w:r w:rsidRPr="792AD32B" w:rsidR="00B30C5B">
        <w:rPr>
          <w:rFonts w:ascii="Calibri" w:hAnsi="Calibri" w:eastAsia="Calibri" w:cs="Calibri"/>
          <w:sz w:val="24"/>
          <w:szCs w:val="24"/>
        </w:rPr>
        <w:t>observed</w:t>
      </w:r>
      <w:r w:rsidRPr="792AD32B" w:rsidR="00B30C5B">
        <w:rPr>
          <w:rFonts w:ascii="Calibri" w:hAnsi="Calibri" w:eastAsia="Calibri" w:cs="Calibri"/>
          <w:sz w:val="24"/>
          <w:szCs w:val="24"/>
        </w:rPr>
        <w:t xml:space="preserve"> at the level of the </w:t>
      </w:r>
      <w:r w:rsidRPr="792AD32B" w:rsidR="2423AEB5">
        <w:rPr>
          <w:rFonts w:ascii="Calibri" w:hAnsi="Calibri" w:eastAsia="Calibri" w:cs="Calibri"/>
          <w:sz w:val="24"/>
          <w:szCs w:val="24"/>
        </w:rPr>
        <w:t xml:space="preserve">entire </w:t>
      </w:r>
      <w:r w:rsidRPr="792AD32B" w:rsidR="00B30C5B">
        <w:rPr>
          <w:rFonts w:ascii="Calibri" w:hAnsi="Calibri" w:eastAsia="Calibri" w:cs="Calibri"/>
          <w:sz w:val="24"/>
          <w:szCs w:val="24"/>
        </w:rPr>
        <w:t xml:space="preserve">cohort, many participants reported alterations in body </w:t>
      </w:r>
      <w:r w:rsidRPr="792AD32B" w:rsidR="00B30C5B">
        <w:rPr>
          <w:rFonts w:ascii="Calibri" w:hAnsi="Calibri" w:eastAsia="Calibri" w:cs="Calibri"/>
          <w:sz w:val="24"/>
          <w:szCs w:val="24"/>
        </w:rPr>
        <w:t>perception</w:t>
      </w:r>
      <w:r w:rsidRPr="792AD32B" w:rsidR="5C9AC0C2">
        <w:rPr>
          <w:rFonts w:ascii="Calibri" w:hAnsi="Calibri" w:eastAsia="Calibri" w:cs="Calibri"/>
          <w:sz w:val="24"/>
          <w:szCs w:val="24"/>
        </w:rPr>
        <w:t>.</w:t>
      </w:r>
      <w:r w:rsidRPr="792AD32B" w:rsidR="26997DA4">
        <w:rPr>
          <w:rFonts w:ascii="Calibri" w:hAnsi="Calibri" w:eastAsia="Calibri" w:cs="Calibri"/>
          <w:color w:val="FF0000"/>
          <w:sz w:val="24"/>
          <w:szCs w:val="24"/>
        </w:rPr>
        <w:t xml:space="preserve"> </w:t>
      </w:r>
      <w:r w:rsidRPr="792AD32B" w:rsidR="40DCBFAD">
        <w:rPr>
          <w:rFonts w:ascii="Calibri" w:hAnsi="Calibri" w:eastAsia="Calibri" w:cs="Calibri"/>
          <w:sz w:val="24"/>
          <w:szCs w:val="24"/>
        </w:rPr>
        <w:t xml:space="preserve">QST </w:t>
      </w:r>
      <w:r w:rsidRPr="792AD32B" w:rsidR="00B30C5B">
        <w:rPr>
          <w:rFonts w:ascii="Calibri" w:hAnsi="Calibri" w:eastAsia="Calibri" w:cs="Calibri"/>
          <w:sz w:val="24"/>
          <w:szCs w:val="24"/>
        </w:rPr>
        <w:t>results</w:t>
      </w:r>
      <w:r w:rsidRPr="792AD32B" w:rsidR="40DCBFAD">
        <w:rPr>
          <w:rFonts w:ascii="Calibri" w:hAnsi="Calibri" w:eastAsia="Calibri" w:cs="Calibri"/>
          <w:sz w:val="24"/>
          <w:szCs w:val="24"/>
        </w:rPr>
        <w:t xml:space="preserve"> showed</w:t>
      </w:r>
      <w:r w:rsidRPr="792AD32B" w:rsidR="31F81FF7">
        <w:rPr>
          <w:rFonts w:ascii="Calibri" w:hAnsi="Calibri" w:eastAsia="Calibri" w:cs="Calibri"/>
          <w:sz w:val="24"/>
          <w:szCs w:val="24"/>
        </w:rPr>
        <w:t xml:space="preserve"> </w:t>
      </w:r>
      <w:r w:rsidRPr="792AD32B" w:rsidR="28B44733">
        <w:rPr>
          <w:rFonts w:ascii="Calibri" w:hAnsi="Calibri" w:eastAsia="Calibri" w:cs="Calibri"/>
          <w:sz w:val="24"/>
          <w:szCs w:val="24"/>
        </w:rPr>
        <w:t>similar</w:t>
      </w:r>
      <w:r w:rsidRPr="792AD32B" w:rsidR="26C3C3B8">
        <w:rPr>
          <w:rFonts w:ascii="Calibri" w:hAnsi="Calibri" w:eastAsia="Calibri" w:cs="Calibri"/>
          <w:sz w:val="24"/>
          <w:szCs w:val="24"/>
        </w:rPr>
        <w:t xml:space="preserve">, but milder, </w:t>
      </w:r>
      <w:r w:rsidRPr="792AD32B" w:rsidR="28B44733">
        <w:rPr>
          <w:rFonts w:ascii="Calibri" w:hAnsi="Calibri" w:eastAsia="Calibri" w:cs="Calibri"/>
          <w:sz w:val="24"/>
          <w:szCs w:val="24"/>
        </w:rPr>
        <w:t xml:space="preserve">abnormalities than </w:t>
      </w:r>
      <w:r w:rsidRPr="792AD32B" w:rsidR="00B30C5B">
        <w:rPr>
          <w:rFonts w:ascii="Calibri" w:hAnsi="Calibri" w:eastAsia="Calibri" w:cs="Calibri"/>
          <w:sz w:val="24"/>
          <w:szCs w:val="24"/>
        </w:rPr>
        <w:t>previous</w:t>
      </w:r>
      <w:r w:rsidRPr="792AD32B" w:rsidR="28B44733">
        <w:rPr>
          <w:rFonts w:ascii="Calibri" w:hAnsi="Calibri" w:eastAsia="Calibri" w:cs="Calibri"/>
          <w:sz w:val="24"/>
          <w:szCs w:val="24"/>
        </w:rPr>
        <w:t xml:space="preserve"> studies </w:t>
      </w:r>
      <w:r w:rsidRPr="792AD32B">
        <w:rPr>
          <w:rFonts w:ascii="Calibri" w:hAnsi="Calibri" w:eastAsia="Calibri" w:cs="Calibri"/>
        </w:rPr>
        <w:fldChar w:fldCharType="begin"/>
      </w:r>
      <w:r w:rsidRPr="792AD32B">
        <w:rPr>
          <w:rFonts w:ascii="Calibri" w:hAnsi="Calibri" w:eastAsia="Calibri" w:cs="Calibri"/>
        </w:rPr>
        <w:instrText xml:space="preserve"> ADDIN ZOTERO_ITEM CSL_CITATION {"citationID":"iPT15JwR","properties":{"formattedCitation":"(Gierthm\\uc0\\u252{}hlen et al., 2012; Sobeeh et al., 2023)","plainCitation":"(Gierthmühlen et al., 2012; Sobeeh et al., 2023)","noteIndex":0},"citationItems":[{"id":"jyRXZ8R7/cic9iIZz","uris":["http://zotero.org/users/8777725/items/NS9XK7J8"],"itemData":{"id":430,"type":"article-journal","abstract":"This study determined patterns of sensory signs in complex regional pain syndrome (CRPS) type I and II and peripheral nerve injury (PNI). Patients with upper-limb CRPS-I (n=298), CRPS-II (n=46), and PNI (n=72) were examined with quantitative sensory testing according to the protocol of the German Research Network on Neuropathic Pain. The majority of patients (66%-69%) exhibited a combination of sensory loss and gain. Patients with CRPS-I had more sensory gain (heat and pressure pain) and less sensory loss than patients with PNI (thermal and mechanical detection, hypoalgesia to heat or pinprick). CRPS-II patients shared features of CRPS-I and PNI. CRPS-I and CRPS-II had almost identical somatosensory profiles, with the exception of a stronger loss of mechanical detection in CRPS-II. In CRPS-I and -II, cold hyperalgesia/allodynia (28%-31%) and dynamic mechanical allodynia (24%-28%) were less frequent than heat or pressure hyperalgesia (36%-44%, 67%-73%), and mechanical hypoesthesia (31%-55%) was more frequent than thermal hypoesthesia (30%-44%). About 82% of PNI patients had at least one type of sensory gain. QST demonstrates more sensory loss in CRPS-I than hitherto considered, suggesting either minimal nerve injury or central inhibition. Sensory profiles suggest that CRPS-I and CRPS-II may represent one disease continuum. However, in contrast to recent suggestions, small fiber deficits were less frequent than large fiber deficits. Sensory gain is highly prevalent in PNI, indicating a better similarity of animal models to human patients than previously thought. These sensory profiles should help prioritize approaches for translation between animal and human research.","container-title":"Pain","DOI":"10.1016/j.pain.2011.11.009","ISSN":"1872-6623","issue":"4","journalAbbreviation":"Pain","language":"eng","note":"PMID: 22154921","page":"765-774","source":"PubMed","title":"Sensory signs in complex regional pain syndrome and peripheral nerve injury","volume":"153","author":[{"family":"Gierthmühlen","given":"Janne"},{"family":"Maier","given":"Christoph"},{"family":"Baron","given":"Ralf"},{"family":"Tölle","given":"Thomas"},{"family":"Treede","given":"Rolf-Detlef"},{"family":"Birbaumer","given":"Niels"},{"family":"Huge","given":"Volker"},{"family":"Koroschetz","given":"Jana"},{"family":"Krumova","given":"Elena K."},{"family":"Lauchart","given":"Meike"},{"family":"Maihöfner","given":"Christian"},{"family":"Richter","given":"Helmut"},{"family":"Westermann","given":"Andrea"},{"literal":"German Research Network on Neuropathic Pain (DFNS) study group"}],"issued":{"date-parts":[["2012",4]]}}},{"id":70,"uris":["http://zotero.org/users/8514361/items/23VJSH4H"],"itemData":{"id":70,"type":"article-journal","abstract":"Complex regional pain syndrome (CRPS) is a chronic condition following inciting events such as fractures or surgeries with sensorimotor and autonomic manifestations and poor prognosis. This review aimed to provide conclusive evidence about the sensory phenotype of CRPS based on quantitative sensory testing (QST) to understand the underlying pain mechanisms and guide treatment strategies.","container-title":"Journal of Orthopaedic Surgery and Research","DOI":"10.1186/s13018-022-03461-2","ISSN":"1749-799X","issue":"1","journalAbbreviation":"Journal of Orthopaedic Surgery and Research","page":"2","source":"BioMed Central","title":"Pain mechanisms in complex regional pain syndrome: a systematic review and meta-analysis of quantitative sensory testing outcomes","title-short":"Pain mechanisms in complex regional pain syndrome","volume":"18","author":[{"family":"Sobeeh","given":"Mohamed Gomaa"},{"family":"Hassan","given":"Karima Abdelaty"},{"family":"Silva","given":"Anabela Gonçalves","non-dropping-particle":"da"},{"family":"Youssef","given":"Enas Fawzy"},{"family":"Fayaz","given":"Nadia Abdelazim"},{"family":"Mohammed","given":"Maha Mostafa"}],"issued":{"date-parts":[["2023",1,2]]}}}],"schema":"https://github.com/citation-style-language/schema/raw/master/csl-citation.json"} </w:instrText>
      </w:r>
      <w:r w:rsidRPr="792AD32B">
        <w:rPr>
          <w:rFonts w:ascii="Calibri" w:hAnsi="Calibri" w:eastAsia="Calibri" w:cs="Calibri"/>
        </w:rPr>
        <w:fldChar w:fldCharType="separate"/>
      </w:r>
      <w:r w:rsidRPr="792AD32B" w:rsidR="008425F7">
        <w:rPr>
          <w:rFonts w:ascii="Calibri" w:hAnsi="Calibri" w:cs="Calibri"/>
          <w:sz w:val="24"/>
          <w:szCs w:val="24"/>
        </w:rPr>
        <w:t>(</w:t>
      </w:r>
      <w:r w:rsidRPr="792AD32B" w:rsidR="008425F7">
        <w:rPr>
          <w:rFonts w:ascii="Calibri" w:hAnsi="Calibri" w:cs="Calibri"/>
          <w:sz w:val="24"/>
          <w:szCs w:val="24"/>
        </w:rPr>
        <w:t>Gierthmühlen</w:t>
      </w:r>
      <w:r w:rsidRPr="792AD32B" w:rsidR="008425F7">
        <w:rPr>
          <w:rFonts w:ascii="Calibri" w:hAnsi="Calibri" w:cs="Calibri"/>
          <w:sz w:val="24"/>
          <w:szCs w:val="24"/>
        </w:rPr>
        <w:t xml:space="preserve"> et al., 2012; Sobeeh et al., 2023)</w:t>
      </w:r>
      <w:r w:rsidRPr="792AD32B">
        <w:rPr>
          <w:rFonts w:ascii="Calibri" w:hAnsi="Calibri" w:eastAsia="Calibri" w:cs="Calibri"/>
        </w:rPr>
        <w:fldChar w:fldCharType="end"/>
      </w:r>
      <w:r w:rsidRPr="792AD32B" w:rsidR="31F81FF7">
        <w:rPr>
          <w:rFonts w:ascii="Calibri" w:hAnsi="Calibri" w:eastAsia="Calibri" w:cs="Calibri"/>
          <w:sz w:val="24"/>
          <w:szCs w:val="24"/>
        </w:rPr>
        <w:t>.</w:t>
      </w:r>
      <w:r w:rsidRPr="792AD32B" w:rsidR="00C90E91">
        <w:rPr>
          <w:rFonts w:ascii="Calibri" w:hAnsi="Calibri" w:eastAsia="Calibri" w:cs="Calibri"/>
          <w:sz w:val="24"/>
          <w:szCs w:val="24"/>
        </w:rPr>
        <w:t xml:space="preserve"> </w:t>
      </w:r>
      <w:r w:rsidRPr="792AD32B" w:rsidR="00B30C5B">
        <w:rPr>
          <w:rFonts w:ascii="Calibri" w:hAnsi="Calibri" w:eastAsia="Calibri" w:cs="Calibri"/>
          <w:color w:val="FF0000"/>
          <w:sz w:val="24"/>
          <w:szCs w:val="24"/>
        </w:rPr>
        <w:t>Interestingly, neither the duration of the condition nor skin temperature significantly affected the CRPS</w:t>
      </w:r>
      <w:r w:rsidRPr="792AD32B" w:rsidR="61FFD439">
        <w:rPr>
          <w:rFonts w:ascii="Calibri" w:hAnsi="Calibri" w:eastAsia="Calibri" w:cs="Calibri"/>
          <w:color w:val="FF0000"/>
          <w:sz w:val="24"/>
          <w:szCs w:val="24"/>
        </w:rPr>
        <w:t xml:space="preserve"> features and outcomes</w:t>
      </w:r>
      <w:r w:rsidRPr="792AD32B" w:rsidR="00B30C5B">
        <w:rPr>
          <w:rFonts w:ascii="Calibri" w:hAnsi="Calibri" w:eastAsia="Calibri" w:cs="Calibri"/>
          <w:color w:val="FF0000"/>
          <w:sz w:val="24"/>
          <w:szCs w:val="24"/>
        </w:rPr>
        <w:t>, suggesting the absence of a</w:t>
      </w:r>
      <w:r w:rsidRPr="792AD32B" w:rsidR="56196B38">
        <w:rPr>
          <w:rFonts w:ascii="Calibri" w:hAnsi="Calibri" w:eastAsia="Calibri" w:cs="Calibri"/>
          <w:color w:val="FF0000"/>
          <w:sz w:val="24"/>
          <w:szCs w:val="24"/>
        </w:rPr>
        <w:t xml:space="preserve"> required</w:t>
      </w:r>
      <w:r w:rsidRPr="792AD32B" w:rsidR="00B30C5B">
        <w:rPr>
          <w:rFonts w:ascii="Calibri" w:hAnsi="Calibri" w:eastAsia="Calibri" w:cs="Calibri"/>
          <w:color w:val="FF0000"/>
          <w:sz w:val="24"/>
          <w:szCs w:val="24"/>
        </w:rPr>
        <w:t xml:space="preserve"> </w:t>
      </w:r>
      <w:r w:rsidRPr="792AD32B" w:rsidR="22BB333D">
        <w:rPr>
          <w:rFonts w:ascii="Calibri" w:hAnsi="Calibri" w:eastAsia="Calibri" w:cs="Calibri"/>
          <w:color w:val="FF0000"/>
          <w:sz w:val="24"/>
          <w:szCs w:val="24"/>
        </w:rPr>
        <w:t xml:space="preserve">minimum </w:t>
      </w:r>
      <w:r w:rsidRPr="792AD32B" w:rsidR="00B30C5B">
        <w:rPr>
          <w:rFonts w:ascii="Calibri" w:hAnsi="Calibri" w:eastAsia="Calibri" w:cs="Calibri"/>
          <w:color w:val="FF0000"/>
          <w:sz w:val="24"/>
          <w:szCs w:val="24"/>
        </w:rPr>
        <w:t>duration for diagnosi</w:t>
      </w:r>
      <w:r w:rsidRPr="792AD32B" w:rsidR="05E736CA">
        <w:rPr>
          <w:rFonts w:ascii="Calibri" w:hAnsi="Calibri" w:eastAsia="Calibri" w:cs="Calibri"/>
          <w:color w:val="FF0000"/>
          <w:sz w:val="24"/>
          <w:szCs w:val="24"/>
        </w:rPr>
        <w:t>s</w:t>
      </w:r>
      <w:r w:rsidRPr="792AD32B" w:rsidR="00B30C5B">
        <w:rPr>
          <w:rFonts w:ascii="Calibri" w:hAnsi="Calibri" w:eastAsia="Calibri" w:cs="Calibri"/>
          <w:color w:val="FF0000"/>
          <w:sz w:val="24"/>
          <w:szCs w:val="24"/>
        </w:rPr>
        <w:t>.</w:t>
      </w:r>
    </w:p>
    <w:p w:rsidR="06DF7B00" w:rsidP="4EF8719D" w:rsidRDefault="06DF7B00" w14:paraId="6EE0B160" w14:textId="31A1F6D8">
      <w:pPr>
        <w:spacing w:line="480" w:lineRule="auto"/>
        <w:jc w:val="both"/>
        <w:rPr>
          <w:rFonts w:ascii="Calibri" w:hAnsi="Calibri" w:eastAsia="Calibri" w:cs="Calibri"/>
          <w:sz w:val="24"/>
          <w:szCs w:val="24"/>
          <w:lang w:val="en-US"/>
        </w:rPr>
      </w:pPr>
      <w:r w:rsidRPr="792AD32B" w:rsidR="06DF7B00">
        <w:rPr>
          <w:rFonts w:ascii="Calibri" w:hAnsi="Calibri" w:eastAsia="Calibri" w:cs="Calibri"/>
          <w:sz w:val="24"/>
          <w:szCs w:val="24"/>
        </w:rPr>
        <w:t xml:space="preserve">Using </w:t>
      </w:r>
      <w:r w:rsidRPr="792AD32B" w:rsidR="770A7B6F">
        <w:rPr>
          <w:rFonts w:ascii="Calibri" w:hAnsi="Calibri" w:eastAsia="Calibri" w:cs="Calibri"/>
          <w:sz w:val="24"/>
          <w:szCs w:val="24"/>
        </w:rPr>
        <w:t>LCA</w:t>
      </w:r>
      <w:r w:rsidRPr="792AD32B" w:rsidR="2B90F2C4">
        <w:rPr>
          <w:rFonts w:ascii="Calibri" w:hAnsi="Calibri" w:eastAsia="Calibri" w:cs="Calibri"/>
          <w:sz w:val="24"/>
          <w:szCs w:val="24"/>
        </w:rPr>
        <w:t xml:space="preserve"> </w:t>
      </w:r>
      <w:r w:rsidRPr="792AD32B" w:rsidR="2B90F2C4">
        <w:rPr>
          <w:rFonts w:ascii="Calibri" w:hAnsi="Calibri" w:eastAsia="Calibri" w:cs="Calibri"/>
          <w:color w:val="FF0000"/>
          <w:sz w:val="24"/>
          <w:szCs w:val="24"/>
        </w:rPr>
        <w:t>(n=85)</w:t>
      </w:r>
      <w:r w:rsidRPr="792AD32B" w:rsidR="3B35A474">
        <w:rPr>
          <w:rFonts w:ascii="Calibri" w:hAnsi="Calibri" w:eastAsia="Calibri" w:cs="Calibri"/>
          <w:color w:val="FF0000"/>
          <w:sz w:val="24"/>
          <w:szCs w:val="24"/>
        </w:rPr>
        <w:t>,</w:t>
      </w:r>
      <w:r w:rsidRPr="792AD32B" w:rsidR="06DF7B00">
        <w:rPr>
          <w:rFonts w:ascii="Calibri" w:hAnsi="Calibri" w:eastAsia="Calibri" w:cs="Calibri"/>
          <w:color w:val="FF0000"/>
          <w:sz w:val="24"/>
          <w:szCs w:val="24"/>
        </w:rPr>
        <w:t xml:space="preserve"> </w:t>
      </w:r>
      <w:r w:rsidRPr="792AD32B" w:rsidR="7DB26419">
        <w:rPr>
          <w:rFonts w:ascii="Calibri" w:hAnsi="Calibri" w:eastAsia="Calibri" w:cs="Calibri"/>
          <w:sz w:val="24"/>
          <w:szCs w:val="24"/>
        </w:rPr>
        <w:t>four</w:t>
      </w:r>
      <w:r w:rsidRPr="792AD32B" w:rsidR="5EE79DAC">
        <w:rPr>
          <w:rFonts w:ascii="Calibri" w:hAnsi="Calibri" w:eastAsia="Calibri" w:cs="Calibri"/>
          <w:sz w:val="24"/>
          <w:szCs w:val="24"/>
        </w:rPr>
        <w:t xml:space="preserve"> </w:t>
      </w:r>
      <w:r w:rsidRPr="792AD32B" w:rsidR="14256AAE">
        <w:rPr>
          <w:rFonts w:ascii="Calibri" w:hAnsi="Calibri" w:eastAsia="Calibri" w:cs="Calibri"/>
          <w:sz w:val="24"/>
          <w:szCs w:val="24"/>
        </w:rPr>
        <w:t>profiles</w:t>
      </w:r>
      <w:r w:rsidRPr="792AD32B" w:rsidR="1C6A3079">
        <w:rPr>
          <w:rFonts w:ascii="Calibri" w:hAnsi="Calibri" w:eastAsia="Calibri" w:cs="Calibri"/>
          <w:sz w:val="24"/>
          <w:szCs w:val="24"/>
        </w:rPr>
        <w:t xml:space="preserve"> were </w:t>
      </w:r>
      <w:r w:rsidRPr="792AD32B" w:rsidR="1C6A3079">
        <w:rPr>
          <w:rFonts w:ascii="Calibri" w:hAnsi="Calibri" w:eastAsia="Calibri" w:cs="Calibri"/>
          <w:sz w:val="24"/>
          <w:szCs w:val="24"/>
        </w:rPr>
        <w:t>identified</w:t>
      </w:r>
      <w:r w:rsidRPr="792AD32B" w:rsidR="6B61F687">
        <w:rPr>
          <w:rFonts w:ascii="Calibri" w:hAnsi="Calibri" w:eastAsia="Calibri" w:cs="Calibri"/>
          <w:sz w:val="24"/>
          <w:szCs w:val="24"/>
        </w:rPr>
        <w:t>.</w:t>
      </w:r>
      <w:r w:rsidRPr="792AD32B" w:rsidR="7004D049">
        <w:rPr>
          <w:rFonts w:ascii="Calibri" w:hAnsi="Calibri" w:eastAsia="Calibri" w:cs="Calibri"/>
          <w:sz w:val="24"/>
          <w:szCs w:val="24"/>
        </w:rPr>
        <w:t xml:space="preserve"> </w:t>
      </w:r>
      <w:r w:rsidRPr="792AD32B" w:rsidR="1D904651">
        <w:rPr>
          <w:rFonts w:ascii="Calibri" w:hAnsi="Calibri" w:eastAsia="Calibri" w:cs="Calibri"/>
          <w:i w:val="1"/>
          <w:iCs w:val="1"/>
          <w:sz w:val="24"/>
          <w:szCs w:val="24"/>
        </w:rPr>
        <w:t xml:space="preserve">Mild </w:t>
      </w:r>
      <w:r w:rsidRPr="792AD32B" w:rsidR="1D904651">
        <w:rPr>
          <w:rFonts w:ascii="Calibri" w:hAnsi="Calibri" w:eastAsia="Calibri" w:cs="Calibri"/>
          <w:sz w:val="24"/>
          <w:szCs w:val="24"/>
        </w:rPr>
        <w:t xml:space="preserve">and </w:t>
      </w:r>
      <w:r w:rsidRPr="792AD32B" w:rsidR="4F7D0627">
        <w:rPr>
          <w:rFonts w:ascii="Calibri" w:hAnsi="Calibri" w:eastAsia="Calibri" w:cs="Calibri"/>
          <w:i w:val="1"/>
          <w:iCs w:val="1"/>
          <w:sz w:val="24"/>
          <w:szCs w:val="24"/>
        </w:rPr>
        <w:t>M</w:t>
      </w:r>
      <w:r w:rsidRPr="792AD32B" w:rsidR="1D904651">
        <w:rPr>
          <w:rFonts w:ascii="Calibri" w:hAnsi="Calibri" w:eastAsia="Calibri" w:cs="Calibri"/>
          <w:i w:val="1"/>
          <w:iCs w:val="1"/>
          <w:sz w:val="24"/>
          <w:szCs w:val="24"/>
        </w:rPr>
        <w:t>oderate CRPS</w:t>
      </w:r>
      <w:r w:rsidRPr="792AD32B" w:rsidR="1D904651">
        <w:rPr>
          <w:rFonts w:ascii="Calibri" w:hAnsi="Calibri" w:eastAsia="Calibri" w:cs="Calibri"/>
          <w:sz w:val="24"/>
          <w:szCs w:val="24"/>
        </w:rPr>
        <w:t xml:space="preserve"> were </w:t>
      </w:r>
      <w:r w:rsidRPr="792AD32B" w:rsidR="51FE7AA6">
        <w:rPr>
          <w:rFonts w:ascii="Calibri" w:hAnsi="Calibri" w:eastAsia="Calibri" w:cs="Calibri"/>
          <w:sz w:val="24"/>
          <w:szCs w:val="24"/>
        </w:rPr>
        <w:t>characterized</w:t>
      </w:r>
      <w:r w:rsidRPr="792AD32B" w:rsidR="1D904651">
        <w:rPr>
          <w:rFonts w:ascii="Calibri" w:hAnsi="Calibri" w:eastAsia="Calibri" w:cs="Calibri"/>
          <w:sz w:val="24"/>
          <w:szCs w:val="24"/>
        </w:rPr>
        <w:t xml:space="preserve"> by </w:t>
      </w:r>
      <w:r w:rsidRPr="792AD32B" w:rsidR="35895BEA">
        <w:rPr>
          <w:rFonts w:ascii="Calibri" w:hAnsi="Calibri" w:eastAsia="Calibri" w:cs="Calibri"/>
          <w:sz w:val="24"/>
          <w:szCs w:val="24"/>
        </w:rPr>
        <w:t>high intensity</w:t>
      </w:r>
      <w:r w:rsidRPr="792AD32B" w:rsidR="1CE18826">
        <w:rPr>
          <w:rFonts w:ascii="Calibri" w:hAnsi="Calibri" w:eastAsia="Calibri" w:cs="Calibri"/>
          <w:sz w:val="24"/>
          <w:szCs w:val="24"/>
        </w:rPr>
        <w:t xml:space="preserve"> </w:t>
      </w:r>
      <w:r w:rsidRPr="792AD32B" w:rsidR="220DFBF1">
        <w:rPr>
          <w:rFonts w:ascii="Calibri" w:hAnsi="Calibri" w:eastAsia="Calibri" w:cs="Calibri"/>
          <w:sz w:val="24"/>
          <w:szCs w:val="24"/>
        </w:rPr>
        <w:t>triggering</w:t>
      </w:r>
      <w:r w:rsidRPr="792AD32B" w:rsidR="5B52890A">
        <w:rPr>
          <w:rFonts w:ascii="Calibri" w:hAnsi="Calibri" w:eastAsia="Calibri" w:cs="Calibri"/>
          <w:sz w:val="24"/>
          <w:szCs w:val="24"/>
        </w:rPr>
        <w:t xml:space="preserve"> </w:t>
      </w:r>
      <w:r w:rsidRPr="792AD32B" w:rsidR="1CE18826">
        <w:rPr>
          <w:rFonts w:ascii="Calibri" w:hAnsi="Calibri" w:eastAsia="Calibri" w:cs="Calibri"/>
          <w:sz w:val="24"/>
          <w:szCs w:val="24"/>
        </w:rPr>
        <w:t xml:space="preserve">events </w:t>
      </w:r>
      <w:r w:rsidRPr="792AD32B" w:rsidR="3D90CD23">
        <w:rPr>
          <w:rFonts w:ascii="Calibri" w:hAnsi="Calibri" w:eastAsia="Calibri" w:cs="Calibri"/>
          <w:sz w:val="24"/>
          <w:szCs w:val="24"/>
        </w:rPr>
        <w:t xml:space="preserve">contrasting with </w:t>
      </w:r>
      <w:r w:rsidRPr="792AD32B" w:rsidR="4236F81E">
        <w:rPr>
          <w:rFonts w:ascii="Calibri" w:hAnsi="Calibri" w:eastAsia="Calibri" w:cs="Calibri"/>
          <w:sz w:val="24"/>
          <w:szCs w:val="24"/>
        </w:rPr>
        <w:t>moderate perturbation</w:t>
      </w:r>
      <w:r w:rsidRPr="792AD32B" w:rsidR="1D904651">
        <w:rPr>
          <w:rFonts w:ascii="Calibri" w:hAnsi="Calibri" w:eastAsia="Calibri" w:cs="Calibri"/>
          <w:sz w:val="24"/>
          <w:szCs w:val="24"/>
        </w:rPr>
        <w:t xml:space="preserve"> </w:t>
      </w:r>
      <w:r w:rsidRPr="792AD32B" w:rsidR="05764D47">
        <w:rPr>
          <w:rFonts w:ascii="Calibri" w:hAnsi="Calibri" w:eastAsia="Calibri" w:cs="Calibri"/>
          <w:sz w:val="24"/>
          <w:szCs w:val="24"/>
        </w:rPr>
        <w:t>of</w:t>
      </w:r>
      <w:r w:rsidRPr="792AD32B" w:rsidR="1D904651">
        <w:rPr>
          <w:rFonts w:ascii="Calibri" w:hAnsi="Calibri" w:eastAsia="Calibri" w:cs="Calibri"/>
          <w:sz w:val="24"/>
          <w:szCs w:val="24"/>
        </w:rPr>
        <w:t xml:space="preserve"> </w:t>
      </w:r>
      <w:r w:rsidRPr="792AD32B" w:rsidR="1D904651">
        <w:rPr>
          <w:rFonts w:ascii="Calibri" w:hAnsi="Calibri" w:eastAsia="Calibri" w:cs="Calibri"/>
          <w:color w:val="000000" w:themeColor="text1" w:themeTint="FF" w:themeShade="FF"/>
          <w:sz w:val="24"/>
          <w:szCs w:val="24"/>
        </w:rPr>
        <w:t>outcomes</w:t>
      </w:r>
      <w:r w:rsidRPr="792AD32B" w:rsidR="09F53BDB">
        <w:rPr>
          <w:rFonts w:ascii="Calibri" w:hAnsi="Calibri" w:eastAsia="Calibri" w:cs="Calibri"/>
          <w:color w:val="000000" w:themeColor="text1" w:themeTint="FF" w:themeShade="FF"/>
          <w:sz w:val="24"/>
          <w:szCs w:val="24"/>
        </w:rPr>
        <w:t xml:space="preserve"> (</w:t>
      </w:r>
      <w:r w:rsidRPr="792AD32B" w:rsidR="3BE19B1B">
        <w:rPr>
          <w:rFonts w:ascii="Calibri" w:hAnsi="Calibri" w:eastAsia="Calibri" w:cs="Calibri"/>
          <w:color w:val="000000" w:themeColor="text1" w:themeTint="FF" w:themeShade="FF"/>
          <w:sz w:val="24"/>
          <w:szCs w:val="24"/>
        </w:rPr>
        <w:t xml:space="preserve">more pejorative in </w:t>
      </w:r>
      <w:r w:rsidRPr="792AD32B" w:rsidR="3BE19B1B">
        <w:rPr>
          <w:rFonts w:ascii="Calibri" w:hAnsi="Calibri" w:eastAsia="Calibri" w:cs="Calibri"/>
          <w:i w:val="1"/>
          <w:iCs w:val="1"/>
          <w:color w:val="000000" w:themeColor="text1" w:themeTint="FF" w:themeShade="FF"/>
          <w:sz w:val="24"/>
          <w:szCs w:val="24"/>
        </w:rPr>
        <w:t xml:space="preserve">Moderate </w:t>
      </w:r>
      <w:r w:rsidRPr="792AD32B" w:rsidR="3BE19B1B">
        <w:rPr>
          <w:rFonts w:ascii="Calibri" w:hAnsi="Calibri" w:eastAsia="Calibri" w:cs="Calibri"/>
          <w:color w:val="000000" w:themeColor="text1" w:themeTint="FF" w:themeShade="FF"/>
          <w:sz w:val="24"/>
          <w:szCs w:val="24"/>
        </w:rPr>
        <w:t xml:space="preserve">than in </w:t>
      </w:r>
      <w:r w:rsidRPr="792AD32B" w:rsidR="3BE19B1B">
        <w:rPr>
          <w:rFonts w:ascii="Calibri" w:hAnsi="Calibri" w:eastAsia="Calibri" w:cs="Calibri"/>
          <w:i w:val="1"/>
          <w:iCs w:val="1"/>
          <w:color w:val="000000" w:themeColor="text1" w:themeTint="FF" w:themeShade="FF"/>
          <w:sz w:val="24"/>
          <w:szCs w:val="24"/>
        </w:rPr>
        <w:t>Mild CRPS</w:t>
      </w:r>
      <w:r w:rsidRPr="792AD32B" w:rsidR="3D568BBD">
        <w:rPr>
          <w:rFonts w:ascii="Calibri" w:hAnsi="Calibri" w:eastAsia="Calibri" w:cs="Calibri"/>
          <w:i w:val="1"/>
          <w:iCs w:val="1"/>
          <w:color w:val="000000" w:themeColor="text1" w:themeTint="FF" w:themeShade="FF"/>
          <w:sz w:val="24"/>
          <w:szCs w:val="24"/>
        </w:rPr>
        <w:t>)</w:t>
      </w:r>
      <w:r w:rsidRPr="792AD32B" w:rsidR="13D42FD5">
        <w:rPr>
          <w:rFonts w:ascii="Calibri" w:hAnsi="Calibri" w:eastAsia="Calibri" w:cs="Calibri"/>
          <w:color w:val="000000" w:themeColor="text1" w:themeTint="FF" w:themeShade="FF"/>
          <w:sz w:val="24"/>
          <w:szCs w:val="24"/>
        </w:rPr>
        <w:t>.</w:t>
      </w:r>
      <w:r w:rsidRPr="792AD32B" w:rsidR="63D30FA4">
        <w:rPr>
          <w:rFonts w:eastAsia="游明朝" w:eastAsiaTheme="minorEastAsia"/>
          <w:color w:val="000000" w:themeColor="text1" w:themeTint="FF" w:themeShade="FF"/>
          <w:sz w:val="24"/>
          <w:szCs w:val="24"/>
        </w:rPr>
        <w:t xml:space="preserve"> </w:t>
      </w:r>
      <w:r w:rsidRPr="792AD32B" w:rsidR="74B1E849">
        <w:rPr>
          <w:rFonts w:ascii="Calibri" w:hAnsi="Calibri" w:eastAsia="Calibri" w:cs="Calibri"/>
          <w:color w:val="000000" w:themeColor="text1" w:themeTint="FF" w:themeShade="FF"/>
          <w:sz w:val="24"/>
          <w:szCs w:val="24"/>
        </w:rPr>
        <w:t>Both</w:t>
      </w:r>
      <w:r w:rsidRPr="792AD32B" w:rsidR="53F95570">
        <w:rPr>
          <w:rFonts w:ascii="Calibri" w:hAnsi="Calibri" w:eastAsia="Calibri" w:cs="Calibri"/>
          <w:color w:val="000000" w:themeColor="text1" w:themeTint="FF" w:themeShade="FF"/>
          <w:sz w:val="24"/>
          <w:szCs w:val="24"/>
        </w:rPr>
        <w:t xml:space="preserve"> </w:t>
      </w:r>
      <w:r w:rsidRPr="792AD32B" w:rsidR="33ABF6BE">
        <w:rPr>
          <w:rFonts w:ascii="Calibri" w:hAnsi="Calibri" w:eastAsia="Calibri" w:cs="Calibri"/>
          <w:color w:val="000000" w:themeColor="text1" w:themeTint="FF" w:themeShade="FF"/>
          <w:sz w:val="24"/>
          <w:szCs w:val="24"/>
        </w:rPr>
        <w:t>severe</w:t>
      </w:r>
      <w:r w:rsidRPr="792AD32B" w:rsidR="33ABF6BE">
        <w:rPr>
          <w:rFonts w:ascii="Calibri" w:hAnsi="Calibri" w:eastAsia="Calibri" w:cs="Calibri"/>
          <w:color w:val="000000" w:themeColor="text1" w:themeTint="FF" w:themeShade="FF"/>
          <w:sz w:val="24"/>
          <w:szCs w:val="24"/>
        </w:rPr>
        <w:t xml:space="preserve"> CRPS </w:t>
      </w:r>
      <w:r w:rsidRPr="792AD32B" w:rsidR="7C10FB43">
        <w:rPr>
          <w:rFonts w:ascii="Calibri" w:hAnsi="Calibri" w:eastAsia="Calibri" w:cs="Calibri"/>
          <w:color w:val="000000" w:themeColor="text1" w:themeTint="FF" w:themeShade="FF"/>
          <w:sz w:val="24"/>
          <w:szCs w:val="24"/>
        </w:rPr>
        <w:t xml:space="preserve">subgroups </w:t>
      </w:r>
      <w:r w:rsidRPr="792AD32B" w:rsidR="33ABF6BE">
        <w:rPr>
          <w:rFonts w:ascii="Calibri" w:hAnsi="Calibri" w:eastAsia="Calibri" w:cs="Calibri"/>
          <w:color w:val="000000" w:themeColor="text1" w:themeTint="FF" w:themeShade="FF"/>
          <w:sz w:val="24"/>
          <w:szCs w:val="24"/>
        </w:rPr>
        <w:t xml:space="preserve">showed poorer outcomes than the two other profiles. </w:t>
      </w:r>
      <w:r w:rsidRPr="792AD32B" w:rsidR="35C72492">
        <w:rPr>
          <w:rFonts w:ascii="Calibri" w:hAnsi="Calibri" w:eastAsia="Calibri" w:cs="Calibri"/>
          <w:i w:val="1"/>
          <w:iCs w:val="1"/>
          <w:color w:val="FF0000"/>
          <w:sz w:val="24"/>
          <w:szCs w:val="24"/>
        </w:rPr>
        <w:t>BRD</w:t>
      </w:r>
      <w:r w:rsidRPr="792AD32B" w:rsidR="7FC7C04B">
        <w:rPr>
          <w:rFonts w:ascii="Calibri" w:hAnsi="Calibri" w:eastAsia="Calibri" w:cs="Calibri"/>
          <w:i w:val="1"/>
          <w:iCs w:val="1"/>
          <w:color w:val="FF0000"/>
          <w:sz w:val="24"/>
          <w:szCs w:val="24"/>
        </w:rPr>
        <w:t xml:space="preserve"> </w:t>
      </w:r>
      <w:r w:rsidRPr="792AD32B" w:rsidR="33ABF6BE">
        <w:rPr>
          <w:rFonts w:ascii="Calibri" w:hAnsi="Calibri" w:eastAsia="Calibri" w:cs="Calibri"/>
          <w:i w:val="1"/>
          <w:iCs w:val="1"/>
          <w:color w:val="FF0000"/>
          <w:sz w:val="24"/>
          <w:szCs w:val="24"/>
        </w:rPr>
        <w:t>CRPS</w:t>
      </w:r>
      <w:r w:rsidRPr="792AD32B" w:rsidR="33ABF6BE">
        <w:rPr>
          <w:rFonts w:ascii="Calibri" w:hAnsi="Calibri" w:eastAsia="Calibri" w:cs="Calibri"/>
          <w:color w:val="FF0000"/>
          <w:sz w:val="24"/>
          <w:szCs w:val="24"/>
        </w:rPr>
        <w:t xml:space="preserve"> </w:t>
      </w:r>
      <w:r w:rsidRPr="792AD32B" w:rsidR="33ABF6BE">
        <w:rPr>
          <w:rFonts w:ascii="Calibri" w:hAnsi="Calibri" w:eastAsia="Calibri" w:cs="Calibri"/>
          <w:color w:val="000000" w:themeColor="text1" w:themeTint="FF" w:themeShade="FF"/>
          <w:sz w:val="24"/>
          <w:szCs w:val="24"/>
        </w:rPr>
        <w:t xml:space="preserve">displayed the most severe </w:t>
      </w:r>
      <w:r w:rsidRPr="792AD32B" w:rsidR="49FDE593">
        <w:rPr>
          <w:rFonts w:ascii="Calibri" w:hAnsi="Calibri" w:eastAsia="Calibri" w:cs="Calibri"/>
          <w:color w:val="000000" w:themeColor="text1" w:themeTint="FF" w:themeShade="FF"/>
          <w:sz w:val="24"/>
          <w:szCs w:val="24"/>
        </w:rPr>
        <w:t xml:space="preserve">body </w:t>
      </w:r>
      <w:r w:rsidRPr="792AD32B" w:rsidR="49FDE593">
        <w:rPr>
          <w:rFonts w:ascii="Calibri" w:hAnsi="Calibri" w:eastAsia="Calibri" w:cs="Calibri"/>
          <w:color w:val="000000" w:themeColor="text1" w:themeTint="FF" w:themeShade="FF"/>
          <w:sz w:val="24"/>
          <w:szCs w:val="24"/>
        </w:rPr>
        <w:t>perception</w:t>
      </w:r>
      <w:r w:rsidRPr="792AD32B" w:rsidR="49FDE593">
        <w:rPr>
          <w:rFonts w:ascii="Calibri" w:hAnsi="Calibri" w:eastAsia="Calibri" w:cs="Calibri"/>
          <w:color w:val="000000" w:themeColor="text1" w:themeTint="FF" w:themeShade="FF"/>
          <w:sz w:val="24"/>
          <w:szCs w:val="24"/>
        </w:rPr>
        <w:t xml:space="preserve"> </w:t>
      </w:r>
      <w:r w:rsidRPr="792AD32B" w:rsidR="33ABF6BE">
        <w:rPr>
          <w:rFonts w:ascii="Calibri" w:hAnsi="Calibri" w:eastAsia="Calibri" w:cs="Calibri"/>
          <w:color w:val="000000" w:themeColor="text1" w:themeTint="FF" w:themeShade="FF"/>
          <w:sz w:val="24"/>
          <w:szCs w:val="24"/>
        </w:rPr>
        <w:t xml:space="preserve">disturbances, </w:t>
      </w:r>
      <w:r w:rsidRPr="792AD32B" w:rsidR="004348E7">
        <w:rPr>
          <w:rFonts w:ascii="Calibri" w:hAnsi="Calibri" w:eastAsia="Calibri" w:cs="Calibri"/>
          <w:color w:val="000000" w:themeColor="text1" w:themeTint="FF" w:themeShade="FF"/>
          <w:sz w:val="24"/>
          <w:szCs w:val="24"/>
        </w:rPr>
        <w:t xml:space="preserve">highest </w:t>
      </w:r>
      <w:r w:rsidRPr="792AD32B" w:rsidR="33ABF6BE">
        <w:rPr>
          <w:rFonts w:ascii="Calibri" w:hAnsi="Calibri" w:eastAsia="Calibri" w:cs="Calibri"/>
          <w:color w:val="000000" w:themeColor="text1" w:themeTint="FF" w:themeShade="FF"/>
          <w:sz w:val="24"/>
          <w:szCs w:val="24"/>
        </w:rPr>
        <w:t>MPS, and rate of allodynia.</w:t>
      </w:r>
      <w:r w:rsidRPr="792AD32B" w:rsidR="4CDBB1BA">
        <w:rPr>
          <w:rFonts w:eastAsia="游明朝" w:eastAsiaTheme="minorEastAsia"/>
          <w:color w:val="000000" w:themeColor="text1" w:themeTint="FF" w:themeShade="FF"/>
          <w:sz w:val="24"/>
          <w:szCs w:val="24"/>
        </w:rPr>
        <w:t xml:space="preserve"> </w:t>
      </w:r>
      <w:r w:rsidRPr="792AD32B" w:rsidR="16E0B6D9">
        <w:rPr>
          <w:rFonts w:ascii="Calibri" w:hAnsi="Calibri" w:eastAsia="Calibri" w:cs="Calibri"/>
          <w:i w:val="1"/>
          <w:iCs w:val="1"/>
          <w:color w:val="000000" w:themeColor="text1" w:themeTint="FF" w:themeShade="FF"/>
          <w:sz w:val="24"/>
          <w:szCs w:val="24"/>
        </w:rPr>
        <w:t>P</w:t>
      </w:r>
      <w:r w:rsidRPr="792AD32B" w:rsidR="0D26170A">
        <w:rPr>
          <w:rFonts w:ascii="Calibri" w:hAnsi="Calibri" w:eastAsia="Calibri" w:cs="Calibri"/>
          <w:i w:val="1"/>
          <w:iCs w:val="1"/>
          <w:color w:val="000000" w:themeColor="text1" w:themeTint="FF" w:themeShade="FF"/>
          <w:sz w:val="24"/>
          <w:szCs w:val="24"/>
        </w:rPr>
        <w:t>ressure allodynia CRPS</w:t>
      </w:r>
      <w:r w:rsidRPr="792AD32B" w:rsidR="0D26170A">
        <w:rPr>
          <w:rFonts w:ascii="Calibri" w:hAnsi="Calibri" w:eastAsia="Calibri" w:cs="Calibri"/>
          <w:color w:val="000000" w:themeColor="text1" w:themeTint="FF" w:themeShade="FF"/>
          <w:sz w:val="24"/>
          <w:szCs w:val="24"/>
        </w:rPr>
        <w:t xml:space="preserve"> </w:t>
      </w:r>
      <w:r w:rsidRPr="792AD32B" w:rsidR="16E0B6D9">
        <w:rPr>
          <w:rFonts w:ascii="Calibri" w:hAnsi="Calibri" w:eastAsia="Calibri" w:cs="Calibri"/>
          <w:color w:val="000000" w:themeColor="text1" w:themeTint="FF" w:themeShade="FF"/>
          <w:sz w:val="24"/>
          <w:szCs w:val="24"/>
        </w:rPr>
        <w:t>were</w:t>
      </w:r>
      <w:r w:rsidRPr="792AD32B" w:rsidR="0D26170A">
        <w:rPr>
          <w:rFonts w:ascii="Calibri" w:hAnsi="Calibri" w:eastAsia="Calibri" w:cs="Calibri"/>
          <w:color w:val="000000" w:themeColor="text1" w:themeTint="FF" w:themeShade="FF"/>
          <w:sz w:val="24"/>
          <w:szCs w:val="24"/>
        </w:rPr>
        <w:t xml:space="preserve"> mostly triggered by events of low physical </w:t>
      </w:r>
      <w:r w:rsidRPr="792AD32B" w:rsidR="7DF20DEE">
        <w:rPr>
          <w:rFonts w:ascii="Calibri" w:hAnsi="Calibri" w:eastAsia="Calibri" w:cs="Calibri"/>
          <w:color w:val="000000" w:themeColor="text1" w:themeTint="FF" w:themeShade="FF"/>
          <w:sz w:val="24"/>
          <w:szCs w:val="24"/>
        </w:rPr>
        <w:t>intensity, had</w:t>
      </w:r>
      <w:r w:rsidRPr="792AD32B" w:rsidR="0D26170A">
        <w:rPr>
          <w:rFonts w:ascii="Calibri" w:hAnsi="Calibri" w:eastAsia="Calibri" w:cs="Calibri"/>
          <w:color w:val="000000" w:themeColor="text1" w:themeTint="FF" w:themeShade="FF"/>
          <w:sz w:val="24"/>
          <w:szCs w:val="24"/>
        </w:rPr>
        <w:t xml:space="preserve"> the highest psychosocial </w:t>
      </w:r>
      <w:r w:rsidRPr="792AD32B" w:rsidR="4A34584F">
        <w:rPr>
          <w:rFonts w:ascii="Calibri" w:hAnsi="Calibri" w:eastAsia="Calibri" w:cs="Calibri"/>
          <w:color w:val="000000" w:themeColor="text1" w:themeTint="FF" w:themeShade="FF"/>
          <w:sz w:val="24"/>
          <w:szCs w:val="24"/>
        </w:rPr>
        <w:t>severity,</w:t>
      </w:r>
      <w:r w:rsidRPr="792AD32B" w:rsidR="0D26170A">
        <w:rPr>
          <w:rFonts w:ascii="Calibri" w:hAnsi="Calibri" w:eastAsia="Calibri" w:cs="Calibri"/>
          <w:color w:val="000000" w:themeColor="text1" w:themeTint="FF" w:themeShade="FF"/>
          <w:sz w:val="24"/>
          <w:szCs w:val="24"/>
        </w:rPr>
        <w:t xml:space="preserve"> and displayed a dramatic reductio</w:t>
      </w:r>
      <w:r w:rsidRPr="792AD32B" w:rsidR="0D26170A">
        <w:rPr>
          <w:rFonts w:ascii="Calibri" w:hAnsi="Calibri" w:eastAsia="Calibri" w:cs="Calibri"/>
          <w:sz w:val="24"/>
          <w:szCs w:val="24"/>
        </w:rPr>
        <w:t>n in PPT values</w:t>
      </w:r>
      <w:r w:rsidRPr="792AD32B" w:rsidR="0D26170A">
        <w:rPr>
          <w:rFonts w:ascii="Calibri" w:hAnsi="Calibri" w:eastAsia="Calibri" w:cs="Calibri"/>
          <w:b w:val="1"/>
          <w:bCs w:val="1"/>
          <w:sz w:val="24"/>
          <w:szCs w:val="24"/>
        </w:rPr>
        <w:t>.</w:t>
      </w:r>
      <w:r w:rsidRPr="792AD32B" w:rsidR="00C60DA0">
        <w:rPr>
          <w:rFonts w:ascii="Calibri" w:hAnsi="Calibri" w:eastAsia="Calibri" w:cs="Calibri"/>
          <w:color w:val="FF0000"/>
          <w:sz w:val="24"/>
          <w:szCs w:val="24"/>
        </w:rPr>
        <w:t xml:space="preserve"> </w:t>
      </w:r>
      <w:r w:rsidRPr="792AD32B" w:rsidR="00C60DA0">
        <w:rPr>
          <w:rFonts w:ascii="Calibri" w:hAnsi="Calibri" w:eastAsia="Calibri" w:cs="Calibri"/>
          <w:i w:val="1"/>
          <w:iCs w:val="1"/>
          <w:color w:val="FF0000"/>
          <w:sz w:val="24"/>
          <w:szCs w:val="24"/>
        </w:rPr>
        <w:t>Moderate CRPS</w:t>
      </w:r>
      <w:r w:rsidRPr="792AD32B" w:rsidR="00C60DA0">
        <w:rPr>
          <w:rFonts w:ascii="Calibri" w:hAnsi="Calibri" w:eastAsia="Calibri" w:cs="Calibri"/>
          <w:color w:val="FF0000"/>
          <w:sz w:val="24"/>
          <w:szCs w:val="24"/>
        </w:rPr>
        <w:t xml:space="preserve"> and </w:t>
      </w:r>
      <w:r w:rsidRPr="792AD32B" w:rsidR="00644AC1">
        <w:rPr>
          <w:rFonts w:ascii="Calibri" w:hAnsi="Calibri" w:eastAsia="Calibri" w:cs="Calibri"/>
          <w:color w:val="FF0000"/>
          <w:sz w:val="24"/>
          <w:szCs w:val="24"/>
        </w:rPr>
        <w:t>P</w:t>
      </w:r>
      <w:r w:rsidRPr="792AD32B" w:rsidR="00C60DA0">
        <w:rPr>
          <w:rFonts w:ascii="Calibri" w:hAnsi="Calibri" w:eastAsia="Calibri" w:cs="Calibri"/>
          <w:i w:val="1"/>
          <w:iCs w:val="1"/>
          <w:color w:val="FF0000"/>
          <w:sz w:val="24"/>
          <w:szCs w:val="24"/>
        </w:rPr>
        <w:t>ressure allodynia CRPS</w:t>
      </w:r>
      <w:r w:rsidRPr="792AD32B" w:rsidR="00C60DA0">
        <w:rPr>
          <w:rFonts w:ascii="Calibri" w:hAnsi="Calibri" w:eastAsia="Calibri" w:cs="Calibri"/>
          <w:color w:val="FF0000"/>
          <w:sz w:val="24"/>
          <w:szCs w:val="24"/>
        </w:rPr>
        <w:t xml:space="preserve"> displayed attentional bias in opposite directions during the TOJ task.</w:t>
      </w:r>
      <w:r w:rsidRPr="792AD32B" w:rsidR="009B33A9">
        <w:rPr>
          <w:rFonts w:ascii="Calibri" w:hAnsi="Calibri" w:eastAsia="Calibri" w:cs="Calibri"/>
          <w:color w:val="FF0000"/>
          <w:sz w:val="24"/>
          <w:szCs w:val="24"/>
        </w:rPr>
        <w:t xml:space="preserve"> The identification of </w:t>
      </w:r>
      <w:r w:rsidRPr="792AD32B" w:rsidR="000C10B2">
        <w:rPr>
          <w:rFonts w:ascii="Calibri" w:hAnsi="Calibri" w:eastAsia="Calibri" w:cs="Calibri"/>
          <w:color w:val="FF0000"/>
          <w:sz w:val="24"/>
          <w:szCs w:val="24"/>
        </w:rPr>
        <w:t>these</w:t>
      </w:r>
      <w:r w:rsidRPr="792AD32B" w:rsidR="009B33A9">
        <w:rPr>
          <w:rFonts w:ascii="Calibri" w:hAnsi="Calibri" w:eastAsia="Calibri" w:cs="Calibri"/>
          <w:color w:val="FF0000"/>
          <w:sz w:val="24"/>
          <w:szCs w:val="24"/>
        </w:rPr>
        <w:t xml:space="preserve"> four </w:t>
      </w:r>
      <w:r w:rsidRPr="792AD32B" w:rsidR="00854143">
        <w:rPr>
          <w:rFonts w:ascii="Calibri" w:hAnsi="Calibri" w:eastAsia="Calibri" w:cs="Calibri"/>
          <w:color w:val="FF0000"/>
          <w:sz w:val="24"/>
          <w:szCs w:val="24"/>
        </w:rPr>
        <w:t>profiles,</w:t>
      </w:r>
      <w:r w:rsidRPr="792AD32B" w:rsidR="009B33A9">
        <w:rPr>
          <w:rFonts w:ascii="Calibri" w:hAnsi="Calibri" w:eastAsia="Calibri" w:cs="Calibri"/>
          <w:color w:val="FF0000"/>
          <w:sz w:val="24"/>
          <w:szCs w:val="24"/>
        </w:rPr>
        <w:t xml:space="preserve"> </w:t>
      </w:r>
      <w:r w:rsidRPr="792AD32B" w:rsidR="00854143">
        <w:rPr>
          <w:rFonts w:ascii="Calibri" w:hAnsi="Calibri" w:eastAsia="Calibri" w:cs="Calibri"/>
          <w:color w:val="FF0000"/>
          <w:sz w:val="24"/>
          <w:szCs w:val="24"/>
        </w:rPr>
        <w:t xml:space="preserve">based on an </w:t>
      </w:r>
      <w:r w:rsidRPr="792AD32B" w:rsidR="00996DD7">
        <w:rPr>
          <w:rFonts w:ascii="Calibri" w:hAnsi="Calibri" w:eastAsia="Calibri" w:cs="Calibri"/>
          <w:color w:val="FF0000"/>
          <w:sz w:val="24"/>
          <w:szCs w:val="24"/>
        </w:rPr>
        <w:t>uncontrolled</w:t>
      </w:r>
      <w:r w:rsidRPr="792AD32B" w:rsidR="00854143">
        <w:rPr>
          <w:rFonts w:ascii="Calibri" w:hAnsi="Calibri" w:eastAsia="Calibri" w:cs="Calibri"/>
          <w:color w:val="FF0000"/>
          <w:sz w:val="24"/>
          <w:szCs w:val="24"/>
        </w:rPr>
        <w:t xml:space="preserve"> statistical analysis </w:t>
      </w:r>
      <w:r w:rsidRPr="792AD32B" w:rsidR="000C10B2">
        <w:rPr>
          <w:rFonts w:ascii="Calibri" w:hAnsi="Calibri" w:eastAsia="Calibri" w:cs="Calibri"/>
          <w:color w:val="FF0000"/>
          <w:sz w:val="24"/>
          <w:szCs w:val="24"/>
        </w:rPr>
        <w:t>not</w:t>
      </w:r>
      <w:r w:rsidRPr="792AD32B" w:rsidR="00854143">
        <w:rPr>
          <w:rFonts w:ascii="Calibri" w:hAnsi="Calibri" w:eastAsia="Calibri" w:cs="Calibri"/>
          <w:color w:val="FF0000"/>
          <w:sz w:val="24"/>
          <w:szCs w:val="24"/>
        </w:rPr>
        <w:t xml:space="preserve"> </w:t>
      </w:r>
      <w:r w:rsidRPr="792AD32B" w:rsidR="000C10B2">
        <w:rPr>
          <w:rFonts w:ascii="Calibri" w:hAnsi="Calibri" w:eastAsia="Calibri" w:cs="Calibri"/>
          <w:color w:val="FF0000"/>
          <w:sz w:val="24"/>
          <w:szCs w:val="24"/>
        </w:rPr>
        <w:t>relying</w:t>
      </w:r>
      <w:r w:rsidRPr="792AD32B" w:rsidR="00854143">
        <w:rPr>
          <w:rFonts w:ascii="Calibri" w:hAnsi="Calibri" w:eastAsia="Calibri" w:cs="Calibri"/>
          <w:color w:val="FF0000"/>
          <w:sz w:val="24"/>
          <w:szCs w:val="24"/>
        </w:rPr>
        <w:t xml:space="preserve"> on condition duration, confirmed the heterogeneity </w:t>
      </w:r>
      <w:r w:rsidRPr="792AD32B" w:rsidR="000C10B2">
        <w:rPr>
          <w:rFonts w:ascii="Calibri" w:hAnsi="Calibri" w:eastAsia="Calibri" w:cs="Calibri"/>
          <w:color w:val="FF0000"/>
          <w:sz w:val="24"/>
          <w:szCs w:val="24"/>
        </w:rPr>
        <w:t>among</w:t>
      </w:r>
      <w:r w:rsidRPr="792AD32B" w:rsidR="3F149616">
        <w:rPr>
          <w:rFonts w:ascii="Calibri" w:hAnsi="Calibri" w:eastAsia="Calibri" w:cs="Calibri"/>
          <w:color w:val="FF0000"/>
          <w:sz w:val="24"/>
          <w:szCs w:val="24"/>
        </w:rPr>
        <w:t xml:space="preserve"> (very)</w:t>
      </w:r>
      <w:r w:rsidRPr="792AD32B" w:rsidR="00854143">
        <w:rPr>
          <w:rFonts w:ascii="Calibri" w:hAnsi="Calibri" w:eastAsia="Calibri" w:cs="Calibri"/>
          <w:color w:val="FF0000"/>
          <w:sz w:val="24"/>
          <w:szCs w:val="24"/>
        </w:rPr>
        <w:t xml:space="preserve"> early CRPS patients, </w:t>
      </w:r>
      <w:r w:rsidRPr="792AD32B" w:rsidR="00854143">
        <w:rPr>
          <w:rFonts w:ascii="Calibri" w:hAnsi="Calibri" w:eastAsia="Calibri" w:cs="Calibri"/>
          <w:color w:val="FF0000"/>
          <w:sz w:val="24"/>
          <w:szCs w:val="24"/>
        </w:rPr>
        <w:t xml:space="preserve">probably </w:t>
      </w:r>
      <w:r w:rsidRPr="792AD32B" w:rsidR="005143E0">
        <w:rPr>
          <w:rFonts w:ascii="Calibri" w:hAnsi="Calibri" w:eastAsia="Calibri" w:cs="Calibri"/>
          <w:color w:val="FF0000"/>
          <w:sz w:val="24"/>
          <w:szCs w:val="24"/>
        </w:rPr>
        <w:t>subtended</w:t>
      </w:r>
      <w:r w:rsidRPr="792AD32B" w:rsidR="00854143">
        <w:rPr>
          <w:rFonts w:ascii="Calibri" w:hAnsi="Calibri" w:eastAsia="Calibri" w:cs="Calibri"/>
          <w:color w:val="FF0000"/>
          <w:sz w:val="24"/>
          <w:szCs w:val="24"/>
        </w:rPr>
        <w:t xml:space="preserve"> by different mechanisms.</w:t>
      </w:r>
    </w:p>
    <w:p w:rsidRPr="00204547" w:rsidR="3DED8C90" w:rsidP="004030B4" w:rsidRDefault="21B37132" w14:paraId="144AF1BC" w14:textId="6B378E9A">
      <w:pPr>
        <w:pStyle w:val="Heading2"/>
        <w:numPr>
          <w:ilvl w:val="0"/>
          <w:numId w:val="45"/>
        </w:numPr>
      </w:pPr>
      <w:r>
        <w:t xml:space="preserve">Interpretation </w:t>
      </w:r>
      <w:proofErr w:type="gramStart"/>
      <w:r>
        <w:t>in light of</w:t>
      </w:r>
      <w:proofErr w:type="gramEnd"/>
      <w:r>
        <w:t xml:space="preserve"> the literature</w:t>
      </w:r>
    </w:p>
    <w:p w:rsidR="4E2B0C9A" w:rsidP="560E2E1C" w:rsidRDefault="1F8CE11D" w14:paraId="118C7095" w14:textId="6BDBFA51">
      <w:pPr>
        <w:spacing w:after="0" w:line="480" w:lineRule="auto"/>
        <w:jc w:val="both"/>
        <w:rPr>
          <w:rFonts w:eastAsiaTheme="minorEastAsia"/>
          <w:sz w:val="24"/>
          <w:szCs w:val="24"/>
        </w:rPr>
      </w:pPr>
      <w:r w:rsidRPr="560E2E1C">
        <w:rPr>
          <w:rFonts w:eastAsiaTheme="minorEastAsia"/>
          <w:i/>
          <w:iCs/>
          <w:sz w:val="24"/>
          <w:szCs w:val="24"/>
        </w:rPr>
        <w:t>Clinical features</w:t>
      </w:r>
    </w:p>
    <w:p w:rsidR="009401DD" w:rsidP="0FEC445E" w:rsidRDefault="3439A352" w14:paraId="3912A256" w14:textId="60F52E97">
      <w:pPr>
        <w:spacing w:after="0" w:line="480" w:lineRule="auto"/>
        <w:jc w:val="both"/>
        <w:rPr>
          <w:rFonts w:ascii="Calibri" w:hAnsi="Calibri" w:eastAsia="Calibri" w:cs="Calibri"/>
          <w:sz w:val="24"/>
          <w:szCs w:val="24"/>
        </w:rPr>
      </w:pPr>
      <w:r w:rsidRPr="0FEC445E">
        <w:rPr>
          <w:rFonts w:eastAsiaTheme="minorEastAsia"/>
          <w:sz w:val="24"/>
          <w:szCs w:val="24"/>
        </w:rPr>
        <w:t>In a large retrospective cohort</w:t>
      </w:r>
      <w:r w:rsidRPr="0FEC445E" w:rsidR="665C6D24">
        <w:rPr>
          <w:rFonts w:eastAsiaTheme="minorEastAsia"/>
          <w:sz w:val="24"/>
          <w:szCs w:val="24"/>
        </w:rPr>
        <w:t xml:space="preserve"> </w:t>
      </w:r>
      <w:r w:rsidRPr="0FEC445E">
        <w:rPr>
          <w:rFonts w:eastAsiaTheme="minorEastAsia"/>
        </w:rPr>
        <w:fldChar w:fldCharType="begin"/>
      </w:r>
      <w:r w:rsidR="008425F7">
        <w:rPr>
          <w:rFonts w:eastAsiaTheme="minorEastAsia"/>
        </w:rPr>
        <w:instrText xml:space="preserve"> ADDIN ZOTERO_ITEM CSL_CITATION {"citationID":"F4adRMkU","properties":{"formattedCitation":"(Ott and Maih\\uc0\\u246{}fner, 2018)","plainCitation":"(Ott and Maihöfner, 2018)","noteIndex":0},"citationItems":[{"id":179,"uris":["http://zotero.org/users/8514361/items/BIIGMQ7A"],"itemData":{"id":179,"type":"article-journal","container-title":"The Journal of Pain","DOI":"10.1016/j.jpain.2018.01.004","ISSN":"1526-5900, 1528-8447","issue":"6","journalAbbreviation":"The Journal of Pain","language":"English","note":"publisher: Elsevier\nPMID: 29409933","page":"599-611","source":"www.jpain.org","title":"Signs and Symptoms in 1,043 Patients with Complex Regional Pain Syndrome","volume":"19","author":[{"family":"Ott","given":"Stephan"},{"family":"Maihöfner","given":"Christian"}],"issued":{"date-parts":[["2018",6,1]]}}}],"schema":"https://github.com/citation-style-language/schema/raw/master/csl-citation.json"} </w:instrText>
      </w:r>
      <w:r w:rsidRPr="0FEC445E">
        <w:rPr>
          <w:rFonts w:eastAsiaTheme="minorEastAsia"/>
        </w:rPr>
        <w:fldChar w:fldCharType="separate"/>
      </w:r>
      <w:r w:rsidRPr="008425F7" w:rsidR="008425F7">
        <w:rPr>
          <w:rFonts w:ascii="Calibri" w:hAnsi="Calibri" w:cs="Calibri"/>
          <w:sz w:val="24"/>
        </w:rPr>
        <w:t>(Ott and Maihöfner, 2018)</w:t>
      </w:r>
      <w:r w:rsidRPr="0FEC445E">
        <w:rPr>
          <w:rFonts w:eastAsiaTheme="minorEastAsia"/>
        </w:rPr>
        <w:fldChar w:fldCharType="end"/>
      </w:r>
      <w:r w:rsidRPr="0FEC445E">
        <w:rPr>
          <w:rFonts w:eastAsiaTheme="minorEastAsia"/>
          <w:sz w:val="24"/>
          <w:szCs w:val="24"/>
        </w:rPr>
        <w:t>, ea</w:t>
      </w:r>
      <w:r w:rsidRPr="0FEC445E" w:rsidR="2C591BA7">
        <w:rPr>
          <w:rFonts w:eastAsiaTheme="minorEastAsia"/>
          <w:sz w:val="24"/>
          <w:szCs w:val="24"/>
        </w:rPr>
        <w:t xml:space="preserve">rly CRPS </w:t>
      </w:r>
      <w:r w:rsidRPr="0FEC445E">
        <w:rPr>
          <w:rFonts w:eastAsiaTheme="minorEastAsia"/>
          <w:sz w:val="24"/>
          <w:szCs w:val="24"/>
        </w:rPr>
        <w:t xml:space="preserve">(&lt; 6 months) </w:t>
      </w:r>
      <w:r w:rsidRPr="0FEC445E" w:rsidR="6830516B">
        <w:rPr>
          <w:rFonts w:eastAsiaTheme="minorEastAsia"/>
          <w:sz w:val="24"/>
          <w:szCs w:val="24"/>
        </w:rPr>
        <w:t xml:space="preserve">was </w:t>
      </w:r>
      <w:r w:rsidRPr="0FEC445E" w:rsidR="2C591BA7">
        <w:rPr>
          <w:rFonts w:eastAsiaTheme="minorEastAsia"/>
          <w:sz w:val="24"/>
          <w:szCs w:val="24"/>
        </w:rPr>
        <w:t xml:space="preserve">associated with </w:t>
      </w:r>
      <w:r w:rsidRPr="0FEC445E" w:rsidR="004348E7">
        <w:rPr>
          <w:rFonts w:eastAsiaTheme="minorEastAsia"/>
          <w:sz w:val="24"/>
          <w:szCs w:val="24"/>
        </w:rPr>
        <w:t xml:space="preserve">swelling and </w:t>
      </w:r>
      <w:r w:rsidRPr="0FEC445E" w:rsidR="2C591BA7">
        <w:rPr>
          <w:rFonts w:eastAsiaTheme="minorEastAsia"/>
          <w:sz w:val="24"/>
          <w:szCs w:val="24"/>
        </w:rPr>
        <w:t xml:space="preserve">warmer </w:t>
      </w:r>
      <w:r w:rsidRPr="0FEC445E" w:rsidR="7B41A2BE">
        <w:rPr>
          <w:rFonts w:eastAsiaTheme="minorEastAsia"/>
          <w:sz w:val="24"/>
          <w:szCs w:val="24"/>
        </w:rPr>
        <w:t>skin</w:t>
      </w:r>
      <w:r w:rsidRPr="0FEC445E" w:rsidR="4EC71744">
        <w:rPr>
          <w:rFonts w:eastAsiaTheme="minorEastAsia"/>
          <w:sz w:val="24"/>
          <w:szCs w:val="24"/>
        </w:rPr>
        <w:t xml:space="preserve"> </w:t>
      </w:r>
      <w:r w:rsidRPr="0FEC445E" w:rsidR="58F30F44">
        <w:rPr>
          <w:rFonts w:eastAsiaTheme="minorEastAsia"/>
          <w:sz w:val="24"/>
          <w:szCs w:val="24"/>
        </w:rPr>
        <w:t>than the contralate</w:t>
      </w:r>
      <w:r w:rsidRPr="0FEC445E" w:rsidR="45176C72">
        <w:rPr>
          <w:rFonts w:eastAsiaTheme="minorEastAsia"/>
          <w:sz w:val="24"/>
          <w:szCs w:val="24"/>
        </w:rPr>
        <w:t>ral limb</w:t>
      </w:r>
      <w:r w:rsidRPr="0FEC445E">
        <w:rPr>
          <w:rFonts w:ascii="Calibri" w:hAnsi="Calibri" w:eastAsia="Calibri" w:cs="Calibri"/>
          <w:sz w:val="24"/>
          <w:szCs w:val="24"/>
        </w:rPr>
        <w:t xml:space="preserve">, </w:t>
      </w:r>
      <w:r w:rsidRPr="0FEC445E" w:rsidR="783EF52A">
        <w:rPr>
          <w:rFonts w:ascii="Calibri" w:hAnsi="Calibri" w:eastAsia="Calibri" w:cs="Calibri"/>
          <w:sz w:val="24"/>
          <w:szCs w:val="24"/>
        </w:rPr>
        <w:t xml:space="preserve">while </w:t>
      </w:r>
      <w:r w:rsidRPr="0FEC445E" w:rsidR="00EA4867">
        <w:rPr>
          <w:rFonts w:eastAsiaTheme="minorEastAsia"/>
          <w:sz w:val="24"/>
          <w:szCs w:val="24"/>
        </w:rPr>
        <w:t xml:space="preserve">persistent CRPS </w:t>
      </w:r>
      <w:r w:rsidRPr="0FEC445E" w:rsidR="00F82F4D">
        <w:rPr>
          <w:rFonts w:eastAsiaTheme="minorEastAsia"/>
          <w:sz w:val="24"/>
          <w:szCs w:val="24"/>
        </w:rPr>
        <w:t>presented</w:t>
      </w:r>
      <w:r w:rsidRPr="0FEC445E" w:rsidR="00F82F4D">
        <w:rPr>
          <w:rFonts w:ascii="Calibri" w:hAnsi="Calibri" w:eastAsia="Calibri" w:cs="Calibri"/>
          <w:color w:val="FF0000"/>
          <w:sz w:val="24"/>
          <w:szCs w:val="24"/>
        </w:rPr>
        <w:t xml:space="preserve"> </w:t>
      </w:r>
      <w:r w:rsidRPr="0FEC445E" w:rsidR="783EF52A">
        <w:rPr>
          <w:rFonts w:ascii="Calibri" w:hAnsi="Calibri" w:eastAsia="Calibri" w:cs="Calibri"/>
          <w:sz w:val="24"/>
          <w:szCs w:val="24"/>
        </w:rPr>
        <w:t>colder skin.</w:t>
      </w:r>
      <w:r w:rsidRPr="0FEC445E" w:rsidR="7B16CD31">
        <w:rPr>
          <w:rFonts w:ascii="Calibri" w:hAnsi="Calibri" w:eastAsia="Calibri" w:cs="Calibri"/>
          <w:sz w:val="24"/>
          <w:szCs w:val="24"/>
        </w:rPr>
        <w:t xml:space="preserve"> </w:t>
      </w:r>
      <w:r w:rsidRPr="0FEC445E" w:rsidR="1A44D9D0">
        <w:rPr>
          <w:rFonts w:ascii="Calibri" w:hAnsi="Calibri" w:eastAsia="Calibri" w:cs="Calibri"/>
          <w:sz w:val="24"/>
          <w:szCs w:val="24"/>
        </w:rPr>
        <w:t xml:space="preserve">The authors </w:t>
      </w:r>
      <w:r w:rsidRPr="0FEC445E" w:rsidR="7426D9B2">
        <w:rPr>
          <w:rFonts w:ascii="Calibri" w:hAnsi="Calibri" w:eastAsia="Calibri" w:cs="Calibri"/>
          <w:sz w:val="24"/>
          <w:szCs w:val="24"/>
        </w:rPr>
        <w:t>found</w:t>
      </w:r>
      <w:r w:rsidRPr="0FEC445E" w:rsidR="4EC71744">
        <w:rPr>
          <w:rFonts w:ascii="Calibri" w:hAnsi="Calibri" w:eastAsia="Calibri" w:cs="Calibri"/>
          <w:sz w:val="24"/>
          <w:szCs w:val="24"/>
        </w:rPr>
        <w:t xml:space="preserve"> similar reduction of </w:t>
      </w:r>
      <w:r w:rsidRPr="0FEC445E" w:rsidR="74A7A57A">
        <w:rPr>
          <w:rFonts w:ascii="Calibri" w:hAnsi="Calibri" w:eastAsia="Calibri" w:cs="Calibri"/>
          <w:sz w:val="24"/>
          <w:szCs w:val="24"/>
        </w:rPr>
        <w:t xml:space="preserve">muscle </w:t>
      </w:r>
      <w:r w:rsidRPr="0FEC445E" w:rsidR="4EC71744">
        <w:rPr>
          <w:rFonts w:ascii="Calibri" w:hAnsi="Calibri" w:eastAsia="Calibri" w:cs="Calibri"/>
          <w:sz w:val="24"/>
          <w:szCs w:val="24"/>
        </w:rPr>
        <w:t xml:space="preserve">strength (60%) and </w:t>
      </w:r>
      <w:proofErr w:type="spellStart"/>
      <w:r w:rsidRPr="0FEC445E" w:rsidR="4EC71744">
        <w:rPr>
          <w:rFonts w:ascii="Calibri" w:hAnsi="Calibri" w:eastAsia="Calibri" w:cs="Calibri"/>
          <w:sz w:val="24"/>
          <w:szCs w:val="24"/>
        </w:rPr>
        <w:t>RoM</w:t>
      </w:r>
      <w:proofErr w:type="spellEnd"/>
      <w:r w:rsidRPr="0FEC445E" w:rsidR="4EC71744">
        <w:rPr>
          <w:rFonts w:ascii="Calibri" w:hAnsi="Calibri" w:eastAsia="Calibri" w:cs="Calibri"/>
          <w:sz w:val="24"/>
          <w:szCs w:val="24"/>
        </w:rPr>
        <w:t xml:space="preserve"> (approximatively 47%) between these two subgroups. </w:t>
      </w:r>
      <w:r w:rsidRPr="0FEC445E" w:rsidR="1DF40D62">
        <w:rPr>
          <w:rFonts w:ascii="Calibri" w:hAnsi="Calibri" w:eastAsia="Calibri" w:cs="Calibri"/>
          <w:sz w:val="24"/>
          <w:szCs w:val="24"/>
        </w:rPr>
        <w:t xml:space="preserve">Our results show that early CRPS can </w:t>
      </w:r>
      <w:r w:rsidRPr="0FEC445E" w:rsidR="09D4F356">
        <w:rPr>
          <w:rFonts w:ascii="Calibri" w:hAnsi="Calibri" w:eastAsia="Calibri" w:cs="Calibri"/>
          <w:sz w:val="24"/>
          <w:szCs w:val="24"/>
        </w:rPr>
        <w:t xml:space="preserve">also </w:t>
      </w:r>
      <w:r w:rsidRPr="0FEC445E" w:rsidR="1DF40D62">
        <w:rPr>
          <w:rFonts w:ascii="Calibri" w:hAnsi="Calibri" w:eastAsia="Calibri" w:cs="Calibri"/>
          <w:sz w:val="24"/>
          <w:szCs w:val="24"/>
        </w:rPr>
        <w:t>present colder skin temperature</w:t>
      </w:r>
      <w:r w:rsidRPr="0FEC445E" w:rsidR="14191580">
        <w:rPr>
          <w:rFonts w:ascii="Calibri" w:hAnsi="Calibri" w:eastAsia="Calibri" w:cs="Calibri"/>
          <w:sz w:val="24"/>
          <w:szCs w:val="24"/>
        </w:rPr>
        <w:t xml:space="preserve">. </w:t>
      </w:r>
      <w:r w:rsidRPr="0FEC445E" w:rsidR="2D289A53">
        <w:rPr>
          <w:rFonts w:ascii="Calibri" w:hAnsi="Calibri" w:eastAsia="Calibri" w:cs="Calibri"/>
          <w:sz w:val="24"/>
          <w:szCs w:val="24"/>
        </w:rPr>
        <w:t xml:space="preserve">In line with our </w:t>
      </w:r>
      <w:r w:rsidRPr="0062082B" w:rsidR="0062082B">
        <w:rPr>
          <w:rFonts w:ascii="Calibri" w:hAnsi="Calibri" w:eastAsia="Calibri" w:cs="Calibri"/>
          <w:color w:val="FF0000"/>
          <w:sz w:val="24"/>
          <w:szCs w:val="24"/>
        </w:rPr>
        <w:t>data</w:t>
      </w:r>
      <w:r w:rsidRPr="0FEC445E" w:rsidR="2D289A53">
        <w:rPr>
          <w:rFonts w:ascii="Calibri" w:hAnsi="Calibri" w:eastAsia="Calibri" w:cs="Calibri"/>
          <w:sz w:val="24"/>
          <w:szCs w:val="24"/>
        </w:rPr>
        <w:t>, a</w:t>
      </w:r>
      <w:r w:rsidRPr="0FEC445E" w:rsidR="00797352">
        <w:rPr>
          <w:rFonts w:eastAsiaTheme="minorEastAsia"/>
          <w:sz w:val="24"/>
          <w:szCs w:val="24"/>
        </w:rPr>
        <w:t>nother</w:t>
      </w:r>
      <w:r w:rsidRPr="0FEC445E" w:rsidR="4FE36060">
        <w:rPr>
          <w:rFonts w:eastAsiaTheme="minorEastAsia"/>
          <w:sz w:val="24"/>
          <w:szCs w:val="24"/>
        </w:rPr>
        <w:t xml:space="preserve"> prospective early CRPS cohort </w:t>
      </w:r>
      <w:r w:rsidRPr="0FEC445E">
        <w:rPr>
          <w:rFonts w:eastAsiaTheme="minorEastAsia"/>
        </w:rPr>
        <w:fldChar w:fldCharType="begin"/>
      </w:r>
      <w:r w:rsidR="00A03CF2">
        <w:rPr>
          <w:rFonts w:eastAsiaTheme="minorEastAsia"/>
        </w:rPr>
        <w:instrText xml:space="preserve"> ADDIN ZOTERO_ITEM CSL_CITATION {"citationID":"eqCZ0XMH","properties":{"formattedCitation":"(Bean et al., 2016a, 2016b)","plainCitation":"(Bean et al., 2016a, 2016b)","noteIndex":0},"citationItems":[{"id":"jyRXZ8R7/NjknmWCn","uris":["http://zotero.org/users/8777725/items/IVFPSY5Y"],"itemData":{"id":125,"type":"article-journal","abstract":"Background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R."}],"issued":{"date-parts":[["2016",7]]}}},{"id":68,"uris":["http://zotero.org/users/8514361/items/NLA4NXF2"],"itemData":{"id":68,"type":"article-journal","abstract":"OBJECTIVE: Factors influencing disability and work absence in complex regional pain syndrome type-1 (CRPS)-1 have not been thoroughly described in the literature. We sought to determine whether demographic variables, work-related factors, CRPS clinical severity ratings, pain scores, or psychological variables were associated with disability and sick leave in early CRPS-1.\nMETHODS: A total of 66 CRPS-1 patients were recruited within 12 weeks of CRPS onset. Patients completed measures of pain, depression, anxiety, stress, pain catastrophizing, and pain-related fear. A physical examination was conducted to assess signs and symptoms of CRPS and to calculate a CRPS severity score. Demographic details, clinical details, treatments, work type, and work status were recorded.\nRESULTS: In multivariate analyses, the following factors were associated with greater disability: higher pain scores, more restricted ankle or wrist extension, and higher levels of depression. Among the 49 who were either working or studying before developing CRPS, 28 had stopped work or study at the time of assessment. Multivariate analyses showed that sick leave was more likely among those whose CRPS was triggered by more severe injuries, whose work was more physically demanding, among those with higher disability scores, and there was also a significant effect of depression on sick leave, which was mediated by disability.\nDISCUSSION: Although the study was cross-sectional and so cannot differentiate cause from effect, results suggest that even in the early stages of CRPS, a cycle of pain, disability, depression, and work absence can emerge. Treatments aimed to prevent this cycle may help prevent adverse long-term outcomes.","container-title":"The Clinical Journal of Pain","DOI":"10.1097/AJP.0000000000000234","ISSN":"1536-5409","issue":"2","journalAbbreviation":"Clin J Pain","language":"eng","note":"PMID: 25803756","page":"130-138","source":"PubMed","title":"Factors Associated With Disability and Sick Leave in Early Complex Regional Pain Syndrome Type-1","volume":"32","author":[{"family":"Bean","given":"Debbie J."},{"family":"Johnson","given":"Malcolm H."},{"family":"Heiss-Dunlop","given":"Wolfgang"},{"family":"Kydd","given":"Robert R."}],"issued":{"date-parts":[["2016",2]]}}}],"schema":"https://github.com/citation-style-language/schema/raw/master/csl-citation.json"} </w:instrText>
      </w:r>
      <w:r w:rsidRPr="0FEC445E">
        <w:rPr>
          <w:rFonts w:eastAsiaTheme="minorEastAsia"/>
        </w:rPr>
        <w:fldChar w:fldCharType="separate"/>
      </w:r>
      <w:r w:rsidRPr="008425F7" w:rsidR="008425F7">
        <w:rPr>
          <w:rFonts w:ascii="Calibri" w:hAnsi="Calibri" w:cs="Calibri"/>
          <w:sz w:val="24"/>
        </w:rPr>
        <w:t>(Bean et al., 2016a, 2016b)</w:t>
      </w:r>
      <w:r w:rsidRPr="0FEC445E">
        <w:rPr>
          <w:rFonts w:eastAsiaTheme="minorEastAsia"/>
        </w:rPr>
        <w:fldChar w:fldCharType="end"/>
      </w:r>
      <w:r w:rsidRPr="0FEC445E" w:rsidR="2C7A4533">
        <w:rPr>
          <w:rFonts w:eastAsiaTheme="minorEastAsia"/>
          <w:sz w:val="24"/>
          <w:szCs w:val="24"/>
        </w:rPr>
        <w:t xml:space="preserve"> observed</w:t>
      </w:r>
      <w:r w:rsidRPr="0FEC445E" w:rsidR="00797352">
        <w:rPr>
          <w:rFonts w:eastAsiaTheme="minorEastAsia"/>
          <w:sz w:val="24"/>
          <w:szCs w:val="24"/>
        </w:rPr>
        <w:t xml:space="preserve"> </w:t>
      </w:r>
      <w:r w:rsidRPr="0FEC445E" w:rsidR="4FE36060">
        <w:rPr>
          <w:rFonts w:eastAsiaTheme="minorEastAsia"/>
          <w:sz w:val="24"/>
          <w:szCs w:val="24"/>
        </w:rPr>
        <w:t>w</w:t>
      </w:r>
      <w:r w:rsidRPr="0FEC445E" w:rsidR="14191580">
        <w:rPr>
          <w:rFonts w:eastAsiaTheme="minorEastAsia"/>
          <w:sz w:val="24"/>
          <w:szCs w:val="24"/>
        </w:rPr>
        <w:t xml:space="preserve">eakness and restricted </w:t>
      </w:r>
      <w:proofErr w:type="spellStart"/>
      <w:r w:rsidRPr="0FEC445E" w:rsidR="4EC71744">
        <w:rPr>
          <w:rFonts w:eastAsiaTheme="minorEastAsia"/>
          <w:sz w:val="24"/>
          <w:szCs w:val="24"/>
        </w:rPr>
        <w:t>RoM</w:t>
      </w:r>
      <w:proofErr w:type="spellEnd"/>
      <w:r w:rsidRPr="0FEC445E" w:rsidR="14191580">
        <w:rPr>
          <w:rFonts w:eastAsiaTheme="minorEastAsia"/>
          <w:sz w:val="24"/>
          <w:szCs w:val="24"/>
        </w:rPr>
        <w:t xml:space="preserve"> </w:t>
      </w:r>
      <w:r w:rsidRPr="0FEC445E" w:rsidR="0A60B0AA">
        <w:rPr>
          <w:rFonts w:eastAsiaTheme="minorEastAsia"/>
          <w:sz w:val="24"/>
          <w:szCs w:val="24"/>
        </w:rPr>
        <w:t xml:space="preserve">in the majority of </w:t>
      </w:r>
      <w:r w:rsidRPr="0FEC445E" w:rsidR="724B7CEE">
        <w:rPr>
          <w:rFonts w:eastAsiaTheme="minorEastAsia"/>
          <w:sz w:val="24"/>
          <w:szCs w:val="24"/>
        </w:rPr>
        <w:t>this population</w:t>
      </w:r>
      <w:r w:rsidRPr="0FEC445E" w:rsidR="4FE36060">
        <w:rPr>
          <w:rFonts w:eastAsiaTheme="minorEastAsia"/>
          <w:sz w:val="24"/>
          <w:szCs w:val="24"/>
        </w:rPr>
        <w:t xml:space="preserve"> (&gt;90%).</w:t>
      </w:r>
      <w:r w:rsidRPr="0FEC445E" w:rsidR="7BB87B0D">
        <w:rPr>
          <w:rFonts w:eastAsiaTheme="minorEastAsia"/>
          <w:sz w:val="24"/>
          <w:szCs w:val="24"/>
        </w:rPr>
        <w:t xml:space="preserve"> </w:t>
      </w:r>
      <w:r w:rsidRPr="0FEC445E" w:rsidR="4583CD5E">
        <w:rPr>
          <w:rFonts w:eastAsiaTheme="minorEastAsia"/>
          <w:sz w:val="24"/>
          <w:szCs w:val="24"/>
        </w:rPr>
        <w:t>They also</w:t>
      </w:r>
      <w:r w:rsidRPr="0FEC445E" w:rsidR="58F30F44">
        <w:rPr>
          <w:rFonts w:eastAsiaTheme="minorEastAsia"/>
          <w:sz w:val="24"/>
          <w:szCs w:val="24"/>
        </w:rPr>
        <w:t xml:space="preserve"> </w:t>
      </w:r>
      <w:r w:rsidRPr="0FEC445E" w:rsidR="58F30F44">
        <w:rPr>
          <w:rFonts w:eastAsiaTheme="minorEastAsia"/>
        </w:rPr>
        <w:t>f</w:t>
      </w:r>
      <w:r w:rsidRPr="0FEC445E" w:rsidR="2383560A">
        <w:rPr>
          <w:rFonts w:eastAsiaTheme="minorEastAsia"/>
          <w:sz w:val="24"/>
          <w:szCs w:val="24"/>
        </w:rPr>
        <w:t>ound s</w:t>
      </w:r>
      <w:r w:rsidRPr="0FEC445E" w:rsidR="4EC71744">
        <w:rPr>
          <w:rFonts w:eastAsiaTheme="minorEastAsia"/>
          <w:sz w:val="24"/>
          <w:szCs w:val="24"/>
        </w:rPr>
        <w:t>imilar</w:t>
      </w:r>
      <w:r w:rsidRPr="0FEC445E" w:rsidR="68B90F18">
        <w:rPr>
          <w:rFonts w:eastAsiaTheme="minorEastAsia"/>
          <w:sz w:val="24"/>
          <w:szCs w:val="24"/>
        </w:rPr>
        <w:t xml:space="preserve"> proportions of</w:t>
      </w:r>
      <w:r w:rsidRPr="0FEC445E" w:rsidR="4EC71744">
        <w:rPr>
          <w:rFonts w:eastAsiaTheme="minorEastAsia"/>
          <w:sz w:val="24"/>
          <w:szCs w:val="24"/>
        </w:rPr>
        <w:t xml:space="preserve"> </w:t>
      </w:r>
      <w:r w:rsidRPr="0FEC445E" w:rsidR="725CF4B2">
        <w:rPr>
          <w:rFonts w:eastAsiaTheme="minorEastAsia"/>
          <w:sz w:val="24"/>
          <w:szCs w:val="24"/>
        </w:rPr>
        <w:t xml:space="preserve">other </w:t>
      </w:r>
      <w:r w:rsidRPr="0FEC445E" w:rsidR="4EC71744">
        <w:rPr>
          <w:rFonts w:eastAsiaTheme="minorEastAsia"/>
          <w:sz w:val="24"/>
          <w:szCs w:val="24"/>
        </w:rPr>
        <w:t>symptoms and signs</w:t>
      </w:r>
      <w:r w:rsidRPr="0FEC445E" w:rsidR="4AC3C2F6">
        <w:rPr>
          <w:rFonts w:eastAsiaTheme="minorEastAsia"/>
          <w:sz w:val="24"/>
          <w:szCs w:val="24"/>
        </w:rPr>
        <w:t xml:space="preserve">, </w:t>
      </w:r>
      <w:r w:rsidRPr="0FEC445E" w:rsidR="7426D9B2">
        <w:rPr>
          <w:rFonts w:ascii="Calibri" w:hAnsi="Calibri" w:eastAsia="Calibri" w:cs="Calibri"/>
          <w:sz w:val="24"/>
          <w:szCs w:val="24"/>
        </w:rPr>
        <w:t>pain rating</w:t>
      </w:r>
      <w:r w:rsidRPr="0FEC445E" w:rsidR="3FBDD5BD">
        <w:rPr>
          <w:rFonts w:ascii="Calibri" w:hAnsi="Calibri" w:eastAsia="Calibri" w:cs="Calibri"/>
          <w:sz w:val="24"/>
          <w:szCs w:val="24"/>
        </w:rPr>
        <w:t>,</w:t>
      </w:r>
      <w:r w:rsidRPr="0FEC445E" w:rsidR="7426D9B2">
        <w:rPr>
          <w:rFonts w:ascii="Calibri" w:hAnsi="Calibri" w:eastAsia="Calibri" w:cs="Calibri"/>
          <w:sz w:val="24"/>
          <w:szCs w:val="24"/>
        </w:rPr>
        <w:t xml:space="preserve"> </w:t>
      </w:r>
      <w:r w:rsidRPr="0FEC445E" w:rsidR="41E9C524">
        <w:rPr>
          <w:rFonts w:ascii="Calibri" w:hAnsi="Calibri" w:eastAsia="Calibri" w:cs="Calibri"/>
          <w:sz w:val="24"/>
          <w:szCs w:val="24"/>
        </w:rPr>
        <w:t>a</w:t>
      </w:r>
      <w:r w:rsidRPr="0FEC445E" w:rsidR="0CF3A67B">
        <w:rPr>
          <w:rFonts w:ascii="Calibri" w:hAnsi="Calibri" w:eastAsia="Calibri" w:cs="Calibri"/>
          <w:sz w:val="24"/>
          <w:szCs w:val="24"/>
        </w:rPr>
        <w:t>nd</w:t>
      </w:r>
      <w:r w:rsidRPr="0FEC445E" w:rsidR="41E9C524">
        <w:rPr>
          <w:rFonts w:ascii="Calibri" w:hAnsi="Calibri" w:eastAsia="Calibri" w:cs="Calibri"/>
          <w:sz w:val="24"/>
          <w:szCs w:val="24"/>
        </w:rPr>
        <w:t xml:space="preserve"> </w:t>
      </w:r>
      <w:r w:rsidRPr="0FEC445E" w:rsidR="7426D9B2">
        <w:rPr>
          <w:rFonts w:ascii="Calibri" w:hAnsi="Calibri" w:eastAsia="Calibri" w:cs="Calibri"/>
          <w:sz w:val="24"/>
          <w:szCs w:val="24"/>
        </w:rPr>
        <w:t>pain-related fear of movement</w:t>
      </w:r>
      <w:r w:rsidRPr="0FEC445E" w:rsidR="43C6A4D8">
        <w:rPr>
          <w:rFonts w:ascii="Calibri" w:hAnsi="Calibri" w:eastAsia="Calibri" w:cs="Calibri"/>
          <w:sz w:val="24"/>
          <w:szCs w:val="24"/>
        </w:rPr>
        <w:t xml:space="preserve"> </w:t>
      </w:r>
      <w:r w:rsidRPr="0FEC445E">
        <w:rPr>
          <w:rFonts w:eastAsiaTheme="minorEastAsia"/>
        </w:rPr>
        <w:fldChar w:fldCharType="begin"/>
      </w:r>
      <w:r w:rsidR="00A03CF2">
        <w:rPr>
          <w:rFonts w:eastAsiaTheme="minorEastAsia"/>
        </w:rPr>
        <w:instrText xml:space="preserve"> ADDIN ZOTERO_ITEM CSL_CITATION {"citationID":"0UTV29xV","properties":{"formattedCitation":"(Bean et al., 2016a, 2016b)","plainCitation":"(Bean et al., 2016a, 2016b)","noteIndex":0},"citationItems":[{"id":"jyRXZ8R7/NjknmWCn","uris":["http://zotero.org/users/8777725/items/IVFPSY5Y"],"itemData":{"id":125,"type":"article-journal","abstract":"Background The literature concerning the outcomes of complex regional pain syndrome (CRPS) is contradictory, with some studies suggesting high rates of symptom resolution, whilst others demonstrate that CRPS symptoms can persist and lead to significant disability. The aim of the present study was to carefully document the extent of recovery from each of the signs and symptoms of CRPS. Methods A sample of 59 patients with recently onset (&lt;12 weeks) CRPS-1 were followed prospectively for 1 year, during which time they received treatment-as-usual. At baseline, 6 and 12 months, the following were measured: CRPS severity scores (symptoms and signs of CRPS), pain, disability, work status and psychological functioning. Results Analyses showed that rates of almost all signs and symptoms of CRPS reduced significantly over 1 year. Reductions in symptom severity were clinically relevant and were greatest in the first 6 months and plateaued thereafter. However, at 1 year, nearly 2/3 of patients continued to meet the IASP-Orlando criteria for CRPS and 1/4 met the Budapest research criteria for CRPS. Only 5.4% of patients were symptom-free at 12 months. Conclusions Overall the results were less optimistic than several previously conducted prospective studies and suggest that few cases of CRPS resolve completely within 12 months of onset. Improvements were generally greater in the first 6 months, and suggest that it may be worth exploring early interventions to prevent long-term disability in CRPS.","container-title":"European Journal of Pain","DOI":"10.1002/EJP.813","ISSN":"1532-2149","issue":"6","note":"publisher: John Wiley &amp; Sons, Ltd","page":"884-894","title":"Extent of recovery in the first 12 months of complex regional pain syndrome type-1: A prospective study","volume":"20","author":[{"family":"Bean","given":"D. J."},{"family":"Johnson","given":"M. H."},{"family":"Heiss-Dunlop","given":"W."},{"family":"Kydd","given":"R. R."}],"issued":{"date-parts":[["2016",7]]}}},{"id":68,"uris":["http://zotero.org/users/8514361/items/NLA4NXF2"],"itemData":{"id":68,"type":"article-journal","abstract":"OBJECTIVE: Factors influencing disability and work absence in complex regional pain syndrome type-1 (CRPS)-1 have not been thoroughly described in the literature. We sought to determine whether demographic variables, work-related factors, CRPS clinical severity ratings, pain scores, or psychological variables were associated with disability and sick leave in early CRPS-1.\nMETHODS: A total of 66 CRPS-1 patients were recruited within 12 weeks of CRPS onset. Patients completed measures of pain, depression, anxiety, stress, pain catastrophizing, and pain-related fear. A physical examination was conducted to assess signs and symptoms of CRPS and to calculate a CRPS severity score. Demographic details, clinical details, treatments, work type, and work status were recorded.\nRESULTS: In multivariate analyses, the following factors were associated with greater disability: higher pain scores, more restricted ankle or wrist extension, and higher levels of depression. Among the 49 who were either working or studying before developing CRPS, 28 had stopped work or study at the time of assessment. Multivariate analyses showed that sick leave was more likely among those whose CRPS was triggered by more severe injuries, whose work was more physically demanding, among those with higher disability scores, and there was also a significant effect of depression on sick leave, which was mediated by disability.\nDISCUSSION: Although the study was cross-sectional and so cannot differentiate cause from effect, results suggest that even in the early stages of CRPS, a cycle of pain, disability, depression, and work absence can emerge. Treatments aimed to prevent this cycle may help prevent adverse long-term outcomes.","container-title":"The Clinical Journal of Pain","DOI":"10.1097/AJP.0000000000000234","ISSN":"1536-5409","issue":"2","journalAbbreviation":"Clin J Pain","language":"eng","note":"PMID: 25803756","page":"130-138","source":"PubMed","title":"Factors Associated With Disability and Sick Leave in Early Complex Regional Pain Syndrome Type-1","volume":"32","author":[{"family":"Bean","given":"Debbie J."},{"family":"Johnson","given":"Malcolm H."},{"family":"Heiss-Dunlop","given":"Wolfgang"},{"family":"Kydd","given":"Robert R."}],"issued":{"date-parts":[["2016",2]]}}}],"schema":"https://github.com/citation-style-language/schema/raw/master/csl-citation.json"} </w:instrText>
      </w:r>
      <w:r w:rsidRPr="0FEC445E">
        <w:rPr>
          <w:rFonts w:eastAsiaTheme="minorEastAsia"/>
        </w:rPr>
        <w:fldChar w:fldCharType="separate"/>
      </w:r>
      <w:r w:rsidRPr="008425F7" w:rsidR="008425F7">
        <w:rPr>
          <w:rFonts w:ascii="Calibri" w:hAnsi="Calibri" w:cs="Calibri"/>
          <w:sz w:val="24"/>
        </w:rPr>
        <w:t>(Bean et al., 2016a, 2016b)</w:t>
      </w:r>
      <w:r w:rsidRPr="0FEC445E">
        <w:rPr>
          <w:rFonts w:eastAsiaTheme="minorEastAsia"/>
        </w:rPr>
        <w:fldChar w:fldCharType="end"/>
      </w:r>
      <w:r w:rsidRPr="0FEC445E" w:rsidR="77C05671">
        <w:rPr>
          <w:rFonts w:ascii="Calibri" w:hAnsi="Calibri" w:eastAsia="Calibri" w:cs="Calibri"/>
          <w:sz w:val="24"/>
          <w:szCs w:val="24"/>
        </w:rPr>
        <w:t>.</w:t>
      </w:r>
    </w:p>
    <w:p w:rsidR="4848A858" w:rsidP="560E2E1C" w:rsidRDefault="42CF4A2E" w14:paraId="7C92C333" w14:textId="659D9322">
      <w:pPr>
        <w:spacing w:after="0" w:line="480" w:lineRule="auto"/>
        <w:jc w:val="both"/>
        <w:rPr>
          <w:rFonts w:ascii="Calibri" w:hAnsi="Calibri" w:eastAsia="Calibri" w:cs="Calibri"/>
          <w:sz w:val="24"/>
          <w:szCs w:val="24"/>
        </w:rPr>
      </w:pPr>
      <w:r w:rsidRPr="5045E0F5">
        <w:rPr>
          <w:rFonts w:ascii="Calibri" w:hAnsi="Calibri" w:eastAsia="Calibri" w:cs="Calibri"/>
          <w:i/>
          <w:iCs/>
          <w:color w:val="FF0000"/>
          <w:sz w:val="24"/>
          <w:szCs w:val="24"/>
        </w:rPr>
        <w:t>Neuro</w:t>
      </w:r>
      <w:r w:rsidRPr="5045E0F5" w:rsidR="5A6938E0">
        <w:rPr>
          <w:rFonts w:ascii="Calibri" w:hAnsi="Calibri" w:eastAsia="Calibri" w:cs="Calibri"/>
          <w:i/>
          <w:iCs/>
          <w:sz w:val="24"/>
          <w:szCs w:val="24"/>
        </w:rPr>
        <w:t>c</w:t>
      </w:r>
      <w:r w:rsidRPr="5045E0F5" w:rsidR="5F4B28D8">
        <w:rPr>
          <w:rFonts w:ascii="Calibri" w:hAnsi="Calibri" w:eastAsia="Calibri" w:cs="Calibri"/>
          <w:i/>
          <w:iCs/>
          <w:sz w:val="24"/>
          <w:szCs w:val="24"/>
        </w:rPr>
        <w:t>ognitive</w:t>
      </w:r>
      <w:r w:rsidRPr="4EF8719D" w:rsidR="5F4B28D8">
        <w:rPr>
          <w:rFonts w:ascii="Calibri" w:hAnsi="Calibri" w:eastAsia="Calibri" w:cs="Calibri"/>
          <w:i/>
          <w:iCs/>
          <w:sz w:val="24"/>
          <w:szCs w:val="24"/>
        </w:rPr>
        <w:t xml:space="preserve"> deficits</w:t>
      </w:r>
    </w:p>
    <w:p w:rsidR="00062F96" w:rsidP="0FEC445E" w:rsidRDefault="5C0811DE" w14:paraId="300A8572" w14:textId="3AC9C6EB">
      <w:pPr>
        <w:spacing w:after="0" w:line="480" w:lineRule="auto"/>
        <w:jc w:val="both"/>
        <w:rPr>
          <w:rFonts w:eastAsiaTheme="minorEastAsia"/>
          <w:sz w:val="24"/>
          <w:szCs w:val="24"/>
          <w:lang w:val="en-US"/>
        </w:rPr>
      </w:pPr>
      <w:r w:rsidRPr="0FEC445E">
        <w:rPr>
          <w:rFonts w:ascii="Calibri" w:hAnsi="Calibri" w:eastAsia="Calibri" w:cs="Calibri"/>
          <w:sz w:val="24"/>
          <w:szCs w:val="24"/>
        </w:rPr>
        <w:lastRenderedPageBreak/>
        <w:t>Regarding</w:t>
      </w:r>
      <w:r w:rsidRPr="0FEC445E" w:rsidR="59EC385A">
        <w:rPr>
          <w:rFonts w:ascii="Calibri" w:hAnsi="Calibri" w:eastAsia="Calibri" w:cs="Calibri"/>
          <w:sz w:val="24"/>
          <w:szCs w:val="24"/>
        </w:rPr>
        <w:t xml:space="preserve"> spatial perception</w:t>
      </w:r>
      <w:r w:rsidRPr="0FEC445E">
        <w:rPr>
          <w:rFonts w:ascii="Calibri" w:hAnsi="Calibri" w:eastAsia="Calibri" w:cs="Calibri"/>
          <w:sz w:val="24"/>
          <w:szCs w:val="24"/>
        </w:rPr>
        <w:t xml:space="preserve">, </w:t>
      </w:r>
      <w:r w:rsidRPr="0FEC445E" w:rsidR="733E6B67">
        <w:rPr>
          <w:rFonts w:ascii="Calibri" w:hAnsi="Calibri" w:eastAsia="Calibri" w:cs="Calibri"/>
          <w:sz w:val="24"/>
          <w:szCs w:val="24"/>
        </w:rPr>
        <w:t>previous research sugge</w:t>
      </w:r>
      <w:r w:rsidRPr="0FEC445E" w:rsidR="1AE8991D">
        <w:rPr>
          <w:rFonts w:ascii="Calibri" w:hAnsi="Calibri" w:eastAsia="Calibri" w:cs="Calibri"/>
          <w:sz w:val="24"/>
          <w:szCs w:val="24"/>
        </w:rPr>
        <w:t xml:space="preserve">sted that </w:t>
      </w:r>
      <w:r w:rsidRPr="0FEC445E" w:rsidR="23166C12">
        <w:rPr>
          <w:rFonts w:ascii="Calibri" w:hAnsi="Calibri" w:eastAsia="Calibri" w:cs="Calibri"/>
          <w:sz w:val="24"/>
          <w:szCs w:val="24"/>
        </w:rPr>
        <w:t xml:space="preserve">CRPS patients might present perceptual biases affecting their ability to perceive </w:t>
      </w:r>
      <w:r w:rsidRPr="0FEC445E" w:rsidR="6EA608E5">
        <w:rPr>
          <w:rFonts w:ascii="Calibri" w:hAnsi="Calibri" w:eastAsia="Calibri" w:cs="Calibri"/>
          <w:sz w:val="24"/>
          <w:szCs w:val="24"/>
        </w:rPr>
        <w:t xml:space="preserve">visual </w:t>
      </w:r>
      <w:r w:rsidRPr="0FEC445E" w:rsidR="5A71BEE4">
        <w:rPr>
          <w:rFonts w:ascii="Calibri" w:hAnsi="Calibri" w:eastAsia="Calibri" w:cs="Calibri"/>
          <w:sz w:val="24"/>
          <w:szCs w:val="24"/>
        </w:rPr>
        <w:t>stimuli in the side of space corresponding to their affected limb</w:t>
      </w:r>
      <w:r w:rsidRPr="0FEC445E" w:rsidR="749E72F7">
        <w:rPr>
          <w:rFonts w:ascii="Calibri" w:hAnsi="Calibri" w:eastAsia="Calibri" w:cs="Calibri"/>
          <w:sz w:val="24"/>
          <w:szCs w:val="24"/>
        </w:rPr>
        <w:t xml:space="preserve"> </w:t>
      </w:r>
      <w:r w:rsidRPr="0FEC445E">
        <w:rPr>
          <w:rFonts w:ascii="Calibri" w:hAnsi="Calibri" w:eastAsia="Calibri" w:cs="Calibri"/>
        </w:rPr>
        <w:fldChar w:fldCharType="begin"/>
      </w:r>
      <w:r w:rsidR="00A03CF2">
        <w:rPr>
          <w:rFonts w:ascii="Calibri" w:hAnsi="Calibri" w:eastAsia="Calibri" w:cs="Calibri"/>
        </w:rPr>
        <w:instrText xml:space="preserve"> ADDIN ZOTERO_ITEM CSL_CITATION {"citationID":"ssC1DURR","properties":{"formattedCitation":"(Bultitude et al., 2017b; Filbrich et al., 2017; Moseley and Wiech, 2009)","plainCitation":"(Bultitude et al., 2017b; Filbrich et al., 2017; Moseley and Wiech, 2009)","noteIndex":0},"citationItems":[{"id":182,"uris":["http://zotero.org/users/8514361/items/64BUUIXI"],"itemData":{"id":182,"type":"article-journal","abstract":"See Legrain (doi:10.1093/awx188) for a scientific commentary on this article. Some patients with complex regional pain syndrome report that movements of the affected limb are slow, more effortful, and lack automaticity. These symptoms have been likened to the syndrome that sometimes follows brain injury called hemispatial neglect, in which patients exhibit attentional impairments and problems with movements affecting the contralesional side of the body and space. Psychophysical testing of patients with complex regional pain syndrome has found evidence for spatial biases when judging visual targets distanced at 2 m, but not in directions that indicate reduced attention to the affected side. In contrast, when judging visual or tactile stimuli presented on their own body surface, or pictures of hands and feet within arm's reach, patients with complex regional pain syndrome exhibited a bias away from the affected side. What is not yet known is whether patients with complex regional pain syndrome only have biased attention for bodily-specific information in the space within arm's reach, or whether they also show a bias for information that is not associated with the body, suggesting a more generalized attention deficit. Using a temporal order judgement task, we found that patients with complex regional pain syndrome processed visual stimuli more slowly on the affected side (relative to the unaffected side) when the lights were projected onto a blank surface (i.e. when no bodily information was visible), and when the lights were projected onto the dorsal surfaces of their uncrossed hands. However, with the arms crossed (such that the left and right lights projected onto the right and left hands, respectively), patients' responses were no different than controls. These results provide the first demonstration of a generalized attention bias away from the affected side of space in complex regional pain syndrome patients that is not specifically related to bodily information. They also suggest a separate and additional bias of visual attention away from the affected hand. The strength of attention bias was predicted by scores on a self-report measure of body perception distortion; but not by pain intensity, time since diagnosis, or affected body side (left or right). At an individual level, those patients whose upper limbs were most affected had a higher incidence of inattention than those whose lower limbs were most affected. However, at a group level, affected limb (upper or lower) did not predict bias magnitude; nor did three measures designed to assess possible asymmetries in the distribution of movements across space. It is concluded that inattention in near space in complex regional pain syndrome may arise in parallel with a distorted perception of the body.10.1093/brain/awx152_video1awx152media15495542665001.","container-title":"Brain: A Journal of Neurology","DOI":"10.1093/brain/awx152","ISSN":"1460-2156","issue":"9","journalAbbreviation":"Brain","language":"eng","note":"PMID: 29050381","page":"2306-2321","source":"PubMed","title":"Space-based bias of covert visual attention in complex regional pain syndrome","volume":"140","author":[{"family":"Bultitude","given":"Janet H."},{"family":"Walker","given":"Ian"},{"family":"Spence","given":"Charles"}],"issued":{"date-parts":[["2017",9,1]]}}},{"id":"jyRXZ8R7/uIuEbU5W","uris":["http://zotero.org/users/8777725/items/WWWQ5C5W"],"itemData":{"id":91,"type":"article-journal","container-title":"Scientific Reports","DOI":"10.1038/s41598-017-10077-8","ISSN":"2045-2322","issue":"1","journalAbbreviation":"Sci Rep","language":"en","page":"9712","source":"DOI.org (Crossref)","title":"Biased visuospatial perception in complex regional pain syndrome","volume":"7","author":[{"family":"Filbrich","given":"Lieve"},{"family":"Alamia","given":"Andrea"},{"family":"Verfaille","given":"Charlotte"},{"family":"Berquin","given":"Anne"},{"family":"Barbier","given":"Olivier"},{"family":"Libouton","given":"Xavier"},{"family":"Fraselle","given":"Virginie"},{"family":"Mouraux","given":"Dominique"},{"family":"Legrain","given":"Valéry"}],"issued":{"date-parts":[["2017",12]]}}},{"id":185,"uris":["http://zotero.org/users/8514361/items/CAKYT7M5"],"itemData":{"id":185,"type":"article-journal","abstract":"In patients with phantom limb pain or complex regional pain syndrome (CRPS), sensory discrimination training increases tactile acuity, normalises cortical reorganisation and decreases pain. In healthy people, sensory cortical response, and tactile acuity, are greater if the participant looks towards the body part being stimulated. Does this effect enhance tactile training in CRPS patients? Ten patients underwent a 30-min tactile discrimination training session under four conditions (order randomised) in a 2 x 2 design: looking towards or away from the stimulated limb and seeing or not seeing skin. Tactile training imparted long-term improvement in tactile acuity when patients watched the reflected image of their unaffected limb in a mirror during training (that is, they looked towards the stimulated body part and could see the skin of the opposite body part in the mirror): two-point discrimination threshold (TPD) was 8mm less 2 days after training than it was before training ([95% CI=1.5-14.3mm], p&lt;0.001). Although this condition also imparted a greater reduction in resting pain at post-treatment than the other conditions, and change in pain and change in TPD over the session were strongly related (r=0.83, p&lt;0.001), there was no residual effect on pain at 2-day follow-up. In the other conditions, tactile acuity had returned to pre-training levels at 2-day follow-up. The results should directly improve management of CRPS, and have implications for rehabilitation of other conditions associated with nervous system injury or disease, for example stroke, in which tactile recovery is a major objective of rehabilitation.","container-title":"Pain","DOI":"10.1016/j.pain.2009.04.030","ISSN":"1872-6623","issue":"3","journalAbbreviation":"Pain","language":"eng","note":"PMID: 19501965","page":"314-319","source":"PubMed","title":"The effect of tactile discrimination training is enhanced when patients watch the reflected image of their unaffected limb during training","volume":"144","author":[{"family":"Moseley","given":"Lorimer G."},{"family":"Wiech","given":"Katja"}],"issued":{"date-parts":[["2009",8]]}}}],"schema":"https://github.com/citation-style-language/schema/raw/master/csl-citation.json"} </w:instrText>
      </w:r>
      <w:r w:rsidRPr="0FEC445E">
        <w:rPr>
          <w:rFonts w:ascii="Calibri" w:hAnsi="Calibri" w:eastAsia="Calibri" w:cs="Calibri"/>
        </w:rPr>
        <w:fldChar w:fldCharType="separate"/>
      </w:r>
      <w:r w:rsidRPr="00A03CF2" w:rsidR="00A03CF2">
        <w:rPr>
          <w:rFonts w:ascii="Calibri" w:hAnsi="Calibri" w:cs="Calibri"/>
          <w:sz w:val="24"/>
        </w:rPr>
        <w:t>(Bultitude et al., 2017b; Filbrich et al., 2017; Moseley and Wiech, 2009)</w:t>
      </w:r>
      <w:r w:rsidRPr="0FEC445E">
        <w:rPr>
          <w:rFonts w:ascii="Calibri" w:hAnsi="Calibri" w:eastAsia="Calibri" w:cs="Calibri"/>
        </w:rPr>
        <w:fldChar w:fldCharType="end"/>
      </w:r>
      <w:r w:rsidRPr="0FEC445E" w:rsidR="47EAC3C3">
        <w:rPr>
          <w:rFonts w:ascii="Calibri" w:hAnsi="Calibri" w:eastAsia="Calibri" w:cs="Calibri"/>
          <w:sz w:val="24"/>
          <w:szCs w:val="24"/>
        </w:rPr>
        <w:t>. However</w:t>
      </w:r>
      <w:r w:rsidRPr="0FEC445E" w:rsidR="5F5F116E">
        <w:rPr>
          <w:rFonts w:ascii="Calibri" w:hAnsi="Calibri" w:eastAsia="Calibri" w:cs="Calibri"/>
          <w:sz w:val="24"/>
          <w:szCs w:val="24"/>
        </w:rPr>
        <w:t>,</w:t>
      </w:r>
      <w:r w:rsidRPr="0FEC445E" w:rsidR="5A71BEE4">
        <w:rPr>
          <w:rFonts w:ascii="Calibri" w:hAnsi="Calibri" w:eastAsia="Calibri" w:cs="Calibri"/>
          <w:sz w:val="24"/>
          <w:szCs w:val="24"/>
        </w:rPr>
        <w:t xml:space="preserve"> no such systematic biases could be evidenced here</w:t>
      </w:r>
      <w:r w:rsidRPr="0FEC445E" w:rsidR="13F5305B">
        <w:rPr>
          <w:rFonts w:ascii="Calibri" w:hAnsi="Calibri" w:eastAsia="Calibri" w:cs="Calibri"/>
          <w:sz w:val="24"/>
          <w:szCs w:val="24"/>
        </w:rPr>
        <w:t xml:space="preserve"> at the level of the entire cohort</w:t>
      </w:r>
      <w:r w:rsidRPr="00644AC1" w:rsidR="5D86E0A2">
        <w:rPr>
          <w:rFonts w:ascii="Calibri" w:hAnsi="Calibri" w:eastAsia="Calibri" w:cs="Calibri"/>
          <w:color w:val="FF0000"/>
          <w:sz w:val="24"/>
          <w:szCs w:val="24"/>
        </w:rPr>
        <w:t xml:space="preserve"> (n=73)</w:t>
      </w:r>
      <w:r w:rsidRPr="6CFBCA64" w:rsidR="5A71BEE4">
        <w:rPr>
          <w:rFonts w:ascii="Calibri" w:hAnsi="Calibri" w:eastAsia="Calibri" w:cs="Calibri"/>
          <w:sz w:val="24"/>
          <w:szCs w:val="24"/>
        </w:rPr>
        <w:t>,</w:t>
      </w:r>
      <w:r w:rsidRPr="0FEC445E" w:rsidR="60F56FFC">
        <w:rPr>
          <w:rFonts w:ascii="Calibri" w:hAnsi="Calibri" w:eastAsia="Calibri" w:cs="Calibri"/>
          <w:sz w:val="24"/>
          <w:szCs w:val="24"/>
        </w:rPr>
        <w:t xml:space="preserve"> corroborating more recent studies</w:t>
      </w:r>
      <w:r w:rsidRPr="0FEC445E" w:rsidR="11D66A79">
        <w:rPr>
          <w:rFonts w:ascii="Calibri" w:hAnsi="Calibri" w:eastAsia="Calibri" w:cs="Calibri"/>
          <w:sz w:val="24"/>
          <w:szCs w:val="24"/>
        </w:rPr>
        <w:t xml:space="preserve"> </w:t>
      </w:r>
      <w:r w:rsidRPr="0FEC445E">
        <w:rPr>
          <w:rFonts w:ascii="Calibri" w:hAnsi="Calibri" w:eastAsia="Calibri" w:cs="Calibri"/>
        </w:rPr>
        <w:fldChar w:fldCharType="begin"/>
      </w:r>
      <w:r w:rsidR="00A03CF2">
        <w:rPr>
          <w:rFonts w:ascii="Calibri" w:hAnsi="Calibri" w:eastAsia="Calibri" w:cs="Calibri"/>
        </w:rPr>
        <w:instrText xml:space="preserve"> ADDIN ZOTERO_ITEM CSL_CITATION {"citationID":"rxGcwym1","properties":{"formattedCitation":"(Filbrich et al., 2023; Halicka et al., 2020; Ten Brink et al., 2021b)","plainCitation":"(Filbrich et al., 2023; Halicka et al., 2020; Ten Brink et al., 2021b)","noteIndex":0},"citationItems":[{"id":76,"uris":["http://zotero.org/users/8514361/items/4B5Q2YXC"],"itemData":{"id":76,"type":"article-journal","abstract":"BACKGROUND: Patients suffering from complex regional pain syndrome (CRPS) are increasingly shown to be affected by cognitive difficulties. While these cognitive symptoms were initially described as limited to the perception, representation and use of the body, that is, the somatic space, they were recently shown to also extend to the perception of extra-somatic space. CRPS patients seem indeed to pay less attention to visual stimuli occurring in the same side of space as their affected limb and especially those occurring close to that limb. The aim of the present study was to more precisely characterize these visuospatial biases, by investigating whether they may be dependent on the visually perceived proximity between the visual stimuli and the affected limb.\nMETHODS: Upper-limb CRPS patients and matched control participants performed temporal order judgements on visual stimuli, one presented in either side of space, while they could either see their hands near the visual stimuli or not.\nRESULTS: Visuospatial biases were not modulated by the availability of visual feedback about the hands. However, secondary analyses revealed that these biases depended on the type of rehabilitation program that the patients followed: whereas patients who did not follow any specific program presented significant biases to the detriment of visual stimuli in the affected side of space, patients who did follow a CRPS-specialized program did not.\nCONCLUSIONS: Patients' cognitive strategies will be important to consider when studying inter-individual differences in the cognitive symptomatology and associated cognitive-based rehabilitation procedures in CRPS.\nSIGNIFICANCE: The existence of biases in visuospatial perception in Complex Regional Pain Syndrome has been reported but not always systematically replicated. We show that these biases might depend on the type of general rehabilitation program that the patients follow. Patients' individual cognitive strategies will be important to consider when studying the cognitive symptomatology of CRPS.","container-title":"European Journal of Pain (London, England)","DOI":"10.1002/ejp.2118","ISSN":"1532-2149","issue":"7","journalAbbreviation":"Eur J Pain","language":"eng","note":"PMID: 37085955","page":"871-883","source":"PubMed","title":"Characterizing biased visuospatial perception in complex regional pain syndrome","volume":"27","author":[{"family":"Filbrich","given":"Lieve"},{"family":"Kuzminova","given":"Avgustina"},{"family":"Molitor","given":"Victoria"},{"family":"Verfaille","given":"Charlotte"},{"family":"Mouraux","given":"Dominique"},{"family":"Berquin","given":"Anne"},{"family":"Barbier","given":"Olivier"},{"family":"Libouton","given":"Xavier"},{"family":"Legrain","given":"Valéry"}],"issued":{"date-parts":[["2023",8]]}}},{"id":"jyRXZ8R7/vY9sqDBl","uris":["http://zotero.org/users/8777725/items/K7NIDTCY"],"itemData":{"id":62,"type":"article-journal","abstract":"Complex Regional Pain Syndrome (CRPS) is a poorly understood chronic pain condition of multifactorial origin. CRPS involves sensory, motor, and autonomic symptoms primarily affecting one extremity. Patients can also present with neuropsychological changes such as reduced attention to the CRPS-affected extremity, reminiscent of hemispatial neglect, yet in the absence of any brain lesions. However, this \"neglect-like\" framework is not sufficient to characterise the range of higher cognitive functions that can be altered in CRPS. This comprehensive literature review synthesises evidence of neuropsychological changes in CRPS in the context of potential central mechanisms of the disorder. The affected neuropsychological functions constitute three distinct but not independent groups: distorted body representation, deficits in lateralised spatial cognition, and impairment of non-spatially-lateralised higher cognitive functions. We suggest that many of these symptoms appear to be consistent with a broader disruption to parietal function beyond merely what could be considered \"neglect-like.\" Moreover, the extent of neuropsychological symptoms might be related to the clinical signs of CRPS, and rehabilitation methods that target the neuropsychological changes can improve clinical outcomes in CRPS and other chronic pain conditions. Based on the limitations and gaps in the reviewed literature, we provide several suggestions to improve further research on neuropsychological changes in chronic pain.","container-title":"Behavioural Neurology","DOI":"10.1155/2020/4561831","ISSN":"1875-8584","journalAbbreviation":"Behav Neurol","language":"eng","note":"PMID: 32399082\nPMCID: PMC7201816","page":"4561831","source":"PubMed","title":"Neuropsychological Changes in Complex Regional Pain Syndrome (CRPS)","volume":"2020","author":[{"family":"Halicka","given":"Monika"},{"family":"Vittersø","given":"Axel D."},{"family":"Proulx","given":"Michael J."},{"family":"Bultitude","given":"Janet H."}],"issued":{"date-parts":[["2020"]]}}},{"id":187,"uris":["http://zotero.org/users/8514361/items/GZAM6W5I"],"itemData":{"id":187,"type":"article-journal","abstract":"BACKGROUND: Complex Regional Pain Syndrome (CRPS) is a disorder of severe chronic pain in one or more limb(s). People with CRPS report unusual perceptions of the painful limb suggesting altered body representations, as well as difficulty attending to their affected limb (i.e., a 'neglect-like' attention bias). Altered body representations and attention in CRPS might be related, however, existing evidence is unclear. We hypothesized that if there were a body-related visuospatial attention bias in CRPS, then any attention bias away from the affected side should be larger for or limited to circumstances when the (impaired) body representation is involved in the task versus when this is not the case.\nMETHODS: We included 40 people with CRPS, 40 with other limb pain conditions, and 40 pain-free controls. In half of the people with pain, their upper limb was affected, in the other half their lower limb. We administered computerized tasks of spatial attention, including free viewing of images, shape cancellation, temporal order judgement, and dot-probe. The degree to which different versions of each task involved body representation was manipulated by one or more of the following: (1) presenting stimuli nearer versus further away from the body, (2) using body related versus neutral stimuli, and (3) inducing mental rotation of body parts versus no mental rotation. In addition to perceptual judgements, eye movements were recorded as a sensitive index of spatial attention. Bayesian repeated measures analyses were performed.\nRESULTS: We found no evidence for a (body-related) visuospatial attention bias in upper limb CRPS. Secondary analyses suggested the presence of a body-related visuospatial attention bias away from the affected side in some participants with lower limb CRPS.\nDISCUSSION: Our results add to growing evidence that there might be no general visuospatial attention bias away from the affected side in CRPS.","container-title":"Cortex; a Journal Devoted to the Study of the Nervous System and Behavior","DOI":"10.1016/j.cortex.2020.12.007","ISSN":"1973-8102","journalAbbreviation":"Cortex","language":"eng","note":"PMID: 33494023","page":"89-108","source":"PubMed","title":"Ignoring space around a painful limb? No evidence for a body-related visuospatial attention bias in complex regional pain syndrome","title-short":"Ignoring space around a painful limb?","volume":"136","author":[{"family":"Ten Brink","given":"Antonia F."},{"family":"Halicka","given":"Monika"},{"family":"Vittersø","given":"Axel D."},{"family":"Keogh","given":"Edmund"},{"family":"Bultitude","given":"Janet H."}],"issued":{"date-parts":[["2021",3]]}}}],"schema":"https://github.com/citation-style-language/schema/raw/master/csl-citation.json"} </w:instrText>
      </w:r>
      <w:r w:rsidRPr="0FEC445E">
        <w:rPr>
          <w:rFonts w:ascii="Calibri" w:hAnsi="Calibri" w:eastAsia="Calibri" w:cs="Calibri"/>
        </w:rPr>
        <w:fldChar w:fldCharType="separate"/>
      </w:r>
      <w:r w:rsidRPr="6CFBCA64" w:rsidR="00EC4536">
        <w:rPr>
          <w:rFonts w:ascii="Calibri" w:hAnsi="Calibri" w:cs="Calibri"/>
          <w:sz w:val="24"/>
          <w:szCs w:val="24"/>
        </w:rPr>
        <w:t>(Filbrich et al., 2023; Halicka et al., 2020; Ten Brink et al., 2021b)</w:t>
      </w:r>
      <w:r w:rsidRPr="0FEC445E">
        <w:rPr>
          <w:rFonts w:ascii="Calibri" w:hAnsi="Calibri" w:eastAsia="Calibri" w:cs="Calibri"/>
        </w:rPr>
        <w:fldChar w:fldCharType="end"/>
      </w:r>
      <w:r w:rsidRPr="0FEC445E" w:rsidR="11D66A79">
        <w:rPr>
          <w:rFonts w:eastAsiaTheme="minorEastAsia"/>
          <w:sz w:val="24"/>
          <w:szCs w:val="24"/>
        </w:rPr>
        <w:t xml:space="preserve"> </w:t>
      </w:r>
      <w:r w:rsidRPr="0FEC445E" w:rsidR="681D1AB1">
        <w:rPr>
          <w:rFonts w:eastAsiaTheme="minorEastAsia"/>
          <w:sz w:val="24"/>
          <w:szCs w:val="24"/>
        </w:rPr>
        <w:t xml:space="preserve">and </w:t>
      </w:r>
      <w:r w:rsidRPr="0FEC445E" w:rsidR="1DCDFBA3">
        <w:rPr>
          <w:rFonts w:eastAsiaTheme="minorEastAsia"/>
          <w:sz w:val="24"/>
          <w:szCs w:val="24"/>
        </w:rPr>
        <w:t xml:space="preserve">challenging </w:t>
      </w:r>
      <w:r w:rsidRPr="0FEC445E" w:rsidR="00A7352C">
        <w:rPr>
          <w:rFonts w:eastAsiaTheme="minorEastAsia"/>
          <w:sz w:val="24"/>
          <w:szCs w:val="24"/>
        </w:rPr>
        <w:t xml:space="preserve">the hypothetical </w:t>
      </w:r>
      <w:r w:rsidRPr="0FEC445E" w:rsidR="1DCDFBA3">
        <w:rPr>
          <w:rFonts w:eastAsiaTheme="minorEastAsia"/>
          <w:sz w:val="24"/>
          <w:szCs w:val="24"/>
        </w:rPr>
        <w:t>role</w:t>
      </w:r>
      <w:r w:rsidRPr="0FEC445E" w:rsidR="00A7352C">
        <w:rPr>
          <w:rFonts w:eastAsiaTheme="minorEastAsia"/>
          <w:sz w:val="24"/>
          <w:szCs w:val="24"/>
        </w:rPr>
        <w:t xml:space="preserve"> of </w:t>
      </w:r>
      <w:r w:rsidRPr="0FEC445E" w:rsidR="00BA78FF">
        <w:rPr>
          <w:rFonts w:eastAsiaTheme="minorEastAsia"/>
          <w:sz w:val="24"/>
          <w:szCs w:val="24"/>
        </w:rPr>
        <w:t>visuospatial biases</w:t>
      </w:r>
      <w:r w:rsidRPr="0FEC445E" w:rsidR="1DCDFBA3">
        <w:rPr>
          <w:rFonts w:eastAsiaTheme="minorEastAsia"/>
          <w:sz w:val="24"/>
          <w:szCs w:val="24"/>
        </w:rPr>
        <w:t xml:space="preserve"> in CRPS pathophysiology. </w:t>
      </w:r>
      <w:r w:rsidRPr="0FEC445E" w:rsidR="30182B43">
        <w:rPr>
          <w:rFonts w:ascii="Calibri" w:hAnsi="Calibri" w:eastAsia="Calibri" w:cs="Calibri"/>
          <w:sz w:val="24"/>
          <w:szCs w:val="24"/>
        </w:rPr>
        <w:t>T</w:t>
      </w:r>
      <w:r w:rsidRPr="0FEC445E" w:rsidR="010C069F">
        <w:rPr>
          <w:rFonts w:eastAsiaTheme="minorEastAsia"/>
          <w:sz w:val="24"/>
          <w:szCs w:val="24"/>
        </w:rPr>
        <w:t xml:space="preserve">his </w:t>
      </w:r>
      <w:r w:rsidRPr="0FEC445E" w:rsidR="78212742">
        <w:rPr>
          <w:rFonts w:eastAsiaTheme="minorEastAsia"/>
          <w:sz w:val="24"/>
          <w:szCs w:val="24"/>
        </w:rPr>
        <w:t>does</w:t>
      </w:r>
      <w:r w:rsidRPr="0FEC445E" w:rsidR="4C1B2C11">
        <w:rPr>
          <w:rFonts w:eastAsiaTheme="minorEastAsia"/>
          <w:sz w:val="24"/>
          <w:szCs w:val="24"/>
        </w:rPr>
        <w:t xml:space="preserve"> </w:t>
      </w:r>
      <w:r w:rsidRPr="0FEC445E" w:rsidR="1ABA013D">
        <w:rPr>
          <w:rFonts w:eastAsiaTheme="minorEastAsia"/>
          <w:sz w:val="24"/>
          <w:szCs w:val="24"/>
        </w:rPr>
        <w:t>n</w:t>
      </w:r>
      <w:r w:rsidRPr="0FEC445E" w:rsidR="725F79DA">
        <w:rPr>
          <w:rFonts w:eastAsiaTheme="minorEastAsia"/>
          <w:sz w:val="24"/>
          <w:szCs w:val="24"/>
        </w:rPr>
        <w:t>o</w:t>
      </w:r>
      <w:r w:rsidRPr="0FEC445E" w:rsidR="1ABA013D">
        <w:rPr>
          <w:rFonts w:eastAsiaTheme="minorEastAsia"/>
          <w:sz w:val="24"/>
          <w:szCs w:val="24"/>
        </w:rPr>
        <w:t>t</w:t>
      </w:r>
      <w:r w:rsidRPr="0FEC445E" w:rsidR="3FEE2E7F">
        <w:rPr>
          <w:rFonts w:eastAsiaTheme="minorEastAsia"/>
          <w:sz w:val="24"/>
          <w:szCs w:val="24"/>
        </w:rPr>
        <w:t xml:space="preserve"> exclude the possibility that other factors</w:t>
      </w:r>
      <w:r w:rsidRPr="0FEC445E" w:rsidR="4E3B869A">
        <w:rPr>
          <w:rFonts w:eastAsiaTheme="minorEastAsia"/>
          <w:sz w:val="24"/>
          <w:szCs w:val="24"/>
        </w:rPr>
        <w:t xml:space="preserve"> </w:t>
      </w:r>
      <w:r w:rsidRPr="0FEC445E" w:rsidR="3FEE2E7F">
        <w:rPr>
          <w:rFonts w:eastAsiaTheme="minorEastAsia"/>
          <w:sz w:val="24"/>
          <w:szCs w:val="24"/>
        </w:rPr>
        <w:t xml:space="preserve">might </w:t>
      </w:r>
      <w:r w:rsidRPr="0FEC445E" w:rsidR="72AC92A0">
        <w:rPr>
          <w:rFonts w:eastAsiaTheme="minorEastAsia"/>
          <w:sz w:val="24"/>
          <w:szCs w:val="24"/>
        </w:rPr>
        <w:t xml:space="preserve">be involved </w:t>
      </w:r>
      <w:r w:rsidRPr="0FEC445E" w:rsidR="5C4CE817">
        <w:rPr>
          <w:rFonts w:ascii="Calibri" w:hAnsi="Calibri" w:eastAsia="Calibri" w:cs="Calibri"/>
          <w:sz w:val="24"/>
          <w:szCs w:val="24"/>
        </w:rPr>
        <w:t xml:space="preserve">in </w:t>
      </w:r>
      <w:r w:rsidRPr="0FEC445E" w:rsidR="3FEE2E7F">
        <w:rPr>
          <w:rFonts w:eastAsiaTheme="minorEastAsia"/>
          <w:sz w:val="24"/>
          <w:szCs w:val="24"/>
        </w:rPr>
        <w:t>visuospatial biases in CRPS</w:t>
      </w:r>
      <w:r w:rsidRPr="0FEC445E" w:rsidR="4D250BFD">
        <w:rPr>
          <w:rFonts w:eastAsiaTheme="minorEastAsia"/>
          <w:sz w:val="24"/>
          <w:szCs w:val="24"/>
        </w:rPr>
        <w:t xml:space="preserve"> </w:t>
      </w:r>
      <w:r w:rsidRPr="0FEC445E">
        <w:rPr>
          <w:rFonts w:eastAsiaTheme="minorEastAsia"/>
        </w:rPr>
        <w:fldChar w:fldCharType="begin"/>
      </w:r>
      <w:r w:rsidR="00A03CF2">
        <w:rPr>
          <w:rFonts w:eastAsiaTheme="minorEastAsia"/>
        </w:rPr>
        <w:instrText xml:space="preserve"> ADDIN ZOTERO_ITEM CSL_CITATION {"citationID":"6Nu4LkFz","properties":{"formattedCitation":"(Filbrich et al., 2023)","plainCitation":"(Filbrich et al., 2023)","noteIndex":0},"citationItems":[{"id":76,"uris":["http://zotero.org/users/8514361/items/4B5Q2YXC"],"itemData":{"id":76,"type":"article-journal","abstract":"BACKGROUND: Patients suffering from complex regional pain syndrome (CRPS) are increasingly shown to be affected by cognitive difficulties. While these cognitive symptoms were initially described as limited to the perception, representation and use of the body, that is, the somatic space, they were recently shown to also extend to the perception of extra-somatic space. CRPS patients seem indeed to pay less attention to visual stimuli occurring in the same side of space as their affected limb and especially those occurring close to that limb. The aim of the present study was to more precisely characterize these visuospatial biases, by investigating whether they may be dependent on the visually perceived proximity between the visual stimuli and the affected limb.\nMETHODS: Upper-limb CRPS patients and matched control participants performed temporal order judgements on visual stimuli, one presented in either side of space, while they could either see their hands near the visual stimuli or not.\nRESULTS: Visuospatial biases were not modulated by the availability of visual feedback about the hands. However, secondary analyses revealed that these biases depended on the type of rehabilitation program that the patients followed: whereas patients who did not follow any specific program presented significant biases to the detriment of visual stimuli in the affected side of space, patients who did follow a CRPS-specialized program did not.\nCONCLUSIONS: Patients' cognitive strategies will be important to consider when studying inter-individual differences in the cognitive symptomatology and associated cognitive-based rehabilitation procedures in CRPS.\nSIGNIFICANCE: The existence of biases in visuospatial perception in Complex Regional Pain Syndrome has been reported but not always systematically replicated. We show that these biases might depend on the type of general rehabilitation program that the patients follow. Patients' individual cognitive strategies will be important to consider when studying the cognitive symptomatology of CRPS.","container-title":"European Journal of Pain (London, England)","DOI":"10.1002/ejp.2118","ISSN":"1532-2149","issue":"7","journalAbbreviation":"Eur J Pain","language":"eng","note":"PMID: 37085955","page":"871-883","source":"PubMed","title":"Characterizing biased visuospatial perception in complex regional pain syndrome","volume":"27","author":[{"family":"Filbrich","given":"Lieve"},{"family":"Kuzminova","given":"Avgustina"},{"family":"Molitor","given":"Victoria"},{"family":"Verfaille","given":"Charlotte"},{"family":"Mouraux","given":"Dominique"},{"family":"Berquin","given":"Anne"},{"family":"Barbier","given":"Olivier"},{"family":"Libouton","given":"Xavier"},{"family":"Legrain","given":"Valéry"}],"issued":{"date-parts":[["2023",8]]}}}],"schema":"https://github.com/citation-style-language/schema/raw/master/csl-citation.json"} </w:instrText>
      </w:r>
      <w:r w:rsidRPr="0FEC445E">
        <w:rPr>
          <w:rFonts w:eastAsiaTheme="minorEastAsia"/>
        </w:rPr>
        <w:fldChar w:fldCharType="separate"/>
      </w:r>
      <w:r w:rsidRPr="6CFBCA64" w:rsidR="008425F7">
        <w:rPr>
          <w:rFonts w:ascii="Calibri" w:hAnsi="Calibri" w:cs="Calibri"/>
          <w:sz w:val="24"/>
          <w:szCs w:val="24"/>
        </w:rPr>
        <w:t>(Filbrich et al., 2023)</w:t>
      </w:r>
      <w:r w:rsidRPr="0FEC445E">
        <w:rPr>
          <w:rFonts w:eastAsiaTheme="minorEastAsia"/>
        </w:rPr>
        <w:fldChar w:fldCharType="end"/>
      </w:r>
      <w:r w:rsidRPr="0FEC445E" w:rsidR="3FEE2E7F">
        <w:rPr>
          <w:rFonts w:eastAsiaTheme="minorEastAsia"/>
          <w:sz w:val="24"/>
          <w:szCs w:val="24"/>
        </w:rPr>
        <w:t>.</w:t>
      </w:r>
      <w:r w:rsidRPr="0FEC445E" w:rsidR="7B51B3A2">
        <w:rPr>
          <w:rStyle w:val="CommentReference"/>
        </w:rPr>
        <w:t xml:space="preserve"> </w:t>
      </w:r>
      <w:r w:rsidRPr="0FEC445E" w:rsidR="0CB4FA92">
        <w:rPr>
          <w:rFonts w:eastAsiaTheme="minorEastAsia"/>
          <w:sz w:val="24"/>
          <w:szCs w:val="24"/>
        </w:rPr>
        <w:t>In support of this hypothesis</w:t>
      </w:r>
      <w:r w:rsidRPr="0FEC445E" w:rsidR="5D8F2657">
        <w:rPr>
          <w:rFonts w:eastAsiaTheme="minorEastAsia"/>
          <w:sz w:val="24"/>
          <w:szCs w:val="24"/>
        </w:rPr>
        <w:t>, we</w:t>
      </w:r>
      <w:r w:rsidRPr="0FEC445E" w:rsidR="7B51B3A2">
        <w:rPr>
          <w:rFonts w:eastAsiaTheme="minorEastAsia"/>
          <w:sz w:val="24"/>
          <w:szCs w:val="24"/>
        </w:rPr>
        <w:t xml:space="preserve"> identified significant </w:t>
      </w:r>
      <w:r w:rsidRPr="0FEC445E" w:rsidR="5BC1DA8F">
        <w:rPr>
          <w:rFonts w:eastAsiaTheme="minorEastAsia"/>
          <w:sz w:val="24"/>
          <w:szCs w:val="24"/>
        </w:rPr>
        <w:t xml:space="preserve">spatial </w:t>
      </w:r>
      <w:r w:rsidRPr="0FEC445E" w:rsidR="7B51B3A2">
        <w:rPr>
          <w:rFonts w:eastAsiaTheme="minorEastAsia"/>
          <w:sz w:val="24"/>
          <w:szCs w:val="24"/>
        </w:rPr>
        <w:t>bias</w:t>
      </w:r>
      <w:r w:rsidRPr="0FEC445E" w:rsidR="33027784">
        <w:rPr>
          <w:rFonts w:eastAsiaTheme="minorEastAsia"/>
          <w:sz w:val="24"/>
          <w:szCs w:val="24"/>
        </w:rPr>
        <w:t>es for two subgroups</w:t>
      </w:r>
      <w:r w:rsidRPr="0FEC445E" w:rsidR="10B58872">
        <w:rPr>
          <w:rFonts w:ascii="Calibri" w:hAnsi="Calibri" w:eastAsia="Calibri" w:cs="Calibri"/>
          <w:sz w:val="24"/>
          <w:szCs w:val="24"/>
        </w:rPr>
        <w:t>.</w:t>
      </w:r>
      <w:r w:rsidRPr="0FEC445E" w:rsidR="7B51B3A2">
        <w:rPr>
          <w:rFonts w:eastAsiaTheme="minorEastAsia"/>
          <w:sz w:val="24"/>
          <w:szCs w:val="24"/>
        </w:rPr>
        <w:t xml:space="preserve"> </w:t>
      </w:r>
      <w:r w:rsidRPr="0FEC445E" w:rsidR="41262A63">
        <w:rPr>
          <w:rFonts w:eastAsiaTheme="minorEastAsia"/>
          <w:i/>
          <w:iCs/>
          <w:sz w:val="24"/>
          <w:szCs w:val="24"/>
        </w:rPr>
        <w:t>Moderate</w:t>
      </w:r>
      <w:r w:rsidRPr="0FEC445E" w:rsidR="3E67A901">
        <w:rPr>
          <w:rFonts w:eastAsiaTheme="minorEastAsia"/>
          <w:i/>
          <w:iCs/>
          <w:sz w:val="24"/>
          <w:szCs w:val="24"/>
        </w:rPr>
        <w:t xml:space="preserve"> CRPS</w:t>
      </w:r>
      <w:r w:rsidRPr="0FEC445E" w:rsidR="43E35599">
        <w:rPr>
          <w:rFonts w:eastAsiaTheme="minorEastAsia"/>
          <w:i/>
          <w:iCs/>
          <w:sz w:val="24"/>
          <w:szCs w:val="24"/>
        </w:rPr>
        <w:t xml:space="preserve"> </w:t>
      </w:r>
      <w:r w:rsidRPr="0FEC445E" w:rsidR="43E35599">
        <w:rPr>
          <w:rFonts w:eastAsiaTheme="minorEastAsia"/>
          <w:sz w:val="24"/>
          <w:szCs w:val="24"/>
        </w:rPr>
        <w:t>participants</w:t>
      </w:r>
      <w:r w:rsidRPr="0FEC445E" w:rsidR="50438D71">
        <w:rPr>
          <w:rFonts w:eastAsiaTheme="minorEastAsia"/>
          <w:sz w:val="24"/>
          <w:szCs w:val="24"/>
        </w:rPr>
        <w:t xml:space="preserve"> </w:t>
      </w:r>
      <w:r w:rsidRPr="0FEC445E" w:rsidR="391C105E">
        <w:rPr>
          <w:rFonts w:eastAsiaTheme="minorEastAsia"/>
          <w:sz w:val="24"/>
          <w:szCs w:val="24"/>
        </w:rPr>
        <w:t xml:space="preserve">seem to </w:t>
      </w:r>
      <w:r w:rsidRPr="0FEC445E" w:rsidR="72E8EA20">
        <w:rPr>
          <w:rFonts w:eastAsiaTheme="minorEastAsia"/>
          <w:sz w:val="24"/>
          <w:szCs w:val="24"/>
        </w:rPr>
        <w:t xml:space="preserve">pay more attention to </w:t>
      </w:r>
      <w:r w:rsidRPr="0FEC445E" w:rsidR="7723BC7C">
        <w:rPr>
          <w:rFonts w:eastAsiaTheme="minorEastAsia"/>
          <w:sz w:val="24"/>
          <w:szCs w:val="24"/>
        </w:rPr>
        <w:t xml:space="preserve">the </w:t>
      </w:r>
      <w:r w:rsidRPr="0FEC445E" w:rsidR="0F0BE3CB">
        <w:rPr>
          <w:rFonts w:eastAsiaTheme="minorEastAsia"/>
          <w:sz w:val="24"/>
          <w:szCs w:val="24"/>
        </w:rPr>
        <w:t xml:space="preserve">side of the </w:t>
      </w:r>
      <w:r w:rsidRPr="0FEC445E" w:rsidR="5D8F2657">
        <w:rPr>
          <w:rFonts w:eastAsiaTheme="minorEastAsia"/>
          <w:sz w:val="24"/>
          <w:szCs w:val="24"/>
        </w:rPr>
        <w:t xml:space="preserve">unaffected </w:t>
      </w:r>
      <w:r w:rsidRPr="0FEC445E" w:rsidR="7723BC7C">
        <w:rPr>
          <w:rFonts w:eastAsiaTheme="minorEastAsia"/>
          <w:sz w:val="24"/>
          <w:szCs w:val="24"/>
        </w:rPr>
        <w:t>limb</w:t>
      </w:r>
      <w:r w:rsidRPr="0FEC445E" w:rsidR="58486A68">
        <w:rPr>
          <w:rFonts w:eastAsiaTheme="minorEastAsia"/>
          <w:sz w:val="24"/>
          <w:szCs w:val="24"/>
        </w:rPr>
        <w:t>,</w:t>
      </w:r>
      <w:r w:rsidRPr="0FEC445E" w:rsidR="5D8F2657">
        <w:rPr>
          <w:rFonts w:eastAsiaTheme="minorEastAsia"/>
          <w:sz w:val="24"/>
          <w:szCs w:val="24"/>
        </w:rPr>
        <w:t xml:space="preserve"> while </w:t>
      </w:r>
      <w:r w:rsidRPr="0FEC445E" w:rsidR="5D8F2657">
        <w:rPr>
          <w:rFonts w:eastAsiaTheme="minorEastAsia"/>
          <w:i/>
          <w:iCs/>
          <w:sz w:val="24"/>
          <w:szCs w:val="24"/>
        </w:rPr>
        <w:t>Pressure allodynia CRPS</w:t>
      </w:r>
      <w:r w:rsidRPr="0FEC445E" w:rsidR="3323B4BD">
        <w:rPr>
          <w:rFonts w:eastAsiaTheme="minorEastAsia"/>
          <w:i/>
          <w:iCs/>
          <w:sz w:val="24"/>
          <w:szCs w:val="24"/>
        </w:rPr>
        <w:t xml:space="preserve"> </w:t>
      </w:r>
      <w:r w:rsidRPr="0FEC445E" w:rsidR="3323B4BD">
        <w:rPr>
          <w:rFonts w:eastAsiaTheme="minorEastAsia"/>
          <w:sz w:val="24"/>
          <w:szCs w:val="24"/>
        </w:rPr>
        <w:t>participants</w:t>
      </w:r>
      <w:r w:rsidRPr="0FEC445E" w:rsidR="7723BC7C">
        <w:rPr>
          <w:rFonts w:eastAsiaTheme="minorEastAsia"/>
          <w:sz w:val="24"/>
          <w:szCs w:val="24"/>
        </w:rPr>
        <w:t xml:space="preserve"> </w:t>
      </w:r>
      <w:r w:rsidRPr="0FEC445E" w:rsidR="1CC683BC">
        <w:rPr>
          <w:rFonts w:eastAsiaTheme="minorEastAsia"/>
          <w:sz w:val="24"/>
          <w:szCs w:val="24"/>
        </w:rPr>
        <w:t>seem to preferentially direct attention</w:t>
      </w:r>
      <w:r w:rsidRPr="0FEC445E" w:rsidR="40C2461B">
        <w:rPr>
          <w:rFonts w:eastAsiaTheme="minorEastAsia"/>
          <w:sz w:val="24"/>
          <w:szCs w:val="24"/>
        </w:rPr>
        <w:t xml:space="preserve"> </w:t>
      </w:r>
      <w:r w:rsidRPr="0FEC445E" w:rsidR="5D8F2657">
        <w:rPr>
          <w:rFonts w:eastAsiaTheme="minorEastAsia"/>
          <w:sz w:val="24"/>
          <w:szCs w:val="24"/>
        </w:rPr>
        <w:t xml:space="preserve">to </w:t>
      </w:r>
      <w:r w:rsidRPr="0FEC445E" w:rsidR="7723BC7C">
        <w:rPr>
          <w:rFonts w:eastAsiaTheme="minorEastAsia"/>
          <w:sz w:val="24"/>
          <w:szCs w:val="24"/>
        </w:rPr>
        <w:t xml:space="preserve">the </w:t>
      </w:r>
      <w:r w:rsidRPr="0FEC445E" w:rsidR="7B51B3A2">
        <w:rPr>
          <w:rFonts w:eastAsiaTheme="minorEastAsia"/>
          <w:sz w:val="24"/>
          <w:szCs w:val="24"/>
        </w:rPr>
        <w:t>affected side</w:t>
      </w:r>
      <w:r w:rsidRPr="0FEC445E" w:rsidR="11A06E18">
        <w:rPr>
          <w:rFonts w:eastAsiaTheme="minorEastAsia"/>
          <w:sz w:val="24"/>
          <w:szCs w:val="24"/>
        </w:rPr>
        <w:t>. The</w:t>
      </w:r>
      <w:r w:rsidRPr="0FEC445E" w:rsidR="11A06E18">
        <w:rPr>
          <w:rFonts w:eastAsiaTheme="minorEastAsia"/>
          <w:sz w:val="24"/>
          <w:szCs w:val="24"/>
          <w:lang w:val="en-US"/>
        </w:rPr>
        <w:t xml:space="preserve"> </w:t>
      </w:r>
      <w:r w:rsidRPr="0FEC445E" w:rsidR="579BCA30">
        <w:rPr>
          <w:rFonts w:eastAsiaTheme="minorEastAsia"/>
          <w:sz w:val="24"/>
          <w:szCs w:val="24"/>
          <w:lang w:val="en-US"/>
        </w:rPr>
        <w:t>reason behind this finding</w:t>
      </w:r>
      <w:r w:rsidRPr="0FEC445E" w:rsidR="11A06E18">
        <w:rPr>
          <w:rFonts w:eastAsiaTheme="minorEastAsia"/>
          <w:sz w:val="24"/>
          <w:szCs w:val="24"/>
          <w:lang w:val="en-US"/>
        </w:rPr>
        <w:t xml:space="preserve"> still needs to be explored. </w:t>
      </w:r>
    </w:p>
    <w:p w:rsidR="236A06F1" w:rsidP="2BE03656" w:rsidRDefault="6B5F451D" w14:paraId="4B45281B" w14:textId="73CB0E38">
      <w:pPr>
        <w:spacing w:after="0" w:line="480" w:lineRule="auto"/>
        <w:jc w:val="both"/>
        <w:rPr>
          <w:rFonts w:ascii="Calibri" w:hAnsi="Calibri" w:eastAsia="Calibri" w:cs="Calibri"/>
          <w:strike/>
          <w:sz w:val="24"/>
          <w:szCs w:val="24"/>
        </w:rPr>
      </w:pPr>
      <w:r w:rsidRPr="0FEC445E">
        <w:rPr>
          <w:rFonts w:eastAsiaTheme="minorEastAsia"/>
          <w:sz w:val="24"/>
          <w:szCs w:val="24"/>
          <w:lang w:val="en-US"/>
        </w:rPr>
        <w:t>Using r-B-CRPS-</w:t>
      </w:r>
      <w:proofErr w:type="spellStart"/>
      <w:r w:rsidRPr="0FEC445E">
        <w:rPr>
          <w:rFonts w:eastAsiaTheme="minorEastAsia"/>
          <w:sz w:val="24"/>
          <w:szCs w:val="24"/>
          <w:lang w:val="en-US"/>
        </w:rPr>
        <w:t>BPDS</w:t>
      </w:r>
      <w:proofErr w:type="spellEnd"/>
      <w:r w:rsidRPr="0FEC445E">
        <w:rPr>
          <w:rFonts w:eastAsiaTheme="minorEastAsia"/>
          <w:sz w:val="24"/>
          <w:szCs w:val="24"/>
          <w:lang w:val="en-US"/>
        </w:rPr>
        <w:t xml:space="preserve"> results, </w:t>
      </w:r>
      <w:r w:rsidRPr="0FEC445E">
        <w:rPr>
          <w:rFonts w:eastAsiaTheme="minorEastAsia"/>
          <w:sz w:val="24"/>
          <w:szCs w:val="24"/>
        </w:rPr>
        <w:t>o</w:t>
      </w:r>
      <w:r w:rsidRPr="0FEC445E" w:rsidR="4C3A9FA6">
        <w:rPr>
          <w:rFonts w:ascii="Calibri" w:hAnsi="Calibri" w:eastAsia="Calibri" w:cs="Calibri"/>
          <w:sz w:val="24"/>
          <w:szCs w:val="24"/>
        </w:rPr>
        <w:t>ur sample shows similar</w:t>
      </w:r>
      <w:r w:rsidRPr="0FEC445E" w:rsidR="53B296EE">
        <w:rPr>
          <w:rFonts w:ascii="Calibri" w:hAnsi="Calibri" w:eastAsia="Calibri" w:cs="Calibri"/>
          <w:sz w:val="24"/>
          <w:szCs w:val="24"/>
        </w:rPr>
        <w:t xml:space="preserve"> </w:t>
      </w:r>
      <w:r w:rsidRPr="0FEC445E" w:rsidR="55A3F8AB">
        <w:rPr>
          <w:rFonts w:ascii="Calibri" w:hAnsi="Calibri" w:eastAsia="Calibri" w:cs="Calibri"/>
          <w:sz w:val="24"/>
          <w:szCs w:val="24"/>
        </w:rPr>
        <w:t xml:space="preserve">body perception </w:t>
      </w:r>
      <w:r w:rsidRPr="0FEC445E" w:rsidR="53B296EE">
        <w:rPr>
          <w:rFonts w:ascii="Calibri" w:hAnsi="Calibri" w:eastAsia="Calibri" w:cs="Calibri"/>
          <w:sz w:val="24"/>
          <w:szCs w:val="24"/>
        </w:rPr>
        <w:t>disturbances than</w:t>
      </w:r>
      <w:r w:rsidRPr="0FEC445E" w:rsidR="7773DB78">
        <w:rPr>
          <w:rFonts w:ascii="Calibri" w:hAnsi="Calibri" w:eastAsia="Calibri" w:cs="Calibri"/>
          <w:sz w:val="24"/>
          <w:szCs w:val="24"/>
        </w:rPr>
        <w:t xml:space="preserve"> those of the coh</w:t>
      </w:r>
      <w:r w:rsidRPr="0FEC445E" w:rsidR="7773DB78">
        <w:rPr>
          <w:rFonts w:eastAsiaTheme="minorEastAsia"/>
          <w:sz w:val="24"/>
          <w:szCs w:val="24"/>
        </w:rPr>
        <w:t>ort used to design the revised version</w:t>
      </w:r>
      <w:r w:rsidRPr="0FEC445E" w:rsidR="7B88A316">
        <w:rPr>
          <w:rFonts w:eastAsiaTheme="minorEastAsia"/>
          <w:sz w:val="24"/>
          <w:szCs w:val="24"/>
        </w:rPr>
        <w:t xml:space="preserve"> of th</w:t>
      </w:r>
      <w:r w:rsidRPr="0FEC445E">
        <w:rPr>
          <w:rFonts w:eastAsiaTheme="minorEastAsia"/>
          <w:sz w:val="24"/>
          <w:szCs w:val="24"/>
        </w:rPr>
        <w:t>is</w:t>
      </w:r>
      <w:r w:rsidRPr="0FEC445E" w:rsidR="7B88A316">
        <w:rPr>
          <w:rFonts w:eastAsiaTheme="minorEastAsia"/>
          <w:sz w:val="24"/>
          <w:szCs w:val="24"/>
        </w:rPr>
        <w:t xml:space="preserve"> questionnaire</w:t>
      </w:r>
      <w:r w:rsidRPr="0FEC445E" w:rsidR="7773DB78">
        <w:rPr>
          <w:rFonts w:eastAsiaTheme="minorEastAsia"/>
          <w:sz w:val="24"/>
          <w:szCs w:val="24"/>
        </w:rPr>
        <w:t>, composed mainly of patients with persistent CRPS</w:t>
      </w:r>
      <w:r w:rsidRPr="0FEC445E" w:rsidR="66A82A9C">
        <w:rPr>
          <w:rFonts w:eastAsiaTheme="minorEastAsia"/>
          <w:sz w:val="24"/>
          <w:szCs w:val="24"/>
        </w:rPr>
        <w:t xml:space="preserve"> </w:t>
      </w:r>
      <w:r w:rsidRPr="0FEC445E">
        <w:rPr>
          <w:rFonts w:ascii="Calibri" w:hAnsi="Calibri" w:eastAsia="Calibri" w:cs="Calibri"/>
          <w:color w:val="FF0000"/>
        </w:rPr>
        <w:fldChar w:fldCharType="begin"/>
      </w:r>
      <w:r w:rsidR="00A03CF2">
        <w:rPr>
          <w:rFonts w:ascii="Calibri" w:hAnsi="Calibri" w:eastAsia="Calibri" w:cs="Calibri"/>
          <w:color w:val="FF0000"/>
        </w:rPr>
        <w:instrText xml:space="preserve"> ADDIN ZOTERO_ITEM CSL_CITATION {"citationID":"whPVFcbQ","properties":{"formattedCitation":"(Ten Brink et al., 2021a)","plainCitation":"(Ten Brink et al., 2021a)","noteIndex":0},"citationItems":[{"id":"jyRXZ8R7/Cw69VMGX","uris":["http://zotero.org/users/8777725/items/DXA324BL"],"itemData":{"id":497,"type":"article-journal","abstract":"The Bath Complex Regional Pain Syndrome Body Perception Disturbance Scale (\"B-CRPS-BPDS\") measures alterations in body perception. We assessed its internal consistency, known group validity, construct validity, and associations with demographic and clinical characteristics. We also evaluated changes in, and baseline predictors of B-CRPS-BPDS scores at follow-up. We included people with CRPS (N = 114) and pain-free controls (N = 69). People with CRPS obtained higher scores than pain-free controls on all B-CRPS-BPDS items, except the item on attention. Because this item also had an insufficient corrected item-total correlation, we propose a revised B-CRPS-BPDS (r-B-CRPS-BPDS) excluding this item. The internal consistency of the r-B-CRPS-BPDS was good. The r-B-CRPS-BPDS showed a large positive relationship with \"motor neglect-like symptoms\", indicating good construct validity. The r-B-CRPS-BPDS showed positive relationships with pain intensity, fear of movement, depression, and upper limb disability. There were no independent relationships with handedness, affected side, affected limb, disease duration, CRPS severity score, tension, anger, fatigue, confusion, and vigour. Finally, r-B-CRPS-BPDS scores did not consistently change over time. Our results demonstrate the utility of the r-B-CRPS-BPDS for measuring body perception disturbances in CRPS. PERSPECTIVE: This article evaluates the validity of the Bath Complex Regional Pain Syndrome Body Perception Disturbance Scale (\"B-CRPS-BPDS\") in CRPS, and assesses relationships with demographic and clinical variables. The proposed revised B-CRPS-BPDS appears to be a valid measure of body perception disturbances in CRPS.","container-title":"The Journal of Pain","DOI":"10.1016/j.jpain.2021.04.007","ISSN":"1528-8447","issue":"11","journalAbbreviation":"J Pain","language":"eng","note":"PMID: 33964412","page":"1371-1384","source":"PubMed","title":"Validation of the Bath CRPS Body Perception Disturbance Scale","volume":"22","author":[{"family":"Ten Brink","given":"Antonia F."},{"family":"Halicka","given":"Monika"},{"family":"Vittersø","given":"Axel D."},{"family":"Jones","given":"Hannah G."},{"family":"Stanton","given":"Tasha R."},{"family":"Bultitude","given":"Janet H."}],"issued":{"date-parts":[["2021",11]]}}}],"schema":"https://github.com/citation-style-language/schema/raw/master/csl-citation.json"} </w:instrText>
      </w:r>
      <w:r w:rsidRPr="0FEC445E">
        <w:rPr>
          <w:rFonts w:ascii="Calibri" w:hAnsi="Calibri" w:eastAsia="Calibri" w:cs="Calibri"/>
          <w:color w:val="FF0000"/>
        </w:rPr>
        <w:fldChar w:fldCharType="separate"/>
      </w:r>
      <w:r w:rsidRPr="008425F7" w:rsidR="008425F7">
        <w:rPr>
          <w:rFonts w:ascii="Calibri" w:hAnsi="Calibri" w:cs="Calibri"/>
          <w:sz w:val="24"/>
        </w:rPr>
        <w:t>(Ten Brink et al., 2021a)</w:t>
      </w:r>
      <w:r w:rsidRPr="0FEC445E">
        <w:rPr>
          <w:rFonts w:ascii="Calibri" w:hAnsi="Calibri" w:eastAsia="Calibri" w:cs="Calibri"/>
          <w:color w:val="FF0000"/>
        </w:rPr>
        <w:fldChar w:fldCharType="end"/>
      </w:r>
      <w:r w:rsidRPr="0FEC445E" w:rsidR="6A751518">
        <w:rPr>
          <w:rFonts w:eastAsiaTheme="minorEastAsia"/>
          <w:sz w:val="24"/>
          <w:szCs w:val="24"/>
        </w:rPr>
        <w:t>.</w:t>
      </w:r>
      <w:r w:rsidRPr="0FEC445E" w:rsidR="69027F32">
        <w:rPr>
          <w:rFonts w:eastAsiaTheme="minorEastAsia"/>
          <w:sz w:val="24"/>
          <w:szCs w:val="24"/>
        </w:rPr>
        <w:t xml:space="preserve"> This suggests that early and persistent CRPS </w:t>
      </w:r>
      <w:r w:rsidRPr="0FEC445E" w:rsidR="621886CF">
        <w:rPr>
          <w:rFonts w:eastAsiaTheme="minorEastAsia"/>
          <w:sz w:val="24"/>
          <w:szCs w:val="24"/>
        </w:rPr>
        <w:t xml:space="preserve">share </w:t>
      </w:r>
      <w:r w:rsidRPr="0FEC445E" w:rsidR="69027F32">
        <w:rPr>
          <w:rFonts w:eastAsiaTheme="minorEastAsia"/>
          <w:sz w:val="24"/>
          <w:szCs w:val="24"/>
        </w:rPr>
        <w:t>similar body perception dis</w:t>
      </w:r>
      <w:r w:rsidRPr="0FEC445E" w:rsidR="68A729FA">
        <w:rPr>
          <w:rFonts w:eastAsiaTheme="minorEastAsia"/>
          <w:sz w:val="24"/>
          <w:szCs w:val="24"/>
        </w:rPr>
        <w:t xml:space="preserve">orders, and therefore that these disturbances are not </w:t>
      </w:r>
      <w:r w:rsidRPr="0FEC445E" w:rsidR="0B2DF285">
        <w:rPr>
          <w:rFonts w:eastAsiaTheme="minorEastAsia"/>
          <w:sz w:val="24"/>
          <w:szCs w:val="24"/>
        </w:rPr>
        <w:t xml:space="preserve">simply </w:t>
      </w:r>
      <w:r w:rsidRPr="0FEC445E" w:rsidR="68A729FA">
        <w:rPr>
          <w:rFonts w:eastAsiaTheme="minorEastAsia"/>
          <w:sz w:val="24"/>
          <w:szCs w:val="24"/>
        </w:rPr>
        <w:t>a consequence of long-lasting symptoms. This raises the question of the pathological role of body perception disturbances in triggering and/or maintaining CRPS.</w:t>
      </w:r>
    </w:p>
    <w:p w:rsidR="2B99CF14" w:rsidP="560E2E1C" w:rsidRDefault="2A9DAC8F" w14:paraId="5F4FD88D" w14:textId="2EE4B680">
      <w:pPr>
        <w:spacing w:after="0" w:line="480" w:lineRule="auto"/>
        <w:jc w:val="both"/>
        <w:rPr>
          <w:rFonts w:ascii="Calibri" w:hAnsi="Calibri" w:eastAsia="Calibri" w:cs="Calibri"/>
          <w:i/>
          <w:iCs/>
          <w:sz w:val="24"/>
          <w:szCs w:val="24"/>
        </w:rPr>
      </w:pPr>
      <w:r w:rsidRPr="560E2E1C">
        <w:rPr>
          <w:rFonts w:ascii="Calibri" w:hAnsi="Calibri" w:eastAsia="Calibri" w:cs="Calibri"/>
          <w:i/>
          <w:iCs/>
          <w:sz w:val="24"/>
          <w:szCs w:val="24"/>
        </w:rPr>
        <w:t>Potential classifications</w:t>
      </w:r>
      <w:r w:rsidRPr="00644AC1" w:rsidR="00287814">
        <w:rPr>
          <w:rFonts w:ascii="Calibri" w:hAnsi="Calibri" w:eastAsia="Calibri" w:cs="Calibri"/>
          <w:i/>
          <w:iCs/>
          <w:color w:val="FF0000"/>
          <w:sz w:val="24"/>
          <w:szCs w:val="24"/>
        </w:rPr>
        <w:t xml:space="preserve"> discussed in the literature</w:t>
      </w:r>
    </w:p>
    <w:p w:rsidRPr="002D7864" w:rsidR="002D7864" w:rsidP="0FEC445E" w:rsidRDefault="114DE279" w14:paraId="23D37E6D" w14:textId="3355590E">
      <w:pPr>
        <w:spacing w:line="480" w:lineRule="auto"/>
        <w:jc w:val="both"/>
        <w:rPr>
          <w:rFonts w:cs="Arial"/>
          <w:sz w:val="24"/>
          <w:szCs w:val="24"/>
        </w:rPr>
      </w:pPr>
      <w:r w:rsidRPr="0FEC445E">
        <w:rPr>
          <w:rFonts w:cs="Arial"/>
          <w:sz w:val="24"/>
          <w:szCs w:val="24"/>
        </w:rPr>
        <w:t xml:space="preserve">The current literature </w:t>
      </w:r>
      <w:r w:rsidRPr="0FEC445E" w:rsidR="55D3A917">
        <w:rPr>
          <w:rFonts w:cs="Arial"/>
          <w:sz w:val="24"/>
          <w:szCs w:val="24"/>
        </w:rPr>
        <w:t xml:space="preserve">about subtyping </w:t>
      </w:r>
      <w:r w:rsidRPr="0FEC445E">
        <w:rPr>
          <w:rFonts w:cs="Arial"/>
          <w:sz w:val="24"/>
          <w:szCs w:val="24"/>
        </w:rPr>
        <w:t xml:space="preserve">CRPS is based on </w:t>
      </w:r>
      <w:r w:rsidRPr="0FEC445E" w:rsidR="6A7EFE30">
        <w:rPr>
          <w:rFonts w:cs="Arial"/>
          <w:sz w:val="24"/>
          <w:szCs w:val="24"/>
        </w:rPr>
        <w:t xml:space="preserve">statistical analyses that </w:t>
      </w:r>
      <w:r w:rsidRPr="0FEC445E" w:rsidR="79173FB6">
        <w:rPr>
          <w:rFonts w:cs="Arial"/>
          <w:sz w:val="24"/>
          <w:szCs w:val="24"/>
        </w:rPr>
        <w:t xml:space="preserve">might </w:t>
      </w:r>
      <w:r w:rsidRPr="0FEC445E" w:rsidR="42C4898F">
        <w:rPr>
          <w:rFonts w:cs="Arial"/>
          <w:sz w:val="24"/>
          <w:szCs w:val="24"/>
        </w:rPr>
        <w:t>lack</w:t>
      </w:r>
      <w:r w:rsidRPr="0FEC445E" w:rsidR="6A7EFE30">
        <w:rPr>
          <w:rFonts w:cs="Arial"/>
          <w:sz w:val="24"/>
          <w:szCs w:val="24"/>
        </w:rPr>
        <w:t xml:space="preserve"> reliability and reproducibility </w:t>
      </w:r>
      <w:r w:rsidRPr="0FEC445E">
        <w:rPr>
          <w:rFonts w:cs="Arial"/>
        </w:rPr>
        <w:fldChar w:fldCharType="begin"/>
      </w:r>
      <w:r w:rsidR="00A03CF2">
        <w:rPr>
          <w:rFonts w:cs="Arial"/>
        </w:rPr>
        <w:instrText xml:space="preserve"> ADDIN ZOTERO_ITEM CSL_CITATION {"citationID":"vdPiyTVg","properties":{"formattedCitation":"[70]","plainCitation":"[70]","dontUpdate":true,"noteIndex":0},"citationItems":[{"id":101,"uris":["http://zotero.org/users/8514361/items/2T9E9D6J"],"itemData":{"id":101,"type":"article-journal","abstract":"Latent Class Analysis (LCA) is a probabilistic modelling algorithm that allows clustering of data and statistical inference. There has been a recent upsurge in the application of LCA in the fields of critical care, respiratory medicine, and beyond. In this review, we present a brief overview of the principles behind LCA. Further, in a stepwise manner, we outline the key processes necessary to perform LCA including some of the challenges and pitfalls faced at each of these steps. The review provides a one-stop shop for investigators seeking to apply LCA to their data.","container-title":"Critical care medicine","DOI":"10.1097/CCM.0000000000004710","ISSN":"0090-3493","issue":"1","journalAbbreviation":"Crit Care Med","note":"PMID: 33165028\nPMCID: PMC7746621","page":"e63-e79","source":"PubMed Central","title":"Practitioner’s Guide to Latent Class Analysis: Methodological Considerations and Common Pitfalls.","title-short":"Practitioner’s Guide to Latent Class Analysis","volume":"49","author":[{"family":"Sinha","given":"Pratik"},{"family":"Calfee","given":"Carolyn S."},{"family":"Delucchi","given":"Kevin L."}],"issued":{"date-parts":[["2021",1,1]]}}}],"schema":"https://github.com/citation-style-language/schema/raw/master/csl-citation.json"} </w:instrText>
      </w:r>
      <w:r w:rsidRPr="0FEC445E">
        <w:rPr>
          <w:rFonts w:cs="Arial"/>
        </w:rPr>
        <w:fldChar w:fldCharType="separate"/>
      </w:r>
      <w:r w:rsidRPr="0FEC445E" w:rsidR="6A7EFE30">
        <w:rPr>
          <w:rFonts w:ascii="Calibri" w:hAnsi="Calibri" w:cs="Calibri"/>
          <w:sz w:val="24"/>
          <w:szCs w:val="24"/>
        </w:rPr>
        <w:t>[70], such as</w:t>
      </w:r>
      <w:r w:rsidRPr="0FEC445E">
        <w:rPr>
          <w:rFonts w:cs="Arial"/>
        </w:rPr>
        <w:fldChar w:fldCharType="end"/>
      </w:r>
      <w:r w:rsidRPr="0FEC445E" w:rsidR="6A7EFE30">
        <w:rPr>
          <w:rFonts w:cs="Arial"/>
          <w:sz w:val="24"/>
          <w:szCs w:val="24"/>
        </w:rPr>
        <w:t xml:space="preserve"> </w:t>
      </w:r>
      <w:r w:rsidRPr="0FEC445E">
        <w:rPr>
          <w:rFonts w:cs="Arial"/>
          <w:sz w:val="24"/>
          <w:szCs w:val="24"/>
        </w:rPr>
        <w:t>t-test/non-parametric equivalent statistics (</w:t>
      </w:r>
      <w:r w:rsidRPr="0FEC445E" w:rsidR="3276B356">
        <w:rPr>
          <w:rFonts w:cs="Arial"/>
          <w:sz w:val="24"/>
          <w:szCs w:val="24"/>
        </w:rPr>
        <w:t>n=</w:t>
      </w:r>
      <w:r w:rsidRPr="0FEC445E">
        <w:rPr>
          <w:rFonts w:cs="Arial"/>
          <w:sz w:val="24"/>
          <w:szCs w:val="24"/>
        </w:rPr>
        <w:t xml:space="preserve">19), or classical clustering algorithms, </w:t>
      </w:r>
      <w:r w:rsidRPr="0FEC445E" w:rsidR="04BB68B9">
        <w:rPr>
          <w:rFonts w:cs="Arial"/>
          <w:sz w:val="24"/>
          <w:szCs w:val="24"/>
        </w:rPr>
        <w:t>e.g.</w:t>
      </w:r>
      <w:r w:rsidRPr="0FEC445E">
        <w:rPr>
          <w:rFonts w:cs="Arial"/>
          <w:sz w:val="24"/>
          <w:szCs w:val="24"/>
        </w:rPr>
        <w:t xml:space="preserve"> k-means (</w:t>
      </w:r>
      <w:r w:rsidRPr="0FEC445E" w:rsidR="3276B356">
        <w:rPr>
          <w:rFonts w:cs="Arial"/>
          <w:sz w:val="24"/>
          <w:szCs w:val="24"/>
        </w:rPr>
        <w:t>n=</w:t>
      </w:r>
      <w:r w:rsidRPr="0FEC445E">
        <w:rPr>
          <w:rFonts w:cs="Arial"/>
          <w:sz w:val="24"/>
          <w:szCs w:val="24"/>
        </w:rPr>
        <w:t xml:space="preserve">3) and </w:t>
      </w:r>
      <w:proofErr w:type="spellStart"/>
      <w:r w:rsidRPr="0FEC445E" w:rsidR="6BFB3233">
        <w:rPr>
          <w:rFonts w:cs="Arial"/>
          <w:sz w:val="24"/>
          <w:szCs w:val="24"/>
        </w:rPr>
        <w:t>T</w:t>
      </w:r>
      <w:r w:rsidRPr="0FEC445E">
        <w:rPr>
          <w:rFonts w:cs="Arial"/>
          <w:sz w:val="24"/>
          <w:szCs w:val="24"/>
        </w:rPr>
        <w:t>wo</w:t>
      </w:r>
      <w:r w:rsidRPr="0FEC445E" w:rsidR="22709B7E">
        <w:rPr>
          <w:rFonts w:cs="Arial"/>
          <w:sz w:val="24"/>
          <w:szCs w:val="24"/>
        </w:rPr>
        <w:t>S</w:t>
      </w:r>
      <w:r w:rsidRPr="0FEC445E">
        <w:rPr>
          <w:rFonts w:cs="Arial"/>
          <w:sz w:val="24"/>
          <w:szCs w:val="24"/>
        </w:rPr>
        <w:t>tep</w:t>
      </w:r>
      <w:proofErr w:type="spellEnd"/>
      <w:r w:rsidRPr="0FEC445E" w:rsidR="30B55798">
        <w:rPr>
          <w:rFonts w:cs="Arial"/>
          <w:sz w:val="24"/>
          <w:szCs w:val="24"/>
        </w:rPr>
        <w:t xml:space="preserve"> Cluster </w:t>
      </w:r>
      <w:r w:rsidRPr="0FEC445E">
        <w:rPr>
          <w:rFonts w:cs="Arial"/>
          <w:sz w:val="24"/>
          <w:szCs w:val="24"/>
        </w:rPr>
        <w:t>(</w:t>
      </w:r>
      <w:r w:rsidRPr="0FEC445E" w:rsidR="3276B356">
        <w:rPr>
          <w:rFonts w:cs="Arial"/>
          <w:sz w:val="24"/>
          <w:szCs w:val="24"/>
        </w:rPr>
        <w:t>n=</w:t>
      </w:r>
      <w:r w:rsidRPr="0FEC445E">
        <w:rPr>
          <w:rFonts w:cs="Arial"/>
          <w:sz w:val="24"/>
          <w:szCs w:val="24"/>
        </w:rPr>
        <w:t xml:space="preserve">3) </w:t>
      </w:r>
      <w:r w:rsidRPr="0FEC445E">
        <w:rPr>
          <w:rFonts w:cs="Arial"/>
        </w:rPr>
        <w:fldChar w:fldCharType="begin"/>
      </w:r>
      <w:r w:rsidR="00A03CF2">
        <w:rPr>
          <w:rFonts w:cs="Arial"/>
        </w:rPr>
        <w:instrText xml:space="preserve"> ADDIN ZOTERO_ITEM CSL_CITATION {"citationID":"nrHCEz9h","properties":{"formattedCitation":"(Knudsen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0FEC445E">
        <w:rPr>
          <w:rFonts w:cs="Arial"/>
        </w:rPr>
        <w:fldChar w:fldCharType="separate"/>
      </w:r>
      <w:r w:rsidRPr="34AC0E9B" w:rsidR="008425F7">
        <w:rPr>
          <w:rFonts w:ascii="Calibri" w:hAnsi="Calibri" w:cs="Calibri"/>
          <w:sz w:val="24"/>
          <w:szCs w:val="24"/>
        </w:rPr>
        <w:t>(Knudsen et al., 2023)</w:t>
      </w:r>
      <w:r w:rsidRPr="0FEC445E">
        <w:rPr>
          <w:rFonts w:cs="Arial"/>
        </w:rPr>
        <w:fldChar w:fldCharType="end"/>
      </w:r>
      <w:r w:rsidRPr="0FEC445E" w:rsidR="2E7542CE">
        <w:rPr>
          <w:rFonts w:cs="Arial"/>
          <w:sz w:val="24"/>
          <w:szCs w:val="24"/>
        </w:rPr>
        <w:t>.</w:t>
      </w:r>
    </w:p>
    <w:p w:rsidRPr="002D7864" w:rsidR="002D7864" w:rsidP="4EF8719D" w:rsidRDefault="12E91AFA" w14:paraId="79C29932" w14:textId="3E9C2234">
      <w:pPr>
        <w:spacing w:line="480" w:lineRule="auto"/>
        <w:jc w:val="both"/>
        <w:rPr>
          <w:rFonts w:cs="Arial"/>
          <w:sz w:val="24"/>
          <w:szCs w:val="24"/>
        </w:rPr>
      </w:pPr>
      <w:r w:rsidRPr="0FEC445E">
        <w:rPr>
          <w:rFonts w:eastAsiaTheme="minorEastAsia"/>
          <w:sz w:val="24"/>
          <w:szCs w:val="24"/>
        </w:rPr>
        <w:lastRenderedPageBreak/>
        <w:t xml:space="preserve">Using </w:t>
      </w:r>
      <w:r w:rsidRPr="0FEC445E" w:rsidR="360420FB">
        <w:rPr>
          <w:rFonts w:cs="Arial"/>
          <w:sz w:val="24"/>
          <w:szCs w:val="24"/>
        </w:rPr>
        <w:t>t-tests or equivalents</w:t>
      </w:r>
      <w:r w:rsidRPr="0FEC445E" w:rsidR="009B6354">
        <w:rPr>
          <w:rFonts w:eastAsiaTheme="minorEastAsia"/>
          <w:sz w:val="24"/>
          <w:szCs w:val="24"/>
        </w:rPr>
        <w:t>,</w:t>
      </w:r>
      <w:r w:rsidRPr="0FEC445E" w:rsidR="3CA56E6D">
        <w:rPr>
          <w:rFonts w:eastAsiaTheme="minorEastAsia"/>
          <w:sz w:val="24"/>
          <w:szCs w:val="24"/>
        </w:rPr>
        <w:t xml:space="preserve"> </w:t>
      </w:r>
      <w:r w:rsidRPr="0FEC445E" w:rsidR="3F2984DB">
        <w:rPr>
          <w:rFonts w:eastAsiaTheme="minorEastAsia"/>
          <w:sz w:val="24"/>
          <w:szCs w:val="24"/>
        </w:rPr>
        <w:t>w</w:t>
      </w:r>
      <w:r w:rsidRPr="0FEC445E" w:rsidR="29020F5C">
        <w:rPr>
          <w:rFonts w:eastAsiaTheme="minorEastAsia"/>
          <w:sz w:val="24"/>
          <w:szCs w:val="24"/>
        </w:rPr>
        <w:t>e</w:t>
      </w:r>
      <w:r w:rsidRPr="0FEC445E" w:rsidR="7C371C3C">
        <w:rPr>
          <w:rFonts w:eastAsiaTheme="minorEastAsia"/>
          <w:sz w:val="24"/>
          <w:szCs w:val="24"/>
        </w:rPr>
        <w:t xml:space="preserve"> </w:t>
      </w:r>
      <w:r w:rsidRPr="0FEC445E" w:rsidR="08E8B149">
        <w:rPr>
          <w:rFonts w:eastAsiaTheme="minorEastAsia"/>
          <w:sz w:val="24"/>
          <w:szCs w:val="24"/>
        </w:rPr>
        <w:t xml:space="preserve">did not observe any differences </w:t>
      </w:r>
      <w:r w:rsidRPr="0FEC445E" w:rsidR="7317B06E">
        <w:rPr>
          <w:rFonts w:eastAsiaTheme="minorEastAsia"/>
          <w:sz w:val="24"/>
          <w:szCs w:val="24"/>
        </w:rPr>
        <w:t xml:space="preserve">based on </w:t>
      </w:r>
      <w:r w:rsidRPr="0FEC445E" w:rsidR="048AD8A4">
        <w:rPr>
          <w:rFonts w:eastAsiaTheme="minorEastAsia"/>
          <w:sz w:val="24"/>
          <w:szCs w:val="24"/>
        </w:rPr>
        <w:t>a</w:t>
      </w:r>
      <w:r w:rsidRPr="0FEC445E" w:rsidR="08E8B149">
        <w:rPr>
          <w:rFonts w:eastAsiaTheme="minorEastAsia"/>
          <w:sz w:val="24"/>
          <w:szCs w:val="24"/>
        </w:rPr>
        <w:t xml:space="preserve"> family or personal history of CRPS</w:t>
      </w:r>
      <w:r w:rsidRPr="0FEC445E" w:rsidR="6811B684">
        <w:rPr>
          <w:rFonts w:eastAsiaTheme="minorEastAsia"/>
          <w:sz w:val="24"/>
          <w:szCs w:val="24"/>
        </w:rPr>
        <w:t xml:space="preserve">, or </w:t>
      </w:r>
      <w:r w:rsidRPr="0FEC445E" w:rsidR="770338A2">
        <w:rPr>
          <w:rFonts w:eastAsiaTheme="minorEastAsia"/>
          <w:sz w:val="24"/>
          <w:szCs w:val="24"/>
        </w:rPr>
        <w:t>CRPS type</w:t>
      </w:r>
      <w:r w:rsidRPr="0FEC445E" w:rsidR="770338A2">
        <w:rPr>
          <w:rFonts w:ascii="Calibri" w:hAnsi="Calibri" w:eastAsia="Calibri" w:cs="Calibri"/>
          <w:sz w:val="24"/>
          <w:szCs w:val="24"/>
        </w:rPr>
        <w:t xml:space="preserve">. </w:t>
      </w:r>
      <w:r w:rsidRPr="0FEC445E" w:rsidR="08E8B149">
        <w:rPr>
          <w:rFonts w:ascii="Calibri" w:hAnsi="Calibri" w:eastAsia="Calibri" w:cs="Calibri"/>
          <w:sz w:val="24"/>
          <w:szCs w:val="24"/>
        </w:rPr>
        <w:t xml:space="preserve">This </w:t>
      </w:r>
      <w:r w:rsidRPr="0FEC445E" w:rsidR="07BF701C">
        <w:rPr>
          <w:rFonts w:ascii="Calibri" w:hAnsi="Calibri" w:eastAsia="Calibri" w:cs="Calibri"/>
          <w:sz w:val="24"/>
          <w:szCs w:val="24"/>
        </w:rPr>
        <w:t xml:space="preserve">last observation is in line with </w:t>
      </w:r>
      <w:r w:rsidRPr="0FEC445E" w:rsidR="2E4C65E5">
        <w:rPr>
          <w:rFonts w:ascii="Calibri" w:hAnsi="Calibri" w:eastAsia="Calibri" w:cs="Calibri"/>
          <w:sz w:val="24"/>
          <w:szCs w:val="24"/>
        </w:rPr>
        <w:t xml:space="preserve">current consensus </w:t>
      </w:r>
      <w:r w:rsidRPr="0FEC445E" w:rsidR="07BF701C">
        <w:rPr>
          <w:rFonts w:ascii="Calibri" w:hAnsi="Calibri" w:eastAsia="Calibri" w:cs="Calibri"/>
          <w:sz w:val="24"/>
          <w:szCs w:val="24"/>
        </w:rPr>
        <w:t xml:space="preserve">suggesting </w:t>
      </w:r>
      <w:r w:rsidRPr="0FEC445E" w:rsidR="08E8B149">
        <w:rPr>
          <w:rFonts w:ascii="Calibri" w:hAnsi="Calibri" w:eastAsia="Calibri" w:cs="Calibri"/>
          <w:sz w:val="24"/>
          <w:szCs w:val="24"/>
        </w:rPr>
        <w:t xml:space="preserve">that </w:t>
      </w:r>
      <w:r w:rsidRPr="0FEC445E" w:rsidR="0B1FA9CB">
        <w:rPr>
          <w:rFonts w:ascii="Calibri" w:hAnsi="Calibri" w:eastAsia="Calibri" w:cs="Calibri"/>
          <w:sz w:val="24"/>
          <w:szCs w:val="24"/>
        </w:rPr>
        <w:t>the</w:t>
      </w:r>
      <w:r w:rsidRPr="0FEC445E" w:rsidR="08E8B149">
        <w:rPr>
          <w:rFonts w:ascii="Calibri" w:hAnsi="Calibri" w:eastAsia="Calibri" w:cs="Calibri"/>
          <w:sz w:val="24"/>
          <w:szCs w:val="24"/>
        </w:rPr>
        <w:t xml:space="preserve"> historical </w:t>
      </w:r>
      <w:r w:rsidRPr="0FEC445E" w:rsidR="444EEEBC">
        <w:rPr>
          <w:rFonts w:ascii="Calibri" w:hAnsi="Calibri" w:eastAsia="Calibri" w:cs="Calibri"/>
          <w:sz w:val="24"/>
          <w:szCs w:val="24"/>
        </w:rPr>
        <w:t xml:space="preserve">division </w:t>
      </w:r>
      <w:r w:rsidRPr="0FEC445E" w:rsidR="08E8B149">
        <w:rPr>
          <w:rFonts w:ascii="Calibri" w:hAnsi="Calibri" w:eastAsia="Calibri" w:cs="Calibri"/>
          <w:sz w:val="24"/>
          <w:szCs w:val="24"/>
        </w:rPr>
        <w:t xml:space="preserve">of CRPS </w:t>
      </w:r>
      <w:r w:rsidRPr="0FEC445E" w:rsidR="7E22DCD7">
        <w:rPr>
          <w:rFonts w:ascii="Calibri" w:hAnsi="Calibri" w:eastAsia="Calibri" w:cs="Calibri"/>
          <w:sz w:val="24"/>
          <w:szCs w:val="24"/>
        </w:rPr>
        <w:t xml:space="preserve">in types I and II </w:t>
      </w:r>
      <w:r w:rsidRPr="0FEC445E" w:rsidR="05FE025D">
        <w:rPr>
          <w:rFonts w:cs="Arial"/>
          <w:sz w:val="24"/>
          <w:szCs w:val="24"/>
        </w:rPr>
        <w:t>is</w:t>
      </w:r>
      <w:r w:rsidRPr="0FEC445E" w:rsidR="2F632249">
        <w:rPr>
          <w:rFonts w:cs="Arial"/>
          <w:sz w:val="24"/>
          <w:szCs w:val="24"/>
        </w:rPr>
        <w:t xml:space="preserve"> probably </w:t>
      </w:r>
      <w:r w:rsidRPr="0FEC445E" w:rsidR="36C79AA4">
        <w:rPr>
          <w:rFonts w:ascii="Calibri" w:hAnsi="Calibri" w:eastAsia="Calibri" w:cs="Calibri"/>
          <w:sz w:val="24"/>
          <w:szCs w:val="24"/>
        </w:rPr>
        <w:t xml:space="preserve">clinically </w:t>
      </w:r>
      <w:r w:rsidRPr="0FEC445E" w:rsidR="08E8B149">
        <w:rPr>
          <w:rFonts w:ascii="Calibri" w:hAnsi="Calibri" w:eastAsia="Calibri" w:cs="Calibri"/>
          <w:sz w:val="24"/>
          <w:szCs w:val="24"/>
        </w:rPr>
        <w:t>irrelevant</w:t>
      </w:r>
      <w:r w:rsidRPr="0FEC445E" w:rsidR="5DAD7554">
        <w:rPr>
          <w:rFonts w:ascii="Calibri" w:hAnsi="Calibri" w:eastAsia="Calibri" w:cs="Calibri"/>
          <w:sz w:val="24"/>
          <w:szCs w:val="24"/>
        </w:rPr>
        <w:t xml:space="preserve"> </w:t>
      </w:r>
      <w:r w:rsidRPr="0FEC445E" w:rsidR="114DE279">
        <w:rPr>
          <w:rFonts w:ascii="Calibri" w:hAnsi="Calibri" w:eastAsia="Calibri" w:cs="Calibri"/>
        </w:rPr>
        <w:fldChar w:fldCharType="begin"/>
      </w:r>
      <w:r w:rsidR="00A03CF2">
        <w:rPr>
          <w:rFonts w:ascii="Calibri" w:hAnsi="Calibri" w:eastAsia="Calibri" w:cs="Calibri"/>
        </w:rPr>
        <w:instrText xml:space="preserve"> ADDIN ZOTERO_ITEM CSL_CITATION {"citationID":"SbIh4Oxy","properties":{"formattedCitation":"(Goebel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0FEC445E" w:rsidR="114DE279">
        <w:rPr>
          <w:rFonts w:ascii="Calibri" w:hAnsi="Calibri" w:eastAsia="Calibri" w:cs="Calibri"/>
        </w:rPr>
        <w:fldChar w:fldCharType="separate"/>
      </w:r>
      <w:r w:rsidRPr="6CFBCA64" w:rsidR="008425F7">
        <w:rPr>
          <w:rFonts w:ascii="Calibri" w:hAnsi="Calibri" w:cs="Calibri"/>
          <w:sz w:val="24"/>
          <w:szCs w:val="24"/>
        </w:rPr>
        <w:t>(Goebel et al., 2021)</w:t>
      </w:r>
      <w:r w:rsidRPr="0FEC445E" w:rsidR="114DE279">
        <w:rPr>
          <w:rFonts w:ascii="Calibri" w:hAnsi="Calibri" w:eastAsia="Calibri" w:cs="Calibri"/>
        </w:rPr>
        <w:fldChar w:fldCharType="end"/>
      </w:r>
      <w:r w:rsidRPr="0FEC445E" w:rsidR="6DFA935C">
        <w:rPr>
          <w:rFonts w:ascii="Calibri" w:hAnsi="Calibri" w:eastAsia="Calibri" w:cs="Calibri"/>
          <w:sz w:val="24"/>
          <w:szCs w:val="24"/>
        </w:rPr>
        <w:t xml:space="preserve">, even though this was recently discussed </w:t>
      </w:r>
      <w:r w:rsidRPr="0FEC445E" w:rsidR="114DE279">
        <w:rPr>
          <w:rFonts w:eastAsiaTheme="minorEastAsia"/>
        </w:rPr>
        <w:fldChar w:fldCharType="begin"/>
      </w:r>
      <w:r w:rsidR="00A03CF2">
        <w:rPr>
          <w:rFonts w:eastAsiaTheme="minorEastAsia"/>
        </w:rPr>
        <w:instrText xml:space="preserve"> ADDIN ZOTERO_ITEM CSL_CITATION {"citationID":"R1h4AaeB","properties":{"formattedCitation":"(Knudsen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0FEC445E" w:rsidR="114DE279">
        <w:rPr>
          <w:rFonts w:eastAsiaTheme="minorEastAsia"/>
        </w:rPr>
        <w:fldChar w:fldCharType="separate"/>
      </w:r>
      <w:r w:rsidRPr="6CFBCA64" w:rsidR="008425F7">
        <w:rPr>
          <w:rFonts w:ascii="Calibri" w:hAnsi="Calibri" w:cs="Calibri"/>
          <w:sz w:val="24"/>
          <w:szCs w:val="24"/>
        </w:rPr>
        <w:t>(Knudsen et al., 2023)</w:t>
      </w:r>
      <w:r w:rsidRPr="0FEC445E" w:rsidR="114DE279">
        <w:rPr>
          <w:rFonts w:eastAsiaTheme="minorEastAsia"/>
        </w:rPr>
        <w:fldChar w:fldCharType="end"/>
      </w:r>
      <w:r w:rsidRPr="0FEC445E" w:rsidR="44C933FB">
        <w:rPr>
          <w:rFonts w:eastAsiaTheme="minorEastAsia"/>
          <w:sz w:val="24"/>
          <w:szCs w:val="24"/>
        </w:rPr>
        <w:t>.</w:t>
      </w:r>
    </w:p>
    <w:p w:rsidRPr="002D7864" w:rsidR="002D7864" w:rsidP="4EF8719D" w:rsidRDefault="555A6704" w14:paraId="48FB30D6" w14:textId="60F6CE79">
      <w:pPr>
        <w:spacing w:line="480" w:lineRule="auto"/>
        <w:jc w:val="both"/>
        <w:rPr>
          <w:rFonts w:cs="Arial"/>
          <w:sz w:val="24"/>
          <w:szCs w:val="24"/>
        </w:rPr>
      </w:pPr>
      <w:r w:rsidRPr="4EF8719D">
        <w:rPr>
          <w:rFonts w:eastAsiaTheme="minorEastAsia"/>
          <w:sz w:val="24"/>
          <w:szCs w:val="24"/>
        </w:rPr>
        <w:t>Patients</w:t>
      </w:r>
      <w:r w:rsidRPr="4EF8719D" w:rsidR="531AC832">
        <w:rPr>
          <w:rFonts w:eastAsiaTheme="minorEastAsia"/>
          <w:sz w:val="24"/>
          <w:szCs w:val="24"/>
        </w:rPr>
        <w:t xml:space="preserve"> who met the </w:t>
      </w:r>
      <w:r w:rsidRPr="4EF8719D" w:rsidR="77328F62">
        <w:rPr>
          <w:rFonts w:eastAsiaTheme="minorEastAsia"/>
          <w:sz w:val="24"/>
          <w:szCs w:val="24"/>
        </w:rPr>
        <w:t>research Budapest criteria</w:t>
      </w:r>
      <w:r w:rsidRPr="4EF8719D" w:rsidR="531AC832">
        <w:rPr>
          <w:rFonts w:eastAsiaTheme="minorEastAsia"/>
          <w:sz w:val="24"/>
          <w:szCs w:val="24"/>
        </w:rPr>
        <w:t xml:space="preserve"> appear</w:t>
      </w:r>
      <w:r w:rsidRPr="4EF8719D" w:rsidR="04B140EB">
        <w:rPr>
          <w:rFonts w:eastAsiaTheme="minorEastAsia"/>
          <w:sz w:val="24"/>
          <w:szCs w:val="24"/>
        </w:rPr>
        <w:t>ed</w:t>
      </w:r>
      <w:r w:rsidRPr="4EF8719D" w:rsidR="531AC832">
        <w:rPr>
          <w:rFonts w:eastAsiaTheme="minorEastAsia"/>
          <w:sz w:val="24"/>
          <w:szCs w:val="24"/>
        </w:rPr>
        <w:t xml:space="preserve"> to experience a more severe </w:t>
      </w:r>
      <w:r w:rsidRPr="4EF8719D" w:rsidR="5DB6DF92">
        <w:rPr>
          <w:rFonts w:ascii="Calibri" w:hAnsi="Calibri" w:eastAsia="Calibri" w:cs="Calibri"/>
          <w:sz w:val="24"/>
          <w:szCs w:val="24"/>
        </w:rPr>
        <w:t>condition</w:t>
      </w:r>
      <w:r w:rsidRPr="00644AC1" w:rsidR="00B95973">
        <w:rPr>
          <w:rFonts w:ascii="Calibri" w:hAnsi="Calibri" w:eastAsia="Calibri" w:cs="Calibri"/>
          <w:color w:val="FF0000"/>
          <w:sz w:val="24"/>
          <w:szCs w:val="24"/>
        </w:rPr>
        <w:t xml:space="preserve"> (e.g., pain, disability, QoL)</w:t>
      </w:r>
      <w:r w:rsidRPr="4EF8719D" w:rsidR="5DB6DF92">
        <w:rPr>
          <w:rFonts w:ascii="Calibri" w:hAnsi="Calibri" w:eastAsia="Calibri" w:cs="Calibri"/>
          <w:sz w:val="24"/>
          <w:szCs w:val="24"/>
        </w:rPr>
        <w:t>.</w:t>
      </w:r>
      <w:r w:rsidRPr="4EF8719D" w:rsidR="531AC832">
        <w:rPr>
          <w:rFonts w:eastAsiaTheme="minorEastAsia"/>
          <w:sz w:val="24"/>
          <w:szCs w:val="24"/>
        </w:rPr>
        <w:t xml:space="preserve"> </w:t>
      </w:r>
      <w:r w:rsidRPr="4EF8719D" w:rsidR="122DC92C">
        <w:rPr>
          <w:rFonts w:eastAsiaTheme="minorEastAsia"/>
          <w:sz w:val="24"/>
          <w:szCs w:val="24"/>
        </w:rPr>
        <w:t>S</w:t>
      </w:r>
      <w:r w:rsidRPr="4EF8719D" w:rsidR="12FA21F3">
        <w:rPr>
          <w:rFonts w:ascii="Calibri" w:hAnsi="Calibri" w:eastAsia="Calibri" w:cs="Calibri"/>
          <w:sz w:val="24"/>
          <w:szCs w:val="24"/>
        </w:rPr>
        <w:t xml:space="preserve">tudies that include CRPS patients using </w:t>
      </w:r>
      <w:r w:rsidRPr="4EF8719D" w:rsidR="77328F62">
        <w:rPr>
          <w:rFonts w:ascii="Calibri" w:hAnsi="Calibri" w:eastAsia="Calibri" w:cs="Calibri"/>
          <w:sz w:val="24"/>
          <w:szCs w:val="24"/>
        </w:rPr>
        <w:t>research Budapest criteria</w:t>
      </w:r>
      <w:r w:rsidRPr="4EF8719D" w:rsidR="12FA21F3">
        <w:rPr>
          <w:rFonts w:ascii="Calibri" w:hAnsi="Calibri" w:eastAsia="Calibri" w:cs="Calibri"/>
          <w:sz w:val="24"/>
          <w:szCs w:val="24"/>
        </w:rPr>
        <w:t xml:space="preserve"> </w:t>
      </w:r>
      <w:r w:rsidRPr="4EF8719D" w:rsidR="1FAA7191">
        <w:rPr>
          <w:rFonts w:ascii="Calibri" w:hAnsi="Calibri" w:eastAsia="Calibri" w:cs="Calibri"/>
          <w:sz w:val="24"/>
          <w:szCs w:val="24"/>
        </w:rPr>
        <w:t xml:space="preserve">might therefore </w:t>
      </w:r>
      <w:r w:rsidRPr="4EF8719D" w:rsidR="12FA21F3">
        <w:rPr>
          <w:rFonts w:ascii="Calibri" w:hAnsi="Calibri" w:eastAsia="Calibri" w:cs="Calibri"/>
          <w:sz w:val="24"/>
          <w:szCs w:val="24"/>
        </w:rPr>
        <w:t xml:space="preserve">select a more severe </w:t>
      </w:r>
      <w:r w:rsidRPr="701C51EA" w:rsidR="089658E1">
        <w:rPr>
          <w:rFonts w:ascii="Calibri" w:hAnsi="Calibri" w:eastAsia="Calibri" w:cs="Calibri"/>
          <w:sz w:val="24"/>
          <w:szCs w:val="24"/>
        </w:rPr>
        <w:t xml:space="preserve">cohort </w:t>
      </w:r>
      <w:r w:rsidRPr="4EF8719D" w:rsidR="12FA21F3">
        <w:rPr>
          <w:rFonts w:ascii="Calibri" w:hAnsi="Calibri" w:eastAsia="Calibri" w:cs="Calibri"/>
          <w:sz w:val="24"/>
          <w:szCs w:val="24"/>
        </w:rPr>
        <w:t xml:space="preserve">of CRPS, reducing the </w:t>
      </w:r>
      <w:r w:rsidRPr="00644AC1" w:rsidR="00644AC1">
        <w:rPr>
          <w:rFonts w:ascii="Calibri" w:hAnsi="Calibri" w:eastAsia="Calibri" w:cs="Calibri"/>
          <w:color w:val="FF0000"/>
          <w:sz w:val="24"/>
          <w:szCs w:val="24"/>
        </w:rPr>
        <w:t>external validity</w:t>
      </w:r>
      <w:r w:rsidRPr="00644AC1" w:rsidR="12FA21F3">
        <w:rPr>
          <w:rFonts w:ascii="Calibri" w:hAnsi="Calibri" w:eastAsia="Calibri" w:cs="Calibri"/>
          <w:color w:val="FF0000"/>
          <w:sz w:val="24"/>
          <w:szCs w:val="24"/>
        </w:rPr>
        <w:t xml:space="preserve"> </w:t>
      </w:r>
      <w:r w:rsidRPr="4EF8719D" w:rsidR="12FA21F3">
        <w:rPr>
          <w:rFonts w:ascii="Calibri" w:hAnsi="Calibri" w:eastAsia="Calibri" w:cs="Calibri"/>
          <w:sz w:val="24"/>
          <w:szCs w:val="24"/>
        </w:rPr>
        <w:t xml:space="preserve">of their findings. </w:t>
      </w:r>
      <w:r w:rsidRPr="4EF8719D" w:rsidR="4EFB300B">
        <w:rPr>
          <w:rFonts w:ascii="Calibri" w:hAnsi="Calibri" w:eastAsia="Calibri" w:cs="Calibri"/>
          <w:sz w:val="24"/>
          <w:szCs w:val="24"/>
        </w:rPr>
        <w:t xml:space="preserve">As discussed by </w:t>
      </w:r>
      <w:r w:rsidRPr="4EF8719D" w:rsidR="55B6C5F9">
        <w:rPr>
          <w:rFonts w:cs="Arial"/>
        </w:rPr>
        <w:fldChar w:fldCharType="begin"/>
      </w:r>
      <w:r w:rsidR="00A03CF2">
        <w:rPr>
          <w:rFonts w:cs="Arial"/>
        </w:rPr>
        <w:instrText xml:space="preserve"> ADDIN ZOTERO_ITEM CSL_CITATION {"citationID":"L8nBaCDJ","properties":{"formattedCitation":"(Harden et al., 2010)","plainCitation":"(Harden et al., 2010)","noteIndex":0},"citationItems":[{"id":72,"uris":["http://zotero.org/users/8514361/items/KBZWD7I7"],"itemData":{"id":72,"type":"article-journal","abstract":"Current IASP diagnostic criteria for CRPS have low specificity, potentially leading to overdiagnosis. This validation study compared current IASP diagnostic criteria for CRPS to proposed new diagnostic criteria (the \"Budapest Criteria\") regarding diagnostic accuracy. Structured evaluations of CRPS-related signs and symptoms were conducted in 113 CRPS-I and 47 non-CRPS neuropathic pain patients. Discriminating between diagnostic groups based on presence of signs or symptoms meeting IASP criteria showed high diagnostic sensitivity (1.00), but poor specificity (0.41), replicating prior work. In comparison, the Budapest clinical criteria retained the exceptional sensitivity of the IASP criteria (0.99), but greatly improved upon the specificity (0.68). As designed, the Budapest research criteria resulted in the highest specificity (0.79), again replicating prior work. Analyses indicated that inclusion of four distinct CRPS components in the Budapest Criteria contributed to enhanced specificity. Overall, results corroborate the validity of the Budapest Criteria and suggest they improve upon existing IASP diagnostic criteria for CRPS.","container-title":"Pain","DOI":"10.1016/j.pain.2010.04.030","ISSN":"1872-6623","issue":"2","journalAbbreviation":"Pain","language":"eng","note":"PMID: 20493633\nPMCID: PMC2914601","page":"268-274","source":"PubMed","title":"Validation of proposed diagnostic criteria (the \"Budapest Criteria\") for Complex Regional Pain Syndrome","volume":"150","author":[{"family":"Harden","given":"Norman R."},{"family":"Bruehl","given":"Stephen"},{"family":"Perez","given":"Roberto S. G. M."},{"family":"Birklein","given":"Frank"},{"family":"Marinus","given":"Johan"},{"family":"Maihofner","given":"Christian"},{"family":"Lubenow","given":"Timothy"},{"family":"Buvanendran","given":"Asokumar"},{"family":"Mackey","given":"Sean"},{"family":"Graciosa","given":"Joseph"},{"family":"Mogilevski","given":"Mila"},{"family":"Ramsden","given":"Christopher"},{"family":"Chont","given":"Melissa"},{"family":"Vatine","given":"Jean-Jacques"}],"issued":{"date-parts":[["2010",8]]}}}],"schema":"https://github.com/citation-style-language/schema/raw/master/csl-citation.json"} </w:instrText>
      </w:r>
      <w:r w:rsidRPr="4EF8719D" w:rsidR="55B6C5F9">
        <w:rPr>
          <w:rFonts w:cs="Arial"/>
        </w:rPr>
        <w:fldChar w:fldCharType="separate"/>
      </w:r>
      <w:r w:rsidRPr="008425F7" w:rsidR="008425F7">
        <w:rPr>
          <w:rFonts w:ascii="Calibri" w:hAnsi="Calibri" w:cs="Calibri"/>
          <w:sz w:val="24"/>
        </w:rPr>
        <w:t>(Harden et al., 2010)</w:t>
      </w:r>
      <w:r w:rsidRPr="4EF8719D" w:rsidR="55B6C5F9">
        <w:rPr>
          <w:rFonts w:cs="Arial"/>
        </w:rPr>
        <w:fldChar w:fldCharType="end"/>
      </w:r>
      <w:r w:rsidRPr="4EF8719D" w:rsidR="2447C69E">
        <w:rPr>
          <w:rFonts w:cs="Arial"/>
          <w:sz w:val="24"/>
          <w:szCs w:val="24"/>
          <w:lang w:val="en-US"/>
        </w:rPr>
        <w:t xml:space="preserve">, </w:t>
      </w:r>
      <w:r w:rsidRPr="4EF8719D" w:rsidR="2447C69E">
        <w:rPr>
          <w:rFonts w:ascii="Calibri" w:hAnsi="Calibri" w:eastAsia="Calibri" w:cs="Calibri"/>
          <w:sz w:val="24"/>
          <w:szCs w:val="24"/>
        </w:rPr>
        <w:t>the advantage of the research vs. clinical Budapest criteria appears to be minimal</w:t>
      </w:r>
      <w:r w:rsidRPr="4EF8719D" w:rsidR="531AC832">
        <w:rPr>
          <w:rFonts w:cs="Arial"/>
          <w:sz w:val="24"/>
          <w:szCs w:val="24"/>
          <w:lang w:val="en-US"/>
        </w:rPr>
        <w:t>.</w:t>
      </w:r>
      <w:r w:rsidRPr="4EF8719D" w:rsidR="349DEB36">
        <w:rPr>
          <w:rFonts w:cs="Arial"/>
          <w:sz w:val="24"/>
          <w:szCs w:val="24"/>
          <w:lang w:val="en-US"/>
        </w:rPr>
        <w:t xml:space="preserve"> </w:t>
      </w:r>
    </w:p>
    <w:p w:rsidRPr="00631317" w:rsidR="002D7864" w:rsidP="0FEC445E" w:rsidRDefault="374010F8" w14:paraId="6A1F69D6" w14:textId="7AD52E99">
      <w:pPr>
        <w:spacing w:line="480" w:lineRule="auto"/>
        <w:jc w:val="both"/>
        <w:rPr>
          <w:rFonts w:cs="Arial"/>
          <w:sz w:val="24"/>
          <w:szCs w:val="24"/>
        </w:rPr>
      </w:pPr>
      <w:r w:rsidRPr="0FEC445E">
        <w:rPr>
          <w:rFonts w:cs="Arial"/>
          <w:sz w:val="24"/>
          <w:szCs w:val="24"/>
          <w:lang w:val="en-US"/>
        </w:rPr>
        <w:t xml:space="preserve">Concerning other potential subtypes, </w:t>
      </w:r>
      <w:r w:rsidRPr="0FEC445E" w:rsidR="46D2AA28">
        <w:rPr>
          <w:rFonts w:cs="Arial"/>
          <w:sz w:val="24"/>
          <w:szCs w:val="24"/>
        </w:rPr>
        <w:t xml:space="preserve">our </w:t>
      </w:r>
      <w:r w:rsidRPr="0FEC445E" w:rsidR="68A54DFF">
        <w:rPr>
          <w:rFonts w:cs="Arial"/>
          <w:sz w:val="24"/>
          <w:szCs w:val="24"/>
        </w:rPr>
        <w:t xml:space="preserve">results </w:t>
      </w:r>
      <w:r w:rsidRPr="0FEC445E" w:rsidR="46D2AA28">
        <w:rPr>
          <w:rFonts w:cs="Arial"/>
          <w:sz w:val="24"/>
          <w:szCs w:val="24"/>
        </w:rPr>
        <w:t xml:space="preserve">do not confirm those of </w:t>
      </w:r>
      <w:r w:rsidRPr="0FEC445E" w:rsidR="5A45DBDA">
        <w:rPr>
          <w:rFonts w:eastAsiaTheme="minorEastAsia"/>
          <w:sz w:val="24"/>
          <w:szCs w:val="24"/>
        </w:rPr>
        <w:t xml:space="preserve">other studies </w:t>
      </w:r>
      <w:r w:rsidR="00287814">
        <w:rPr>
          <w:rFonts w:eastAsiaTheme="minorEastAsia"/>
          <w:sz w:val="24"/>
          <w:szCs w:val="24"/>
        </w:rPr>
        <w:t>showing that</w:t>
      </w:r>
      <w:r w:rsidRPr="0FEC445E" w:rsidR="00287814">
        <w:rPr>
          <w:rFonts w:eastAsiaTheme="minorEastAsia"/>
          <w:sz w:val="24"/>
          <w:szCs w:val="24"/>
        </w:rPr>
        <w:t xml:space="preserve"> </w:t>
      </w:r>
      <w:r w:rsidRPr="0FEC445E" w:rsidR="1852E939">
        <w:rPr>
          <w:rFonts w:eastAsiaTheme="minorEastAsia"/>
          <w:sz w:val="24"/>
          <w:szCs w:val="24"/>
        </w:rPr>
        <w:t>c</w:t>
      </w:r>
      <w:r w:rsidRPr="0FEC445E" w:rsidR="366632DC">
        <w:rPr>
          <w:rFonts w:eastAsiaTheme="minorEastAsia"/>
          <w:sz w:val="24"/>
          <w:szCs w:val="24"/>
        </w:rPr>
        <w:t xml:space="preserve">old CRPS </w:t>
      </w:r>
      <w:r w:rsidRPr="0FEC445E" w:rsidR="463A4BE2">
        <w:rPr>
          <w:rFonts w:eastAsiaTheme="minorEastAsia"/>
          <w:sz w:val="24"/>
          <w:szCs w:val="24"/>
        </w:rPr>
        <w:t xml:space="preserve">was associated </w:t>
      </w:r>
      <w:r w:rsidRPr="0FEC445E" w:rsidR="366632DC">
        <w:rPr>
          <w:rFonts w:eastAsiaTheme="minorEastAsia"/>
          <w:sz w:val="24"/>
          <w:szCs w:val="24"/>
        </w:rPr>
        <w:t xml:space="preserve">with poorer </w:t>
      </w:r>
      <w:r w:rsidRPr="0FEC445E" w:rsidR="1162974F">
        <w:rPr>
          <w:rFonts w:eastAsiaTheme="minorEastAsia"/>
          <w:sz w:val="24"/>
          <w:szCs w:val="24"/>
        </w:rPr>
        <w:t xml:space="preserve">clinical </w:t>
      </w:r>
      <w:r w:rsidRPr="0FEC445E" w:rsidR="366632DC">
        <w:rPr>
          <w:rFonts w:eastAsiaTheme="minorEastAsia"/>
          <w:sz w:val="24"/>
          <w:szCs w:val="24"/>
        </w:rPr>
        <w:t>outcomes</w:t>
      </w:r>
      <w:r w:rsidRPr="0FEC445E" w:rsidR="0B13C6B4">
        <w:rPr>
          <w:rFonts w:eastAsiaTheme="minorEastAsia"/>
          <w:sz w:val="24"/>
          <w:szCs w:val="24"/>
        </w:rPr>
        <w:t>, loss of function on QST assessment,</w:t>
      </w:r>
      <w:r w:rsidRPr="0FEC445E" w:rsidR="366632DC">
        <w:rPr>
          <w:rFonts w:eastAsiaTheme="minorEastAsia"/>
          <w:sz w:val="24"/>
          <w:szCs w:val="24"/>
        </w:rPr>
        <w:t xml:space="preserve"> and </w:t>
      </w:r>
      <w:r w:rsidRPr="0FEC445E" w:rsidR="1EA5134A">
        <w:rPr>
          <w:rFonts w:eastAsiaTheme="minorEastAsia"/>
          <w:sz w:val="24"/>
          <w:szCs w:val="24"/>
        </w:rPr>
        <w:t>signs of central sensitization</w:t>
      </w:r>
      <w:r w:rsidRPr="0FEC445E" w:rsidR="087A9E9B">
        <w:rPr>
          <w:rFonts w:eastAsiaTheme="minorEastAsia"/>
          <w:sz w:val="24"/>
          <w:szCs w:val="24"/>
        </w:rPr>
        <w:t xml:space="preserve"> </w:t>
      </w:r>
      <w:r w:rsidRPr="0FEC445E">
        <w:rPr>
          <w:rFonts w:eastAsiaTheme="minorEastAsia"/>
        </w:rPr>
        <w:fldChar w:fldCharType="begin"/>
      </w:r>
      <w:r w:rsidR="00A03CF2">
        <w:rPr>
          <w:rFonts w:eastAsiaTheme="minorEastAsia"/>
        </w:rPr>
        <w:instrText xml:space="preserve"> ADDIN ZOTERO_ITEM CSL_CITATION {"citationID":"kI7t22h8","properties":{"formattedCitation":"(Knudsen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0FEC445E">
        <w:rPr>
          <w:rFonts w:eastAsiaTheme="minorEastAsia"/>
        </w:rPr>
        <w:fldChar w:fldCharType="separate"/>
      </w:r>
      <w:r w:rsidRPr="008425F7" w:rsidR="008425F7">
        <w:rPr>
          <w:rFonts w:ascii="Calibri" w:hAnsi="Calibri" w:cs="Calibri"/>
          <w:sz w:val="24"/>
        </w:rPr>
        <w:t>(Knudsen et al., 2023)</w:t>
      </w:r>
      <w:r w:rsidRPr="0FEC445E">
        <w:rPr>
          <w:rFonts w:eastAsiaTheme="minorEastAsia"/>
        </w:rPr>
        <w:fldChar w:fldCharType="end"/>
      </w:r>
      <w:r w:rsidRPr="0FEC445E" w:rsidR="1F98FC10">
        <w:rPr>
          <w:rFonts w:eastAsiaTheme="minorEastAsia"/>
          <w:sz w:val="24"/>
          <w:szCs w:val="24"/>
        </w:rPr>
        <w:t xml:space="preserve">. </w:t>
      </w:r>
    </w:p>
    <w:p w:rsidRPr="00631317" w:rsidR="002D7864" w:rsidP="4EF8719D" w:rsidRDefault="76640780" w14:paraId="079B627A" w14:textId="3C490051">
      <w:pPr>
        <w:spacing w:line="480" w:lineRule="auto"/>
        <w:jc w:val="both"/>
        <w:rPr>
          <w:rFonts w:cs="Arial"/>
          <w:sz w:val="24"/>
          <w:szCs w:val="24"/>
        </w:rPr>
      </w:pPr>
      <w:r w:rsidRPr="0FEC445E">
        <w:rPr>
          <w:rFonts w:eastAsiaTheme="minorEastAsia"/>
          <w:sz w:val="24"/>
          <w:szCs w:val="24"/>
        </w:rPr>
        <w:t>Our data did</w:t>
      </w:r>
      <w:r w:rsidRPr="0FEC445E" w:rsidR="0BA06E9C">
        <w:rPr>
          <w:rFonts w:eastAsiaTheme="minorEastAsia"/>
          <w:sz w:val="24"/>
          <w:szCs w:val="24"/>
        </w:rPr>
        <w:t xml:space="preserve"> not allow us to investigate </w:t>
      </w:r>
      <w:r w:rsidRPr="0FEC445E" w:rsidR="79CBD18E">
        <w:rPr>
          <w:rFonts w:eastAsiaTheme="minorEastAsia"/>
          <w:sz w:val="24"/>
          <w:szCs w:val="24"/>
        </w:rPr>
        <w:t xml:space="preserve">other </w:t>
      </w:r>
      <w:r w:rsidRPr="0FEC445E" w:rsidR="5BE071FF">
        <w:rPr>
          <w:rFonts w:eastAsiaTheme="minorEastAsia"/>
          <w:sz w:val="24"/>
          <w:szCs w:val="24"/>
        </w:rPr>
        <w:t xml:space="preserve">reported </w:t>
      </w:r>
      <w:r w:rsidRPr="0FEC445E" w:rsidR="79CBD18E">
        <w:rPr>
          <w:rFonts w:eastAsiaTheme="minorEastAsia"/>
          <w:sz w:val="24"/>
          <w:szCs w:val="24"/>
        </w:rPr>
        <w:t>classification</w:t>
      </w:r>
      <w:r w:rsidRPr="0FEC445E" w:rsidR="3981BB81">
        <w:rPr>
          <w:rFonts w:eastAsiaTheme="minorEastAsia"/>
          <w:sz w:val="24"/>
          <w:szCs w:val="24"/>
        </w:rPr>
        <w:t>s</w:t>
      </w:r>
      <w:r w:rsidRPr="0FEC445E" w:rsidR="79CBD18E">
        <w:rPr>
          <w:rFonts w:eastAsiaTheme="minorEastAsia"/>
          <w:sz w:val="24"/>
          <w:szCs w:val="24"/>
        </w:rPr>
        <w:t xml:space="preserve"> (</w:t>
      </w:r>
      <w:r w:rsidRPr="0FEC445E" w:rsidR="0BA06E9C">
        <w:rPr>
          <w:rFonts w:eastAsiaTheme="minorEastAsia"/>
          <w:sz w:val="24"/>
          <w:szCs w:val="24"/>
        </w:rPr>
        <w:t>biomarkers of inflammation</w:t>
      </w:r>
      <w:r w:rsidRPr="0FEC445E" w:rsidR="7C41E3D2">
        <w:rPr>
          <w:rFonts w:eastAsiaTheme="minorEastAsia"/>
          <w:sz w:val="24"/>
          <w:szCs w:val="24"/>
        </w:rPr>
        <w:t xml:space="preserve">, </w:t>
      </w:r>
      <w:r w:rsidRPr="0FEC445E" w:rsidR="2AB888F8">
        <w:rPr>
          <w:rFonts w:eastAsiaTheme="minorEastAsia"/>
          <w:sz w:val="24"/>
          <w:szCs w:val="24"/>
        </w:rPr>
        <w:t>CRPS duration</w:t>
      </w:r>
      <w:r w:rsidRPr="0FEC445E" w:rsidR="541EC243">
        <w:rPr>
          <w:rFonts w:eastAsiaTheme="minorEastAsia"/>
          <w:sz w:val="24"/>
          <w:szCs w:val="24"/>
        </w:rPr>
        <w:t xml:space="preserve"> [early vs. persistent]</w:t>
      </w:r>
      <w:r w:rsidRPr="0FEC445E" w:rsidR="2AB888F8">
        <w:rPr>
          <w:rFonts w:eastAsiaTheme="minorEastAsia"/>
          <w:sz w:val="24"/>
          <w:szCs w:val="24"/>
        </w:rPr>
        <w:t xml:space="preserve">, </w:t>
      </w:r>
      <w:r w:rsidRPr="0FEC445E" w:rsidR="0BA06E9C">
        <w:rPr>
          <w:rFonts w:eastAsiaTheme="minorEastAsia"/>
          <w:sz w:val="24"/>
          <w:szCs w:val="24"/>
        </w:rPr>
        <w:t>wherea</w:t>
      </w:r>
      <w:r w:rsidRPr="0FEC445E" w:rsidR="0BA06E9C">
        <w:rPr>
          <w:rFonts w:cs="Arial"/>
          <w:sz w:val="24"/>
          <w:szCs w:val="24"/>
        </w:rPr>
        <w:t xml:space="preserve">s dystonia was too rare to allow statistical analysis </w:t>
      </w:r>
      <w:r w:rsidRPr="0FEC445E" w:rsidR="4849A6A0">
        <w:rPr>
          <w:rFonts w:cs="Arial"/>
          <w:sz w:val="24"/>
          <w:szCs w:val="24"/>
        </w:rPr>
        <w:t>[</w:t>
      </w:r>
      <w:r w:rsidRPr="0FEC445E" w:rsidR="3276B356">
        <w:rPr>
          <w:rFonts w:cs="Arial"/>
          <w:sz w:val="24"/>
          <w:szCs w:val="24"/>
        </w:rPr>
        <w:t>n=</w:t>
      </w:r>
      <w:r w:rsidRPr="0FEC445E" w:rsidR="0BA06E9C">
        <w:rPr>
          <w:rFonts w:cs="Arial"/>
          <w:sz w:val="24"/>
          <w:szCs w:val="24"/>
        </w:rPr>
        <w:t>2</w:t>
      </w:r>
      <w:r w:rsidRPr="0FEC445E" w:rsidR="41FB6B5F">
        <w:rPr>
          <w:rFonts w:cs="Arial"/>
          <w:sz w:val="24"/>
          <w:szCs w:val="24"/>
        </w:rPr>
        <w:t>])</w:t>
      </w:r>
      <w:r w:rsidRPr="0FEC445E" w:rsidR="3A7621B0">
        <w:rPr>
          <w:rFonts w:cs="Arial"/>
          <w:sz w:val="24"/>
          <w:szCs w:val="24"/>
        </w:rPr>
        <w:t xml:space="preserve"> </w:t>
      </w:r>
      <w:r w:rsidRPr="0FEC445E" w:rsidR="374010F8">
        <w:rPr>
          <w:rFonts w:cs="Arial"/>
        </w:rPr>
        <w:fldChar w:fldCharType="begin"/>
      </w:r>
      <w:r w:rsidR="00A03CF2">
        <w:rPr>
          <w:rFonts w:cs="Arial"/>
        </w:rPr>
        <w:instrText xml:space="preserve"> ADDIN ZOTERO_ITEM CSL_CITATION {"citationID":"X9oNL2DT","properties":{"formattedCitation":"(Knudsen et al., 2023)","plainCitation":"(Knudsen et al., 2023)","noteIndex":0},"citationItems":[{"id":110,"uris":["http://zotero.org/users/8514361/items/SPQLEKSR"],"itemData":{"id":110,"type":"article-journal","abstract":"To systematically identify and summarize possible subtypes of complex regional pain syndrome (CRPS), we searched MEDLINE, Embase, Cochrane, Scopus, and Web of Science for original studies reporting or investigating at least one subtype within a group of patients with CRPS. The search retrieved 4239 potentially relevant references. Twenty-five studies met our inclusion criteria and were included in the analysis. Complex regional pain syndrome phenotypes were investigated based on the following variables: clinical presentation/sensory disturbances, dystonia, skin temperature, disease duration, onset type, CRPS outcome, and neuropsychological test performance. Support was found for the following CRPS subtypes: CRPS type I, CRPS type II, acute CRPS, chronic CRPS, centralized CRPS, cold CRPS, warm CRPS, inflammatory CRPS, dystonic CRPS, nondystonic CRPS, familial CRPS, and nonfamilial CRPS. It is unclear whether these are distinct or overlapping subtypes. The results of this comprehensive review can facilitate the formulation of well-defined CRPS subtypes based on presumed underlying mechanisms. Our findings provide a foundation for establishing and defining clinically meaningful CRPS subtypes, with the ultimate goal of developing targeted and enhanced treatments for CRPS.","container-title":"Pain Reports","DOI":"10.1097/PR9.0000000000001111","ISSN":"2471-2531","issue":"6","journalAbbreviation":"Pain Rep","language":"eng","note":"PMID: 38027463\nPMCID: PMC10653603","page":"e1111","source":"PubMed","title":"Subtypes of complex regional pain syndrome-a systematic review of the literature","volume":"8","author":[{"family":"Knudsen","given":"Lone"},{"family":"Santoro","given":"Lana"},{"family":"Bruehl","given":"Stephen"},{"family":"Harden","given":"Norman"},{"family":"Brunner","given":"Florian"}],"issued":{"date-parts":[["2023",12]]}}}],"schema":"https://github.com/citation-style-language/schema/raw/master/csl-citation.json"} </w:instrText>
      </w:r>
      <w:r w:rsidRPr="0FEC445E" w:rsidR="374010F8">
        <w:rPr>
          <w:rFonts w:cs="Arial"/>
        </w:rPr>
        <w:fldChar w:fldCharType="separate"/>
      </w:r>
      <w:r w:rsidRPr="008425F7" w:rsidR="008425F7">
        <w:rPr>
          <w:rFonts w:ascii="Calibri" w:hAnsi="Calibri" w:cs="Calibri"/>
          <w:sz w:val="24"/>
        </w:rPr>
        <w:t>(Knudsen et al., 2023)</w:t>
      </w:r>
      <w:r w:rsidRPr="0FEC445E" w:rsidR="374010F8">
        <w:rPr>
          <w:rFonts w:cs="Arial"/>
        </w:rPr>
        <w:fldChar w:fldCharType="end"/>
      </w:r>
      <w:r w:rsidRPr="0FEC445E" w:rsidR="0BA06E9C">
        <w:rPr>
          <w:rFonts w:cs="Arial"/>
          <w:sz w:val="24"/>
          <w:szCs w:val="24"/>
        </w:rPr>
        <w:t>.</w:t>
      </w:r>
      <w:r w:rsidRPr="0FEC445E" w:rsidR="2082BFF8">
        <w:rPr>
          <w:rFonts w:cs="Arial"/>
          <w:sz w:val="24"/>
          <w:szCs w:val="24"/>
        </w:rPr>
        <w:t xml:space="preserve"> </w:t>
      </w:r>
    </w:p>
    <w:p w:rsidRPr="00D162E4" w:rsidR="21C4F9B9" w:rsidP="00D162E4" w:rsidRDefault="21C4F9B9" w14:paraId="1E86E7EA" w14:textId="206E2B55">
      <w:pPr>
        <w:spacing w:after="0" w:line="480" w:lineRule="auto"/>
        <w:jc w:val="both"/>
        <w:rPr>
          <w:rFonts w:ascii="Calibri" w:hAnsi="Calibri" w:eastAsia="Calibri" w:cs="Calibri"/>
          <w:i/>
          <w:iCs/>
          <w:sz w:val="24"/>
          <w:szCs w:val="24"/>
        </w:rPr>
      </w:pPr>
      <w:r w:rsidRPr="00D162E4">
        <w:rPr>
          <w:rFonts w:ascii="Calibri" w:hAnsi="Calibri" w:eastAsia="Calibri" w:cs="Calibri"/>
          <w:i/>
          <w:iCs/>
          <w:sz w:val="24"/>
          <w:szCs w:val="24"/>
        </w:rPr>
        <w:t>Pathophysiological mechanisms potentially underlying CRPS profiles</w:t>
      </w:r>
    </w:p>
    <w:p w:rsidR="529FE203" w:rsidP="0830568B" w:rsidRDefault="529FE203" w14:paraId="24B0A5AE" w14:textId="21F94580">
      <w:pPr>
        <w:spacing w:line="480" w:lineRule="auto"/>
        <w:jc w:val="both"/>
        <w:rPr>
          <w:rFonts w:ascii="Calibri" w:hAnsi="Calibri" w:eastAsia="Calibri" w:cs="Calibri"/>
          <w:sz w:val="24"/>
          <w:szCs w:val="24"/>
        </w:rPr>
      </w:pPr>
      <w:r w:rsidRPr="2CA5E832">
        <w:rPr>
          <w:rFonts w:ascii="Calibri" w:hAnsi="Calibri" w:eastAsia="Calibri" w:cs="Calibri"/>
          <w:sz w:val="24"/>
          <w:szCs w:val="24"/>
          <w:lang w:val="en-US"/>
        </w:rPr>
        <w:t>The heterogeneity of CRPS presentations and outcomes suggests the existence of unobservable (i.e.</w:t>
      </w:r>
      <w:r w:rsidRPr="2CA5E832" w:rsidR="62AEE3C1">
        <w:rPr>
          <w:rFonts w:ascii="Calibri" w:hAnsi="Calibri" w:eastAsia="Calibri" w:cs="Calibri"/>
          <w:sz w:val="24"/>
          <w:szCs w:val="24"/>
          <w:lang w:val="en-US"/>
        </w:rPr>
        <w:t>,</w:t>
      </w:r>
      <w:r w:rsidRPr="2CA5E832">
        <w:rPr>
          <w:rFonts w:ascii="Calibri" w:hAnsi="Calibri" w:eastAsia="Calibri" w:cs="Calibri"/>
          <w:sz w:val="24"/>
          <w:szCs w:val="24"/>
          <w:lang w:val="en-US"/>
        </w:rPr>
        <w:t xml:space="preserve"> latent) subgroups</w:t>
      </w:r>
      <w:r w:rsidRPr="2CA5E832" w:rsidR="00BA78FF">
        <w:rPr>
          <w:rFonts w:ascii="Calibri" w:hAnsi="Calibri" w:eastAsia="Calibri" w:cs="Calibri"/>
          <w:sz w:val="24"/>
          <w:szCs w:val="24"/>
          <w:lang w:val="en-US"/>
        </w:rPr>
        <w:t xml:space="preserve"> </w:t>
      </w:r>
      <w:r w:rsidRPr="2CA5E832">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{"citationID":"S6lEr8Tc","properties":{"formattedCitation":"(Ferraro et al., 2024)","plainCitation":"(Ferraro et al., 2024)","noteIndex":0},"citationItems":[{"id":204,"uris":["http://zotero.org/users/8514361/items/L4V25AMH"],"itemData":{"id":204,"type":"article-journal","container-title":"The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H."}],"issued":{"date-parts":[["2024",5,1]]}}}],"schema":"https://github.com/citation-style-language/schema/raw/master/csl-citation.json"} </w:instrText>
      </w:r>
      <w:r w:rsidRPr="2CA5E832">
        <w:rPr>
          <w:rFonts w:ascii="Calibri" w:hAnsi="Calibri" w:eastAsia="Calibri" w:cs="Calibri"/>
          <w:sz w:val="24"/>
          <w:szCs w:val="24"/>
          <w:lang w:val="en-US"/>
        </w:rPr>
        <w:fldChar w:fldCharType="separate"/>
      </w:r>
      <w:r w:rsidRPr="5045E0F5" w:rsidR="008425F7">
        <w:rPr>
          <w:rFonts w:ascii="Calibri" w:hAnsi="Calibri" w:cs="Calibri"/>
          <w:sz w:val="24"/>
          <w:szCs w:val="24"/>
        </w:rPr>
        <w:t>(Ferraro et al., 2024)</w:t>
      </w:r>
      <w:r w:rsidRPr="2CA5E832">
        <w:rPr>
          <w:rFonts w:ascii="Calibri" w:hAnsi="Calibri" w:eastAsia="Calibri" w:cs="Calibri"/>
          <w:sz w:val="24"/>
          <w:szCs w:val="24"/>
          <w:lang w:val="en-US"/>
        </w:rPr>
        <w:fldChar w:fldCharType="end"/>
      </w:r>
      <w:r w:rsidRPr="2CA5E832">
        <w:rPr>
          <w:rFonts w:ascii="Calibri" w:hAnsi="Calibri" w:eastAsia="Calibri" w:cs="Calibri"/>
          <w:sz w:val="24"/>
          <w:szCs w:val="24"/>
          <w:lang w:val="en-US"/>
        </w:rPr>
        <w:t xml:space="preserve">. </w:t>
      </w:r>
      <w:r w:rsidRPr="00644AC1" w:rsidR="006A4DE2">
        <w:rPr>
          <w:rFonts w:ascii="Calibri" w:hAnsi="Calibri" w:eastAsia="Calibri" w:cs="Calibri"/>
          <w:color w:val="FF0000"/>
          <w:sz w:val="24"/>
          <w:szCs w:val="24"/>
          <w:lang w:val="en-US"/>
        </w:rPr>
        <w:t xml:space="preserve">As discussed above, </w:t>
      </w:r>
      <w:r w:rsidRPr="2CA5E832" w:rsidR="170E200C">
        <w:rPr>
          <w:rFonts w:ascii="Calibri" w:hAnsi="Calibri" w:eastAsia="Calibri" w:cs="Calibri"/>
          <w:sz w:val="24"/>
          <w:szCs w:val="24"/>
          <w:lang w:val="en-US"/>
        </w:rPr>
        <w:t xml:space="preserve">previously </w:t>
      </w:r>
      <w:r w:rsidRPr="2CA5E832" w:rsidR="67EDBD2F">
        <w:rPr>
          <w:rFonts w:ascii="Calibri" w:hAnsi="Calibri" w:eastAsia="Calibri" w:cs="Calibri"/>
          <w:sz w:val="24"/>
          <w:szCs w:val="24"/>
          <w:lang w:val="en-US"/>
        </w:rPr>
        <w:t>reported</w:t>
      </w:r>
      <w:r w:rsidRPr="2CA5E832">
        <w:rPr>
          <w:rFonts w:ascii="Calibri" w:hAnsi="Calibri" w:eastAsia="Calibri" w:cs="Calibri"/>
          <w:sz w:val="24"/>
          <w:szCs w:val="24"/>
          <w:lang w:val="en-US"/>
        </w:rPr>
        <w:t xml:space="preserve"> classifications do not adequately account for this variability</w:t>
      </w:r>
      <w:r w:rsidRPr="00644AC1" w:rsidR="006A4DE2">
        <w:rPr>
          <w:rFonts w:ascii="Calibri" w:hAnsi="Calibri" w:eastAsia="Calibri" w:cs="Calibri"/>
          <w:color w:val="FF0000"/>
          <w:sz w:val="24"/>
          <w:szCs w:val="24"/>
          <w:lang w:val="en-US"/>
        </w:rPr>
        <w:t xml:space="preserve"> in our cohort</w:t>
      </w:r>
      <w:r w:rsidRPr="2CA5E832" w:rsidR="1F998849">
        <w:rPr>
          <w:rFonts w:ascii="Calibri" w:hAnsi="Calibri" w:eastAsia="Calibri" w:cs="Calibri"/>
          <w:sz w:val="24"/>
          <w:szCs w:val="24"/>
          <w:lang w:val="en-US"/>
        </w:rPr>
        <w:t>, but the</w:t>
      </w:r>
      <w:r w:rsidRPr="2CA5E832" w:rsidR="2F461B6E">
        <w:rPr>
          <w:rFonts w:ascii="Calibri" w:hAnsi="Calibri" w:eastAsia="Calibri" w:cs="Calibri"/>
          <w:sz w:val="24"/>
          <w:szCs w:val="24"/>
          <w:lang w:val="en-US"/>
        </w:rPr>
        <w:t xml:space="preserve"> </w:t>
      </w:r>
      <w:proofErr w:type="spellStart"/>
      <w:r w:rsidRPr="2CA5E832" w:rsidR="2998D741">
        <w:rPr>
          <w:rFonts w:ascii="Calibri" w:hAnsi="Calibri" w:eastAsia="Calibri" w:cs="Calibri"/>
          <w:sz w:val="24"/>
          <w:szCs w:val="24"/>
          <w:lang w:val="en-US"/>
        </w:rPr>
        <w:t>LCA</w:t>
      </w:r>
      <w:proofErr w:type="spellEnd"/>
      <w:r w:rsidRPr="2CA5E832">
        <w:rPr>
          <w:rFonts w:ascii="Calibri" w:hAnsi="Calibri" w:eastAsia="Calibri" w:cs="Calibri"/>
          <w:sz w:val="24"/>
          <w:szCs w:val="24"/>
          <w:lang w:val="en-US"/>
        </w:rPr>
        <w:t xml:space="preserve"> distinguish</w:t>
      </w:r>
      <w:r w:rsidRPr="2CA5E832" w:rsidR="6E9F0E57">
        <w:rPr>
          <w:rFonts w:ascii="Calibri" w:hAnsi="Calibri" w:eastAsia="Calibri" w:cs="Calibri"/>
          <w:sz w:val="24"/>
          <w:szCs w:val="24"/>
          <w:lang w:val="en-US"/>
        </w:rPr>
        <w:t>ed</w:t>
      </w:r>
      <w:r w:rsidRPr="2CA5E832">
        <w:rPr>
          <w:rFonts w:ascii="Calibri" w:hAnsi="Calibri" w:eastAsia="Calibri" w:cs="Calibri"/>
          <w:sz w:val="24"/>
          <w:szCs w:val="24"/>
          <w:lang w:val="en-US"/>
        </w:rPr>
        <w:t xml:space="preserve"> CRPS patients with different </w:t>
      </w:r>
      <w:r w:rsidRPr="2CA5E832" w:rsidR="0160740F">
        <w:rPr>
          <w:rFonts w:ascii="Calibri" w:hAnsi="Calibri" w:eastAsia="Calibri" w:cs="Calibri"/>
          <w:sz w:val="24"/>
          <w:szCs w:val="24"/>
          <w:lang w:val="en-US"/>
        </w:rPr>
        <w:t xml:space="preserve">clinical characteristics and </w:t>
      </w:r>
      <w:r w:rsidRPr="2CA5E832">
        <w:rPr>
          <w:rFonts w:ascii="Calibri" w:hAnsi="Calibri" w:eastAsia="Calibri" w:cs="Calibri"/>
          <w:sz w:val="24"/>
          <w:szCs w:val="24"/>
          <w:lang w:val="en-US"/>
        </w:rPr>
        <w:t xml:space="preserve">outcomes, </w:t>
      </w:r>
      <w:r w:rsidRPr="2CA5E832" w:rsidR="20635BE7">
        <w:rPr>
          <w:rFonts w:ascii="Calibri" w:hAnsi="Calibri" w:eastAsia="Calibri" w:cs="Calibri"/>
          <w:sz w:val="24"/>
          <w:szCs w:val="24"/>
          <w:lang w:val="en-US"/>
        </w:rPr>
        <w:t xml:space="preserve">potentially </w:t>
      </w:r>
      <w:r w:rsidRPr="2CA5E832">
        <w:rPr>
          <w:rFonts w:ascii="Calibri" w:hAnsi="Calibri" w:eastAsia="Calibri" w:cs="Calibri"/>
          <w:sz w:val="24"/>
          <w:szCs w:val="24"/>
          <w:lang w:val="en-US"/>
        </w:rPr>
        <w:t xml:space="preserve">subtending distinct </w:t>
      </w:r>
      <w:r w:rsidRPr="2CA5E832" w:rsidR="7FDA12C2">
        <w:rPr>
          <w:rFonts w:ascii="Calibri" w:hAnsi="Calibri" w:eastAsia="Calibri" w:cs="Calibri"/>
          <w:sz w:val="24"/>
          <w:szCs w:val="24"/>
          <w:lang w:val="en-US"/>
        </w:rPr>
        <w:t xml:space="preserve">pathological </w:t>
      </w:r>
      <w:r w:rsidRPr="2CA5E832">
        <w:rPr>
          <w:rFonts w:ascii="Calibri" w:hAnsi="Calibri" w:eastAsia="Calibri" w:cs="Calibri"/>
          <w:sz w:val="24"/>
          <w:szCs w:val="24"/>
          <w:lang w:val="en-US"/>
        </w:rPr>
        <w:t>patterns.</w:t>
      </w:r>
      <w:r w:rsidRPr="5045E0F5" w:rsidR="79684734">
        <w:rPr>
          <w:rFonts w:ascii="Calibri" w:hAnsi="Calibri" w:eastAsia="Calibri" w:cs="Calibri"/>
          <w:sz w:val="24"/>
          <w:szCs w:val="24"/>
          <w:lang w:val="en-US"/>
        </w:rPr>
        <w:t xml:space="preserve"> </w:t>
      </w:r>
      <w:r w:rsidRPr="5045E0F5" w:rsidR="79684734">
        <w:rPr>
          <w:rFonts w:ascii="Calibri" w:hAnsi="Calibri" w:eastAsia="Calibri" w:cs="Calibri"/>
          <w:color w:val="FF0000"/>
          <w:sz w:val="24"/>
          <w:szCs w:val="24"/>
          <w:lang w:val="en-US"/>
        </w:rPr>
        <w:t xml:space="preserve">One of the advantages of </w:t>
      </w:r>
      <w:proofErr w:type="spellStart"/>
      <w:r w:rsidRPr="5045E0F5" w:rsidR="79684734">
        <w:rPr>
          <w:rFonts w:ascii="Calibri" w:hAnsi="Calibri" w:eastAsia="Calibri" w:cs="Calibri"/>
          <w:color w:val="FF0000"/>
          <w:sz w:val="24"/>
          <w:szCs w:val="24"/>
          <w:lang w:val="en-US"/>
        </w:rPr>
        <w:t>LCA</w:t>
      </w:r>
      <w:proofErr w:type="spellEnd"/>
      <w:r w:rsidRPr="5045E0F5" w:rsidR="79684734">
        <w:rPr>
          <w:rFonts w:ascii="Calibri" w:hAnsi="Calibri" w:eastAsia="Calibri" w:cs="Calibri"/>
          <w:color w:val="FF0000"/>
          <w:sz w:val="24"/>
          <w:szCs w:val="24"/>
          <w:lang w:val="en-US"/>
        </w:rPr>
        <w:t xml:space="preserve"> is that the </w:t>
      </w:r>
      <w:r w:rsidRPr="5045E0F5" w:rsidR="00644AC1">
        <w:rPr>
          <w:rFonts w:ascii="Calibri" w:hAnsi="Calibri" w:eastAsia="Calibri" w:cs="Calibri"/>
          <w:color w:val="FF0000"/>
          <w:sz w:val="24"/>
          <w:szCs w:val="24"/>
          <w:lang w:val="en-US"/>
        </w:rPr>
        <w:t>analyzed</w:t>
      </w:r>
      <w:r w:rsidRPr="5045E0F5" w:rsidR="79684734">
        <w:rPr>
          <w:rFonts w:ascii="Calibri" w:hAnsi="Calibri" w:eastAsia="Calibri" w:cs="Calibri"/>
          <w:color w:val="FF0000"/>
          <w:sz w:val="24"/>
          <w:szCs w:val="24"/>
          <w:lang w:val="en-US"/>
        </w:rPr>
        <w:t xml:space="preserve"> parameters </w:t>
      </w:r>
      <w:r w:rsidRPr="5045E0F5" w:rsidR="36129702">
        <w:rPr>
          <w:rFonts w:ascii="Calibri" w:hAnsi="Calibri" w:eastAsia="Calibri" w:cs="Calibri"/>
          <w:color w:val="FF0000"/>
          <w:sz w:val="24"/>
          <w:szCs w:val="24"/>
          <w:lang w:val="en-US"/>
        </w:rPr>
        <w:t xml:space="preserve">were </w:t>
      </w:r>
      <w:r w:rsidRPr="5045E0F5" w:rsidR="6CE34BD3">
        <w:rPr>
          <w:rFonts w:ascii="Calibri" w:hAnsi="Calibri" w:eastAsia="Calibri" w:cs="Calibri"/>
          <w:color w:val="FF0000"/>
          <w:sz w:val="24"/>
          <w:szCs w:val="24"/>
          <w:lang w:val="en-US"/>
        </w:rPr>
        <w:t>chosen</w:t>
      </w:r>
      <w:r w:rsidRPr="5045E0F5" w:rsidR="79684734">
        <w:rPr>
          <w:rFonts w:ascii="Calibri" w:hAnsi="Calibri" w:eastAsia="Calibri" w:cs="Calibri"/>
          <w:color w:val="FF0000"/>
          <w:sz w:val="24"/>
          <w:szCs w:val="24"/>
          <w:lang w:val="en-US"/>
        </w:rPr>
        <w:t xml:space="preserve"> </w:t>
      </w:r>
      <w:r w:rsidRPr="5045E0F5" w:rsidR="79684734">
        <w:rPr>
          <w:rFonts w:ascii="Calibri" w:hAnsi="Calibri" w:eastAsia="Calibri" w:cs="Calibri"/>
          <w:i/>
          <w:iCs/>
          <w:color w:val="FF0000"/>
          <w:sz w:val="24"/>
          <w:szCs w:val="24"/>
          <w:lang w:val="en-US"/>
        </w:rPr>
        <w:t>a priori</w:t>
      </w:r>
      <w:r w:rsidRPr="5045E0F5" w:rsidR="79684734">
        <w:rPr>
          <w:rFonts w:ascii="Calibri" w:hAnsi="Calibri" w:eastAsia="Calibri" w:cs="Calibri"/>
          <w:color w:val="FF0000"/>
          <w:sz w:val="24"/>
          <w:szCs w:val="24"/>
          <w:lang w:val="en-US"/>
        </w:rPr>
        <w:t xml:space="preserve"> </w:t>
      </w:r>
      <w:r w:rsidRPr="5045E0F5" w:rsidR="4DB57C93">
        <w:rPr>
          <w:rFonts w:ascii="Calibri" w:hAnsi="Calibri" w:eastAsia="Calibri" w:cs="Calibri"/>
          <w:color w:val="FF0000"/>
          <w:sz w:val="24"/>
          <w:szCs w:val="24"/>
          <w:lang w:val="en-US"/>
        </w:rPr>
        <w:t xml:space="preserve">as </w:t>
      </w:r>
      <w:r w:rsidRPr="5045E0F5" w:rsidR="45FA4613">
        <w:rPr>
          <w:rFonts w:ascii="Calibri" w:hAnsi="Calibri" w:eastAsia="Calibri" w:cs="Calibri"/>
          <w:color w:val="FF0000"/>
          <w:sz w:val="24"/>
          <w:szCs w:val="24"/>
          <w:lang w:val="en-US"/>
        </w:rPr>
        <w:t>proxies</w:t>
      </w:r>
      <w:r w:rsidRPr="5045E0F5" w:rsidR="4DB57C93">
        <w:rPr>
          <w:rFonts w:ascii="Calibri" w:hAnsi="Calibri" w:eastAsia="Calibri" w:cs="Calibri"/>
          <w:color w:val="FF0000"/>
          <w:sz w:val="24"/>
          <w:szCs w:val="24"/>
          <w:lang w:val="en-US"/>
        </w:rPr>
        <w:t xml:space="preserve"> for </w:t>
      </w:r>
      <w:r w:rsidRPr="5045E0F5" w:rsidR="30C523FB">
        <w:rPr>
          <w:rFonts w:ascii="Calibri" w:hAnsi="Calibri" w:eastAsia="Calibri" w:cs="Calibri"/>
          <w:color w:val="FF0000"/>
          <w:sz w:val="24"/>
          <w:szCs w:val="24"/>
          <w:lang w:val="en-US"/>
        </w:rPr>
        <w:t xml:space="preserve">several </w:t>
      </w:r>
      <w:r w:rsidRPr="5045E0F5" w:rsidR="64C567DF">
        <w:rPr>
          <w:rFonts w:ascii="Calibri" w:hAnsi="Calibri" w:eastAsia="Calibri" w:cs="Calibri"/>
          <w:color w:val="FF0000"/>
          <w:sz w:val="24"/>
          <w:szCs w:val="24"/>
          <w:lang w:val="en-US"/>
        </w:rPr>
        <w:t>categories</w:t>
      </w:r>
      <w:r w:rsidRPr="5045E0F5" w:rsidR="30C523FB">
        <w:rPr>
          <w:rFonts w:ascii="Calibri" w:hAnsi="Calibri" w:eastAsia="Calibri" w:cs="Calibri"/>
          <w:color w:val="FF0000"/>
          <w:sz w:val="24"/>
          <w:szCs w:val="24"/>
          <w:lang w:val="en-US"/>
        </w:rPr>
        <w:t xml:space="preserve"> </w:t>
      </w:r>
      <w:r w:rsidRPr="5045E0F5" w:rsidR="00EB6672">
        <w:rPr>
          <w:rFonts w:ascii="Calibri" w:hAnsi="Calibri" w:eastAsia="Calibri" w:cs="Calibri"/>
          <w:color w:val="FF0000"/>
          <w:sz w:val="24"/>
          <w:szCs w:val="24"/>
          <w:lang w:val="en-US"/>
        </w:rPr>
        <w:t>of putative</w:t>
      </w:r>
      <w:r w:rsidRPr="5045E0F5" w:rsidR="79684734">
        <w:rPr>
          <w:rFonts w:cs="Arial"/>
          <w:color w:val="FF0000"/>
          <w:sz w:val="24"/>
          <w:szCs w:val="24"/>
        </w:rPr>
        <w:t xml:space="preserve"> </w:t>
      </w:r>
      <w:proofErr w:type="spellStart"/>
      <w:r w:rsidRPr="5045E0F5" w:rsidR="79684734">
        <w:rPr>
          <w:rFonts w:cs="Arial"/>
          <w:color w:val="FF0000"/>
          <w:sz w:val="24"/>
          <w:szCs w:val="24"/>
        </w:rPr>
        <w:t>physiopathological</w:t>
      </w:r>
      <w:proofErr w:type="spellEnd"/>
      <w:r w:rsidRPr="5045E0F5" w:rsidR="79684734">
        <w:rPr>
          <w:rFonts w:cs="Arial"/>
          <w:color w:val="FF0000"/>
          <w:sz w:val="24"/>
          <w:szCs w:val="24"/>
        </w:rPr>
        <w:t xml:space="preserve"> mechanisms of </w:t>
      </w:r>
      <w:r w:rsidRPr="5045E0F5" w:rsidR="3374A702">
        <w:rPr>
          <w:rFonts w:cs="Arial"/>
          <w:color w:val="FF0000"/>
          <w:sz w:val="24"/>
          <w:szCs w:val="24"/>
        </w:rPr>
        <w:t xml:space="preserve">CRPS </w:t>
      </w:r>
      <w:r w:rsidRPr="5045E0F5" w:rsidR="3A34E6FB">
        <w:rPr>
          <w:rFonts w:cs="Arial"/>
          <w:color w:val="FF0000"/>
          <w:sz w:val="24"/>
          <w:szCs w:val="24"/>
        </w:rPr>
        <w:t xml:space="preserve">(sensitization, </w:t>
      </w:r>
      <w:r w:rsidRPr="5045E0F5" w:rsidR="577F7C67">
        <w:rPr>
          <w:rFonts w:cs="Arial"/>
          <w:color w:val="FF0000"/>
          <w:sz w:val="24"/>
          <w:szCs w:val="24"/>
        </w:rPr>
        <w:t>psychosocial</w:t>
      </w:r>
      <w:r w:rsidRPr="5045E0F5" w:rsidR="3A34E6FB">
        <w:rPr>
          <w:rFonts w:cs="Arial"/>
          <w:color w:val="FF0000"/>
          <w:sz w:val="24"/>
          <w:szCs w:val="24"/>
        </w:rPr>
        <w:t xml:space="preserve"> distress, </w:t>
      </w:r>
      <w:r w:rsidRPr="5045E0F5" w:rsidR="004C4D08">
        <w:rPr>
          <w:rFonts w:cs="Arial"/>
          <w:color w:val="FF0000"/>
          <w:sz w:val="24"/>
          <w:szCs w:val="24"/>
        </w:rPr>
        <w:t>disruption</w:t>
      </w:r>
      <w:r w:rsidRPr="5045E0F5" w:rsidR="7233540B">
        <w:rPr>
          <w:rFonts w:cs="Arial"/>
          <w:color w:val="FF0000"/>
          <w:sz w:val="24"/>
          <w:szCs w:val="24"/>
        </w:rPr>
        <w:t xml:space="preserve"> of the </w:t>
      </w:r>
      <w:r w:rsidRPr="5045E0F5" w:rsidR="7233540B">
        <w:rPr>
          <w:rFonts w:cs="Arial"/>
          <w:color w:val="FF0000"/>
          <w:sz w:val="24"/>
          <w:szCs w:val="24"/>
        </w:rPr>
        <w:lastRenderedPageBreak/>
        <w:t>body schem</w:t>
      </w:r>
      <w:r w:rsidR="004C4D08">
        <w:rPr>
          <w:rFonts w:cs="Arial"/>
          <w:color w:val="FF0000"/>
          <w:sz w:val="24"/>
          <w:szCs w:val="24"/>
        </w:rPr>
        <w:t>e, presumed</w:t>
      </w:r>
      <w:r w:rsidRPr="5045E0F5" w:rsidR="6DC8B26E">
        <w:rPr>
          <w:rFonts w:cs="Arial"/>
          <w:color w:val="FF0000"/>
          <w:sz w:val="24"/>
          <w:szCs w:val="24"/>
        </w:rPr>
        <w:t xml:space="preserve"> </w:t>
      </w:r>
      <w:r w:rsidRPr="5045E0F5" w:rsidR="75831F47">
        <w:rPr>
          <w:rFonts w:cs="Arial"/>
          <w:color w:val="FF0000"/>
          <w:sz w:val="24"/>
          <w:szCs w:val="24"/>
        </w:rPr>
        <w:t xml:space="preserve">abnormal inflammatory response, </w:t>
      </w:r>
      <w:r w:rsidRPr="5045E0F5" w:rsidR="4195E23B">
        <w:rPr>
          <w:rFonts w:cs="Arial"/>
          <w:color w:val="FF0000"/>
          <w:sz w:val="24"/>
          <w:szCs w:val="24"/>
        </w:rPr>
        <w:t>and</w:t>
      </w:r>
      <w:r w:rsidRPr="5045E0F5" w:rsidR="107DCA2D">
        <w:rPr>
          <w:rFonts w:cs="Arial"/>
          <w:color w:val="FF0000"/>
          <w:sz w:val="24"/>
          <w:szCs w:val="24"/>
        </w:rPr>
        <w:t xml:space="preserve"> vasomotor changes)</w:t>
      </w:r>
      <w:r w:rsidR="006A4DE2">
        <w:rPr>
          <w:rFonts w:cs="Arial"/>
          <w:color w:val="FF0000"/>
          <w:sz w:val="24"/>
          <w:szCs w:val="24"/>
        </w:rPr>
        <w:t xml:space="preserve">. However, </w:t>
      </w:r>
      <w:r w:rsidRPr="5045E0F5" w:rsidR="79CC1313">
        <w:rPr>
          <w:rFonts w:cs="Arial"/>
          <w:color w:val="FF0000"/>
          <w:sz w:val="24"/>
          <w:szCs w:val="24"/>
        </w:rPr>
        <w:t>it must be noted that these parameters have not been validated for this purpose</w:t>
      </w:r>
      <w:r w:rsidRPr="6CFBCA64" w:rsidR="60003898">
        <w:rPr>
          <w:rFonts w:cs="Arial"/>
          <w:color w:val="FF0000"/>
          <w:sz w:val="24"/>
          <w:szCs w:val="24"/>
        </w:rPr>
        <w:t xml:space="preserve"> (see </w:t>
      </w:r>
      <w:r w:rsidR="004C4D08">
        <w:rPr>
          <w:rFonts w:cs="Arial"/>
          <w:color w:val="FF0000"/>
          <w:sz w:val="24"/>
          <w:szCs w:val="24"/>
        </w:rPr>
        <w:t>methods and supplementary sections</w:t>
      </w:r>
      <w:r w:rsidRPr="6CFBCA64" w:rsidR="60003898">
        <w:rPr>
          <w:rFonts w:cs="Arial"/>
          <w:color w:val="FF0000"/>
          <w:sz w:val="24"/>
          <w:szCs w:val="24"/>
        </w:rPr>
        <w:t xml:space="preserve"> for further explanations)</w:t>
      </w:r>
      <w:r w:rsidR="006A4DE2">
        <w:rPr>
          <w:rFonts w:cs="Arial"/>
          <w:color w:val="FF0000"/>
          <w:sz w:val="24"/>
          <w:szCs w:val="24"/>
        </w:rPr>
        <w:t xml:space="preserve"> </w:t>
      </w:r>
      <w:r w:rsidRPr="00644AC1" w:rsidR="006A4DE2">
        <w:rPr>
          <w:rFonts w:cs="Arial"/>
          <w:color w:val="FF0000"/>
          <w:sz w:val="24"/>
          <w:szCs w:val="24"/>
        </w:rPr>
        <w:t>and that their relationship to the putative mechanisms is often indirect</w:t>
      </w:r>
      <w:r w:rsidRPr="00644AC1" w:rsidR="79CC1313">
        <w:rPr>
          <w:rFonts w:ascii="Calibri" w:hAnsi="Calibri" w:eastAsia="Calibri" w:cs="Calibri"/>
          <w:color w:val="FF0000"/>
          <w:sz w:val="24"/>
          <w:szCs w:val="24"/>
          <w:lang w:val="en-US"/>
        </w:rPr>
        <w:t>.</w:t>
      </w:r>
    </w:p>
    <w:p w:rsidRPr="0066774F" w:rsidR="0066774F" w:rsidP="0FEC445E" w:rsidRDefault="0066774F" w14:paraId="75BCB5C1" w14:textId="62BCE4DB">
      <w:pPr>
        <w:spacing w:line="480" w:lineRule="auto"/>
        <w:jc w:val="both"/>
        <w:rPr>
          <w:rFonts w:eastAsiaTheme="minorEastAsia"/>
          <w:sz w:val="24"/>
          <w:szCs w:val="24"/>
          <w:lang w:val="en-US"/>
        </w:rPr>
      </w:pPr>
      <w:r w:rsidRPr="0FEC445E">
        <w:rPr>
          <w:rFonts w:eastAsiaTheme="minorEastAsia"/>
          <w:sz w:val="24"/>
          <w:szCs w:val="24"/>
          <w:lang w:val="en-US"/>
        </w:rPr>
        <w:t xml:space="preserve">Regarding sensory profiles, a lower PPT on the affected side is considered a potential distinguishing feature of CRPS </w:t>
      </w:r>
      <w:r w:rsidRPr="0FEC445E">
        <w:rPr>
          <w:rFonts w:eastAsiaTheme="minorEastAsia"/>
          <w:lang w:val="en-US"/>
        </w:rPr>
        <w:fldChar w:fldCharType="begin"/>
      </w:r>
      <w:r w:rsidR="00A03CF2">
        <w:rPr>
          <w:rFonts w:eastAsiaTheme="minorEastAsia"/>
          <w:lang w:val="en-US"/>
        </w:rPr>
        <w:instrText xml:space="preserve"> ADDIN ZOTERO_ITEM CSL_CITATION {"citationID":"DHBnlkzn","properties":{"formattedCitation":"(Gierthm\\uc0\\u252{}hlen et al., 2012)","plainCitation":"(Gierthmühlen et al., 2012)","noteIndex":0},"citationItems":[{"id":"jyRXZ8R7/cic9iIZz","uris":["http://zotero.org/users/8777725/items/NS9XK7J8"],"itemData":{"id":430,"type":"article-journal","abstract":"This study determined patterns of sensory signs in complex regional pain syndrome (CRPS) type I and II and peripheral nerve injury (PNI). Patients with upper-limb CRPS-I (n=298), CRPS-II (n=46), and PNI (n=72) were examined with quantitative sensory testing according to the protocol of the German Research Network on Neuropathic Pain. The majority of patients (66%-69%) exhibited a combination of sensory loss and gain. Patients with CRPS-I had more sensory gain (heat and pressure pain) and less sensory loss than patients with PNI (thermal and mechanical detection, hypoalgesia to heat or pinprick). CRPS-II patients shared features of CRPS-I and PNI. CRPS-I and CRPS-II had almost identical somatosensory profiles, with the exception of a stronger loss of mechanical detection in CRPS-II. In CRPS-I and -II, cold hyperalgesia/allodynia (28%-31%) and dynamic mechanical allodynia (24%-28%) were less frequent than heat or pressure hyperalgesia (36%-44%, 67%-73%), and mechanical hypoesthesia (31%-55%) was more frequent than thermal hypoesthesia (30%-44%). About 82% of PNI patients had at least one type of sensory gain. QST demonstrates more sensory loss in CRPS-I than hitherto considered, suggesting either minimal nerve injury or central inhibition. Sensory profiles suggest that CRPS-I and CRPS-II may represent one disease continuum. However, in contrast to recent suggestions, small fiber deficits were less frequent than large fiber deficits. Sensory gain is highly prevalent in PNI, indicating a better similarity of animal models to human patients than previously thought. These sensory profiles should help prioritize approaches for translation between animal and human research.","container-title":"Pain","DOI":"10.1016/j.pain.2011.11.009","ISSN":"1872-6623","issue":"4","journalAbbreviation":"Pain","language":"eng","note":"PMID: 22154921","page":"765-774","source":"PubMed","title":"Sensory signs in complex regional pain syndrome and peripheral nerve injury","volume":"153","author":[{"family":"Gierthmühlen","given":"Janne"},{"family":"Maier","given":"Christoph"},{"family":"Baron","given":"Ralf"},{"family":"Tölle","given":"Thomas"},{"family":"Treede","given":"Rolf-Detlef"},{"family":"Birbaumer","given":"Niels"},{"family":"Huge","given":"Volker"},{"family":"Koroschetz","given":"Jana"},{"family":"Krumova","given":"Elena K."},{"family":"Lauchart","given":"Meike"},{"family":"Maihöfner","given":"Christian"},{"family":"Richter","given":"Helmut"},{"family":"Westermann","given":"Andrea"},{"literal":"German Research Network on Neuropathic Pain (DFNS) study group"}],"issued":{"date-parts":[["2012",4]]}}}],"schema":"https://github.com/citation-style-language/schema/raw/master/csl-citation.json"} </w:instrText>
      </w:r>
      <w:r w:rsidRPr="0FEC445E">
        <w:rPr>
          <w:rFonts w:eastAsiaTheme="minorEastAsia"/>
          <w:lang w:val="en-US"/>
        </w:rPr>
        <w:fldChar w:fldCharType="separate"/>
      </w:r>
      <w:r w:rsidRPr="00644AC1" w:rsidR="008425F7">
        <w:rPr>
          <w:rFonts w:ascii="Calibri" w:hAnsi="Calibri" w:cs="Calibri"/>
          <w:sz w:val="24"/>
          <w:lang w:val="en-US"/>
        </w:rPr>
        <w:t>(Gierthmühlen et al., 2012)</w:t>
      </w:r>
      <w:r w:rsidRPr="0FEC445E">
        <w:rPr>
          <w:rFonts w:eastAsiaTheme="minorEastAsia"/>
          <w:lang w:val="en-US"/>
        </w:rPr>
        <w:fldChar w:fldCharType="end"/>
      </w:r>
      <w:r w:rsidRPr="00644AC1">
        <w:rPr>
          <w:rFonts w:eastAsiaTheme="minorEastAsia"/>
          <w:sz w:val="24"/>
          <w:szCs w:val="24"/>
          <w:lang w:val="en-US"/>
        </w:rPr>
        <w:t xml:space="preserve">. </w:t>
      </w:r>
      <w:r w:rsidRPr="004C4D08">
        <w:rPr>
          <w:rFonts w:eastAsiaTheme="minorEastAsia"/>
          <w:sz w:val="24"/>
          <w:szCs w:val="24"/>
        </w:rPr>
        <w:t xml:space="preserve">In our </w:t>
      </w:r>
      <w:proofErr w:type="spellStart"/>
      <w:r w:rsidRPr="004C4D08">
        <w:rPr>
          <w:rFonts w:eastAsiaTheme="minorEastAsia"/>
          <w:sz w:val="24"/>
          <w:szCs w:val="24"/>
        </w:rPr>
        <w:t>LCA</w:t>
      </w:r>
      <w:proofErr w:type="spellEnd"/>
      <w:r w:rsidRPr="004C4D08">
        <w:rPr>
          <w:rFonts w:eastAsiaTheme="minorEastAsia"/>
          <w:sz w:val="24"/>
          <w:szCs w:val="24"/>
        </w:rPr>
        <w:t xml:space="preserve">, an increase in sensitivity to blunt pressure was associated with the more severe profiles. </w:t>
      </w:r>
      <w:r w:rsidRPr="0FEC445E">
        <w:rPr>
          <w:rFonts w:eastAsiaTheme="minorEastAsia"/>
          <w:sz w:val="24"/>
          <w:szCs w:val="24"/>
          <w:lang w:val="en-US"/>
        </w:rPr>
        <w:t>Gaynor and colleagues also associated higher pressure pain sensitivity with more severe chronic pain disorders (including fibromyalgia, temporomandibular disorder, irritable bowel syndrome,</w:t>
      </w:r>
      <w:r w:rsidR="005143E0">
        <w:rPr>
          <w:rFonts w:eastAsiaTheme="minorEastAsia"/>
          <w:sz w:val="24"/>
          <w:szCs w:val="24"/>
          <w:lang w:val="en-US"/>
        </w:rPr>
        <w:t xml:space="preserve"> </w:t>
      </w:r>
      <w:r w:rsidRPr="0FEC445E">
        <w:rPr>
          <w:rFonts w:eastAsiaTheme="minorEastAsia"/>
          <w:sz w:val="24"/>
          <w:szCs w:val="24"/>
          <w:lang w:val="en-US"/>
        </w:rPr>
        <w:t>...). In a longitudinal study, higher pressure pain sensitivity predicted</w:t>
      </w:r>
      <w:r w:rsidRPr="0FEC445E" w:rsidR="384808A2">
        <w:rPr>
          <w:rFonts w:eastAsiaTheme="minorEastAsia"/>
          <w:sz w:val="24"/>
          <w:szCs w:val="24"/>
          <w:lang w:val="en-US"/>
        </w:rPr>
        <w:t xml:space="preserve"> </w:t>
      </w:r>
      <w:r w:rsidRPr="0FEC445E">
        <w:rPr>
          <w:rFonts w:eastAsiaTheme="minorEastAsia"/>
          <w:sz w:val="24"/>
          <w:szCs w:val="24"/>
          <w:lang w:val="en-US"/>
        </w:rPr>
        <w:t>a higher risk of still meeting the research Budapest criteria at 12-month follow-up</w:t>
      </w:r>
      <w:r w:rsidR="00346AF2">
        <w:rPr>
          <w:rFonts w:eastAsiaTheme="minorEastAsia"/>
          <w:lang w:val="en-US"/>
        </w:rPr>
        <w:t xml:space="preserve"> </w:t>
      </w:r>
      <w:r w:rsidR="00346AF2">
        <w:rPr>
          <w:rFonts w:eastAsiaTheme="minorEastAsia"/>
          <w:lang w:val="en-US"/>
        </w:rPr>
        <w:fldChar w:fldCharType="begin"/>
      </w:r>
      <w:r w:rsidR="00A03CF2">
        <w:rPr>
          <w:rFonts w:eastAsiaTheme="minorEastAsia"/>
          <w:lang w:val="en-US"/>
        </w:rPr>
        <w:instrText xml:space="preserve"> ADDIN ZOTERO_ITEM CSL_CITATION {"citationID":"mkS5rLMI","properties":{"formattedCitation":"(Roh et al., 2019)","plainCitation":"(Roh et al., 2019)","noteIndex":0},"citationItems":[{"id":212,"uris":["http://zotero.org/users/8514361/items/2TJHLBR5"],"itemData":{"id":212,"type":"article-journal","abstract":"OBJECTIVE: To evaluate the influence of pain sensitization in the early recovery of distal radius fractures (DRFs) on the occurrence and prognosis of complex regional pain syndrome (CRPS) type I.\nMETHODS: We enrolled 58 patients who were diagnosed with CRPS I based on Budapest criteria within six months after sustaining DRF; they were age- and gender-matched with 58 patients with DRF who did not have CRPS I. We commonly measured patients' pressure pain thresholds (PPTs) in the forearm and administered a Pain Sensitivity Questionnaire (PSQ) when patients complained of pain with numeric rating scale ≥4 at three-month follow-up. Participants were followed up three, six, and 12 months after injury, and the symptoms and sign of CRPS were evaluated at each follow-up.\nRESULTS: Patients with CRPS I were more likely to have sustained high-energy injuries, had severe fractures, and had significantly higher PSQ scores and lower PPTs than the age- and gender-matched controls. At 12 months after injury, CRPS symptoms improved in 52% (30/58) of patients who had been diagnosed with CRPS I at three months after injury. The initial degree of pain sensitization and high-energy injury were associated with persistence of CRPS symptoms up to 12 months after initial injury.\nCONCLUSIONS: Patients with CRPS I after DRF exhibited significantly higher pain sensitization in the early post-trauma period, and the degree of initial pain sensitization and high-energy injuries were associated with prolonged CRPS I signs and symptoms up to one year after initial injury.","container-title":"Pain Medicine (Malden, Mass.)","DOI":"10.1093/pm/pny184","ISSN":"1526-4637","issue":"6","journalAbbreviation":"Pain Med","language":"eng","note":"PMID: 30412230","page":"1066-1071","source":"PubMed","title":"Prognostic Value of Pain Sensitization During Early Recovery After Distal Radius Fracture in Complex Regional Pain Syndrome","volume":"20","author":[{"family":"Roh","given":"Young Hak"},{"family":"Gong","given":"Hyun Sik"},{"family":"Baek","given":"Goo Hyun"}],"issued":{"date-parts":[["2019",6,1]]}}}],"schema":"https://github.com/citation-style-language/schema/raw/master/csl-citation.json"} </w:instrText>
      </w:r>
      <w:r w:rsidR="00346AF2">
        <w:rPr>
          <w:rFonts w:eastAsiaTheme="minorEastAsia"/>
          <w:lang w:val="en-US"/>
        </w:rPr>
        <w:fldChar w:fldCharType="separate"/>
      </w:r>
      <w:r w:rsidRPr="00346AF2" w:rsidR="00346AF2">
        <w:rPr>
          <w:rFonts w:ascii="Calibri" w:hAnsi="Calibri" w:cs="Calibri"/>
        </w:rPr>
        <w:t xml:space="preserve">(Roh </w:t>
      </w:r>
      <w:r w:rsidRPr="00287814" w:rsidR="00346AF2">
        <w:rPr>
          <w:rFonts w:ascii="Calibri" w:hAnsi="Calibri" w:cs="Calibri"/>
          <w:sz w:val="24"/>
          <w:szCs w:val="24"/>
        </w:rPr>
        <w:t>et</w:t>
      </w:r>
      <w:r w:rsidRPr="00346AF2" w:rsidR="00346AF2">
        <w:rPr>
          <w:rFonts w:ascii="Calibri" w:hAnsi="Calibri" w:cs="Calibri"/>
        </w:rPr>
        <w:t xml:space="preserve"> al., 2019)</w:t>
      </w:r>
      <w:r w:rsidR="00346AF2">
        <w:rPr>
          <w:rFonts w:eastAsiaTheme="minorEastAsia"/>
          <w:lang w:val="en-US"/>
        </w:rPr>
        <w:fldChar w:fldCharType="end"/>
      </w:r>
      <w:r w:rsidRPr="0FEC445E">
        <w:rPr>
          <w:rFonts w:eastAsiaTheme="minorEastAsia"/>
          <w:sz w:val="24"/>
          <w:szCs w:val="24"/>
          <w:lang w:val="en-US"/>
        </w:rPr>
        <w:t xml:space="preserve">. However, the predictive value of PPT appears to be low in other musculoskeletal </w:t>
      </w:r>
      <w:r w:rsidRPr="0FEC445E" w:rsidR="7AE63331">
        <w:rPr>
          <w:rFonts w:eastAsiaTheme="minorEastAsia"/>
          <w:sz w:val="24"/>
          <w:szCs w:val="24"/>
          <w:lang w:val="en-US"/>
        </w:rPr>
        <w:t>pain syndromes</w:t>
      </w:r>
      <w:r w:rsidRPr="0FEC445E">
        <w:rPr>
          <w:rFonts w:eastAsiaTheme="minorEastAsia"/>
          <w:sz w:val="24"/>
          <w:szCs w:val="24"/>
          <w:lang w:val="en-US"/>
        </w:rPr>
        <w:t xml:space="preserve"> </w:t>
      </w:r>
      <w:r w:rsidRPr="0FEC445E">
        <w:rPr>
          <w:rFonts w:eastAsiaTheme="minorEastAsia"/>
          <w:lang w:val="en-US"/>
        </w:rPr>
        <w:fldChar w:fldCharType="begin"/>
      </w:r>
      <w:r w:rsidR="00A03CF2">
        <w:rPr>
          <w:rFonts w:eastAsiaTheme="minorEastAsia"/>
          <w:lang w:val="en-US"/>
        </w:rPr>
        <w:instrText xml:space="preserve"> ADDIN ZOTERO_ITEM CSL_CITATION {"citationID":"t6yPaHtX","properties":{"formattedCitation":"(Georgopoulos et al., 2019; Hertel et al., 2024; Petersen et al., 2023)","plainCitation":"(Georgopoulos et al., 2019; Hertel et al., 2024; Petersen et al., 2023)","noteIndex":0},"citationItems":[{"id":213,"uris":["http://zotero.org/users/8514361/items/2ZLWXUIT"],"itemData":{"id":213,"type":"article-journal","abstract":"Hypersensitivity due to central pain mechanisms can influence recovery\nand lead to worse clinical outcomes, but the ability of quantitative sensory\ntesting (QST), an index of sensitisation, to predict outcomes in chronic\nmusculoskeletal disorders remains unclear. We systematically reviewed the\nevidence for ability of QST to predict pain, disability and negative affect\nusing searches of CENTRAL, MEDLINE, EMBASE, AMED, CINAHL and PubMed databases up\nto April 2018. Title screening, data extraction, and methodological quality\nassessments were performed independently by 2 reviewers. Associations were\nreported between baseline QST and outcomes using adjusted (β) and\nunadjusted (r) correlations. Of the 37 eligible studies (n=3860 participants),\n32 were prospective cohort studies and 5 randomised controlled trials. Pain was\nan outcome in 30 studies, disability in 11 and negative affect in 3.\nMeta-analysis revealed that baseline QST predicted musculoskeletal pain (mean\nr=0.31, 95%CI: 0.23 to 0.38, n=1057 participants) and disability (mean r=0.30,\n95%CI: 0.19 to 0.40, n=290 participants). Baseline modalities quantifying\ncentral mechanisms such as temporal summation (TS) and conditioned pain\nmodulation (CPM) were associated with follow-up pain (TS: mean r=0.37, 95%CI:\n0.17 to 0.54; CPM mean: r=0.36, 95%CI: 0.20 to 0.50), whereas baseline\nmechanical threshold modalities were predictive of follow-up disability (mean\nr=0.25, 95%CI: 0.03 to 0.45). QST indices of pain hypersensitivity might help\ndevelop targeted interventions aiming to improve outcomes across a range of\nmusculoskeletal conditions.","container-title":"Pain","DOI":"10.1097/j.pain.0000000000001590","ISSN":"0304-3959","issue":"9","journalAbbreviation":"Pain","note":"PMID: 31045746\nPMCID: PMC6701980","page":"1920-1932","source":"PubMed Central","title":"Quantitative Sensory Testing (QST) and predicting outcomes for musculoskeletal pain, disability and negative affect: a systematic review and meta-analysis","title-short":"Quantitative Sensory Testing (QST) and predicting outcomes for musculoskeletal pain, disability and negative affect","volume":"160","author":[{"family":"Georgopoulos","given":"Vasileios"},{"family":"Akin-Akinyosoye","given":"Kehinde"},{"family":"Zhang","given":"Weiya"},{"family":"McWilliams","given":"Daniel F."},{"family":"Hendrick","given":"Paul"},{"family":"Walsh","given":"David A."}],"issued":{"date-parts":[["2019",4,25]]}}},{"id":215,"uris":["http://zotero.org/users/8514361/items/F5BKBARH"],"itemData":{"id":215,"type":"article-journal","abstract":"Substantial interindividual variability characterizes osteoarthritis (OA) pain. Previous findings identify quantitative sensory testing (QST), psychological factors, and health-related quality of life as contributors to OA pain and predictors of treatment outcomes. This exploratory study aimed to explain baseline OA pain intensity and predict OA pain after administration of a nonsteroidal anti-inflammatory drug in combination with paracetamol for 3 weeks. The Knee Injury and Osteoarthritis Outcome Score (KOOS) pain score was used to estimate OA pain presentation. One hundred one patients were assessed at baseline and follow-up using QST (pressure pain thresholds and temporal summation of pain [TSP]), symptoms of depression and anxiety, pain catastrophizing scales (PCSs), and health-related quality of life. Linear regression with backward selection identified that PCS significantly explained 34.2% of the variability in baseline KOOS pain, with nonsignificant contributions from TSP. Pain catastrophizing score and TSP predicted 29.3% of follow-up KOOS pain, with nonsignificant contributions from symptoms of anxiety. When assessed separately, PCS was the strongest predictor (32.2% of baseline and 24.1% of follow-up pain), but QST, symptoms of anxiety and depression, PCS, and quality of life also explained some variability in baseline and follow-up knee OA pain. Further analyses revealed that only TSP and PCS were not mediated by any other included variables, highlighting their role as unique contributors to OA pain presentation. This study emphasizes the importance of embracing a multimodal approach to OA pain and highlights PCS and TSP as major contributors to the baseline OA pain experience and the OA pain experience after OA treatment.","container-title":"Pain","DOI":"10.1097/j.pain.0000000000003194","ISSN":"1872-6623","journalAbbreviation":"Pain","language":"eng","note":"PMID: 38381930","source":"PubMed","title":"Quantitative sensory testing, psychological factors, and quality of life as predictors of current and future pain in patients with knee osteoarthritis","author":[{"family":"Hertel","given":"Emma"},{"family":"Arendt-Nielsen","given":"Lars"},{"family":"Olesen","given":"Anne Estrup"},{"family":"Andersen","given":"Michael Skipper"},{"family":"Petersen","given":"Kristian Kjær-Staal"}],"issued":{"date-parts":[["2024",2,20]]}}},{"id":214,"uris":["http://zotero.org/users/8514361/items/YQWXMJMQ"],"itemData":{"id":214,"type":"article-journal","abstract":"Supplemental Digital Content is Available in the Text., This work indicates that a subset of specific pain sensitive patients with osteoarthritis exists and that these patients do not respond adequately to standard pain treatments., Emerging evidence suggest that quantitative sensory testing (QST) may predict the treatment response to pain-relieving therapies. This systematic review and meta-analysis focus on the predictive value of QST for pain management of knee osteoarthritis (OA). MEDLINE and EMBASE were systematically searched for all studies from year 2000 to 2023 on pretreatment QST and treatment of OA including surgical, pharmaceutical, and nonsurgical and nonpharmaceutical therapies. Preclinical studies and reviews were excluded. The systematic review followed the PRISMA guidelines and was pre-registered on the Open Science Framework website (link: https://osf.io/4FETK/, Identifier: DOI 10.17605/OSF.IO/4FETK). Meta-analysis were conducted to demonstrate the strength of the pre-treatment QST predictions on pain outcomes after OA treatments. Sixteen surgical (all on total knee arthroplasty [TKA], N = 1967), 5 pharmaceutical (4 on non-steroidal anti-inflammatory drugs [NSAIDs], N = 271), and 4 exercise-based therapy studies (N = 232) were identified. Pretreatment QST parameters predicted pain-relieving treatment outcomes in 81% of surgical, 100% of pharmaceutical, and 50% of exercise-based therapy studies. Meta-analyses found pretreatment QST profiles to predicted pain outcomes after TKA (random effects: 0.309, 95% confidence interval [CI]: 0.206–0.405, P &lt; 0.001), NSAIDs (random effects: 0.323, 95% CI: 0.194–0.441, P &lt; 0.001), and exercise-based therapies (random effects: 0.417, 95% CI: 0.138–0.635, P = 0.004). The overall risk of bias for the included studies was low to moderate. This systematic review and meta-analysis demonstrate weak-to-moderate associations between pretreatment QST and pain outcomes after standard OA pain treatments. Based on this work, it is hypothesized that a subset of specific pain sensitive patients with OA exist and that these patients do not respond adequately to standard OA pain treatments.","container-title":"Pain Reports","DOI":"10.1097/PR9.0000000000001079","ISSN":"2471-2531","issue":"4","journalAbbreviation":"Pain Rep","note":"PMID: 38699564\nPMCID: PMC11065125","page":"e1079","source":"PubMed Central","title":"Quantitative sensory testing as an assessment tool to predict the response to standard pain treatment in knee osteoarthritis: a systematic review and meta-analysis","title-short":"Quantitative sensory testing as an assessment tool to predict the response to standard pain treatment in knee osteoarthritis","volume":"8","author":[{"family":"Petersen","given":"Kristian Kjær-Staal"},{"family":"Kilic","given":"Kübra"},{"family":"Hertel","given":"Emma"},{"family":"Sejersgaard-Jacobsen","given":"Trine Hyttel"},{"family":"Jørgensen","given":"Marlene Kanstrup"},{"family":"Troelsen","given":"Anders"},{"family":"Arendt-Nielsen","given":"Lars"},{"family":"Boye Larsen","given":"Dennis"}],"issued":{"date-parts":[["2023",6,5]]}}}],"schema":"https://github.com/citation-style-language/schema/raw/master/csl-citation.json"} </w:instrText>
      </w:r>
      <w:r w:rsidRPr="0FEC445E">
        <w:rPr>
          <w:rFonts w:eastAsiaTheme="minorEastAsia"/>
          <w:lang w:val="en-US"/>
        </w:rPr>
        <w:fldChar w:fldCharType="separate"/>
      </w:r>
      <w:r w:rsidRPr="008425F7" w:rsidR="008425F7">
        <w:rPr>
          <w:rFonts w:ascii="Calibri" w:hAnsi="Calibri" w:cs="Calibri"/>
          <w:sz w:val="24"/>
        </w:rPr>
        <w:t>(Georgopoulos et al., 2019; Hertel et al., 2024; Petersen et al., 2023)</w:t>
      </w:r>
      <w:r w:rsidRPr="0FEC445E">
        <w:rPr>
          <w:rFonts w:eastAsiaTheme="minorEastAsia"/>
          <w:lang w:val="en-US"/>
        </w:rPr>
        <w:fldChar w:fldCharType="end"/>
      </w:r>
      <w:r w:rsidRPr="0FEC445E">
        <w:rPr>
          <w:rFonts w:eastAsiaTheme="minorEastAsia"/>
          <w:sz w:val="24"/>
          <w:szCs w:val="24"/>
          <w:lang w:val="en-US"/>
        </w:rPr>
        <w:t>.</w:t>
      </w:r>
    </w:p>
    <w:p w:rsidR="40A4B9D1" w:rsidP="0FEC445E" w:rsidRDefault="40A4B9D1" w14:paraId="41B1875C" w14:textId="04A9C1F4">
      <w:pPr>
        <w:spacing w:line="480" w:lineRule="auto"/>
        <w:jc w:val="both"/>
        <w:rPr>
          <w:rFonts w:eastAsiaTheme="minorEastAsia"/>
          <w:sz w:val="24"/>
          <w:szCs w:val="24"/>
          <w:lang w:val="en-US"/>
        </w:rPr>
      </w:pPr>
      <w:r w:rsidRPr="0FEC445E">
        <w:rPr>
          <w:rFonts w:eastAsiaTheme="minorEastAsia"/>
          <w:sz w:val="24"/>
          <w:szCs w:val="24"/>
          <w:lang w:val="en-US"/>
        </w:rPr>
        <w:t xml:space="preserve">Several observations </w:t>
      </w:r>
      <w:r w:rsidRPr="0FEC445E" w:rsidR="53098332">
        <w:rPr>
          <w:rFonts w:eastAsiaTheme="minorEastAsia"/>
          <w:sz w:val="24"/>
          <w:szCs w:val="24"/>
          <w:lang w:val="en-US"/>
        </w:rPr>
        <w:t>suggest</w:t>
      </w:r>
      <w:r w:rsidRPr="0FEC445E">
        <w:rPr>
          <w:rFonts w:eastAsiaTheme="minorEastAsia"/>
          <w:sz w:val="24"/>
          <w:szCs w:val="24"/>
          <w:lang w:val="en-US"/>
        </w:rPr>
        <w:t xml:space="preserve"> a g</w:t>
      </w:r>
      <w:r w:rsidRPr="0FEC445E" w:rsidR="2CBAE64E">
        <w:rPr>
          <w:rFonts w:eastAsiaTheme="minorEastAsia"/>
          <w:sz w:val="24"/>
          <w:szCs w:val="24"/>
          <w:lang w:val="en-US"/>
        </w:rPr>
        <w:t xml:space="preserve">reater involvement of central </w:t>
      </w:r>
      <w:r w:rsidRPr="0FEC445E" w:rsidR="00AD7F97">
        <w:rPr>
          <w:rFonts w:eastAsiaTheme="minorEastAsia"/>
          <w:sz w:val="24"/>
          <w:szCs w:val="24"/>
          <w:lang w:val="en-US"/>
        </w:rPr>
        <w:t xml:space="preserve">/ systemic </w:t>
      </w:r>
      <w:r w:rsidRPr="0FEC445E" w:rsidR="2CBAE64E">
        <w:rPr>
          <w:rFonts w:eastAsiaTheme="minorEastAsia"/>
          <w:sz w:val="24"/>
          <w:szCs w:val="24"/>
          <w:lang w:val="en-US"/>
        </w:rPr>
        <w:t>mechanisms wit</w:t>
      </w:r>
      <w:r w:rsidRPr="0FEC445E" w:rsidR="2CBAE64E">
        <w:rPr>
          <w:rFonts w:ascii="Calibri" w:hAnsi="Calibri" w:eastAsia="Calibri" w:cs="Calibri"/>
          <w:sz w:val="24"/>
          <w:szCs w:val="24"/>
          <w:lang w:val="en-US"/>
        </w:rPr>
        <w:t xml:space="preserve">h </w:t>
      </w:r>
      <w:r w:rsidRPr="0FEC445E" w:rsidR="00676170">
        <w:rPr>
          <w:rFonts w:ascii="Calibri" w:hAnsi="Calibri" w:eastAsia="Calibri" w:cs="Calibri"/>
          <w:sz w:val="24"/>
          <w:szCs w:val="24"/>
          <w:lang w:val="en-US"/>
        </w:rPr>
        <w:t xml:space="preserve">more </w:t>
      </w:r>
      <w:r w:rsidRPr="0FEC445E" w:rsidR="2CBAE64E">
        <w:rPr>
          <w:rFonts w:ascii="Calibri" w:hAnsi="Calibri" w:eastAsia="Calibri" w:cs="Calibri"/>
          <w:sz w:val="24"/>
          <w:szCs w:val="24"/>
          <w:lang w:val="en-US"/>
        </w:rPr>
        <w:t>severe CRPS profiles</w:t>
      </w:r>
      <w:r w:rsidRPr="0FEC445E" w:rsidR="2577D789">
        <w:rPr>
          <w:rFonts w:ascii="Calibri" w:hAnsi="Calibri" w:eastAsia="Calibri" w:cs="Calibri"/>
          <w:sz w:val="24"/>
          <w:szCs w:val="24"/>
          <w:lang w:val="en-US"/>
        </w:rPr>
        <w:t xml:space="preserve"> (</w:t>
      </w:r>
      <w:r w:rsidRPr="00996DD7" w:rsidR="041EC590">
        <w:rPr>
          <w:rFonts w:ascii="Calibri" w:hAnsi="Calibri" w:eastAsia="Calibri" w:cs="Calibri"/>
          <w:color w:val="FF0000"/>
          <w:sz w:val="24"/>
          <w:szCs w:val="24"/>
          <w:lang w:val="en-US"/>
        </w:rPr>
        <w:t>BRD</w:t>
      </w:r>
      <w:r w:rsidR="009A47EE">
        <w:rPr>
          <w:rFonts w:ascii="Calibri" w:hAnsi="Calibri" w:eastAsia="Calibri" w:cs="Calibri"/>
          <w:sz w:val="24"/>
          <w:szCs w:val="24"/>
          <w:lang w:val="en-US"/>
        </w:rPr>
        <w:t xml:space="preserve"> </w:t>
      </w:r>
      <w:r w:rsidRPr="0FEC445E" w:rsidR="2577D789">
        <w:rPr>
          <w:rFonts w:ascii="Calibri" w:hAnsi="Calibri" w:eastAsia="Calibri" w:cs="Calibri"/>
          <w:sz w:val="24"/>
          <w:szCs w:val="24"/>
          <w:lang w:val="en-US"/>
        </w:rPr>
        <w:t>and Pressure allodynia CRPS)</w:t>
      </w:r>
      <w:r w:rsidRPr="0FEC445E" w:rsidR="2CBAE64E">
        <w:rPr>
          <w:rFonts w:ascii="Calibri" w:hAnsi="Calibri" w:eastAsia="Calibri" w:cs="Calibri"/>
          <w:sz w:val="24"/>
          <w:szCs w:val="24"/>
          <w:lang w:val="en-US"/>
        </w:rPr>
        <w:t>.</w:t>
      </w:r>
      <w:r w:rsidRPr="0FEC445E" w:rsidR="4CFE599A">
        <w:rPr>
          <w:rFonts w:ascii="Calibri" w:hAnsi="Calibri" w:eastAsia="Calibri" w:cs="Calibri"/>
          <w:sz w:val="24"/>
          <w:szCs w:val="24"/>
          <w:lang w:val="en-US"/>
        </w:rPr>
        <w:t xml:space="preserve"> First, </w:t>
      </w:r>
      <w:r w:rsidRPr="0FEC445E" w:rsidR="00F5338B">
        <w:rPr>
          <w:rFonts w:ascii="Calibri" w:hAnsi="Calibri" w:eastAsia="Calibri" w:cs="Calibri"/>
          <w:sz w:val="24"/>
          <w:szCs w:val="24"/>
          <w:lang w:val="en-US"/>
        </w:rPr>
        <w:t>h</w:t>
      </w:r>
      <w:r w:rsidRPr="0FEC445E" w:rsidR="00B547B0">
        <w:rPr>
          <w:rFonts w:ascii="Calibri" w:hAnsi="Calibri" w:eastAsia="Calibri" w:cs="Calibri"/>
          <w:sz w:val="24"/>
          <w:szCs w:val="24"/>
          <w:lang w:val="en-US"/>
        </w:rPr>
        <w:t xml:space="preserve">igher body perception impairment, probably caused by central mechanisms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{"citationID":"knOXyeBp","properties":{"formattedCitation":"(Halicka et al., 2020)","plainCitation":"(Halicka et al., 2020)","noteIndex":0},"citationItems":[{"id":"jyRXZ8R7/vY9sqDBl","uris":["http://zotero.org/users/8777725/items/K7NIDTCY"],"itemData":{"id":62,"type":"article-journal","abstract":"Complex Regional Pain Syndrome (CRPS) is a poorly understood chronic pain condition of multifactorial origin. CRPS involves sensory, motor, and autonomic symptoms primarily affecting one extremity. Patients can also present with neuropsychological changes such as reduced attention to the CRPS-affected extremity, reminiscent of hemispatial neglect, yet in the absence of any brain lesions. However, this \"neglect-like\" framework is not sufficient to characterise the range of higher cognitive functions that can be altered in CRPS. This comprehensive literature review synthesises evidence of neuropsychological changes in CRPS in the context of potential central mechanisms of the disorder. The affected neuropsychological functions constitute three distinct but not independent groups: distorted body representation, deficits in lateralised spatial cognition, and impairment of non-spatially-lateralised higher cognitive functions. We suggest that many of these symptoms appear to be consistent with a broader disruption to parietal function beyond merely what could be considered \"neglect-like.\" Moreover, the extent of neuropsychological symptoms might be related to the clinical signs of CRPS, and rehabilitation methods that target the neuropsychological changes can improve clinical outcomes in CRPS and other chronic pain conditions. Based on the limitations and gaps in the reviewed literature, we provide several suggestions to improve further research on neuropsychological changes in chronic pain.","container-title":"Behavioural Neurology","DOI":"10.1155/2020/4561831","ISSN":"1875-8584","journalAbbreviation":"Behav Neurol","language":"eng","note":"PMID: 32399082\nPMCID: PMC7201816","page":"4561831","source":"PubMed","title":"Neuropsychological Changes in Complex Regional Pain Syndrome (CRPS)","volume":"2020","author":[{"family":"Halicka","given":"Monika"},{"family":"Vittersø","given":"Axel D."},{"family":"Proulx","given":"Michael J."},{"family":"Bultitude","given":"Janet H."}],"issued":{"date-parts":[["2020"]]}}}],"schema":"https://github.com/citation-style-language/schema/raw/master/csl-citation.json"} </w:instrText>
      </w:r>
      <w:r w:rsidRPr="0FEC445E">
        <w:rPr>
          <w:rFonts w:ascii="Calibri" w:hAnsi="Calibri" w:eastAsia="Calibri" w:cs="Calibri"/>
          <w:sz w:val="24"/>
          <w:szCs w:val="24"/>
          <w:lang w:val="en-US"/>
        </w:rPr>
        <w:fldChar w:fldCharType="separate"/>
      </w:r>
      <w:r w:rsidRPr="5045E0F5" w:rsidR="008425F7">
        <w:rPr>
          <w:rFonts w:ascii="Calibri" w:hAnsi="Calibri" w:cs="Calibri"/>
          <w:sz w:val="24"/>
          <w:szCs w:val="24"/>
        </w:rPr>
        <w:t>(Halicka et al., 2020)</w:t>
      </w:r>
      <w:r w:rsidRPr="0FEC445E">
        <w:rPr>
          <w:rFonts w:ascii="Calibri" w:hAnsi="Calibri" w:eastAsia="Calibri" w:cs="Calibri"/>
          <w:sz w:val="24"/>
          <w:szCs w:val="24"/>
          <w:lang w:val="en-US"/>
        </w:rPr>
        <w:fldChar w:fldCharType="end"/>
      </w:r>
      <w:r w:rsidRPr="0FEC445E" w:rsidR="00F5338B">
        <w:rPr>
          <w:rFonts w:ascii="Calibri" w:hAnsi="Calibri" w:eastAsia="Calibri" w:cs="Calibri"/>
          <w:sz w:val="24"/>
          <w:szCs w:val="24"/>
          <w:lang w:val="en-US"/>
        </w:rPr>
        <w:t>,</w:t>
      </w:r>
      <w:r w:rsidRPr="0FEC445E" w:rsidR="00B547B0">
        <w:rPr>
          <w:rFonts w:ascii="Calibri" w:hAnsi="Calibri" w:eastAsia="Calibri" w:cs="Calibri"/>
          <w:sz w:val="24"/>
          <w:szCs w:val="24"/>
          <w:lang w:val="en-US"/>
        </w:rPr>
        <w:t xml:space="preserve"> was associated with poorer outcomes</w:t>
      </w:r>
      <w:r w:rsidRPr="0FEC445E" w:rsidR="00F5338B">
        <w:rPr>
          <w:rFonts w:ascii="Calibri" w:hAnsi="Calibri" w:eastAsia="Calibri" w:cs="Calibri"/>
          <w:sz w:val="24"/>
          <w:szCs w:val="24"/>
          <w:lang w:val="en-US"/>
        </w:rPr>
        <w:t>.</w:t>
      </w:r>
      <w:r w:rsidRPr="0FEC445E" w:rsidR="03AECE31">
        <w:rPr>
          <w:rFonts w:ascii="Calibri" w:hAnsi="Calibri" w:eastAsia="Calibri" w:cs="Calibri"/>
          <w:sz w:val="24"/>
          <w:szCs w:val="24"/>
          <w:lang w:val="en-US"/>
        </w:rPr>
        <w:t xml:space="preserve"> </w:t>
      </w:r>
      <w:r w:rsidRPr="0FEC445E" w:rsidR="47359673">
        <w:rPr>
          <w:rFonts w:ascii="Calibri" w:hAnsi="Calibri" w:eastAsia="Calibri" w:cs="Calibri"/>
          <w:sz w:val="24"/>
          <w:szCs w:val="24"/>
          <w:lang w:val="en-US"/>
        </w:rPr>
        <w:t>Second</w:t>
      </w:r>
      <w:r w:rsidRPr="0FEC445E" w:rsidR="785DDC7A">
        <w:rPr>
          <w:rFonts w:ascii="Calibri" w:hAnsi="Calibri" w:eastAsia="Calibri" w:cs="Calibri"/>
          <w:sz w:val="24"/>
          <w:szCs w:val="24"/>
          <w:lang w:val="en-US"/>
        </w:rPr>
        <w:t xml:space="preserve">, the more severe profiles were triggered by less intense events than the mild and moderate CRPS subgroups.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e4Hv4WoN","properties":{"formattedCitation":"[49,59,61,67]","plainCitation":"[49,59,61,67]","dontUpdate":true,"noteIndex":0},"citationItems":[{"id":96,"uris":["http://zotero.org/users/8514361/items/6B2ZRS2U"],"itemData":{"id":96,"type":"article-journal","abstract":"PURPOSE: This meta-analysis aimed to evaluate the incidence and risk factors for complex regional pain syndrome (CRPS) in radius fractures.\nMETHODS: The meta-analysis was performed using the PubMed, Embase, Scopus, and Cochrane Collaboration Library databases. Studies focusing on patients with conservative or surgically treated radius fractures leading to CRPS were included. A control group consisting of patients with radius fractures and no CRPS (-) was included. The outcome measures were incidence and risk factors. Comparative studies were also included. Data were combined using Review Manager 5.4.\nRESULTS: Out of 610 studies, nine studies were included. The incidence of CRPS after radius fractures ranged from 0.19 to 13.63% (95% CI: 11.12-16.15%). Open fractures, high-energy mechanisms in radial head fractures, and associations with ulnar fractures were risk factors for CRPS [(RR: 0.98; 95% CI: 0.97-1.00), (RR: 0.18; 95% CI: 0.07-0.47), and (RR: 1.25; 95% CI: 1.17-1.35), respectively]. Other risk factors were female sex and high body mass index [(RR: 1.20; 95% CI: 1.05-1.37) and (MD: 1.17; 95% CI: 0.45-1.88)]. Psychiatric factors also increased the incidence of CRPS (RR: 2.04; 95% CI: 1.83-2.28). On the other hand, the type of surgery (external fixation or open reduction and internal fixation) and manipulations; associated comorbidities (diabetes and hypertension) together with tobacco and alcohol abuse; marital status, educational level, employment status, and socioeconomic status were not risk factors (p &gt; 0.05).\nCONCLUSION: The incidence of CRPS in radius fractures was 13.63%. Fractures with greater complexity or greater associated tissue damage, female sex, high BMI, and psychiatric disorders were risk factors for the development of CRPS.\nLEVEL OF EVIDENCE: Meta-analysis of cohort and case series studies; II.","container-title":"Archives of Orthopaedic and Trauma Surgery","DOI":"10.1007/s00402-023-04909-8","ISSN":"1434-3916","issue":"9","journalAbbreviation":"Arch Orthop Trauma Surg","language":"eng","note":"PMID: 37209231","page":"5687-5699","source":"PubMed","title":"Incidence and risk factors for complex regional pain syndrome in radius fractures: meta-analysis","title-short":"Incidence and risk factors for complex regional pain syndrome in radius fractures","volume":"143","author":[{"family":"Lorente","given":"Alejandro"},{"family":"Mariscal","given":"Gonzalo"},{"family":"Lorente","given":"Rafael"}],"issued":{"date-parts":[["2023",9]]}}},{"id":208,"uris":["http://zotero.org/users/8514361/items/5QM7L92V"],"itemData":{"id":208,"type":"article-journal","abstract":"BACKGROUND: Complex Regional Pain Syndrome (CRPS) is a disabling pain disorder that is most common after a distal limb fracture. While the acute systemic immune response to the injury is thought to play a role in the development of CRPS, this hypothesis has never been tested directly. Thus, we evaluated whether elevated levels of circulating pro-inflammatory cytokines early after a fracture were associated with the development of CRPS.\nMETHODS: We conducted a case-control study nested within a prospective cohort study. Individuals with wrist and/or hand fractures were recruited from specialist hand units. Baseline clinical data were obtained from participants within 28 days of fracture. CRPS status was determined 16 weeks after the fracture using a two-stage diagnostic process. Cytokine assays were obtained from all cases (defined using the Budapest criteria) and a random sample of those who did not have CRPS at 16 weeks. We calculated odds ratios with 95% confidence intervals to determine the risk of CRPS associated with the expression of each of 25 cytokines.\nRESULTS: Baseline data were collected for 702 consenting participants, of whom 535 provided blood samples. Follow-up at 16 weeks was 97.2%. 15 (2.2% of the cohort) met the Budapest CRPS criteria and 69 (including those who met the Budapest criteria; 9.8%) met the International Association for the Study of Pain (IASP) CRPS criteria. In all of the primary analyses (using Budapest criteria) and 49/50 secondary analyses (using IASP criteria), 95% confidence intervals for the association between cytokine levels and the risk of subsequently developing CRPS included the null value (OR = 1). However, the confidence intervals were wide.\nCONCLUSION: There was no evidence that early post-injury expression of systemic cytokines was associated with a CRPS diagnosis 16 weeks after injury. This study does not provide support for the hypothesis that innate immune activation has a determinative role in the development of CRPS.","container-title":"BMC neurology","DOI":"10.1186/s12883-022-02910-z","ISSN":"1471-2377","issue":"1","journalAbbreviation":"BMC Neurol","language":"eng","note":"PMID: 36224537\nPMCID: PMC9555076","page":"385","source":"PubMed","title":"Post-fracture serum cytokine levels are not associated with a later diagnosis of complex regional pain syndrome: a case-control study nested in a prospective cohort study","title-short":"Post-fracture serum cytokine levels are not associated with a later diagnosis of complex regional pain syndrome","volume":"22","author":[{"family":"Parkitny","given":"Luke"},{"family":"McAuley","given":"James H."},{"family":"Herbert","given":"Robert D."},{"family":"Di Pietro","given":"Flavia"},{"family":"Cashin","given":"Aidan G."},{"family":"Ferraro","given":"Michael C."},{"family":"Moseley","given":"G. Lorimer"}],"issued":{"date-parts":[["2022",10,12]]}}},{"id":207,"uris":["http://zotero.org/users/8514361/items/WZC8TN8S"],"itemData":{"id":207,"type":"article-journal","abstract":"Anaesthetists in the acute and chronic pain teams are often involved in treating Complex Regional Pain Syndromes. Current literature about the risk factors for the onset of Complex Regional Pain Syndrome Type 1 (CRPS 1) remains sparse. This syndrome has a low prevalence, a highly variable presentation, and no gold standard for diagnosis. In the research setting, the pathogenesis of the syndrome continues to be elusive. There is a growing body of literature that addresses efficacy of a wide range of interventions as well as the likely mechanisms that contribute to the onset of CRPS 1. The objective for this systematic search of the literature focuses on determining the potential risk factors for the onset of CRPS 1. Eligible articles were analysed, dated 1996 to April 2014, and potential risk factors for the onset of CRPS 1 were identified from 10 prospective and 6 retrospective studies. Potential risk factors for the onset of CRPS 1 were found to include being female, particularly postmenopausal female, ankle dislocation or intra-articular fracture, immobilisation, and a report of higher than usual levels of pain in the early phases of trauma. It is not possible to draw definite conclusions as this evidence is heterogeneous and of mixed quality, relevance, and weighting strength against bias and has not been confirmed across multiple trials or in homogenous studies.","container-title":"Anesthesiology Research and Practice","DOI":"10.1155/2015/956539","ISSN":"1687-6962","journalAbbreviation":"Anesthesiol Res Pract","note":"PMID: 25688265\nPMCID: PMC4321092","page":"956539","source":"PubMed Central","title":"Potential Risk Factors for the Onset of Complex Regional Pain Syndrome Type 1: A Systematic Literature Review","title-short":"Potential Risk Factors for the Onset of Complex Regional Pain Syndrome Type 1","volume":"2015","author":[{"family":"Pons","given":"Tracey"},{"family":"Shipton","given":"Edward A."},{"family":"Williman","given":"Jonathan"},{"family":"Mulder","given":"Roger T."}],"issued":{"date-parts":[["2015"]]}}},{"id":209,"uris":["http://zotero.org/users/8514361/items/DEALYCLV"],"itemData":{"id":209,"type":"article-journal","abstract":"PURPOSE: Wrist fracture is considered a typical initiating trauma for complex regional pain syndrome type I (CRPS I). However, few studies have comprehensively evaluated factors associated with the occurrence of CRPS I after the surgical treatment of a distal radius fracture (DRF). This study evaluates the factors influencing the occurrence of CRPS I after the surgical treatment of a DRF.\nMETHODS: A total of 477 patients with a DRF who had been treated surgically were enrolled in this prospective observational study. Patients were followed for 6 months after surgery, and CRPS I was diagnosed using the Budapest diagnostic criteria for research. The factors assessed for the development of CPRS I were age, gender, the body mass index, the type of fracture, the energy of trauma, the number of trial reductions, the type of surgery, and the duration of immobilization. A multivariate logistic regression analysis was conducted to identify independent predictors of the occurrence of CRPS I.\nRESULTS: Among the 477 patients, 42 (8.8 %) satisfied the Budapest criteria for CRPS I within 6 months of surgery. Female patients developed CRPS I more frequently, and the patients who developed CRPS I were older and more likely to sustain a high energy injury or have a comminuted fracture. According to the multivariate analysis, female patients and those with a high energy trauma or severe fracture type were significantly more likely to develop CRPS I (p = 0.02, 0.01, and 0.01, respectively).\nCONCLUSIONS: High energy injuries, severe fractures, and the female gender contribute to the development of CRPS I after the surgical treatment of DRF. The results have important implications for physicians who wish to identify patients at high risk for CRPS I after operative fixation for DRF and instigate treatment accordingly.","container-title":"Archives of Orthopaedic and Trauma Surgery","DOI":"10.1007/s00402-014-2094-5","ISSN":"1434-3916","issue":"12","journalAbbreviation":"Arch Orthop Trauma Surg","language":"eng","note":"PMID: 25311113","page":"1775-1781","source":"PubMed","title":"Factors associated with complex regional pain syndrome type I in patients with surgically treated distal radius fracture","volume":"134","author":[{"family":"Roh","given":"Young Hak"},{"family":"Lee","given":"Beom Koo"},{"family":"Noh","given":"Jung Ho"},{"family":"Baek","given":"Jong Ryoon"},{"family":"Oh","given":"Joo Han"},{"family":"Gong","given":"Hyun Sik"},{"family":"Baek","given":"Goo Hyun"}],"issued":{"date-parts":[["2014",12]]}}},{"id":111,"uris":["http://zotero.org/users/8514361/items/UPBCVXCA"],"itemData":{"id":111,"type":"article-journal","abstract":"Background and objective Several risk factors for the onset of CRPS have been found, but evidence for prognostic factors associated with the progression of this condition remains sparse. However, the detection and management of these factors are necessary to design secondary prevention strategies. The objective of this systematic review was to identify prognostic factors in adult individuals with early CRPS. Database and data treatment PubMed, Embase, PsycINFO, Cochrane Library and Scopus, were published between January 1990 and November 2021. Two independent investigators selected cross-sectional and longitudinal studies looking at early (&lt;12 weeks from onset) prognostic factors for pain, CRPS severity score, disability, return to work, or quality of life. The quality in prognostic studies (QUIPS) tool was used to assess the risk of bias. A qualitative meta-synthesis was performed. Results Out of 4652 different articles, six studies met the inclusion criteria. We identified 21 early factors associated with a poorer prognosis in type I CRPS. We found moderate evidence to support six of them: higher pain intensity, self-rated disability, anxiety, pain-related fear, being a female and high-energy triggering event. Only two studies had an overall low risk of bias. Conclusions This study showed an important lack of information on early prognostic factors in CRPS. Only one article investigated the link with psychological characteristics. There is a crucial need for larger studies, with a well-defined population using validated measures. Significance This systematic review highlights the lack of knowledge about early prognostic factors in CRPS. A few putative prognostic factors were identified. Most of the moderate evidence is related to a single cohort. Future research is required to find out which patients are vulnerable to chronification.","container-title":"European Journal of Pain","DOI":"10.1002/ejp.2068","ISSN":"1532-2149","issue":"3","language":"en","license":"© 2022 European Pain Federation - EFIC ®.","note":"_eprint: https://onlinelibrary.wiley.com/doi/pdf/10.1002/ejp.2068","page":"338-352","source":"Wiley Online Library","title":"Biological and psychological early prognostic factors in complex regional pain syndrome: A systematic review","title-short":"Biological and psychological early prognostic factors in complex regional pain syndrome","volume":"27","author":[{"family":"Louis","given":"Marc-Henri"},{"family":"Meyer","given":"Caroline"},{"family":"Legrain","given":"Valéry"},{"family":"Berquin","given":"Anne"}],"issued":{"date-parts":[["2023"]]}}}],"schema":"https://github.com/citation-style-language/schema/raw/master/csl-citation.json"} </w:instrText>
      </w:r>
      <w:r w:rsidRPr="0FEC445E">
        <w:rPr>
          <w:rFonts w:ascii="Calibri" w:hAnsi="Calibri" w:eastAsia="Calibri" w:cs="Calibri"/>
          <w:sz w:val="24"/>
          <w:szCs w:val="24"/>
          <w:lang w:val="en-US"/>
        </w:rPr>
        <w:fldChar w:fldCharType="separate"/>
      </w:r>
      <w:r w:rsidRPr="0FEC445E">
        <w:rPr>
          <w:rFonts w:ascii="Calibri" w:hAnsi="Calibri" w:eastAsia="Calibri" w:cs="Calibri"/>
          <w:sz w:val="24"/>
          <w:szCs w:val="24"/>
          <w:lang w:val="en-US"/>
        </w:rPr>
        <w:fldChar w:fldCharType="end"/>
      </w:r>
      <w:r w:rsidRPr="0FEC445E" w:rsidR="785DDC7A">
        <w:rPr>
          <w:rFonts w:ascii="Calibri" w:hAnsi="Calibri" w:eastAsia="Calibri" w:cs="Calibri"/>
          <w:sz w:val="24"/>
          <w:szCs w:val="24"/>
          <w:lang w:val="en-US"/>
        </w:rPr>
        <w:t xml:space="preserve">In addition to </w:t>
      </w:r>
      <w:r w:rsidRPr="0FEC445E" w:rsidR="7E856F49">
        <w:rPr>
          <w:rFonts w:ascii="Calibri" w:hAnsi="Calibri" w:eastAsia="Calibri" w:cs="Calibri"/>
          <w:sz w:val="24"/>
          <w:szCs w:val="24"/>
          <w:lang w:val="en-US"/>
        </w:rPr>
        <w:t>a different (abnormal) inflammatory response</w:t>
      </w:r>
      <w:r w:rsidRPr="0FEC445E" w:rsidR="00204547">
        <w:rPr>
          <w:rFonts w:ascii="Calibri" w:hAnsi="Calibri" w:eastAsia="Calibri" w:cs="Calibri"/>
          <w:sz w:val="24"/>
          <w:szCs w:val="24"/>
          <w:lang w:val="en-US"/>
        </w:rPr>
        <w:t xml:space="preserve">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{"citationID":"e5UKjP3s","properties":{"formattedCitation":"(Ferraro et al., 2024)","plainCitation":"(Ferraro et al., 2024)","noteIndex":0},"citationItems":[{"id":204,"uris":["http://zotero.org/users/8514361/items/L4V25AMH"],"itemData":{"id":204,"type":"article-journal","container-title":"The Lancet Neurology","DOI":"10.1016/S1474-4422(24)00076-0","ISSN":"1474-4422, 1474-4465","issue":"5","journalAbbreviation":"The Lancet Neurology","language":"English","note":"publisher: Elsevier\nPMID: 38631768","page":"522-533","source":"www.thelancet.com","title":"Complex regional pain syndrome: advances in epidemiology, pathophysiology, diagnosis, and treatment","title-short":"Complex regional pain syndrome","volume":"23","author":[{"family":"Ferraro","given":"Michael C."},{"family":"O’Connell","given":"Neil E."},{"family":"Sommer","given":"Claudia"},{"family":"Goebel","given":"Andreas"},{"family":"Bultitude","given":"Janet H."},{"family":"Cashin","given":"Aidan G."},{"family":"Moseley","given":"G. Lorimer"},{"family":"McAuley","given":"James H."}],"issued":{"date-parts":[["2024",5,1]]}}}],"schema":"https://github.com/citation-style-language/schema/raw/master/csl-citation.json"} </w:instrText>
      </w:r>
      <w:r w:rsidRPr="0FEC445E">
        <w:rPr>
          <w:rFonts w:ascii="Calibri" w:hAnsi="Calibri" w:eastAsia="Calibri" w:cs="Calibri"/>
          <w:sz w:val="24"/>
          <w:szCs w:val="24"/>
          <w:lang w:val="en-US"/>
        </w:rPr>
        <w:fldChar w:fldCharType="separate"/>
      </w:r>
      <w:r w:rsidRPr="5045E0F5" w:rsidR="008425F7">
        <w:rPr>
          <w:rFonts w:ascii="Calibri" w:hAnsi="Calibri" w:cs="Calibri"/>
          <w:sz w:val="24"/>
          <w:szCs w:val="24"/>
        </w:rPr>
        <w:t>(Ferraro et al., 2024)</w:t>
      </w:r>
      <w:r w:rsidRPr="0FEC445E">
        <w:rPr>
          <w:rFonts w:ascii="Calibri" w:hAnsi="Calibri" w:eastAsia="Calibri" w:cs="Calibri"/>
          <w:sz w:val="24"/>
          <w:szCs w:val="24"/>
          <w:lang w:val="en-US"/>
        </w:rPr>
        <w:fldChar w:fldCharType="end"/>
      </w:r>
      <w:r w:rsidRPr="0FEC445E" w:rsidR="261A9C8F">
        <w:rPr>
          <w:rFonts w:ascii="Calibri" w:hAnsi="Calibri" w:eastAsia="Calibri" w:cs="Calibri"/>
          <w:sz w:val="24"/>
          <w:szCs w:val="24"/>
          <w:lang w:val="en-US"/>
        </w:rPr>
        <w:t xml:space="preserve">, </w:t>
      </w:r>
      <w:r w:rsidRPr="0FEC445E" w:rsidR="008E5344">
        <w:rPr>
          <w:rFonts w:ascii="Calibri" w:hAnsi="Calibri" w:eastAsia="Calibri" w:cs="Calibri"/>
          <w:sz w:val="24"/>
          <w:szCs w:val="24"/>
          <w:lang w:val="en-US"/>
        </w:rPr>
        <w:t xml:space="preserve">a greater implication of </w:t>
      </w:r>
      <w:r w:rsidRPr="0FEC445E" w:rsidR="00204547">
        <w:rPr>
          <w:rFonts w:ascii="Calibri" w:hAnsi="Calibri" w:eastAsia="Calibri" w:cs="Calibri"/>
          <w:sz w:val="24"/>
          <w:szCs w:val="24"/>
          <w:lang w:val="en-US"/>
        </w:rPr>
        <w:t xml:space="preserve">maladaptive neuroplasticity </w:t>
      </w:r>
      <w:r w:rsidRPr="0FEC445E" w:rsidR="219282EE">
        <w:rPr>
          <w:rFonts w:ascii="Calibri" w:hAnsi="Calibri" w:eastAsia="Calibri" w:cs="Calibri"/>
          <w:sz w:val="24"/>
          <w:szCs w:val="24"/>
          <w:lang w:val="en-US"/>
        </w:rPr>
        <w:t xml:space="preserve">might be hypothesized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{"citationID":"xlO88auv","properties":{"formattedCitation":"(Dimova et al., 2020)","plainCitation":"(Dimova et al., 2020)","noteIndex":0},"citationItems":[{"id":"jyRXZ8R7/XKxcKgDe","uris":["http://zotero.org/users/8777725/items/Y72WMAQV"],"itemData":{"id":783,"type":"article-journal","abstract":"OBJECTIVE: We pursued the hypothesis that complex regional pain syndrome (CRPS) signs observed by neurologic examination display a structure allowing for alignment of patients to particular phenotype clusters.\nMETHODS: Clinical examination data were obtained from 3 independent samples of 444, 391, and 202 patients with CRPS. The structure among CRPS signs was analyzed in sample 1 and validated with sample 2 using hierarchical clustering. For patients with CRPS in sample 3, an individual phenotype score was submitted to k-means clustering. Pain characteristics, quantitative sensory testing, and psychological data were tested in this sample as descriptors for phenotypes.\nRESULTS: A 2-cluster structure emerged in sample 1 and was replicated in sample 2. Cluster 1 comprised minor injury eliciting CRPS, motor signs, allodynia, and glove/stocking-like sensory deficits, resembling a CRPS phenotype most likely reflecting a CNS pathophysiology (the central phenotype). Cluster 2, which consisted of edema, skin color changes, skin temperature changes, sweating, and trophic changes, probably represents peripheral inflammation, the peripheral phenotype. In sample 3, individual phenotype scores were calculated as the sum of the mean values of signs from each cluster, where signs from cluster 1 were coded with 1 and from cluster 2 with -1. A k-means algorithm separated groups with 78, 36, and 88 members resembling the peripheral, central, and mixed phenotypes, respectively. The central phenotype was characterized by cold hyperalgesia at the affected limb.\nCONCLUSIONS: Statistically determined CRPS phenotypes may reflect major pathophysiologic mechanisms of peripheral inflammation and central reorganization.","container-title":"Neurology","DOI":"10.1212/WNL.0000000000008736","ISSN":"1526-632X","issue":"4","journalAbbreviation":"Neurology","language":"eng","note":"PMID: 31874923","page":"e357-e367","source":"PubMed","title":"Clinical phenotypes and classification algorithm for complex regional pain syndrome","volume":"94","author":[{"family":"Dimova","given":"Violeta"},{"family":"Herrnberger","given":"Myriam Selma"},{"family":"Escolano-Lozano","given":"Fabiola"},{"family":"Rittner","given":"Heike Lydia"},{"family":"Vlckova","given":"Eva"},{"family":"Sommer","given":"Claudia"},{"family":"Maihöfner","given":"Christian"},{"family":"Birklein","given":"Frank"}],"issued":{"date-parts":[["2020",1,28]]}}}],"schema":"https://github.com/citation-style-language/schema/raw/master/csl-citation.json"} </w:instrText>
      </w:r>
      <w:r w:rsidRPr="0FEC445E">
        <w:rPr>
          <w:rFonts w:ascii="Calibri" w:hAnsi="Calibri" w:eastAsia="Calibri" w:cs="Calibri"/>
          <w:sz w:val="24"/>
          <w:szCs w:val="24"/>
          <w:lang w:val="en-US"/>
        </w:rPr>
        <w:fldChar w:fldCharType="separate"/>
      </w:r>
      <w:r w:rsidRPr="5045E0F5" w:rsidR="008425F7">
        <w:rPr>
          <w:rFonts w:ascii="Calibri" w:hAnsi="Calibri" w:cs="Calibri"/>
          <w:sz w:val="24"/>
          <w:szCs w:val="24"/>
        </w:rPr>
        <w:t>(Dimova et al., 2020)</w:t>
      </w:r>
      <w:r w:rsidRPr="0FEC445E">
        <w:rPr>
          <w:rFonts w:ascii="Calibri" w:hAnsi="Calibri" w:eastAsia="Calibri" w:cs="Calibri"/>
          <w:sz w:val="24"/>
          <w:szCs w:val="24"/>
          <w:lang w:val="en-US"/>
        </w:rPr>
        <w:fldChar w:fldCharType="end"/>
      </w:r>
      <w:r w:rsidRPr="0FEC445E" w:rsidR="00ED1229">
        <w:rPr>
          <w:rFonts w:ascii="Calibri" w:hAnsi="Calibri" w:eastAsia="Calibri" w:cs="Calibri"/>
          <w:sz w:val="24"/>
          <w:szCs w:val="24"/>
          <w:lang w:val="en-US"/>
        </w:rPr>
        <w:t xml:space="preserve"> in </w:t>
      </w:r>
      <w:r w:rsidRPr="0FEC445E" w:rsidR="142BB17A">
        <w:rPr>
          <w:rFonts w:ascii="Calibri" w:hAnsi="Calibri" w:eastAsia="Calibri" w:cs="Calibri"/>
          <w:sz w:val="24"/>
          <w:szCs w:val="24"/>
          <w:lang w:val="en-US"/>
        </w:rPr>
        <w:t xml:space="preserve">severe </w:t>
      </w:r>
      <w:r w:rsidRPr="0FEC445E" w:rsidR="00ED1229">
        <w:rPr>
          <w:rFonts w:ascii="Calibri" w:hAnsi="Calibri" w:eastAsia="Calibri" w:cs="Calibri"/>
          <w:sz w:val="24"/>
          <w:szCs w:val="24"/>
          <w:lang w:val="en-US"/>
        </w:rPr>
        <w:t>CRPS following low</w:t>
      </w:r>
      <w:r w:rsidRPr="0FEC445E" w:rsidR="6890FF4F">
        <w:rPr>
          <w:rFonts w:ascii="Calibri" w:hAnsi="Calibri" w:eastAsia="Calibri" w:cs="Calibri"/>
          <w:sz w:val="24"/>
          <w:szCs w:val="24"/>
          <w:lang w:val="en-US"/>
        </w:rPr>
        <w:t xml:space="preserve"> intensity</w:t>
      </w:r>
      <w:r w:rsidRPr="0FEC445E" w:rsidR="00ED1229">
        <w:rPr>
          <w:rFonts w:ascii="Calibri" w:hAnsi="Calibri" w:eastAsia="Calibri" w:cs="Calibri"/>
          <w:sz w:val="24"/>
          <w:szCs w:val="24"/>
          <w:lang w:val="en-US"/>
        </w:rPr>
        <w:t xml:space="preserve"> trauma</w:t>
      </w:r>
      <w:r w:rsidRPr="0FEC445E" w:rsidR="261A9C8F">
        <w:rPr>
          <w:rFonts w:ascii="Calibri" w:hAnsi="Calibri" w:eastAsia="Calibri" w:cs="Calibri"/>
          <w:sz w:val="24"/>
          <w:szCs w:val="24"/>
          <w:lang w:val="en-US"/>
        </w:rPr>
        <w:t xml:space="preserve">. </w:t>
      </w:r>
      <w:r w:rsidRPr="0FEC445E" w:rsidR="00F5338B">
        <w:rPr>
          <w:rFonts w:ascii="Calibri" w:hAnsi="Calibri" w:eastAsia="Calibri" w:cs="Calibri"/>
          <w:sz w:val="24"/>
          <w:szCs w:val="24"/>
          <w:lang w:val="en-US"/>
        </w:rPr>
        <w:t>I</w:t>
      </w:r>
      <w:r w:rsidRPr="0FEC445E" w:rsidR="339FA273">
        <w:rPr>
          <w:rFonts w:ascii="Calibri" w:hAnsi="Calibri" w:eastAsia="Calibri" w:cs="Calibri"/>
          <w:sz w:val="24"/>
          <w:szCs w:val="24"/>
          <w:lang w:val="en-US"/>
        </w:rPr>
        <w:t xml:space="preserve">t should be noted </w:t>
      </w:r>
      <w:r w:rsidRPr="0FEC445E" w:rsidR="002F76AB">
        <w:rPr>
          <w:rFonts w:ascii="Calibri" w:hAnsi="Calibri" w:eastAsia="Calibri" w:cs="Calibri"/>
          <w:sz w:val="24"/>
          <w:szCs w:val="24"/>
          <w:lang w:val="en-US"/>
        </w:rPr>
        <w:t>however</w:t>
      </w:r>
      <w:r w:rsidRPr="0FEC445E" w:rsidR="339FA273">
        <w:rPr>
          <w:rFonts w:ascii="Calibri" w:hAnsi="Calibri" w:eastAsia="Calibri" w:cs="Calibri"/>
          <w:sz w:val="24"/>
          <w:szCs w:val="24"/>
          <w:lang w:val="en-US"/>
        </w:rPr>
        <w:t xml:space="preserve"> that other studies showed a positive association between the physical intensity of the trauma and the severity of the outcomes</w:t>
      </w:r>
      <w:r w:rsidRPr="0FEC445E" w:rsidR="339FA273">
        <w:rPr>
          <w:rFonts w:eastAsiaTheme="minorEastAsia"/>
          <w:sz w:val="24"/>
          <w:szCs w:val="24"/>
          <w:lang w:val="en-US"/>
        </w:rPr>
        <w:t xml:space="preserve"> </w:t>
      </w:r>
      <w:r w:rsidRPr="0FEC445E">
        <w:rPr>
          <w:rFonts w:eastAsiaTheme="minorEastAsia"/>
          <w:lang w:val="en-US"/>
        </w:rPr>
        <w:fldChar w:fldCharType="begin"/>
      </w:r>
      <w:r w:rsidR="00A03CF2">
        <w:rPr>
          <w:rFonts w:eastAsiaTheme="minorEastAsia"/>
          <w:lang w:val="en-US"/>
        </w:rPr>
        <w:instrText xml:space="preserve"> ADDIN ZOTERO_ITEM CSL_CITATION {"citationID":"0rwItPT2","properties":{"formattedCitation":"(Louis et al., 2023)","plainCitation":"(Louis et al., 2023)","noteIndex":0},"citationItems":[{"id":111,"uris":["http://zotero.org/users/8514361/items/UPBCVXCA"],"itemData":{"id":111,"type":"article-journal","abstract":"Background and objective Several risk factors for the onset of CRPS have been found, but evidence for prognostic factors associated with the progression of this condition remains sparse. However, the detection and management of these factors are necessary to design secondary prevention strategies. The objective of this systematic review was to identify prognostic factors in adult individuals with early CRPS. Database and data treatment PubMed, Embase, PsycINFO, Cochrane Library and Scopus, were published between January 1990 and November 2021. Two independent investigators selected cross-sectional and longitudinal studies looking at early (&lt;12 weeks from onset) prognostic factors for pain, CRPS severity score, disability, return to work, or quality of life. The quality in prognostic studies (QUIPS) tool was used to assess the risk of bias. A qualitative meta-synthesis was performed. Results Out of 4652 different articles, six studies met the inclusion criteria. We identified 21 early factors associated with a poorer prognosis in type I CRPS. We found moderate evidence to support six of them: higher pain intensity, self-rated disability, anxiety, pain-related fear, being a female and high-energy triggering event. Only two studies had an overall low risk of bias. Conclusions This study showed an important lack of information on early prognostic factors in CRPS. Only one article investigated the link with psychological characteristics. There is a crucial need for larger studies, with a well-defined population using validated measures. Significance This systematic review highlights the lack of knowledge about early prognostic factors in CRPS. A few putative prognostic factors were identified. Most of the moderate evidence is related to a single cohort. Future research is required to find out which patients are vulnerable to chronification.","container-title":"European Journal of Pain","DOI":"10.1002/ejp.2068","ISSN":"1532-2149","issue":"3","language":"en","license":"© 2022 European Pain Federation - EFIC ®.","note":"_eprint: https://onlinelibrary.wiley.com/doi/pdf/10.1002/ejp.2068","page":"338-352","source":"Wiley Online Library","title":"Biological and psychological early prognostic factors in complex regional pain syndrome: A systematic review","title-short":"Biological and psychological early prognostic factors in complex regional pain syndrome","volume":"27","author":[{"family":"Louis","given":"Marc-Henri"},{"family":"Meyer","given":"Caroline"},{"family":"Legrain","given":"Valéry"},{"family":"Berquin","given":"Anne"}],"issued":{"date-parts":[["2023"]]}}}],"schema":"https://github.com/citation-style-language/schema/raw/master/csl-citation.json"} </w:instrText>
      </w:r>
      <w:r w:rsidRPr="0FEC445E">
        <w:rPr>
          <w:rFonts w:eastAsiaTheme="minorEastAsia"/>
          <w:lang w:val="en-US"/>
        </w:rPr>
        <w:fldChar w:fldCharType="separate"/>
      </w:r>
      <w:r w:rsidRPr="5045E0F5" w:rsidR="008425F7">
        <w:rPr>
          <w:rFonts w:ascii="Calibri" w:hAnsi="Calibri" w:cs="Calibri"/>
          <w:sz w:val="24"/>
          <w:szCs w:val="24"/>
        </w:rPr>
        <w:t>(Louis et al., 2023)</w:t>
      </w:r>
      <w:r w:rsidRPr="0FEC445E">
        <w:rPr>
          <w:rFonts w:eastAsiaTheme="minorEastAsia"/>
          <w:lang w:val="en-US"/>
        </w:rPr>
        <w:fldChar w:fldCharType="end"/>
      </w:r>
      <w:r w:rsidRPr="0FEC445E" w:rsidR="339FA273">
        <w:rPr>
          <w:rFonts w:eastAsiaTheme="minorEastAsia"/>
          <w:sz w:val="24"/>
          <w:szCs w:val="24"/>
          <w:lang w:val="en-US"/>
        </w:rPr>
        <w:t xml:space="preserve"> or the risk of CRPS </w:t>
      </w:r>
      <w:r w:rsidRPr="0FEC445E" w:rsidR="339FA273">
        <w:rPr>
          <w:rFonts w:ascii="Calibri" w:hAnsi="Calibri" w:eastAsia="Calibri" w:cs="Calibri"/>
          <w:sz w:val="24"/>
          <w:szCs w:val="24"/>
          <w:lang w:val="en-US"/>
        </w:rPr>
        <w:t>incidence</w:t>
      </w:r>
      <w:r w:rsidR="00D55AFE">
        <w:rPr>
          <w:rFonts w:ascii="Calibri" w:hAnsi="Calibri" w:eastAsia="Calibri" w:cs="Calibri"/>
          <w:sz w:val="24"/>
          <w:szCs w:val="24"/>
          <w:lang w:val="en-US"/>
        </w:rPr>
        <w:t xml:space="preserve"> </w:t>
      </w:r>
      <w:r w:rsidRPr="0FEC445E" w:rsidR="00D55AF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{"citationID":"lGnGdCsa","properties":{"formattedCitation":"(Lorente et al., 2023; Parkitny et al., 2022; Pons et al., 2015; Roh et al., 2014)","plainCitation":"(Lorente et al., 2023; Parkitny et al., 2022; Pons et al., 2015; Roh et al., 2014)","noteIndex":0},"citationItems":[{"id":96,"uris":["http://zotero.org/users/8514361/items/6B2ZRS2U"],"itemData":{"id":96,"type":"article-journal","abstract":"PURPOSE: This meta-analysis aimed to evaluate the incidence and risk factors for complex regional pain syndrome (CRPS) in radius fractures.\nMETHODS: The meta-analysis was performed using the PubMed, Embase, Scopus, and Cochrane Collaboration Library databases. Studies focusing on patients with conservative or surgically treated radius fractures leading to CRPS were included. A control group consisting of patients with radius fractures and no CRPS (-) was included. The outcome measures were incidence and risk factors. Comparative studies were also included. Data were combined using Review Manager 5.4.\nRESULTS: Out of 610 studies, nine studies were included. The incidence of CRPS after radius fractures ranged from 0.19 to 13.63% (95% CI: 11.12-16.15%). Open fractures, high-energy mechanisms in radial head fractures, and associations with ulnar fractures were risk factors for CRPS [(RR: 0.98; 95% CI: 0.97-1.00), (RR: 0.18; 95% CI: 0.07-0.47), and (RR: 1.25; 95% CI: 1.17-1.35), respectively]. Other risk factors were female sex and high body mass index [(RR: 1.20; 95% CI: 1.05-1.37) and (MD: 1.17; 95% CI: 0.45-1.88)]. Psychiatric factors also increased the incidence of CRPS (RR: 2.04; 95% CI: 1.83-2.28). On the other hand, the type of surgery (external fixation or open reduction and internal fixation) and manipulations; associated comorbidities (diabetes and hypertension) together with tobacco and alcohol abuse; marital status, educational level, employment status, and socioeconomic status were not risk factors (p &gt; 0.05).\nCONCLUSION: The incidence of CRPS in radius fractures was 13.63%. Fractures with greater complexity or greater associated tissue damage, female sex, high BMI, and psychiatric disorders were risk factors for the development of CRPS.\nLEVEL OF EVIDENCE: Meta-analysis of cohort and case series studies; II.","container-title":"Archives of Orthopaedic and Trauma Surgery","DOI":"10.1007/s00402-023-04909-8","ISSN":"1434-3916","issue":"9","journalAbbreviation":"Arch Orthop Trauma Surg","language":"eng","note":"PMID: 37209231","page":"5687-5699","source":"PubMed","title":"Incidence and risk factors for complex regional pain syndrome in radius fractures: meta-analysis","title-short":"Incidence and risk factors for complex regional pain syndrome in radius fractures","volume":"143","author":[{"family":"Lorente","given":"Alejandro"},{"family":"Mariscal","given":"Gonzalo"},{"family":"Lorente","given":"Rafael"}],"issued":{"date-parts":[["2023",9]]}}},{"id":208,"uris":["http://zotero.org/users/8514361/items/5QM7L92V"],"itemData":{"id":208,"type":"article-journal","abstract":"BACKGROUND: Complex Regional Pain Syndrome (CRPS) is a disabling pain disorder that is most common after a distal limb fracture. While the acute systemic immune response to the injury is thought to play a role in the development of CRPS, this hypothesis has never been tested directly. Thus, we evaluated whether elevated levels of circulating pro-inflammatory cytokines early after a fracture were associated with the development of CRPS.\nMETHODS: We conducted a case-control study nested within a prospective cohort study. Individuals with wrist and/or hand fractures were recruited from specialist hand units. Baseline clinical data were obtained from participants within 28 days of fracture. CRPS status was determined 16 weeks after the fracture using a two-stage diagnostic process. Cytokine assays were obtained from all cases (defined using the Budapest criteria) and a random sample of those who did not have CRPS at 16 weeks. We calculated odds ratios with 95% confidence intervals to determine the risk of CRPS associated with the expression of each of 25 cytokines.\nRESULTS: Baseline data were collected for 702 consenting participants, of whom 535 provided blood samples. Follow-up at 16 weeks was 97.2%. 15 (2.2% of the cohort) met the Budapest CRPS criteria and 69 (including those who met the Budapest criteria; 9.8%) met the International Association for the Study of Pain (IASP) CRPS criteria. In all of the primary analyses (using Budapest criteria) and 49/50 secondary analyses (using IASP criteria), 95% confidence intervals for the association between cytokine levels and the risk of subsequently developing CRPS included the null value (OR = 1). However, the confidence intervals were wide.\nCONCLUSION: There was no evidence that early post-injury expression of systemic cytokines was associated with a CRPS diagnosis 16 weeks after injury. This study does not provide support for the hypothesis that innate immune activation has a determinative role in the development of CRPS.","container-title":"BMC neurology","DOI":"10.1186/s12883-022-02910-z","ISSN":"1471-2377","issue":"1","journalAbbreviation":"BMC Neurol","language":"eng","note":"PMID: 36224537\nPMCID: PMC9555076","page":"385","source":"PubMed","title":"Post-fracture serum cytokine levels are not associated with a later diagnosis of complex regional pain syndrome: a case-control study nested in a prospective cohort study","title-short":"Post-fracture serum cytokine levels are not associated with a later diagnosis of complex regional pain syndrome","volume":"22","author":[{"family":"Parkitny","given":"Luke"},{"family":"McAuley","given":"James H."},{"family":"Herbert","given":"Robert D."},{"family":"Di Pietro","given":"Flavia"},{"family":"Cashin","given":"Aidan G."},{"family":"Ferraro","given":"Michael C."},{"family":"Moseley","given":"G. Lorimer"}],"issued":{"date-parts":[["2022",10,12]]}}},{"id":207,"uris":["http://zotero.org/users/8514361/items/WZC8TN8S"],"itemData":{"id":207,"type":"article-journal","abstract":"Anaesthetists in the acute and chronic pain teams are often involved in treating Complex Regional Pain Syndromes. Current literature about the risk factors for the onset of Complex Regional Pain Syndrome Type 1 (CRPS 1) remains sparse. This syndrome has a low prevalence, a highly variable presentation, and no gold standard for diagnosis. In the research setting, the pathogenesis of the syndrome continues to be elusive. There is a growing body of literature that addresses efficacy of a wide range of interventions as well as the likely mechanisms that contribute to the onset of CRPS 1. The objective for this systematic search of the literature focuses on determining the potential risk factors for the onset of CRPS 1. Eligible articles were analysed, dated 1996 to April 2014, and potential risk factors for the onset of CRPS 1 were identified from 10 prospective and 6 retrospective studies. Potential risk factors for the onset of CRPS 1 were found to include being female, particularly postmenopausal female, ankle dislocation or intra-articular fracture, immobilisation, and a report of higher than usual levels of pain in the early phases of trauma. It is not possible to draw definite conclusions as this evidence is heterogeneous and of mixed quality, relevance, and weighting strength against bias and has not been confirmed across multiple trials or in homogenous studies.","container-title":"Anesthesiology Research and Practice","DOI":"10.1155/2015/956539","ISSN":"1687-6962","journalAbbreviation":"Anesthesiol Res Pract","note":"PMID: 25688265\nPMCID: PMC4321092","page":"956539","source":"PubMed Central","title":"Potential Risk Factors for the Onset of Complex Regional Pain Syndrome Type 1: A Systematic Literature Review","title-short":"Potential Risk Factors for the Onset of Complex Regional Pain Syndrome Type 1","volume":"2015","author":[{"family":"Pons","given":"Tracey"},{"family":"Shipton","given":"Edward A."},{"family":"Williman","given":"Jonathan"},{"family":"Mulder","given":"Roger T."}],"issued":{"date-parts":[["2015"]]}}},{"id":209,"uris":["http://zotero.org/users/8514361/items/DEALYCLV"],"itemData":{"id":209,"type":"article-journal","abstract":"PURPOSE: Wrist fracture is considered a typical initiating trauma for complex regional pain syndrome type I (CRPS I). However, few studies have comprehensively evaluated factors associated with the occurrence of CRPS I after the surgical treatment of a distal radius fracture (DRF). This study evaluates the factors influencing the occurrence of CRPS I after the surgical treatment of a DRF.\nMETHODS: A total of 477 patients with a DRF who had been treated surgically were enrolled in this prospective observational study. Patients were followed for 6 months after surgery, and CRPS I was diagnosed using the Budapest diagnostic criteria for research. The factors assessed for the development of CPRS I were age, gender, the body mass index, the type of fracture, the energy of trauma, the number of trial reductions, the type of surgery, and the duration of immobilization. A multivariate logistic regression analysis was conducted to identify independent predictors of the occurrence of CRPS I.\nRESULTS: Among the 477 patients, 42 (8.8 %) satisfied the Budapest criteria for CRPS I within 6 months of surgery. Female patients de</w:instrText>
      </w:r>
      <w:r w:rsidRPr="0075699E" w:rsidR="00A03CF2">
        <w:rPr>
          <w:rFonts w:ascii="Calibri" w:hAnsi="Calibri" w:eastAsia="Calibri" w:cs="Calibri"/>
          <w:sz w:val="24"/>
          <w:szCs w:val="24"/>
        </w:rPr>
        <w:instrText xml:space="preserve">veloped CRPS I more frequently, and the patients who developed CRPS I were older and more likely to sustain a high energy injury or have a comminuted fracture. According to the multivariate analysis, female patients and those with a high energy trauma or severe fracture type were significantly more likely to develop CRPS I (p = 0.02, 0.01, and 0.01, respectively).\nCONCLUSIONS: High energy injuries, severe fractures, and the female gender contribute to the development of CRPS I after the surgical treatment of DRF. The results have important implications for physicians who wish to identify patients at high risk for CRPS I after operative fixation for DRF and instigate treatment accordingly.","container-title":"Archives of Orthopaedic and Trauma Surgery","DOI":"10.1007/s00402-014-2094-5","ISSN":"1434-3916","issue":"12","journalAbbreviation":"Arch Orthop Trauma Surg","language":"eng","note":"PMID: 25311113","page":"1775-1781","source":"PubMed","title":"Factors associated with complex regional pain syndrome type I in patients with surgically treated distal radius fracture","volume":"134","author":[{"family":"Roh","given":"Young Hak"},{"family":"Lee","given":"Beom Koo"},{"family":"Noh","given":"Jung Ho"},{"family":"Baek","given":"Jong Ryoon"},{"family":"Oh","given":"Joo Han"},{"family":"Gong","given":"Hyun Sik"},{"family":"Baek","given":"Goo Hyun"}],"issued":{"date-parts":[["2014",12]]}}}],"schema":"https://github.com/citation-style-language/schema/raw/master/csl-citation.json"} </w:instrText>
      </w:r>
      <w:r w:rsidRPr="0FEC445E" w:rsidR="00D55AFE">
        <w:rPr>
          <w:rFonts w:ascii="Calibri" w:hAnsi="Calibri" w:eastAsia="Calibri" w:cs="Calibri"/>
          <w:sz w:val="24"/>
          <w:szCs w:val="24"/>
          <w:lang w:val="en-US"/>
        </w:rPr>
        <w:fldChar w:fldCharType="separate"/>
      </w:r>
      <w:r w:rsidRPr="0075699E" w:rsidR="00D55AFE">
        <w:rPr>
          <w:rFonts w:ascii="Calibri" w:hAnsi="Calibri" w:cs="Calibri"/>
          <w:sz w:val="24"/>
          <w:szCs w:val="24"/>
        </w:rPr>
        <w:t xml:space="preserve">(Lorente et al., 2023; </w:t>
      </w:r>
      <w:proofErr w:type="spellStart"/>
      <w:r w:rsidRPr="0075699E" w:rsidR="00D55AFE">
        <w:rPr>
          <w:rFonts w:ascii="Calibri" w:hAnsi="Calibri" w:cs="Calibri"/>
          <w:sz w:val="24"/>
          <w:szCs w:val="24"/>
        </w:rPr>
        <w:t>Parkitny</w:t>
      </w:r>
      <w:proofErr w:type="spellEnd"/>
      <w:r w:rsidRPr="0075699E" w:rsidR="00D55AFE">
        <w:rPr>
          <w:rFonts w:ascii="Calibri" w:hAnsi="Calibri" w:cs="Calibri"/>
          <w:sz w:val="24"/>
          <w:szCs w:val="24"/>
        </w:rPr>
        <w:t xml:space="preserve"> et al., 2022; Pons et al., </w:t>
      </w:r>
      <w:r w:rsidRPr="0075699E" w:rsidR="00D55AFE">
        <w:rPr>
          <w:rFonts w:ascii="Calibri" w:hAnsi="Calibri" w:cs="Calibri"/>
          <w:sz w:val="24"/>
          <w:szCs w:val="24"/>
        </w:rPr>
        <w:lastRenderedPageBreak/>
        <w:t xml:space="preserve">2015; </w:t>
      </w:r>
      <w:proofErr w:type="spellStart"/>
      <w:r w:rsidRPr="0075699E" w:rsidR="00D55AFE">
        <w:rPr>
          <w:rFonts w:ascii="Calibri" w:hAnsi="Calibri" w:cs="Calibri"/>
          <w:sz w:val="24"/>
          <w:szCs w:val="24"/>
        </w:rPr>
        <w:t>Roh</w:t>
      </w:r>
      <w:proofErr w:type="spellEnd"/>
      <w:r w:rsidRPr="0075699E" w:rsidR="00D55AFE">
        <w:rPr>
          <w:rFonts w:ascii="Calibri" w:hAnsi="Calibri" w:cs="Calibri"/>
          <w:sz w:val="24"/>
          <w:szCs w:val="24"/>
        </w:rPr>
        <w:t xml:space="preserve"> et al., 2014)</w:t>
      </w:r>
      <w:r w:rsidRPr="0FEC445E" w:rsidR="00D55AFE">
        <w:rPr>
          <w:rFonts w:ascii="Calibri" w:hAnsi="Calibri" w:eastAsia="Calibri" w:cs="Calibri"/>
          <w:sz w:val="24"/>
          <w:szCs w:val="24"/>
          <w:lang w:val="en-US"/>
        </w:rPr>
        <w:fldChar w:fldCharType="end"/>
      </w:r>
      <w:r w:rsidRPr="0075699E" w:rsidR="339FA273">
        <w:rPr>
          <w:rFonts w:ascii="Calibri" w:hAnsi="Calibri" w:eastAsia="Calibri" w:cs="Calibri"/>
          <w:sz w:val="24"/>
          <w:szCs w:val="24"/>
        </w:rPr>
        <w:t>.</w:t>
      </w:r>
      <w:r w:rsidRPr="0075699E" w:rsidR="339FA273">
        <w:rPr>
          <w:rFonts w:eastAsiaTheme="minorEastAsia"/>
          <w:sz w:val="24"/>
          <w:szCs w:val="24"/>
        </w:rPr>
        <w:t xml:space="preserve"> </w:t>
      </w:r>
      <w:r w:rsidRPr="0FEC445E" w:rsidR="77E880A9">
        <w:rPr>
          <w:rFonts w:eastAsiaTheme="minorEastAsia"/>
          <w:sz w:val="24"/>
          <w:szCs w:val="24"/>
          <w:lang w:val="en-US"/>
        </w:rPr>
        <w:t>Third</w:t>
      </w:r>
      <w:r w:rsidRPr="0FEC445E" w:rsidR="57888526">
        <w:rPr>
          <w:rFonts w:eastAsiaTheme="minorEastAsia"/>
          <w:sz w:val="24"/>
          <w:szCs w:val="24"/>
          <w:lang w:val="en-US"/>
        </w:rPr>
        <w:t xml:space="preserve">, </w:t>
      </w:r>
      <w:r w:rsidRPr="0FEC445E" w:rsidR="23EE5EB9">
        <w:rPr>
          <w:rFonts w:ascii="Calibri" w:hAnsi="Calibri" w:eastAsia="Calibri" w:cs="Calibri"/>
          <w:sz w:val="24"/>
          <w:szCs w:val="24"/>
          <w:lang w:val="en-US"/>
        </w:rPr>
        <w:t xml:space="preserve">the </w:t>
      </w:r>
      <w:r w:rsidRPr="0FEC445E" w:rsidR="1A6BB50D">
        <w:rPr>
          <w:rFonts w:ascii="Calibri" w:hAnsi="Calibri" w:eastAsia="Calibri" w:cs="Calibri"/>
          <w:sz w:val="24"/>
          <w:szCs w:val="24"/>
          <w:lang w:val="en-US"/>
        </w:rPr>
        <w:t xml:space="preserve">presence </w:t>
      </w:r>
      <w:r w:rsidRPr="0FEC445E" w:rsidR="23EE5EB9">
        <w:rPr>
          <w:rFonts w:ascii="Calibri" w:hAnsi="Calibri" w:eastAsia="Calibri" w:cs="Calibri"/>
          <w:sz w:val="24"/>
          <w:szCs w:val="24"/>
          <w:lang w:val="en-US"/>
        </w:rPr>
        <w:t>of allodynia</w:t>
      </w:r>
      <w:r w:rsidRPr="0FEC445E" w:rsidR="69962DBF">
        <w:rPr>
          <w:rFonts w:ascii="Calibri" w:hAnsi="Calibri" w:eastAsia="Calibri" w:cs="Calibri"/>
          <w:sz w:val="24"/>
          <w:szCs w:val="24"/>
          <w:lang w:val="en-US"/>
        </w:rPr>
        <w:t xml:space="preserve"> might indicate central sensitization</w:t>
      </w:r>
      <w:r w:rsidRPr="0FEC445E" w:rsidR="00E700A1">
        <w:rPr>
          <w:rFonts w:ascii="Calibri" w:hAnsi="Calibri" w:eastAsia="Calibri" w:cs="Calibri"/>
          <w:sz w:val="24"/>
          <w:szCs w:val="24"/>
          <w:lang w:val="en-US"/>
        </w:rPr>
        <w:t xml:space="preserve">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{"citationID":"1ED0gm8a","properties":{"formattedCitation":"(Cohen et al., 2013; Maih\\uc0\\u246{}fner et al., 2006; Woolf, 2011)","plainCitation":"(Cohen et al., 2013; Maihöfner et al., 2006; Woolf, 2011)","noteIndex":0},"citationItems":[{"id":248,"uris":["http://zotero.org/users/8514361/items/YP6HBIRZ"],"itemData":{"id":248,"type":"article-journal","abstract":"Background Unusual symptoms such as digit misidentification and neglect-like phenomena have been reported in complex regional pain syndrome (CRPS), which we hypothesized could be explained by parietal lobe dysfunction. Methods Twenty-two patients with chronic CRPS attending an in-patient rehabilitation programme underwent standard neurological examination followed by clinical assessment of parietal lobe function and detailed sensory testing. Results Fifteen (68%) patients had evidence of parietal lobe dysfunction. Six (27%) subjects failed six or more test categories and demonstrated new clinical signs consistent with their parietal testing impairments, which were impacting significantly on activities of daily living. A higher incidence was noted in subjects with &gt;1 limb involvement, CRPS affecting the dominant side and in left-handed subjects. Eighteen patients (82%) had mechanical allodynia covering 3–57.5% of the body surface area. Allochiria (unilateral tactile stimulation perceived only in the analogous location on the opposite limb), sensory extinction (concurrent bilateral tactile stimulation perceived only in one limb), referred sensations (unilateral tactile stimulation perceived concurrently in another discrete body area) and dysynchiria (unilateral non-noxious tactile stimulation perceived bilaterally as noxious) were present in some patients. Greater extent of body surface allodynia was correlated with worse parietal function (Spearman's rho = −0.674, p = 0.001). Conclusion In patients with chronic CRPS, detailed clinical examination may reveal parietal dysfunction, with severity relating to the extent of allodynia.","container-title":"European Journal of Pain","DOI":"10.1002/j.1532-2149.2012.00213.x","ISSN":"1532-2149","issue":"4","language":"en","license":"© 2012 European Federation of International Association for the Study of Pain Chapters","note":"_eprint: https://onlinelibrary.wiley.com/doi/pdf/10.1002/j.1532-2149.2012.00213.x","page":"527-538","source":"Wiley Online Library","title":"Clinical evidence of parietal cortex dysfunction and correlation with extent of allodynia in CRPS type 1","volume":"17","author":[{"family":"Cohen","given":"H."},{"family":"McCabe","given":"C."},{"family":"Harris","given":"N."},{"family":"Hall","given":"J."},{"family":"Lewis","given":"J."},{"family":"Blake","given":"D.r."}],"issued":{"date-parts":[["2013"]]}}},{"id":249,"uris":["http://zotero.org/users/8514361/items/8SNAUQBY"],"itemData":{"id":249,"type":"article-journal","abstract":"OBJECTIVE: To investigate cerebral activations underlying touch-evoked pain (dynamic-mechanical allodynia) in patients with neuropathic pain.\nMETHODS: fMRI was used in 12 patients with complex regional pain syndromes (CRPSs). Allodynia was elicited by gently brushing the affected CRPS hand. Elicited pain ratings were recorded online to obtain pain-weighted predictors. Both activations and deactivations of blood oxygenation level-dependent signals were investigated.\nRESULTS: Nonpainful stimulation on the nonaffected hand activated contralateral primary somatosensory cortex (S1), bilateral insula, and secondary somatosensory cortices (S2). In contrast, allodynia led to widespread cerebral activations, including contralateral S1 and motor cortex (M1), parietal association cortices (PA), bilateral S2, insula, frontal cortices, and both anterior and posterior parts of the cingulate cortex (aACC and pACC). Deactivations were detected in the visual, vestibular, and temporal cortices. When rating-weighted predictors were implemented, only few activations remained (S1/PA cortex, bilateral S2/insular cortices, pACC).\nCONCLUSIONS: Allodynic stimulation recruits a complex cortical network. Activations include not only nociceptive but also motor and cognitive processing. Using a covariance approach (i.e., implementation of rating-weighted predictors) facilitates the detection of a neuronal matrix involved in the encoding of allodynia. The pattern of cortical deactivation during allodynia may hint at a shift of activation from tonically active sensory systems, like visual and vestibular cortices, into somatosensory-related brain areas.","container-title":"Neurology","DOI":"10.1212/01.wnl.0000200961.49114.39","ISSN":"1526-632X","issue":"5","journalAbbreviation":"Neurology","language":"eng","note":"PMID: 16534108","page":"711-717","source":"PubMed","title":"Functional imaging of allodynia in complex regional pain syndrome","volume":"66","author":[{"family":"Maihöfner","given":"Christian"},{"family":"Handwerker","given":"Hermann O."},{"family":"Birklein","given":"Frank"}],"issued":{"date-parts":[["2006",3,14]]}}},{"id":247,"uris":["http://zotero.org/users/8514361/items/7QVF4M5H"],"itemData":{"id":247,"type":"article-journal","abstract":"Nociceptor inputs can trigger a prolonged but reversible increase in the excitability and synaptic efficacy of neurons in central nociceptive pathways, the phenomenon of central sensitization. Central sensitization manifests as pain hypersensitivity, particularly dynamic tactile allodynia, secondary punctate or pressure hyperalgesia, aftersensations, and enhanced temporal summation. It can be readily and rapidly elicited in human volunteers by diverse experimental noxious conditioning stimuli to skin, muscles or viscera, and in addition to producing pain hypersensitivity, results in secondary changes in brain activity that can be detected by electrophysiological or imaging techniques. Studies in clinical cohorts reveal changes in pain sensitivity that have been interpreted as revealing an important contribution of central sensitization to the pain phenotype in patients with fibromyalgia, osteoarthritis, musculoskeletal disorders with generalized pain hypersensitivity, headache, temporomandibular joint disorders, dental pain, neuropathic pain, visceral pain hypersensitivity disorders and postsurgical pain. The comorbidity of those pain hypersensitivity syndromes that present in the absence of inflammation or a neural lesion, their similar pattern of clinical presentation and response to centrally acting analgesics, may reflect a commonality of central sensitization to their pathophysiology. An important question that still needs to be determined is whether there are individuals with a higher inherited propensity for developing central sensitization than others, and if so, whether this conveys an increased risk both of developing conditions with pain hypersensitivity, and their chronification. Diagnostic criteria to establish the presence of central sensitization in patients will greatly assist the phenotyping of patients for choosing treatments that produce analgesia by normalizing hyperexcitable central neural activity. We have certainly come a long way since the first discovery of activity-dependent synaptic plasticity in the spinal cord and the revelation that it occurs and produces pain hypersensitivity in patients. Nevertheless, discovering the genetic and environmental contributors to and objective biomarkers of central sensitization will be highly beneficial, as will additional treatment options to prevent or reduce this prevalent and promiscuous form of pain plasticity.","container-title":"Pain","DOI":"10.1016/j.pain.2010.09.030","ISSN":"0304-3959","issue":"3 Suppl","journalAbbreviation":"Pain","note":"PMID: 20961685\nPMCID: PMC3268359","page":"S2-15","source":"PubMed Central","title":"Central sensitization: Implications for the diagnosis and treatment of pain","title-short":"Central sensitization","volume":"152","author":[{"family":"Woolf","given":"Clifford J"}],"issued":{"date-parts":[["2011",3]]}}}],"schema":"https://github.com/citation-style-language/schema/raw/master/csl-citation.json"} </w:instrText>
      </w:r>
      <w:r w:rsidRPr="0FEC445E">
        <w:rPr>
          <w:rFonts w:ascii="Calibri" w:hAnsi="Calibri" w:eastAsia="Calibri" w:cs="Calibri"/>
          <w:sz w:val="24"/>
          <w:szCs w:val="24"/>
          <w:lang w:val="en-US"/>
        </w:rPr>
        <w:fldChar w:fldCharType="separate"/>
      </w:r>
      <w:r w:rsidRPr="5045E0F5" w:rsidR="008425F7">
        <w:rPr>
          <w:rFonts w:ascii="Calibri" w:hAnsi="Calibri" w:cs="Calibri"/>
          <w:sz w:val="24"/>
          <w:szCs w:val="24"/>
        </w:rPr>
        <w:t>(Cohen et al., 2013; Maihöfner et al., 2006; Woolf, 2011)</w:t>
      </w:r>
      <w:r w:rsidRPr="0FEC445E">
        <w:rPr>
          <w:rFonts w:ascii="Calibri" w:hAnsi="Calibri" w:eastAsia="Calibri" w:cs="Calibri"/>
          <w:sz w:val="24"/>
          <w:szCs w:val="24"/>
          <w:lang w:val="en-US"/>
        </w:rPr>
        <w:fldChar w:fldCharType="end"/>
      </w:r>
      <w:r w:rsidRPr="0FEC445E" w:rsidR="69962DBF">
        <w:rPr>
          <w:rFonts w:ascii="Calibri" w:hAnsi="Calibri" w:eastAsia="Calibri" w:cs="Calibri"/>
          <w:sz w:val="24"/>
          <w:szCs w:val="24"/>
          <w:lang w:val="en-US"/>
        </w:rPr>
        <w:t xml:space="preserve">, </w:t>
      </w:r>
      <w:r w:rsidRPr="0FEC445E" w:rsidR="23EE5EB9">
        <w:rPr>
          <w:rFonts w:ascii="Calibri" w:hAnsi="Calibri" w:eastAsia="Calibri" w:cs="Calibri"/>
          <w:sz w:val="24"/>
          <w:szCs w:val="24"/>
          <w:lang w:val="en-US"/>
        </w:rPr>
        <w:t xml:space="preserve">although it could also be explained by peripheral sensitization </w:t>
      </w:r>
      <w:r w:rsidRPr="0FEC445E">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{"citationID":"KIF3SrEE","properties":{"formattedCitation":"(Baron et al., 2010)","plainCitation":"(Baron et al., 2010)","noteIndex":0},"citationItems":[{"id":202,"uris":["http://zotero.org/users/8514361/items/IC665UQT"],"itemData":{"id":202,"type":"article-journal","abstract":"Neuropathic pain develops as a result of lesions or disease affecting the somatosensory nervous system either in the periphery or centrally. Examples of neuropathic pain include painful polyneuropathy, postherpetic neuralgia, trigeminal neuralgia, and post-stroke pain. Clinically, neuropathic pain is characterised by spontaneous ongoing or shooting pain and evoked amplified pain responses after noxious or non-noxious stimuli. Methods such as questionnaires for screening and assessment focus on the presence and quality of neuropathic pain. Basic research is enabling the identification of different pathophysiological mechanisms, and clinical assessment of symptoms and signs can help to determine which mechanisms are involved in specific neuropathic pain disorders. Management of neuropathic pain requires an interdisciplinary approach, centred around pharmacological treatment. A better understanding of neuropathic pain and, in particular, of the translation of pathophysiological mechanisms into sensory signs will lead to a more effective and specific mechanism-based treatment approach.","container-title":"The Lancet Neurology","DOI":"10.1016/S1474-4422(10)70143-5","ISSN":"1474-4422","issue":"8","journalAbbreviation":"The Lancet Neurology","page":"807-819","source":"ScienceDirect","title":"Neuropathic pain: diagnosis, pathophysiological mechanisms, and treatment","title-short":"Neuropathic pain","volume":"9","author":[{"family":"Baron","given":"Ralf"},{"family":"Binder","given":"Andreas"},{"family":"Wasner","given":"Gunnar"}],"issued":{"date-parts":[["2010",8,1]]}}}],"schema":"https://github.com/citation-style-language/schema/raw/master/csl-citation.json"} </w:instrText>
      </w:r>
      <w:r w:rsidRPr="0FEC445E">
        <w:rPr>
          <w:rFonts w:ascii="Calibri" w:hAnsi="Calibri" w:eastAsia="Calibri" w:cs="Calibri"/>
          <w:sz w:val="24"/>
          <w:szCs w:val="24"/>
          <w:lang w:val="en-US"/>
        </w:rPr>
        <w:fldChar w:fldCharType="separate"/>
      </w:r>
      <w:r w:rsidRPr="5045E0F5" w:rsidR="008425F7">
        <w:rPr>
          <w:rFonts w:ascii="Calibri" w:hAnsi="Calibri" w:cs="Calibri"/>
          <w:sz w:val="24"/>
          <w:szCs w:val="24"/>
        </w:rPr>
        <w:t>(Baron et al., 2010)</w:t>
      </w:r>
      <w:r w:rsidRPr="0FEC445E">
        <w:rPr>
          <w:rFonts w:ascii="Calibri" w:hAnsi="Calibri" w:eastAsia="Calibri" w:cs="Calibri"/>
          <w:sz w:val="24"/>
          <w:szCs w:val="24"/>
          <w:lang w:val="en-US"/>
        </w:rPr>
        <w:fldChar w:fldCharType="end"/>
      </w:r>
      <w:r w:rsidRPr="0FEC445E" w:rsidR="009C1E40">
        <w:rPr>
          <w:rFonts w:ascii="Calibri" w:hAnsi="Calibri" w:eastAsia="Calibri" w:cs="Calibri"/>
          <w:sz w:val="24"/>
          <w:szCs w:val="24"/>
          <w:lang w:val="en-US"/>
        </w:rPr>
        <w:t>.</w:t>
      </w:r>
      <w:r w:rsidRPr="0FEC445E" w:rsidR="3A921702">
        <w:rPr>
          <w:rFonts w:eastAsiaTheme="minorEastAsia"/>
          <w:sz w:val="24"/>
          <w:szCs w:val="24"/>
          <w:lang w:val="en-US"/>
        </w:rPr>
        <w:t xml:space="preserve"> </w:t>
      </w:r>
      <w:r w:rsidRPr="0FEC445E" w:rsidR="00D61A66">
        <w:rPr>
          <w:rFonts w:eastAsiaTheme="minorEastAsia"/>
          <w:sz w:val="24"/>
          <w:szCs w:val="24"/>
          <w:lang w:val="en-US"/>
        </w:rPr>
        <w:t>Fourth</w:t>
      </w:r>
      <w:r w:rsidRPr="0FEC445E" w:rsidR="3A921702">
        <w:rPr>
          <w:rFonts w:eastAsiaTheme="minorEastAsia"/>
          <w:sz w:val="24"/>
          <w:szCs w:val="24"/>
          <w:lang w:val="en-US"/>
        </w:rPr>
        <w:t xml:space="preserve">, </w:t>
      </w:r>
      <w:r w:rsidRPr="0FEC445E" w:rsidR="320607F9">
        <w:rPr>
          <w:rFonts w:eastAsiaTheme="minorEastAsia"/>
          <w:sz w:val="24"/>
          <w:szCs w:val="24"/>
          <w:lang w:val="en-US"/>
        </w:rPr>
        <w:t xml:space="preserve">the </w:t>
      </w:r>
      <w:r w:rsidRPr="0FEC445E" w:rsidR="65A41F26">
        <w:rPr>
          <w:rFonts w:eastAsiaTheme="minorEastAsia"/>
          <w:sz w:val="24"/>
          <w:szCs w:val="24"/>
          <w:lang w:val="en-US"/>
        </w:rPr>
        <w:t>higher</w:t>
      </w:r>
      <w:r w:rsidRPr="0FEC445E" w:rsidR="050ABA89">
        <w:rPr>
          <w:rFonts w:eastAsiaTheme="minorEastAsia"/>
          <w:sz w:val="24"/>
          <w:szCs w:val="24"/>
          <w:lang w:val="en-US"/>
        </w:rPr>
        <w:t xml:space="preserve"> </w:t>
      </w:r>
      <w:r w:rsidRPr="0FEC445E" w:rsidR="23EE5EB9">
        <w:rPr>
          <w:rFonts w:eastAsiaTheme="minorEastAsia"/>
          <w:sz w:val="24"/>
          <w:szCs w:val="24"/>
          <w:lang w:val="en-US"/>
        </w:rPr>
        <w:t xml:space="preserve">pressure pain sensitivity on </w:t>
      </w:r>
      <w:r w:rsidRPr="0FEC445E" w:rsidR="4402F5C6">
        <w:rPr>
          <w:rFonts w:eastAsiaTheme="minorEastAsia"/>
          <w:sz w:val="24"/>
          <w:szCs w:val="24"/>
          <w:lang w:val="en-US"/>
        </w:rPr>
        <w:t xml:space="preserve">the </w:t>
      </w:r>
      <w:r w:rsidRPr="0FEC445E" w:rsidR="23EE5EB9">
        <w:rPr>
          <w:rFonts w:eastAsiaTheme="minorEastAsia"/>
          <w:sz w:val="24"/>
          <w:szCs w:val="24"/>
          <w:lang w:val="en-US"/>
        </w:rPr>
        <w:t xml:space="preserve">contralateral side </w:t>
      </w:r>
      <w:r w:rsidRPr="0FEC445E" w:rsidR="008A8A04">
        <w:rPr>
          <w:rFonts w:eastAsiaTheme="minorEastAsia"/>
          <w:sz w:val="24"/>
          <w:szCs w:val="24"/>
          <w:lang w:val="en-US"/>
        </w:rPr>
        <w:t>associated with severe profiles</w:t>
      </w:r>
      <w:r w:rsidRPr="0FEC445E" w:rsidR="54E516B3">
        <w:rPr>
          <w:rFonts w:eastAsiaTheme="minorEastAsia"/>
          <w:sz w:val="24"/>
          <w:szCs w:val="24"/>
          <w:lang w:val="en-US"/>
        </w:rPr>
        <w:t xml:space="preserve"> is strongly suggestive of </w:t>
      </w:r>
      <w:r w:rsidRPr="0FEC445E" w:rsidR="00AD7F97">
        <w:rPr>
          <w:rFonts w:eastAsiaTheme="minorEastAsia"/>
          <w:sz w:val="24"/>
          <w:szCs w:val="24"/>
          <w:lang w:val="en-US"/>
        </w:rPr>
        <w:t xml:space="preserve">systemic </w:t>
      </w:r>
      <w:r w:rsidRPr="0FEC445E" w:rsidR="54E516B3">
        <w:rPr>
          <w:rFonts w:eastAsiaTheme="minorEastAsia"/>
          <w:sz w:val="24"/>
          <w:szCs w:val="24"/>
          <w:lang w:val="en-US"/>
        </w:rPr>
        <w:t>mechanisms</w:t>
      </w:r>
      <w:r w:rsidRPr="0FEC445E" w:rsidR="772117F2">
        <w:rPr>
          <w:rFonts w:eastAsiaTheme="minorEastAsia"/>
          <w:sz w:val="24"/>
          <w:szCs w:val="24"/>
          <w:lang w:val="en-US"/>
        </w:rPr>
        <w:t xml:space="preserve"> </w:t>
      </w:r>
      <w:r w:rsidR="003D3289">
        <w:rPr>
          <w:rFonts w:eastAsiaTheme="minorEastAsia"/>
          <w:sz w:val="24"/>
          <w:szCs w:val="24"/>
          <w:lang w:val="en-US"/>
        </w:rPr>
        <w:fldChar w:fldCharType="begin"/>
      </w:r>
      <w:r w:rsidR="00A03CF2">
        <w:rPr>
          <w:rFonts w:eastAsiaTheme="minorEastAsia"/>
          <w:sz w:val="24"/>
          <w:szCs w:val="24"/>
          <w:lang w:val="en-US"/>
        </w:rPr>
        <w:instrText xml:space="preserve"> ADDIN ZOTERO_ITEM CSL_CITATION {"citationID":"XVI51LVO","properties":{"formattedCitation":"(Sobeeh et al., 2023)","plainCitation":"(Sobeeh et al., 2023)","noteIndex":0},"citationItems":[{"id":70,"uris":["http://zotero.org/users/8514361/items/23VJSH4H"],"itemData":{"id":70,"type":"article-journal","abstract":"Complex regional pain syndrome (CRPS) is a chronic condition following inciting events such as fractures or surgeries with sensorimotor and autonomic manifestations and poor prognosis. This review aimed to provide conclusive evidence about the sensory phenotype of CRPS based on quantitative sensory testing (QST) to understand the underlying pain mechanisms and guide treatment strategies.","container-title":"Journal of Orthopaedic Surgery and Research","DOI":"10.1186/s13018-022-03461-2","ISSN":"1749-799X","issue":"1","journalAbbreviation":"Journal of Orthopaedic Surgery and Research","page":"2","source":"BioMed Central","title":"Pain mechanisms in complex regional pain syndrome: a systematic review and meta-analysis of quantitative sensory testing outcomes","title-short":"Pain mechanisms in complex regional pain syndrome","volume":"18","author":[{"family":"Sobeeh","given":"Mohamed Gomaa"},{"family":"Hassan","given":"Karima Abdelaty"},{"family":"Silva","given":"Anabela Gonçalves","non-dropping-particle":"da"},{"family":"Youssef","given":"Enas Fawzy"},{"family":"Fayaz","given":"Nadia Abdelazim"},{"family":"Mohammed","given":"Maha Mostafa"}],"issued":{"date-parts":[["2023",1,2]]}}}],"schema":"https://github.com/citation-style-language/schema/raw/master/csl-citation.json"} </w:instrText>
      </w:r>
      <w:r w:rsidR="003D3289">
        <w:rPr>
          <w:rFonts w:eastAsiaTheme="minorEastAsia"/>
          <w:sz w:val="24"/>
          <w:szCs w:val="24"/>
          <w:lang w:val="en-US"/>
        </w:rPr>
        <w:fldChar w:fldCharType="separate"/>
      </w:r>
      <w:r w:rsidRPr="5045E0F5" w:rsidR="008425F7">
        <w:rPr>
          <w:rFonts w:ascii="Calibri" w:hAnsi="Calibri" w:cs="Calibri"/>
          <w:sz w:val="24"/>
          <w:szCs w:val="24"/>
        </w:rPr>
        <w:t>(Sobeeh et al., 2023)</w:t>
      </w:r>
      <w:r w:rsidR="003D3289">
        <w:rPr>
          <w:rFonts w:eastAsiaTheme="minorEastAsia"/>
          <w:sz w:val="24"/>
          <w:szCs w:val="24"/>
          <w:lang w:val="en-US"/>
        </w:rPr>
        <w:fldChar w:fldCharType="end"/>
      </w:r>
      <w:r w:rsidRPr="0FEC445E" w:rsidR="1C07B2E5">
        <w:rPr>
          <w:rFonts w:eastAsiaTheme="minorEastAsia"/>
          <w:sz w:val="24"/>
          <w:szCs w:val="24"/>
          <w:lang w:val="en-US"/>
        </w:rPr>
        <w:t xml:space="preserve">. </w:t>
      </w:r>
      <w:r w:rsidRPr="0FEC445E" w:rsidR="6234F67B">
        <w:rPr>
          <w:rFonts w:eastAsiaTheme="minorEastAsia"/>
          <w:sz w:val="24"/>
          <w:szCs w:val="24"/>
          <w:lang w:val="en-US"/>
        </w:rPr>
        <w:t xml:space="preserve">Finally, psychosocial factors </w:t>
      </w:r>
      <w:r w:rsidRPr="0FEC445E" w:rsidR="4C644FFC">
        <w:rPr>
          <w:rFonts w:eastAsiaTheme="minorEastAsia"/>
          <w:sz w:val="24"/>
          <w:szCs w:val="24"/>
          <w:lang w:val="en-US"/>
        </w:rPr>
        <w:t>are important contributors to the development and maintenance of central sensitization</w:t>
      </w:r>
      <w:r w:rsidRPr="0FEC445E" w:rsidR="009B6354">
        <w:rPr>
          <w:rFonts w:eastAsiaTheme="minorEastAsia"/>
          <w:sz w:val="24"/>
          <w:szCs w:val="24"/>
          <w:lang w:val="en-US"/>
        </w:rPr>
        <w:t xml:space="preserve"> </w:t>
      </w:r>
      <w:r w:rsidRPr="0FEC445E">
        <w:rPr>
          <w:rFonts w:eastAsiaTheme="minorEastAsia"/>
          <w:sz w:val="24"/>
          <w:szCs w:val="24"/>
          <w:lang w:val="en-US"/>
        </w:rPr>
        <w:fldChar w:fldCharType="begin"/>
      </w:r>
      <w:r w:rsidR="00A03CF2">
        <w:rPr>
          <w:rFonts w:eastAsiaTheme="minorEastAsia"/>
          <w:sz w:val="24"/>
          <w:szCs w:val="24"/>
          <w:lang w:val="en-US"/>
        </w:rPr>
        <w:instrText xml:space="preserve"> ADDIN ZOTERO_ITEM CSL_CITATION {"citationID":"RsyfvrBJ","properties":{"formattedCitation":"(Clark et al., 2017; Meints et al., 2019)","plainCitation":"(Clark et al., 2017; Meints et al., 2019)","noteIndex":0},"citationItems":[{"id":255,"uris":["http://zotero.org/users/8514361/items/25WTMWFV"],"itemData":{"id":255,"type":"article-journal","abstract":"BACKGROUND: Altered central pain modulation is the predominant pain mechanism in a proportion of chronic musculoskeletal pain disorders and is associated with poor outcomes. Although existing studies predict poor outcomes such as persistent pain and disability, to date there is little consensus on what factors specifically predict altered central pain modulation.\nOBJECTIVES: To review the existing literature on the predictive factors specifically for altered central pain modulation in musculoskeletal pain populations.\nSTUDY DESIGN: This is a systematic review in accordance with supplemented PRISMA guidelines.\nMETHODS: A systematic search was performed by 2 mutually blinded reviewers. Relevant articles were screened by title and abstract from Medline, Embase, PubMed, CINAHL, and Web of Science electronic databases. Alternative sources were also sought to locate missed potential articles. Eligibility included studies published in English, adults aged 18 to 65, musculoskeletal pain, baseline measurements taken at the pre-morbid or acute stage, &gt; 3-month follow-up time after pain onset, and primary outcome measures specific to altered central pain modulation. Studies were excluded where there were concurrent diseases or they were non-predictive studies. Risk of bias was assessed using the quality in prognostic studies (QUIPS) tool. Study design, demographics, musculoskeletal region, inclusion/exclusion criteria, measurement timelines, predictor and primary outcome measures, and results were extracted. Data were synthesized qualitatively and strength of evidence was scored using the grading of recommendations, assessment, development, and evaluations (GRADE) scoring system.\nRESULTS: Nine eligible articles were located, in various musculoskeletal populations (whiplash, n = 2; widespread pain, n = 5; temporomandibular disorder, n = 2). Moderate evidence was found for 2 predictive factors of altered central pain modulation: 1) high sensory sensitivity (using genetic testing or quantitative sensory tests), and 2) psychological factors (somatization and poor self-expectation of recovery), at a pre-morbid or acute stage baseline.\nLIMITATIONS: At the times of the article publications, the current definitions and clinical guidelines for identifying altered central pain modulation were not yet available. Careful interpretation of the information provided using current knowledge and published guidelines was necessary to extract information specific to altered central pain modulation in some of the studies, avoiding unwarranted assumptions.\nCONCLUSIONS: Premorbid and acute stage high sensory sensitivity and/or somatization are the strongest predictors of altered central pain modulation in chronic musculoskeletal pain to date. This is the first systematic review specifically targeting altered central pain modulation as the primary outcome in musculoskeletal pain populations. Early identification of people at risk of developing chronic pain with altered central pain modulation may guide clinicians in appropriate management, diminishing the burden of persistent pain on patients and heath care providers alike. Systematic Review Registration no.: PROSPERO 2015:CRD42015032394.Key words: Predictive factors, pre-morbid and acute stage baselines, altered central pain modulation, chronic musculoskeletal pain, sensory processing, somatization.","container-title":"Pain Physician","ISSN":"2150-1149","issue":"6","journalAbbreviation":"Pain Physician","language":"eng","note":"PMID: 28934779","page":"487-500","source":"PubMed","title":"What Are the Predictors of Altered Central Pain Modulation in Chronic Musculoskeletal Pain Populations? A Systematic Review","title-short":"What Are the Predictors of Altered Central Pain Modulation in Chronic Musculoskeletal Pain Populations?","volume":"20","author":[{"family":"Clark","given":"Jacqui"},{"family":"Nijs","given":"Jo"},{"family":"Yeowell","given":"Gillian"},{"family":"Goodwin","given":"Peter Charles"}],"issued":{"date-parts":[["2017",9]]}}},{"id":253,"uris":["http://zotero.org/users/8514361/items/6MPPA47V"],"itemData":{"id":253,"type":"article-journal","abstract":"Changes in central pain processing have been shown in patients with chronic low back pain (cLBP). We used quantitative sensory testing (QST) methods to identify differences in pain sensitization between patients with cLBP (N=167) and healthy controls (N=33). Results indicated that, compared to healthy pain-free controls, cLBP patients showed increased sensitivity and greater painful aftersensations for mechanical pressure and pin prick stimuli and lower tactile spatial acuity in the two-point discrimination task (ps&lt;.05). Then, we examined the role of pain catastrophizing as a mediator of the group differences in pain sensitization. We found that catastrophizing partially accounted for group differences in pressure required to produce moderate pain. Finally, we examined the relationship between pain sensitization, catastrophizing, and clinical pain among patients with cLBP. We found that catastrophizing and deep-tissue pressure pain were associated with greater pain intensity in the past month, week, and at the visit as well aslow back pain bothersomeness. Further, deep-tissue pressure pain mediated the associations between catastrophizing and both pain in the past month and low back pain severity. Taken together, these results indicate that not only do patients with cLBP demonstrate increased pain sensitization and decreased sensitivity to innocuous stimuli, but these changes are also linked with increased catastrophizing. Furthermore, both catastrophizing and sensitization are associated with increased clinical pain among cLBP patients., cLBP patients demonstrate greater pain sensitization and poorer spatial acuity, changes linked with greater catastrophizing. Catastrophizing and sensitization are also associated with greater clinical pain.","container-title":"Pain","DOI":"10.1097/j.pain.0000000000001461","ISSN":"0304-3959","issue":"4","journalAbbreviation":"Pain","note":"PMID: 30531308\nPMCID: PMC6424610","page":"833-843","source":"PubMed Central","title":"The relationship between catastrophizing and altered pain sensitivity in patients with chronic low back pain","volume":"160","author":[{"family":"Meints","given":"Samantha M."},{"family":"Mawla","given":"Ishtiaq"},{"family":"Napadow","given":"Vitaly"},{"family":"Kong","given":"Jian"},{"family":"Gerber","given":"Jessica"},{"family":"Chan","given":"Suk-Tak"},{"family":"Wasan","given":"Ajay D."},{"family":"Kaptchuk","given":"Ted J."},{"family":"McDonnell","given":"Christina"},{"family":"Carriere","given":"Junie"},{"family":"Rosen","given":"Bruce"},{"family":"Gollub","given":"Randy L."},{"family":"Edwards","given":"Robert R."}],"issued":{"date-parts":[["2019",4]]}}}],"schema":"https://github.com/citation-style-language/schema/raw/master/csl-citation.json"} </w:instrText>
      </w:r>
      <w:r w:rsidRPr="0FEC445E">
        <w:rPr>
          <w:rFonts w:eastAsiaTheme="minorEastAsia"/>
          <w:sz w:val="24"/>
          <w:szCs w:val="24"/>
          <w:lang w:val="en-US"/>
        </w:rPr>
        <w:fldChar w:fldCharType="separate"/>
      </w:r>
      <w:r w:rsidRPr="5045E0F5" w:rsidR="008425F7">
        <w:rPr>
          <w:rFonts w:ascii="Calibri" w:hAnsi="Calibri" w:cs="Calibri"/>
          <w:sz w:val="24"/>
          <w:szCs w:val="24"/>
        </w:rPr>
        <w:t>(Clark et al., 2017; Meints et al., 2019)</w:t>
      </w:r>
      <w:r w:rsidRPr="0FEC445E">
        <w:rPr>
          <w:rFonts w:eastAsiaTheme="minorEastAsia"/>
          <w:sz w:val="24"/>
          <w:szCs w:val="24"/>
          <w:lang w:val="en-US"/>
        </w:rPr>
        <w:fldChar w:fldCharType="end"/>
      </w:r>
      <w:r w:rsidRPr="0FEC445E" w:rsidR="4C644FFC">
        <w:rPr>
          <w:rFonts w:eastAsiaTheme="minorEastAsia"/>
          <w:sz w:val="24"/>
          <w:szCs w:val="24"/>
          <w:lang w:val="en-US"/>
        </w:rPr>
        <w:t xml:space="preserve">. In our </w:t>
      </w:r>
      <w:proofErr w:type="spellStart"/>
      <w:r w:rsidRPr="0FEC445E" w:rsidR="4C644FFC">
        <w:rPr>
          <w:rFonts w:eastAsiaTheme="minorEastAsia"/>
          <w:sz w:val="24"/>
          <w:szCs w:val="24"/>
          <w:lang w:val="en-US"/>
        </w:rPr>
        <w:t>LCA</w:t>
      </w:r>
      <w:proofErr w:type="spellEnd"/>
      <w:r w:rsidRPr="0FEC445E" w:rsidR="4C644FFC">
        <w:rPr>
          <w:rFonts w:eastAsiaTheme="minorEastAsia"/>
          <w:sz w:val="24"/>
          <w:szCs w:val="24"/>
          <w:lang w:val="en-US"/>
        </w:rPr>
        <w:t xml:space="preserve"> analysis, higher psychosocial severity (as measured by </w:t>
      </w:r>
      <w:proofErr w:type="spellStart"/>
      <w:r w:rsidRPr="0FEC445E" w:rsidR="4C644FFC">
        <w:rPr>
          <w:rFonts w:eastAsiaTheme="minorEastAsia"/>
          <w:sz w:val="24"/>
          <w:szCs w:val="24"/>
          <w:lang w:val="en-US"/>
        </w:rPr>
        <w:t>OMPSQ</w:t>
      </w:r>
      <w:proofErr w:type="spellEnd"/>
      <w:r w:rsidRPr="0FEC445E" w:rsidR="4C644FFC">
        <w:rPr>
          <w:rFonts w:eastAsiaTheme="minorEastAsia"/>
          <w:sz w:val="24"/>
          <w:szCs w:val="24"/>
          <w:lang w:val="en-US"/>
        </w:rPr>
        <w:t>-SF,</w:t>
      </w:r>
      <w:r w:rsidRPr="6CFBCA64" w:rsidR="4C644FFC">
        <w:rPr>
          <w:rFonts w:eastAsiaTheme="minorEastAsia"/>
          <w:sz w:val="24"/>
          <w:szCs w:val="24"/>
          <w:lang w:val="en-US"/>
        </w:rPr>
        <w:t xml:space="preserve"> </w:t>
      </w:r>
      <w:r w:rsidRPr="00644AC1" w:rsidR="36A74DA2">
        <w:rPr>
          <w:rFonts w:eastAsiaTheme="minorEastAsia"/>
          <w:color w:val="FF0000"/>
          <w:sz w:val="24"/>
          <w:szCs w:val="24"/>
          <w:lang w:val="en-US"/>
        </w:rPr>
        <w:t>but also</w:t>
      </w:r>
      <w:r w:rsidRPr="00644AC1" w:rsidR="4C644FFC">
        <w:rPr>
          <w:rFonts w:eastAsiaTheme="minorEastAsia"/>
          <w:color w:val="FF0000"/>
          <w:sz w:val="24"/>
          <w:szCs w:val="24"/>
          <w:lang w:val="en-US"/>
        </w:rPr>
        <w:t xml:space="preserve"> </w:t>
      </w:r>
      <w:r w:rsidRPr="00644AC1" w:rsidR="00D4254D">
        <w:rPr>
          <w:rFonts w:eastAsiaTheme="minorEastAsia"/>
          <w:color w:val="FF0000"/>
          <w:sz w:val="24"/>
          <w:szCs w:val="24"/>
          <w:lang w:val="en-US"/>
        </w:rPr>
        <w:t xml:space="preserve">catastrophizing </w:t>
      </w:r>
      <w:r w:rsidR="00134FCB">
        <w:rPr>
          <w:rFonts w:eastAsiaTheme="minorEastAsia"/>
          <w:color w:val="FF0000"/>
          <w:sz w:val="24"/>
          <w:szCs w:val="24"/>
          <w:lang w:val="en-US"/>
        </w:rPr>
        <w:t>and</w:t>
      </w:r>
      <w:r w:rsidRPr="00644AC1" w:rsidR="00D4254D">
        <w:rPr>
          <w:rFonts w:eastAsiaTheme="minorEastAsia"/>
          <w:color w:val="FF0000"/>
          <w:sz w:val="24"/>
          <w:szCs w:val="24"/>
          <w:lang w:val="en-US"/>
        </w:rPr>
        <w:t xml:space="preserve"> </w:t>
      </w:r>
      <w:r w:rsidR="005143E0">
        <w:rPr>
          <w:rFonts w:eastAsiaTheme="minorEastAsia"/>
          <w:color w:val="FF0000"/>
          <w:sz w:val="24"/>
          <w:szCs w:val="24"/>
          <w:lang w:val="en-US"/>
        </w:rPr>
        <w:t>depressive</w:t>
      </w:r>
      <w:r w:rsidR="00134FCB">
        <w:rPr>
          <w:rFonts w:eastAsiaTheme="minorEastAsia"/>
          <w:color w:val="FF0000"/>
          <w:sz w:val="24"/>
          <w:szCs w:val="24"/>
          <w:lang w:val="en-US"/>
        </w:rPr>
        <w:t xml:space="preserve"> </w:t>
      </w:r>
      <w:r w:rsidR="005143E0">
        <w:rPr>
          <w:rFonts w:eastAsiaTheme="minorEastAsia"/>
          <w:color w:val="FF0000"/>
          <w:sz w:val="24"/>
          <w:szCs w:val="24"/>
          <w:lang w:val="en-US"/>
        </w:rPr>
        <w:t>scores</w:t>
      </w:r>
      <w:r w:rsidRPr="0FEC445E" w:rsidR="00D61A66">
        <w:rPr>
          <w:rFonts w:eastAsiaTheme="minorEastAsia"/>
          <w:sz w:val="24"/>
          <w:szCs w:val="24"/>
          <w:lang w:val="en-US"/>
        </w:rPr>
        <w:t xml:space="preserve">) </w:t>
      </w:r>
      <w:r w:rsidRPr="0FEC445E" w:rsidR="4C644FFC">
        <w:rPr>
          <w:rFonts w:eastAsiaTheme="minorEastAsia"/>
          <w:sz w:val="24"/>
          <w:szCs w:val="24"/>
          <w:lang w:val="en-US"/>
        </w:rPr>
        <w:t xml:space="preserve">is associated with </w:t>
      </w:r>
      <w:r w:rsidRPr="0FEC445E" w:rsidR="5A592B2E">
        <w:rPr>
          <w:rFonts w:eastAsiaTheme="minorEastAsia"/>
          <w:sz w:val="24"/>
          <w:szCs w:val="24"/>
          <w:lang w:val="en-US"/>
        </w:rPr>
        <w:t xml:space="preserve">the two severe subgroups and </w:t>
      </w:r>
      <w:r w:rsidRPr="0FEC445E" w:rsidR="4C644FFC">
        <w:rPr>
          <w:rFonts w:eastAsiaTheme="minorEastAsia"/>
          <w:sz w:val="24"/>
          <w:szCs w:val="24"/>
          <w:lang w:val="en-US"/>
        </w:rPr>
        <w:t xml:space="preserve">poorer outcomes. In </w:t>
      </w:r>
      <w:r w:rsidRPr="0FEC445E" w:rsidR="00E930E0">
        <w:rPr>
          <w:rFonts w:eastAsiaTheme="minorEastAsia"/>
          <w:sz w:val="24"/>
          <w:szCs w:val="24"/>
          <w:lang w:val="en-US"/>
        </w:rPr>
        <w:t xml:space="preserve">the </w:t>
      </w:r>
      <w:r w:rsidRPr="0FEC445E" w:rsidR="00186CDC">
        <w:rPr>
          <w:rFonts w:eastAsiaTheme="minorEastAsia"/>
          <w:sz w:val="24"/>
          <w:szCs w:val="24"/>
          <w:lang w:val="en-US"/>
        </w:rPr>
        <w:t xml:space="preserve">aforementioned </w:t>
      </w:r>
      <w:r w:rsidRPr="0FEC445E" w:rsidR="00E930E0">
        <w:rPr>
          <w:rFonts w:eastAsiaTheme="minorEastAsia"/>
          <w:sz w:val="24"/>
          <w:szCs w:val="24"/>
          <w:lang w:val="en-US"/>
        </w:rPr>
        <w:t xml:space="preserve">musculoskeletal pain </w:t>
      </w:r>
      <w:r w:rsidRPr="0FEC445E" w:rsidR="003B52B5">
        <w:rPr>
          <w:rFonts w:eastAsiaTheme="minorEastAsia"/>
          <w:sz w:val="24"/>
          <w:szCs w:val="24"/>
          <w:lang w:val="en-US"/>
        </w:rPr>
        <w:t>study</w:t>
      </w:r>
      <w:r w:rsidRPr="0FEC445E" w:rsidR="0058748C">
        <w:rPr>
          <w:rFonts w:eastAsiaTheme="minorEastAsia"/>
          <w:sz w:val="24"/>
          <w:szCs w:val="24"/>
          <w:lang w:val="en-US"/>
        </w:rPr>
        <w:t xml:space="preserve"> </w:t>
      </w:r>
      <w:r w:rsidRPr="0FEC445E">
        <w:rPr>
          <w:rFonts w:eastAsiaTheme="minorEastAsia"/>
          <w:sz w:val="24"/>
          <w:szCs w:val="24"/>
          <w:lang w:val="en-US"/>
        </w:rPr>
        <w:fldChar w:fldCharType="begin"/>
      </w:r>
      <w:r w:rsidR="00A03CF2">
        <w:rPr>
          <w:rFonts w:eastAsiaTheme="minorEastAsia"/>
          <w:sz w:val="24"/>
          <w:szCs w:val="24"/>
          <w:lang w:val="en-US"/>
        </w:rPr>
        <w:instrText xml:space="preserve"> ADDIN ZOTERO_ITEM CSL_CITATION {"citationID":"pEp20qor","properties":{"formattedCitation":"(Gaynor et al., 2021)","plainCitation":"(Gaynor et al., 2021)","noteIndex":0},"citationItems":[{"id":211,"uris":["http://zotero.org/users/8514361/items/AI3XUTQA"],"itemData":{"id":211,"type":"article-journal","abstract":"Traditional classification and prognostic approaches for chronic pain conditions focus primarily on anatomically based clinical characteristics not based on underlying biopsychosocial factors contributing to perception of clinical pain and future pain trajectories. Using a supervised clustering approach in a cohort of temporomandibular disorder cases and controls from the Orofacial Pain: Prospective Evaluation and Risk Assessment study, we recently developed and validated a rapid algorithm (ROPA) to pragmatically classify chronic pain patients into 3 groups that differed in clinical pain report, biopsychosocial profiles, functional limitations, and comorbid conditions. The present aim was to examine the generalizability of this clustering procedure in 2 additional cohorts: a cohort of patients with chronic overlapping pain conditions (Complex Persistent Pain Conditions study) and a real-world clinical population of patients seeking treatment at duke innovative pain therapies. In each cohort, we applied a ROPA for cluster prediction, which requires only 4 input variables: pressure pain threshold and anxiety, depression, and somatization scales. In both complex persistent pain condition and duke innovative pain therapies, we distinguished 3 clusters, including one with more severe clinical characteristics and psychological distress. We observed strong concordance with observed cluster solutions, indicating the ROPA method allows for reliable subtyping of clinical populations with minimal patient burden. The ROPA clustering algorithm represents a rapid and valid stratification tool independent of anatomic diagnosis. ROPA holds promise in classifying patients based on pathophysiological mechanisms rather than structural or anatomical diagnoses. As such, this method of classifying patients will facilitate personalized pain medicine for patients with chronic pain.","container-title":"Pain","DOI":"10.1097/j.pain.0000000000002153","ISSN":"1872-6623","issue":"5","journalAbbreviation":"Pain","language":"eng","note":"PMID: 33259458\nPMCID: PMC8049946","page":"1528-1538","source":"PubMed","title":"Phenotypic profile clustering pragmatically identifies diagnostically and mechanistically informative subgroups of chronic pain patients","volume":"162","author":[{"family":"Gaynor","given":"Sheila M."},{"family":"Bortsov","given":"Andrey"},{"family":"Bair","given":"Eric"},{"family":"Fillingim","given":"Roger B."},{"family":"Greenspan","given":"Joel D."},{"family":"Ohrbach","given":"Richard"},{"family":"Diatchenko","given":"Luda"},{"family":"Nackley","given":"Andrea"},{"family":"Tchivileva","given":"Inna E."},{"family":"Whitehead","given":"William"},{"family":"Alonso","given":"Aurelio A."},{"family":"Buchheit","given":"Thomas E."},{"family":"Boortz-Marx","given":"Richard L."},{"family":"Liedtke","given":"Wolfgang"},{"family":"Park","given":"Jongbae J."},{"family":"Maixner","given":"William"},{"family":"Smith","given":"Shad B."}],"issued":{"date-parts":[["2021",5,1]]}}}],"schema":"https://github.com/citation-style-language/schema/raw/master/csl-citation.json"} </w:instrText>
      </w:r>
      <w:r w:rsidRPr="0FEC445E">
        <w:rPr>
          <w:rFonts w:eastAsiaTheme="minorEastAsia"/>
          <w:sz w:val="24"/>
          <w:szCs w:val="24"/>
          <w:lang w:val="en-US"/>
        </w:rPr>
        <w:fldChar w:fldCharType="separate"/>
      </w:r>
      <w:r w:rsidRPr="5045E0F5" w:rsidR="008425F7">
        <w:rPr>
          <w:rFonts w:ascii="Calibri" w:hAnsi="Calibri" w:cs="Calibri"/>
          <w:sz w:val="24"/>
          <w:szCs w:val="24"/>
        </w:rPr>
        <w:t>(Gaynor et al., 2021)</w:t>
      </w:r>
      <w:r w:rsidRPr="0FEC445E">
        <w:rPr>
          <w:rFonts w:eastAsiaTheme="minorEastAsia"/>
          <w:sz w:val="24"/>
          <w:szCs w:val="24"/>
          <w:lang w:val="en-US"/>
        </w:rPr>
        <w:fldChar w:fldCharType="end"/>
      </w:r>
      <w:r w:rsidRPr="0FEC445E" w:rsidR="00186CDC">
        <w:rPr>
          <w:rFonts w:eastAsiaTheme="minorEastAsia"/>
          <w:sz w:val="24"/>
          <w:szCs w:val="24"/>
          <w:lang w:val="en-US"/>
        </w:rPr>
        <w:t xml:space="preserve">, </w:t>
      </w:r>
      <w:r w:rsidRPr="0FEC445E" w:rsidR="0058748C">
        <w:rPr>
          <w:rFonts w:eastAsiaTheme="minorEastAsia"/>
          <w:sz w:val="24"/>
          <w:szCs w:val="24"/>
          <w:lang w:val="en-US"/>
        </w:rPr>
        <w:t xml:space="preserve">the </w:t>
      </w:r>
      <w:r w:rsidRPr="0FEC445E" w:rsidR="00D61A66">
        <w:rPr>
          <w:rFonts w:eastAsiaTheme="minorEastAsia"/>
          <w:sz w:val="24"/>
          <w:szCs w:val="24"/>
          <w:lang w:val="en-US"/>
        </w:rPr>
        <w:t>most important parameters to determine the</w:t>
      </w:r>
      <w:r w:rsidRPr="0FEC445E" w:rsidR="4654F70A">
        <w:rPr>
          <w:rFonts w:eastAsiaTheme="minorEastAsia"/>
          <w:sz w:val="24"/>
          <w:szCs w:val="24"/>
          <w:lang w:val="en-US"/>
        </w:rPr>
        <w:t xml:space="preserve"> severity of the</w:t>
      </w:r>
      <w:r w:rsidRPr="0FEC445E" w:rsidR="00D61A66">
        <w:rPr>
          <w:rFonts w:eastAsiaTheme="minorEastAsia"/>
          <w:sz w:val="24"/>
          <w:szCs w:val="24"/>
          <w:lang w:val="en-US"/>
        </w:rPr>
        <w:t xml:space="preserve"> </w:t>
      </w:r>
      <w:r w:rsidRPr="0FEC445E" w:rsidR="00EF1F18">
        <w:rPr>
          <w:rFonts w:eastAsiaTheme="minorEastAsia"/>
          <w:sz w:val="24"/>
          <w:szCs w:val="24"/>
          <w:lang w:val="en-US"/>
        </w:rPr>
        <w:t xml:space="preserve">condition were </w:t>
      </w:r>
      <w:r w:rsidRPr="0FEC445E" w:rsidR="00620942">
        <w:rPr>
          <w:rFonts w:eastAsiaTheme="minorEastAsia"/>
          <w:sz w:val="24"/>
          <w:szCs w:val="24"/>
          <w:lang w:val="en-US"/>
        </w:rPr>
        <w:t>psychosocial factor</w:t>
      </w:r>
      <w:r w:rsidRPr="0FEC445E" w:rsidR="00EF1F18">
        <w:rPr>
          <w:rFonts w:eastAsiaTheme="minorEastAsia"/>
          <w:sz w:val="24"/>
          <w:szCs w:val="24"/>
          <w:lang w:val="en-US"/>
        </w:rPr>
        <w:t>s</w:t>
      </w:r>
      <w:r w:rsidRPr="0FEC445E" w:rsidR="00620942">
        <w:rPr>
          <w:rFonts w:eastAsiaTheme="minorEastAsia"/>
          <w:sz w:val="24"/>
          <w:szCs w:val="24"/>
          <w:lang w:val="en-US"/>
        </w:rPr>
        <w:t xml:space="preserve">. </w:t>
      </w:r>
      <w:r w:rsidRPr="0FEC445E" w:rsidR="00DA30E8">
        <w:rPr>
          <w:rFonts w:eastAsiaTheme="minorEastAsia"/>
          <w:sz w:val="24"/>
          <w:szCs w:val="24"/>
          <w:lang w:val="en-US"/>
        </w:rPr>
        <w:t>Many o</w:t>
      </w:r>
      <w:r w:rsidRPr="0FEC445E" w:rsidR="4C644FFC">
        <w:rPr>
          <w:rFonts w:eastAsiaTheme="minorEastAsia"/>
          <w:sz w:val="24"/>
          <w:szCs w:val="24"/>
          <w:lang w:val="en-US"/>
        </w:rPr>
        <w:t xml:space="preserve">ther studies stress the importance of psychosocial variables for the evolution of musculoskeletal pain </w:t>
      </w:r>
      <w:r w:rsidRPr="0FEC445E">
        <w:rPr>
          <w:rFonts w:eastAsiaTheme="minorEastAsia"/>
          <w:sz w:val="24"/>
          <w:szCs w:val="24"/>
          <w:lang w:val="en-US"/>
        </w:rPr>
        <w:fldChar w:fldCharType="begin"/>
      </w:r>
      <w:r w:rsidR="00A03CF2">
        <w:rPr>
          <w:rFonts w:eastAsiaTheme="minorEastAsia"/>
          <w:sz w:val="24"/>
          <w:szCs w:val="24"/>
          <w:lang w:val="en-US"/>
        </w:rPr>
        <w:instrText xml:space="preserve"> ADDIN ZOTERO_ITEM CSL_CITATION {"citationID":"aWUxgnwS","properties":{"formattedCitation":"(Hertel et al., 2024; Hill et al., 2011; Linton and Boersma, 2003)","plainCitation":"(Hertel et al., 2024; Hill et al., 2011; Linton and Boersma, 2003)","noteIndex":0},"citationItems":[{"id":215,"uris":["http://zotero.org/users/8514361/items/F5BKBARH"],"itemData":{"id":215,"type":"article-journal","abstract":"Substantial interindividual variability characterizes osteoarthritis (OA) pain. Previous findings identify quantitative sensory testing (QST), psychological factors, and health-related quality of life as contributors to OA pain and predictors of treatment outcomes. This exploratory study aimed to explain baseline OA pain intensity and predict OA pain after administration of a nonsteroidal anti-inflammatory drug in combination with paracetamol for 3 weeks. The Knee Injury and Osteoarthritis Outcome Score (KOOS) pain score was used to estimate OA pain presentation. One hundred one patients were assessed at baseline and follow-up using QST (pressure pain thresholds and temporal summation of pain [TSP]), symptoms of depression and anxiety, pain catastrophizing scales (PCSs), and health-related quality of life. Linear regression with backward selection identified that PCS significantly explained 34.2% of the variability in baseline KOOS pain, with nonsignificant contributions from TSP. Pain catastrophizing score and TSP predicted 29.3% of follow-up KOOS pain, with nonsignificant contributions from symptoms of anxiety. When assessed separately, PCS was the strongest predictor (32.2% of baseline and 24.1% of follow-up pain), but QST, symptoms of anxiety and depression, PCS, and quality of life also explained some variability in baseline and follow-up knee OA pain. Further analyses revealed that only TSP and PCS were not mediated by any other included variables, highlighting their role as unique contributors to OA pain presentation. This study emphasizes the importance of embracing a multimodal approach to OA pain and highlights PCS and TSP as major contributors to the baseline OA pain experience and the OA pain experience after OA treatment.","container-title":"Pain","DOI":"10.1097/j.pain.0000000000003194","ISSN":"1872-6623","journalAbbreviation":"Pain","language":"eng","note":"PMID: 38381930","source":"PubMed","title":"Quantitative sensory testing, psychological factors, and quality of life as predictors of current and future pain in patients with knee osteoarthritis","author":[{"family":"Hertel","given":"Emma"},{"family":"Arendt-Nielsen","given":"Lars"},{"family":"Olesen","given":"Anne Estrup"},{"family":"Andersen","given":"Michael Skipper"},{"family":"Petersen","given":"Kristian Kjær-Staal"}],"issued":{"date-parts":[["2024",2,20]]}}},{"id":"jyRXZ8R7/Lfi8jKLr","uris":["http://zotero.org/users/8777725/items/QEDBV3EF"],"itemData":{"id":1392,"type":"article-journal","abstract":"BACKGROUND: Back pain remains a challenge for primary care internationally. One model that has not been tested is stratification of the management according to the patient's prognosis (low, medium, or high risk). We compared the clinical effectiveness and cost-effectiveness of stratified primary care (intervention) with non-stratified current best practice (control).\nMETHODS: 1573 adults (aged ≥18 years) with back pain (with or without radiculopathy) consultations at ten general practices in England responded to invitations to attend an assessment clinic. Eligible participants were randomly assigned by use of computer-generated stratified blocks with a 2:1 ratio to intervention or control group. Primary outcome was the effect of treatment on the Roland Morris Disability Questionnaire (RMDQ) score at 12 months. In the economic evaluation, we focused on estimating incremental quality-adjusted life years (QALYs) and health-care costs related to back pain. Analysis was by intention to treat. This study is registered, number ISRCTN37113406.\nFINDINGS: 851 patients were assigned to the intervention (n=568) and control groups (n=283). Overall, adjusted mean changes in RMDQ scores were significantly higher in the intervention group than in the control group at 4 months (4·7 [SD 5·9] vs 3·0 [5·9], between-group difference 1·81 [95% CI 1·06-2·57]) and at 12 months (4·3 [6·4] vs 3·3 [6·2], 1·06 [0·25-1·86]), equating to effect sizes of 0·32 (0·19-0·45) and 0·19 (0·04-0·33), respectively. At 12 months, stratified care was associated with a mean increase in generic health benefit (0·039 additional QALYs) and cost savings (£240·01 vs £274·40) compared with the control group.\nINTERPRETATION: The results show that a stratified approach, by use of prognostic screening with matched pathways, will have important implications for the future management of back pain in primary care.\nFUNDING: Arthritis Research UK.","container-title":"Lancet (London, England)","DOI":"10.1016/S0140-6736(11)60937-9","ISSN":"1474-547X","issue":"9802","journalAbbreviation":"Lancet","language":"eng","note":"PMID: 21963002\nPMCID: PMC3208163","page":"1560-1571","source":"PubMed","title":"Comparison of stratified primary care management for low back pain with current best practice (STarT Back): a randomised controlled trial","title-short":"Comparison of stratified primary care management for low back pain with current best practice (STarT Back)","volume":"378","author":[{"family":"Hill","given":"Jonathan C."},{"family":"Whitehurst","given":"David G. T."},{"family":"Lewis","given":"Martyn"},{"family":"Bryan","given":"Stirling"},{"family":"Dunn","given":"Kate M."},{"family":"Foster","given":"Nadine E."},{"family":"Konstantinou","given":"Kika"},{"family":"Main","given":"Chris J."},{"family":"Mason","given":"Elizabeth"},{"family":"Somerville","given":"Simon"},{"family":"Sowden","given":"Gail"},{"family":"Vohora","given":"Kanchan"},{"family":"Hay","given":"Elaine M."}],"issued":{"date-parts":[["2011",10,29]]}}},{"id":"jyRXZ8R7/W5sbqDEt","uris":["http://zotero.org/users/8777725/items/HUCT3EPQ"],"itemData":{"id":868,"type":"article-journal","abstract":"OBJECTIVE: To test the predictive utility of the Orebro Musculoskeletal Pain Screening Questionnaire in identifying patients at risk for developing persistent back pain problems.\nDESIGN: Prospective, where participants completed the questionnaire and their cases were followed for 6 months to assess outcome with regard to pain, function, and absenteeism due to sickness.\nPARTICIPANTS: One hundred seven patients, recruited from seven primary care units.\nRESULTS: Discriminant analyses showed that the items on the questionnaire were significantly related to future problems. For absenteeism due to sickness, 68% of the patients were correctly classified into one of three groups, whereas an even distribution would have produced 33%. The analyses for function correctly classified 81%, and for pain 71%, into one of two groups, compared with a chance level of 50%. A total score analysis demonstrated that a cutoff score of 90 points had a sensitivity of 89% and a specificity of 65% for absenteeism due to sickness, and a sensitivity of 74% and a specificity of 79% for functional ability.\nCONCLUSIONS: The results underscore that psychological variables are related to outcome 6 months later, and they replicate and extend earlier findings indicating that the Orebro Screening Questionnaire is a clinically reliable and valid instrument. The total score was a relatively good predictor of future absenteeism due to sickness as well as function, but not of pain. The results suggest that the instrument could be of value in isolating patients in need of early interventions and may promote the use of appropriate interventions for patients with psychological risk factors.","container-title":"The Clinical Journal of Pain","DOI":"10.1097/00002508-200303000-00002","ISSN":"0749-8047","issue":"2","journalAbbreviation":"Clin J Pain","language":"eng","note":"PMID: 12616177","page":"80-86","source":"PubMed","title":"Early identification of patients at risk of developing a persistent back problem: the predictive validity of the Orebro Musculoskeletal Pain Questionnaire","title-short":"Early identification of patients at risk of developing a persistent back problem","volume":"19","author":[{"family":"Linton","given":"Steven J."},{"family":"Boersma","given":"Katja"}],"issued":{"date-parts":[["2003",4]]}}}],"schema":"https://github.com/citation-style-language/schema/raw/master/csl-citation.json"} </w:instrText>
      </w:r>
      <w:r w:rsidRPr="0FEC445E">
        <w:rPr>
          <w:rFonts w:eastAsiaTheme="minorEastAsia"/>
          <w:sz w:val="24"/>
          <w:szCs w:val="24"/>
          <w:lang w:val="en-US"/>
        </w:rPr>
        <w:fldChar w:fldCharType="separate"/>
      </w:r>
      <w:r w:rsidRPr="5045E0F5" w:rsidR="008425F7">
        <w:rPr>
          <w:rFonts w:ascii="Calibri" w:hAnsi="Calibri" w:cs="Calibri"/>
          <w:sz w:val="24"/>
          <w:szCs w:val="24"/>
        </w:rPr>
        <w:t>(Hertel et al., 2024; Hill et al., 2011; Linton and Boersma, 2003)</w:t>
      </w:r>
      <w:r w:rsidRPr="0FEC445E">
        <w:rPr>
          <w:rFonts w:eastAsiaTheme="minorEastAsia"/>
          <w:sz w:val="24"/>
          <w:szCs w:val="24"/>
          <w:lang w:val="en-US"/>
        </w:rPr>
        <w:fldChar w:fldCharType="end"/>
      </w:r>
      <w:r w:rsidRPr="0FEC445E" w:rsidR="4C644FFC">
        <w:rPr>
          <w:rFonts w:eastAsiaTheme="minorEastAsia"/>
          <w:sz w:val="24"/>
          <w:szCs w:val="24"/>
          <w:lang w:val="en-US"/>
        </w:rPr>
        <w:t>.</w:t>
      </w:r>
    </w:p>
    <w:p w:rsidRPr="0011402E" w:rsidR="0593ED14" w:rsidP="0830568B" w:rsidRDefault="1C07B2E5" w14:paraId="640430DC" w14:textId="451E06E0">
      <w:pPr>
        <w:spacing w:line="480" w:lineRule="auto"/>
        <w:jc w:val="both"/>
        <w:rPr>
          <w:rFonts w:ascii="Calibri" w:hAnsi="Calibri" w:eastAsia="Calibri" w:cs="Calibri"/>
          <w:color w:val="FF0000"/>
          <w:sz w:val="20"/>
          <w:szCs w:val="20"/>
          <w:lang w:val="en-US"/>
        </w:rPr>
      </w:pPr>
      <w:r w:rsidRPr="2CA5E832">
        <w:rPr>
          <w:rFonts w:eastAsiaTheme="minorEastAsia"/>
          <w:sz w:val="24"/>
          <w:szCs w:val="24"/>
          <w:lang w:val="en-US"/>
        </w:rPr>
        <w:t>In line with th</w:t>
      </w:r>
      <w:r w:rsidRPr="2CA5E832" w:rsidR="13436C71">
        <w:rPr>
          <w:rFonts w:eastAsiaTheme="minorEastAsia"/>
          <w:sz w:val="24"/>
          <w:szCs w:val="24"/>
          <w:lang w:val="en-US"/>
        </w:rPr>
        <w:t>e</w:t>
      </w:r>
      <w:r w:rsidRPr="2CA5E832">
        <w:rPr>
          <w:rFonts w:eastAsiaTheme="minorEastAsia"/>
          <w:sz w:val="24"/>
          <w:szCs w:val="24"/>
          <w:lang w:val="en-US"/>
        </w:rPr>
        <w:t xml:space="preserve"> hypothesis of central </w:t>
      </w:r>
      <w:r w:rsidRPr="2CA5E832" w:rsidR="008E24E0">
        <w:rPr>
          <w:rFonts w:eastAsiaTheme="minorEastAsia"/>
          <w:sz w:val="24"/>
          <w:szCs w:val="24"/>
          <w:lang w:val="en-US"/>
        </w:rPr>
        <w:t xml:space="preserve">maladaptive </w:t>
      </w:r>
      <w:r w:rsidRPr="2CA5E832">
        <w:rPr>
          <w:rFonts w:eastAsiaTheme="minorEastAsia"/>
          <w:sz w:val="24"/>
          <w:szCs w:val="24"/>
          <w:lang w:val="en-US"/>
        </w:rPr>
        <w:t xml:space="preserve">changes, </w:t>
      </w:r>
      <w:r w:rsidRPr="2CA5E832">
        <w:rPr>
          <w:rFonts w:ascii="Calibri" w:hAnsi="Calibri" w:eastAsia="Calibri" w:cs="Calibri"/>
          <w:sz w:val="24"/>
          <w:szCs w:val="24"/>
          <w:lang w:val="en-US"/>
        </w:rPr>
        <w:t xml:space="preserve">Dimova </w:t>
      </w:r>
      <w:r w:rsidR="009A47EE">
        <w:rPr>
          <w:rFonts w:ascii="Calibri" w:hAnsi="Calibri" w:eastAsia="Calibri" w:cs="Calibri"/>
          <w:sz w:val="24"/>
          <w:szCs w:val="24"/>
          <w:lang w:val="en-US"/>
        </w:rPr>
        <w:t>and colleagues</w:t>
      </w:r>
      <w:r w:rsidRPr="2CA5E832">
        <w:rPr>
          <w:rFonts w:ascii="Calibri" w:hAnsi="Calibri" w:eastAsia="Calibri" w:cs="Calibri"/>
          <w:sz w:val="24"/>
          <w:szCs w:val="24"/>
          <w:lang w:val="en-US"/>
        </w:rPr>
        <w:t xml:space="preserve"> </w:t>
      </w:r>
      <w:r w:rsidRPr="2CA5E832">
        <w:rPr>
          <w:rFonts w:ascii="Calibri" w:hAnsi="Calibri" w:eastAsia="Calibri" w:cs="Calibri"/>
          <w:sz w:val="24"/>
          <w:szCs w:val="24"/>
          <w:lang w:val="en-US"/>
        </w:rPr>
        <w:fldChar w:fldCharType="begin"/>
      </w:r>
      <w:r w:rsidR="00A03CF2">
        <w:rPr>
          <w:rFonts w:ascii="Calibri" w:hAnsi="Calibri" w:eastAsia="Calibri" w:cs="Calibri"/>
          <w:sz w:val="24"/>
          <w:szCs w:val="24"/>
          <w:lang w:val="en-US"/>
        </w:rPr>
        <w:instrText xml:space="preserve"> ADDIN ZOTERO_ITEM CSL_CITATION {"citationID":"iXWKgZsA","properties":{"formattedCitation":"(Dimova et al., 2020)","plainCitation":"(Dimova et al., 2020)","noteIndex":0},"citationItems":[{"id":"jyRXZ8R7/XKxcKgDe","uris":["http://zotero.org/users/8777725/items/Y72WMAQV"],"itemData":{"id":783,"type":"article-journal","abstract":"OBJECTIVE: We pursued the hypothesis that complex regional pain syndrome (CRPS) signs observed by neurologic examination display a structure allowing for alignment of patients to particular phenotype clusters.\nMETHODS: Clinical examination data were obtained from 3 independent samples of 444, 391, and 202 patients with CRPS. The structure among CRPS signs was analyzed in sample 1 and validated with sample 2 using hierarchical clustering. For patients with CRPS in sample 3, an individual phenotype score was submitted to k-means clustering. Pain characteristics, quantitative sensory testing, and psychological data were tested in this sample as descriptors for phenotypes.\nRESULTS: A 2-cluster structure emerged in sample 1 and was replicated in sample 2. Cluster 1 comprised minor injury eliciting CRPS, motor signs, allodynia, and glove/stocking-like sensory deficits, resembling a CRPS phenotype most likely reflecting a CNS pathophysiology (the central phenotype). Cluster 2, which consisted of edema, skin color changes, skin temperature changes, sweating, and trophic changes, probably represents peripheral inflammation, the peripheral phenotype. In sample 3, individual phenotype scores were calculated as the sum of the mean values of signs from each cluster, where signs from cluster 1 were coded with 1 and from cluster 2 with -1. A k-means algorithm separated groups with 78, 36, and 88 members resembling the peripheral, central, and mixed phenotypes, respectively. The central phenotype was characterized by cold hyperalgesia at the affected limb.\nCONCLUSIONS: Statistically determined CRPS phenotypes may reflect major pathophysiologic mechanisms of peripheral inflammation and central reorganization.","container-title":"Neurology","DOI":"10.1212/WNL.0000000000008736","ISSN":"1526-632X","issue":"4","journalAbbreviation":"Neurology","language":"eng","note":"PMID: 31874923","page":"e357-e367","source":"PubMed","title":"Clinical phenotypes and classification algorithm for complex regional pain syndrome","volume":"94","author":[{"family":"Dimova","given":"Violeta"},{"family":"Herrnberger","given":"Myriam Selma"},{"family":"Escolano-Lozano","given":"Fabiola"},{"family":"Rittner","given":"Heike Lydia"},{"family":"Vlckova","given":"Eva"},{"family":"Sommer","given":"Claudia"},{"family":"Maihöfner","given":"Christian"},{"family":"Birklein","given":"Frank"}],"issued":{"date-parts":[["2020",1,28]]}}}],"schema":"https://github.com/citation-style-language/schema/raw/master/csl-citation.json"} </w:instrText>
      </w:r>
      <w:r w:rsidRPr="2CA5E832">
        <w:rPr>
          <w:rFonts w:ascii="Calibri" w:hAnsi="Calibri" w:eastAsia="Calibri" w:cs="Calibri"/>
          <w:sz w:val="24"/>
          <w:szCs w:val="24"/>
          <w:lang w:val="en-US"/>
        </w:rPr>
        <w:fldChar w:fldCharType="separate"/>
      </w:r>
      <w:r w:rsidRPr="6CFBCA64" w:rsidR="008425F7">
        <w:rPr>
          <w:rFonts w:ascii="Calibri" w:hAnsi="Calibri" w:cs="Calibri"/>
          <w:sz w:val="24"/>
          <w:szCs w:val="24"/>
        </w:rPr>
        <w:t>(Dimova et al., 2020)</w:t>
      </w:r>
      <w:r w:rsidRPr="2CA5E832">
        <w:rPr>
          <w:rFonts w:ascii="Calibri" w:hAnsi="Calibri" w:eastAsia="Calibri" w:cs="Calibri"/>
          <w:sz w:val="24"/>
          <w:szCs w:val="24"/>
          <w:lang w:val="en-US"/>
        </w:rPr>
        <w:fldChar w:fldCharType="end"/>
      </w:r>
      <w:r w:rsidRPr="2CA5E832" w:rsidR="07D2E966">
        <w:rPr>
          <w:rFonts w:ascii="Calibri" w:hAnsi="Calibri" w:eastAsia="Calibri" w:cs="Calibri"/>
          <w:sz w:val="24"/>
          <w:szCs w:val="24"/>
          <w:lang w:val="en-US"/>
        </w:rPr>
        <w:t xml:space="preserve"> identified three potential phenotypes in </w:t>
      </w:r>
      <w:r w:rsidRPr="2CA5E832" w:rsidR="00204547">
        <w:rPr>
          <w:rFonts w:eastAsiaTheme="minorEastAsia"/>
          <w:sz w:val="24"/>
          <w:szCs w:val="24"/>
          <w:lang w:val="en-US"/>
        </w:rPr>
        <w:t>persistent CRPS patients</w:t>
      </w:r>
      <w:r w:rsidRPr="2CA5E832" w:rsidR="26B316F4">
        <w:rPr>
          <w:rFonts w:eastAsiaTheme="minorEastAsia"/>
          <w:sz w:val="24"/>
          <w:szCs w:val="24"/>
          <w:lang w:val="en-US"/>
        </w:rPr>
        <w:t>:</w:t>
      </w:r>
      <w:r w:rsidRPr="2CA5E832" w:rsidR="520AFFF9">
        <w:rPr>
          <w:rFonts w:eastAsiaTheme="minorEastAsia"/>
          <w:sz w:val="24"/>
          <w:szCs w:val="24"/>
          <w:lang w:val="en-US"/>
        </w:rPr>
        <w:t xml:space="preserve"> </w:t>
      </w:r>
      <w:r w:rsidRPr="2CA5E832" w:rsidR="2F586D87">
        <w:rPr>
          <w:rFonts w:eastAsiaTheme="minorEastAsia"/>
          <w:sz w:val="24"/>
          <w:szCs w:val="24"/>
          <w:lang w:val="en-US"/>
        </w:rPr>
        <w:t xml:space="preserve">a </w:t>
      </w:r>
      <w:r w:rsidRPr="2CA5E832">
        <w:rPr>
          <w:rFonts w:ascii="Calibri" w:hAnsi="Calibri" w:eastAsia="Calibri" w:cs="Calibri"/>
          <w:sz w:val="24"/>
          <w:szCs w:val="24"/>
          <w:lang w:val="en-US"/>
        </w:rPr>
        <w:t>“</w:t>
      </w:r>
      <w:r w:rsidRPr="2CA5E832">
        <w:rPr>
          <w:rFonts w:ascii="Calibri" w:hAnsi="Calibri" w:eastAsia="Calibri" w:cs="Calibri"/>
          <w:i/>
          <w:iCs/>
          <w:sz w:val="24"/>
          <w:szCs w:val="24"/>
          <w:lang w:val="en-US"/>
        </w:rPr>
        <w:t>central phenotype</w:t>
      </w:r>
      <w:r w:rsidRPr="2CA5E832">
        <w:rPr>
          <w:rFonts w:ascii="Calibri" w:hAnsi="Calibri" w:eastAsia="Calibri" w:cs="Calibri"/>
          <w:sz w:val="24"/>
          <w:szCs w:val="24"/>
          <w:lang w:val="en-US"/>
        </w:rPr>
        <w:t xml:space="preserve">” </w:t>
      </w:r>
      <w:r w:rsidRPr="2CA5E832" w:rsidR="5DFA8FEC">
        <w:rPr>
          <w:rFonts w:ascii="Calibri" w:hAnsi="Calibri" w:eastAsia="Calibri" w:cs="Calibri"/>
          <w:sz w:val="24"/>
          <w:szCs w:val="24"/>
          <w:lang w:val="en-US"/>
        </w:rPr>
        <w:t>(</w:t>
      </w:r>
      <w:r w:rsidRPr="2CA5E832">
        <w:rPr>
          <w:rFonts w:ascii="Calibri" w:hAnsi="Calibri" w:eastAsia="Calibri" w:cs="Calibri"/>
          <w:sz w:val="24"/>
          <w:szCs w:val="24"/>
          <w:lang w:val="en-US"/>
        </w:rPr>
        <w:t>minor trauma, allodynia, motor disturbances and sensory deficits</w:t>
      </w:r>
      <w:r w:rsidRPr="2CA5E832" w:rsidR="5EFF9D40">
        <w:rPr>
          <w:rFonts w:ascii="Calibri" w:hAnsi="Calibri" w:eastAsia="Calibri" w:cs="Calibri"/>
          <w:sz w:val="24"/>
          <w:szCs w:val="24"/>
          <w:lang w:val="en-US"/>
        </w:rPr>
        <w:t xml:space="preserve">), </w:t>
      </w:r>
      <w:r w:rsidRPr="2CA5E832" w:rsidR="229CB1EA">
        <w:rPr>
          <w:rFonts w:ascii="Calibri" w:hAnsi="Calibri" w:eastAsia="Calibri" w:cs="Calibri"/>
          <w:sz w:val="24"/>
          <w:szCs w:val="24"/>
          <w:lang w:val="en-US"/>
        </w:rPr>
        <w:t xml:space="preserve">a </w:t>
      </w:r>
      <w:r w:rsidRPr="2CA5E832" w:rsidR="0593ED14">
        <w:rPr>
          <w:rFonts w:ascii="Calibri" w:hAnsi="Calibri" w:eastAsia="Calibri" w:cs="Calibri"/>
          <w:sz w:val="24"/>
          <w:szCs w:val="24"/>
          <w:lang w:val="en-US"/>
        </w:rPr>
        <w:t>“</w:t>
      </w:r>
      <w:r w:rsidRPr="2CA5E832" w:rsidR="0593ED14">
        <w:rPr>
          <w:rFonts w:ascii="Calibri" w:hAnsi="Calibri" w:eastAsia="Calibri" w:cs="Calibri"/>
          <w:i/>
          <w:iCs/>
          <w:sz w:val="24"/>
          <w:szCs w:val="24"/>
          <w:lang w:val="en-US"/>
        </w:rPr>
        <w:t>peripheral phenotype</w:t>
      </w:r>
      <w:r w:rsidRPr="2CA5E832" w:rsidR="0593ED14">
        <w:rPr>
          <w:rFonts w:ascii="Calibri" w:hAnsi="Calibri" w:eastAsia="Calibri" w:cs="Calibri"/>
          <w:sz w:val="24"/>
          <w:szCs w:val="24"/>
          <w:lang w:val="en-US"/>
        </w:rPr>
        <w:t>”</w:t>
      </w:r>
      <w:r w:rsidRPr="2CA5E832" w:rsidR="6EF0FC65">
        <w:rPr>
          <w:rFonts w:ascii="Calibri" w:hAnsi="Calibri" w:eastAsia="Calibri" w:cs="Calibri"/>
          <w:sz w:val="24"/>
          <w:szCs w:val="24"/>
          <w:lang w:val="en-US"/>
        </w:rPr>
        <w:t xml:space="preserve"> </w:t>
      </w:r>
      <w:r w:rsidRPr="2CA5E832" w:rsidR="0593ED14">
        <w:rPr>
          <w:rFonts w:ascii="Calibri" w:hAnsi="Calibri" w:eastAsia="Calibri" w:cs="Calibri"/>
          <w:sz w:val="24"/>
          <w:szCs w:val="24"/>
          <w:lang w:val="en-US"/>
        </w:rPr>
        <w:t xml:space="preserve">(temperature asymmetry, edema, sweating, skin color, and trophic changes) and </w:t>
      </w:r>
      <w:r w:rsidRPr="2CA5E832" w:rsidR="6A87B329">
        <w:rPr>
          <w:rFonts w:ascii="Calibri" w:hAnsi="Calibri" w:eastAsia="Calibri" w:cs="Calibri"/>
          <w:sz w:val="24"/>
          <w:szCs w:val="24"/>
          <w:lang w:val="en-US"/>
        </w:rPr>
        <w:t xml:space="preserve">a </w:t>
      </w:r>
      <w:r w:rsidRPr="2CA5E832" w:rsidR="0593ED14">
        <w:rPr>
          <w:rFonts w:ascii="Calibri" w:hAnsi="Calibri" w:eastAsia="Calibri" w:cs="Calibri"/>
          <w:sz w:val="24"/>
          <w:szCs w:val="24"/>
          <w:lang w:val="en-US"/>
        </w:rPr>
        <w:t>“</w:t>
      </w:r>
      <w:r w:rsidRPr="2CA5E832" w:rsidR="0593ED14">
        <w:rPr>
          <w:rFonts w:ascii="Calibri" w:hAnsi="Calibri" w:eastAsia="Calibri" w:cs="Calibri"/>
          <w:i/>
          <w:iCs/>
          <w:sz w:val="24"/>
          <w:szCs w:val="24"/>
          <w:lang w:val="en-US"/>
        </w:rPr>
        <w:t>mixed phenotype</w:t>
      </w:r>
      <w:r w:rsidRPr="2CA5E832" w:rsidR="0593ED14">
        <w:rPr>
          <w:rFonts w:ascii="Calibri" w:hAnsi="Calibri" w:eastAsia="Calibri" w:cs="Calibri"/>
          <w:sz w:val="24"/>
          <w:szCs w:val="24"/>
          <w:lang w:val="en-US"/>
        </w:rPr>
        <w:t>” (associating both characteristics).</w:t>
      </w:r>
      <w:r w:rsidRPr="2CA5E832" w:rsidR="3FDBE284">
        <w:rPr>
          <w:rFonts w:ascii="Calibri" w:hAnsi="Calibri" w:eastAsia="Calibri" w:cs="Calibri"/>
          <w:sz w:val="24"/>
          <w:szCs w:val="24"/>
          <w:lang w:val="en-US"/>
        </w:rPr>
        <w:t xml:space="preserve"> </w:t>
      </w:r>
      <w:r w:rsidRPr="2CA5E832" w:rsidR="35B67C96">
        <w:rPr>
          <w:rFonts w:ascii="Calibri" w:hAnsi="Calibri" w:eastAsia="Calibri" w:cs="Calibri"/>
          <w:sz w:val="24"/>
          <w:szCs w:val="24"/>
          <w:lang w:val="en-US"/>
        </w:rPr>
        <w:t xml:space="preserve">However, in contrast to these data, </w:t>
      </w:r>
      <w:r w:rsidRPr="2CA5E832" w:rsidR="3FDBE284">
        <w:rPr>
          <w:rFonts w:ascii="Calibri" w:hAnsi="Calibri" w:eastAsia="Calibri" w:cs="Calibri"/>
          <w:sz w:val="24"/>
          <w:szCs w:val="24"/>
          <w:lang w:val="en-US"/>
        </w:rPr>
        <w:t xml:space="preserve">our </w:t>
      </w:r>
      <w:proofErr w:type="spellStart"/>
      <w:r w:rsidRPr="2CA5E832" w:rsidR="3FDBE284">
        <w:rPr>
          <w:rFonts w:ascii="Calibri" w:hAnsi="Calibri" w:eastAsia="Calibri" w:cs="Calibri"/>
          <w:sz w:val="24"/>
          <w:szCs w:val="24"/>
          <w:lang w:val="en-US"/>
        </w:rPr>
        <w:t>LCA</w:t>
      </w:r>
      <w:proofErr w:type="spellEnd"/>
      <w:r w:rsidRPr="2CA5E832" w:rsidR="3FDBE284">
        <w:rPr>
          <w:rFonts w:ascii="Calibri" w:hAnsi="Calibri" w:eastAsia="Calibri" w:cs="Calibri"/>
          <w:sz w:val="24"/>
          <w:szCs w:val="24"/>
          <w:lang w:val="en-US"/>
        </w:rPr>
        <w:t xml:space="preserve"> results </w:t>
      </w:r>
      <w:r w:rsidRPr="2CA5E832" w:rsidR="3FDBE284">
        <w:rPr>
          <w:rFonts w:eastAsiaTheme="minorEastAsia"/>
          <w:sz w:val="24"/>
          <w:szCs w:val="24"/>
          <w:lang w:val="en-US"/>
        </w:rPr>
        <w:t xml:space="preserve">did not </w:t>
      </w:r>
      <w:r w:rsidRPr="2CA5E832" w:rsidR="10AB2701">
        <w:rPr>
          <w:rFonts w:eastAsiaTheme="minorEastAsia"/>
          <w:sz w:val="24"/>
          <w:szCs w:val="24"/>
          <w:lang w:val="en-US"/>
        </w:rPr>
        <w:t xml:space="preserve">identify subgroup </w:t>
      </w:r>
      <w:r w:rsidRPr="2CA5E832" w:rsidR="002B7461">
        <w:rPr>
          <w:rFonts w:eastAsiaTheme="minorEastAsia"/>
          <w:sz w:val="24"/>
          <w:szCs w:val="24"/>
          <w:lang w:val="en-US"/>
        </w:rPr>
        <w:t>differences according</w:t>
      </w:r>
      <w:r w:rsidRPr="2CA5E832" w:rsidR="3FDBE284">
        <w:rPr>
          <w:rFonts w:eastAsiaTheme="minorEastAsia"/>
          <w:sz w:val="24"/>
          <w:szCs w:val="24"/>
          <w:lang w:val="en-US"/>
        </w:rPr>
        <w:t xml:space="preserve"> to </w:t>
      </w:r>
      <w:r w:rsidRPr="2CA5E832" w:rsidR="7DE8FDA2">
        <w:rPr>
          <w:rFonts w:eastAsiaTheme="minorEastAsia"/>
          <w:sz w:val="24"/>
          <w:szCs w:val="24"/>
          <w:lang w:val="en-US"/>
        </w:rPr>
        <w:t>“peripheral”</w:t>
      </w:r>
      <w:r w:rsidRPr="2CA5E832" w:rsidR="3FDBE284">
        <w:rPr>
          <w:rFonts w:eastAsiaTheme="minorEastAsia"/>
          <w:sz w:val="24"/>
          <w:szCs w:val="24"/>
          <w:lang w:val="en-US"/>
        </w:rPr>
        <w:t xml:space="preserve"> CRPS characteristics</w:t>
      </w:r>
      <w:r w:rsidRPr="2CA5E832" w:rsidR="278D5AFB">
        <w:rPr>
          <w:rFonts w:eastAsiaTheme="minorEastAsia"/>
          <w:sz w:val="24"/>
          <w:szCs w:val="24"/>
          <w:lang w:val="en-US"/>
        </w:rPr>
        <w:t xml:space="preserve"> </w:t>
      </w:r>
      <w:r w:rsidRPr="6CFBCA64" w:rsidR="7A92413B">
        <w:rPr>
          <w:rFonts w:eastAsiaTheme="minorEastAsia"/>
          <w:sz w:val="24"/>
          <w:szCs w:val="24"/>
          <w:lang w:val="en-US"/>
        </w:rPr>
        <w:t xml:space="preserve">whereas </w:t>
      </w:r>
      <w:r w:rsidRPr="2CA5E832" w:rsidR="278D5AFB">
        <w:rPr>
          <w:rFonts w:eastAsiaTheme="minorEastAsia"/>
          <w:sz w:val="24"/>
          <w:szCs w:val="24"/>
          <w:lang w:val="en-US"/>
        </w:rPr>
        <w:t xml:space="preserve">our </w:t>
      </w:r>
      <w:r w:rsidRPr="2CA5E832" w:rsidR="1CFE3B2A">
        <w:rPr>
          <w:rFonts w:eastAsiaTheme="minorEastAsia"/>
          <w:sz w:val="24"/>
          <w:szCs w:val="24"/>
          <w:lang w:val="en-US"/>
        </w:rPr>
        <w:t>profiles</w:t>
      </w:r>
      <w:r w:rsidRPr="2CA5E832" w:rsidR="2781F919">
        <w:rPr>
          <w:rFonts w:eastAsiaTheme="minorEastAsia"/>
          <w:sz w:val="24"/>
          <w:szCs w:val="24"/>
          <w:lang w:val="en-US"/>
        </w:rPr>
        <w:t xml:space="preserve"> </w:t>
      </w:r>
      <w:r w:rsidRPr="2CA5E832" w:rsidR="3FDBE284">
        <w:rPr>
          <w:rFonts w:eastAsiaTheme="minorEastAsia"/>
          <w:sz w:val="24"/>
          <w:szCs w:val="24"/>
          <w:lang w:val="en-US"/>
        </w:rPr>
        <w:t>were strongly linked to different outcomes. Th</w:t>
      </w:r>
      <w:r w:rsidRPr="2CA5E832" w:rsidR="7AE05994">
        <w:rPr>
          <w:rFonts w:eastAsiaTheme="minorEastAsia"/>
          <w:sz w:val="24"/>
          <w:szCs w:val="24"/>
          <w:lang w:val="en-US"/>
        </w:rPr>
        <w:t xml:space="preserve">e </w:t>
      </w:r>
      <w:r w:rsidRPr="2CA5E832" w:rsidR="3FDBE284">
        <w:rPr>
          <w:rFonts w:eastAsiaTheme="minorEastAsia"/>
          <w:sz w:val="24"/>
          <w:szCs w:val="24"/>
          <w:lang w:val="en-US"/>
        </w:rPr>
        <w:t>difference might be explained by the clustering method</w:t>
      </w:r>
      <w:r w:rsidRPr="2CA5E832" w:rsidR="292839FD">
        <w:rPr>
          <w:rFonts w:eastAsiaTheme="minorEastAsia"/>
          <w:sz w:val="24"/>
          <w:szCs w:val="24"/>
          <w:lang w:val="en-US"/>
        </w:rPr>
        <w:t>,</w:t>
      </w:r>
      <w:r w:rsidRPr="2CA5E832" w:rsidR="3FDBE284">
        <w:rPr>
          <w:rFonts w:eastAsiaTheme="minorEastAsia"/>
          <w:sz w:val="24"/>
          <w:szCs w:val="24"/>
          <w:lang w:val="en-US"/>
        </w:rPr>
        <w:t xml:space="preserve"> the variables introduced into the model</w:t>
      </w:r>
      <w:r w:rsidRPr="2CA5E832" w:rsidR="414F7FA9">
        <w:rPr>
          <w:rFonts w:eastAsiaTheme="minorEastAsia"/>
          <w:sz w:val="24"/>
          <w:szCs w:val="24"/>
          <w:lang w:val="en-US"/>
        </w:rPr>
        <w:t xml:space="preserve"> and</w:t>
      </w:r>
      <w:r w:rsidRPr="2CA5E832" w:rsidR="090B3527">
        <w:rPr>
          <w:rFonts w:eastAsiaTheme="minorEastAsia"/>
          <w:sz w:val="24"/>
          <w:szCs w:val="24"/>
          <w:lang w:val="en-US"/>
        </w:rPr>
        <w:t>/or</w:t>
      </w:r>
      <w:r w:rsidRPr="2CA5E832" w:rsidR="414F7FA9">
        <w:rPr>
          <w:rFonts w:eastAsiaTheme="minorEastAsia"/>
          <w:sz w:val="24"/>
          <w:szCs w:val="24"/>
          <w:lang w:val="en-US"/>
        </w:rPr>
        <w:t xml:space="preserve"> a different population</w:t>
      </w:r>
      <w:r w:rsidRPr="2CA5E832" w:rsidR="3FDBE284">
        <w:rPr>
          <w:rFonts w:eastAsiaTheme="minorEastAsia"/>
          <w:sz w:val="24"/>
          <w:szCs w:val="24"/>
          <w:lang w:val="en-US"/>
        </w:rPr>
        <w:t xml:space="preserve">. </w:t>
      </w:r>
      <w:r w:rsidRPr="2CA5E832">
        <w:rPr>
          <w:rFonts w:eastAsiaTheme="minorEastAsia"/>
          <w:sz w:val="24"/>
          <w:szCs w:val="24"/>
          <w:lang w:val="en-US"/>
        </w:rPr>
        <w:t xml:space="preserve">Consequently, it suggests that the presence or absence of </w:t>
      </w:r>
      <w:r w:rsidRPr="2CA5E832" w:rsidR="72093AC8">
        <w:rPr>
          <w:rFonts w:eastAsiaTheme="minorEastAsia"/>
          <w:sz w:val="24"/>
          <w:szCs w:val="24"/>
          <w:lang w:val="en-US"/>
        </w:rPr>
        <w:t>CRPS features (</w:t>
      </w:r>
      <w:proofErr w:type="gramStart"/>
      <w:r w:rsidRPr="2CA5E832" w:rsidR="72093AC8">
        <w:rPr>
          <w:rFonts w:eastAsiaTheme="minorEastAsia"/>
          <w:sz w:val="24"/>
          <w:szCs w:val="24"/>
          <w:lang w:val="en-US"/>
        </w:rPr>
        <w:t>with the exception of</w:t>
      </w:r>
      <w:proofErr w:type="gramEnd"/>
      <w:r w:rsidRPr="2CA5E832" w:rsidR="72093AC8">
        <w:rPr>
          <w:rFonts w:eastAsiaTheme="minorEastAsia"/>
          <w:sz w:val="24"/>
          <w:szCs w:val="24"/>
          <w:lang w:val="en-US"/>
        </w:rPr>
        <w:t xml:space="preserve"> sensitive </w:t>
      </w:r>
      <w:r w:rsidRPr="2CA5E832" w:rsidR="7E099468">
        <w:rPr>
          <w:rFonts w:eastAsiaTheme="minorEastAsia"/>
          <w:sz w:val="24"/>
          <w:szCs w:val="24"/>
          <w:lang w:val="en-US"/>
        </w:rPr>
        <w:t>signs</w:t>
      </w:r>
      <w:r w:rsidRPr="2CA5E832" w:rsidR="72093AC8">
        <w:rPr>
          <w:rFonts w:eastAsiaTheme="minorEastAsia"/>
          <w:sz w:val="24"/>
          <w:szCs w:val="24"/>
          <w:lang w:val="en-US"/>
        </w:rPr>
        <w:t xml:space="preserve">) </w:t>
      </w:r>
      <w:r w:rsidRPr="2CA5E832" w:rsidR="499C7F45">
        <w:rPr>
          <w:rFonts w:eastAsiaTheme="minorEastAsia"/>
          <w:sz w:val="24"/>
          <w:szCs w:val="24"/>
          <w:lang w:val="en-US"/>
        </w:rPr>
        <w:t>assessed by the Budapest criteria</w:t>
      </w:r>
      <w:r w:rsidRPr="2CA5E832" w:rsidR="72093AC8">
        <w:rPr>
          <w:rFonts w:eastAsiaTheme="minorEastAsia"/>
          <w:sz w:val="24"/>
          <w:szCs w:val="24"/>
          <w:lang w:val="en-US"/>
        </w:rPr>
        <w:t xml:space="preserve"> </w:t>
      </w:r>
      <w:r w:rsidRPr="2CA5E832" w:rsidR="71ACD65F">
        <w:rPr>
          <w:rFonts w:eastAsiaTheme="minorEastAsia"/>
          <w:sz w:val="24"/>
          <w:szCs w:val="24"/>
          <w:lang w:val="en-US"/>
        </w:rPr>
        <w:t xml:space="preserve">might </w:t>
      </w:r>
      <w:r w:rsidRPr="2CA5E832" w:rsidR="7D4B4B54">
        <w:rPr>
          <w:rFonts w:eastAsiaTheme="minorEastAsia"/>
          <w:sz w:val="24"/>
          <w:szCs w:val="24"/>
          <w:lang w:val="en-US"/>
        </w:rPr>
        <w:t>not be</w:t>
      </w:r>
      <w:r w:rsidRPr="2CA5E832">
        <w:rPr>
          <w:rFonts w:eastAsiaTheme="minorEastAsia"/>
          <w:sz w:val="24"/>
          <w:szCs w:val="24"/>
          <w:lang w:val="en-US"/>
        </w:rPr>
        <w:t xml:space="preserve"> </w:t>
      </w:r>
      <w:r w:rsidRPr="2CA5E832" w:rsidR="22DFFEEE">
        <w:rPr>
          <w:rFonts w:eastAsiaTheme="minorEastAsia"/>
          <w:sz w:val="24"/>
          <w:szCs w:val="24"/>
          <w:lang w:val="en-US"/>
        </w:rPr>
        <w:t>relevant</w:t>
      </w:r>
      <w:r w:rsidRPr="2CA5E832">
        <w:rPr>
          <w:rFonts w:eastAsiaTheme="minorEastAsia"/>
          <w:sz w:val="24"/>
          <w:szCs w:val="24"/>
          <w:lang w:val="en-US"/>
        </w:rPr>
        <w:t xml:space="preserve"> </w:t>
      </w:r>
      <w:r w:rsidRPr="2CA5E832" w:rsidR="22DFFEEE">
        <w:rPr>
          <w:rFonts w:eastAsiaTheme="minorEastAsia"/>
          <w:sz w:val="24"/>
          <w:szCs w:val="24"/>
          <w:lang w:val="en-US"/>
        </w:rPr>
        <w:t xml:space="preserve">for subgroup </w:t>
      </w:r>
      <w:r w:rsidRPr="2CA5E832" w:rsidR="5A2F1376">
        <w:rPr>
          <w:rFonts w:eastAsiaTheme="minorEastAsia"/>
          <w:sz w:val="24"/>
          <w:szCs w:val="24"/>
          <w:lang w:val="en-US"/>
        </w:rPr>
        <w:t>classification</w:t>
      </w:r>
      <w:r w:rsidRPr="2CA5E832">
        <w:rPr>
          <w:rFonts w:eastAsiaTheme="minorEastAsia"/>
          <w:sz w:val="24"/>
          <w:szCs w:val="24"/>
          <w:lang w:val="en-US"/>
        </w:rPr>
        <w:t>.</w:t>
      </w:r>
    </w:p>
    <w:p w:rsidRPr="00F234F9" w:rsidR="00D57E3B" w:rsidP="00085416" w:rsidRDefault="63A6D9C6" w14:paraId="6EC2BDFD" w14:textId="77436158">
      <w:pPr>
        <w:pStyle w:val="ListParagraph"/>
        <w:numPr>
          <w:ilvl w:val="0"/>
          <w:numId w:val="6"/>
        </w:numPr>
        <w:spacing w:line="480" w:lineRule="auto"/>
        <w:jc w:val="both"/>
        <w:rPr>
          <w:rFonts w:ascii="Calibri" w:hAnsi="Calibri" w:eastAsia="Calibri" w:cs="Calibri"/>
          <w:sz w:val="24"/>
          <w:szCs w:val="24"/>
          <w:lang w:val="en-US"/>
        </w:rPr>
      </w:pPr>
      <w:r w:rsidRPr="0BEC6559">
        <w:rPr>
          <w:rFonts w:ascii="Calibri" w:hAnsi="Calibri" w:eastAsia="Calibri" w:cs="Calibri"/>
          <w:b/>
          <w:bCs/>
          <w:sz w:val="24"/>
          <w:szCs w:val="24"/>
        </w:rPr>
        <w:lastRenderedPageBreak/>
        <w:t>Limitations</w:t>
      </w:r>
    </w:p>
    <w:p w:rsidRPr="00171B6F" w:rsidR="4849CCA0" w:rsidP="0BEC6559" w:rsidRDefault="04E9BCA1" w14:paraId="58BDC7D1" w14:textId="235720D5">
      <w:pPr>
        <w:spacing w:line="480" w:lineRule="auto"/>
        <w:jc w:val="both"/>
        <w:rPr>
          <w:rFonts w:ascii="Calibri" w:hAnsi="Calibri" w:eastAsia="Calibri" w:cs="Calibri"/>
          <w:sz w:val="24"/>
          <w:szCs w:val="24"/>
          <w:lang w:val="en-US"/>
        </w:rPr>
      </w:pPr>
      <w:r w:rsidRPr="792AD32B" w:rsidR="04E9BCA1">
        <w:rPr>
          <w:rFonts w:ascii="Calibri" w:hAnsi="Calibri" w:eastAsia="Calibri" w:cs="Calibri"/>
          <w:sz w:val="24"/>
          <w:szCs w:val="24"/>
        </w:rPr>
        <w:t>A f</w:t>
      </w:r>
      <w:r w:rsidRPr="792AD32B" w:rsidR="396AF119">
        <w:rPr>
          <w:rFonts w:ascii="Calibri" w:hAnsi="Calibri" w:eastAsia="Calibri" w:cs="Calibri"/>
          <w:sz w:val="24"/>
          <w:szCs w:val="24"/>
        </w:rPr>
        <w:t>irst</w:t>
      </w:r>
      <w:r w:rsidRPr="792AD32B" w:rsidR="630B1449">
        <w:rPr>
          <w:rFonts w:ascii="Calibri" w:hAnsi="Calibri" w:eastAsia="Calibri" w:cs="Calibri"/>
          <w:sz w:val="24"/>
          <w:szCs w:val="24"/>
        </w:rPr>
        <w:t xml:space="preserve"> limitation of this study </w:t>
      </w:r>
      <w:r w:rsidRPr="792AD32B" w:rsidR="006A4DE2">
        <w:rPr>
          <w:rFonts w:ascii="Calibri" w:hAnsi="Calibri" w:eastAsia="Calibri" w:cs="Calibri"/>
          <w:color w:val="FF0000"/>
          <w:sz w:val="24"/>
          <w:szCs w:val="24"/>
        </w:rPr>
        <w:t xml:space="preserve">is related </w:t>
      </w:r>
      <w:r w:rsidRPr="792AD32B" w:rsidR="630B1449">
        <w:rPr>
          <w:rFonts w:ascii="Calibri" w:hAnsi="Calibri" w:eastAsia="Calibri" w:cs="Calibri"/>
          <w:sz w:val="24"/>
          <w:szCs w:val="24"/>
        </w:rPr>
        <w:t xml:space="preserve">to the small proportion of patients </w:t>
      </w:r>
      <w:r w:rsidRPr="792AD32B" w:rsidR="72B213F5">
        <w:rPr>
          <w:rFonts w:ascii="Calibri" w:hAnsi="Calibri" w:eastAsia="Calibri" w:cs="Calibri"/>
          <w:sz w:val="24"/>
          <w:szCs w:val="24"/>
        </w:rPr>
        <w:t xml:space="preserve">who </w:t>
      </w:r>
      <w:r w:rsidRPr="792AD32B" w:rsidR="630B1449">
        <w:rPr>
          <w:rFonts w:ascii="Calibri" w:hAnsi="Calibri" w:eastAsia="Calibri" w:cs="Calibri"/>
          <w:sz w:val="24"/>
          <w:szCs w:val="24"/>
        </w:rPr>
        <w:t xml:space="preserve">were not subjected to a </w:t>
      </w:r>
      <w:r w:rsidRPr="792AD32B" w:rsidR="396AF119">
        <w:rPr>
          <w:rFonts w:ascii="Calibri" w:hAnsi="Calibri" w:eastAsia="Calibri" w:cs="Calibri"/>
          <w:sz w:val="24"/>
          <w:szCs w:val="24"/>
        </w:rPr>
        <w:t>face-to-face assessment</w:t>
      </w:r>
      <w:r w:rsidRPr="792AD32B" w:rsidR="351E8E9E">
        <w:rPr>
          <w:rFonts w:ascii="Calibri" w:hAnsi="Calibri" w:eastAsia="Calibri" w:cs="Calibri"/>
          <w:sz w:val="24"/>
          <w:szCs w:val="24"/>
        </w:rPr>
        <w:t xml:space="preserve">, while </w:t>
      </w:r>
      <w:r w:rsidRPr="792AD32B" w:rsidR="396AF119">
        <w:rPr>
          <w:rFonts w:ascii="Calibri" w:hAnsi="Calibri" w:eastAsia="Calibri" w:cs="Calibri"/>
          <w:sz w:val="24"/>
          <w:szCs w:val="24"/>
        </w:rPr>
        <w:t xml:space="preserve">the </w:t>
      </w:r>
      <w:r w:rsidRPr="792AD32B" w:rsidR="264A631A">
        <w:rPr>
          <w:rFonts w:ascii="Calibri" w:hAnsi="Calibri" w:eastAsia="Calibri" w:cs="Calibri"/>
          <w:sz w:val="24"/>
          <w:szCs w:val="24"/>
        </w:rPr>
        <w:t xml:space="preserve">CRPS </w:t>
      </w:r>
      <w:r w:rsidRPr="792AD32B" w:rsidR="396AF119">
        <w:rPr>
          <w:rFonts w:ascii="Calibri" w:hAnsi="Calibri" w:eastAsia="Calibri" w:cs="Calibri"/>
          <w:sz w:val="24"/>
          <w:szCs w:val="24"/>
        </w:rPr>
        <w:t>diagnosis require</w:t>
      </w:r>
      <w:r w:rsidRPr="792AD32B" w:rsidR="00A3A881">
        <w:rPr>
          <w:rFonts w:ascii="Calibri" w:hAnsi="Calibri" w:eastAsia="Calibri" w:cs="Calibri"/>
          <w:sz w:val="24"/>
          <w:szCs w:val="24"/>
        </w:rPr>
        <w:t>s</w:t>
      </w:r>
      <w:r w:rsidRPr="792AD32B" w:rsidR="396AF119">
        <w:rPr>
          <w:rFonts w:ascii="Calibri" w:hAnsi="Calibri" w:eastAsia="Calibri" w:cs="Calibri"/>
          <w:sz w:val="24"/>
          <w:szCs w:val="24"/>
        </w:rPr>
        <w:t xml:space="preserve"> physical examination </w:t>
      </w:r>
      <w:r w:rsidRPr="792AD32B">
        <w:rPr>
          <w:rFonts w:ascii="Calibri" w:hAnsi="Calibri" w:eastAsia="Calibri" w:cs="Calibri"/>
          <w:lang w:val="en-US"/>
        </w:rPr>
        <w:fldChar w:fldCharType="begin"/>
      </w:r>
      <w:r w:rsidRPr="792AD32B">
        <w:rPr>
          <w:rFonts w:ascii="Calibri" w:hAnsi="Calibri" w:eastAsia="Calibri" w:cs="Calibri"/>
          <w:lang w:val="en-US"/>
        </w:rPr>
        <w:instrText xml:space="preserve"> ADDIN ZOTERO_ITEM CSL_CITATION {"citationID":"nlpsdzLP","properties":{"formattedCitation":"(Goebel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792AD32B">
        <w:rPr>
          <w:rFonts w:ascii="Calibri" w:hAnsi="Calibri" w:eastAsia="Calibri" w:cs="Calibri"/>
          <w:lang w:val="en-US"/>
        </w:rPr>
        <w:fldChar w:fldCharType="separate"/>
      </w:r>
      <w:r w:rsidRPr="792AD32B" w:rsidR="008425F7">
        <w:rPr>
          <w:rFonts w:ascii="Calibri" w:hAnsi="Calibri" w:cs="Calibri"/>
          <w:sz w:val="24"/>
          <w:szCs w:val="24"/>
        </w:rPr>
        <w:t>(Goebel et al., 2021)</w:t>
      </w:r>
      <w:r w:rsidRPr="792AD32B">
        <w:rPr>
          <w:rFonts w:ascii="Calibri" w:hAnsi="Calibri" w:eastAsia="Calibri" w:cs="Calibri"/>
          <w:lang w:val="en-US"/>
        </w:rPr>
        <w:fldChar w:fldCharType="end"/>
      </w:r>
      <w:r w:rsidRPr="792AD32B" w:rsidR="396AF119">
        <w:rPr>
          <w:rFonts w:ascii="Calibri" w:hAnsi="Calibri" w:eastAsia="Calibri" w:cs="Calibri"/>
          <w:sz w:val="24"/>
          <w:szCs w:val="24"/>
        </w:rPr>
        <w:t xml:space="preserve">. </w:t>
      </w:r>
      <w:r w:rsidRPr="792AD32B" w:rsidR="000D457B">
        <w:rPr>
          <w:rFonts w:ascii="Calibri" w:hAnsi="Calibri" w:eastAsia="Calibri" w:cs="Calibri"/>
          <w:color w:val="FF0000"/>
          <w:sz w:val="24"/>
          <w:szCs w:val="24"/>
        </w:rPr>
        <w:t xml:space="preserve">However, the subjects who were assessed exclusively by telephone had a typical clinical history and classic CRPS symptoms, and we </w:t>
      </w:r>
      <w:r w:rsidRPr="792AD32B" w:rsidR="000D457B">
        <w:rPr>
          <w:rFonts w:ascii="Calibri" w:hAnsi="Calibri" w:eastAsia="Calibri" w:cs="Calibri"/>
          <w:color w:val="FF0000"/>
          <w:sz w:val="24"/>
          <w:szCs w:val="24"/>
        </w:rPr>
        <w:t>observed</w:t>
      </w:r>
      <w:r w:rsidRPr="792AD32B" w:rsidR="000D457B">
        <w:rPr>
          <w:rFonts w:ascii="Calibri" w:hAnsi="Calibri" w:eastAsia="Calibri" w:cs="Calibri"/>
          <w:color w:val="FF0000"/>
          <w:sz w:val="24"/>
          <w:szCs w:val="24"/>
        </w:rPr>
        <w:t xml:space="preserve"> no significant difference between these participants and those who were assessed physically. </w:t>
      </w:r>
      <w:r w:rsidRPr="792AD32B" w:rsidR="4D9323C5">
        <w:rPr>
          <w:rFonts w:ascii="Calibri" w:hAnsi="Calibri" w:eastAsia="Calibri" w:cs="Calibri"/>
          <w:sz w:val="24"/>
          <w:szCs w:val="24"/>
        </w:rPr>
        <w:t xml:space="preserve">In addition, patients were referred by </w:t>
      </w:r>
      <w:r w:rsidRPr="792AD32B" w:rsidR="45CB396A">
        <w:rPr>
          <w:rFonts w:ascii="Calibri" w:hAnsi="Calibri" w:eastAsia="Calibri" w:cs="Calibri"/>
          <w:sz w:val="24"/>
          <w:szCs w:val="24"/>
        </w:rPr>
        <w:t xml:space="preserve">experienced </w:t>
      </w:r>
      <w:r w:rsidRPr="792AD32B" w:rsidR="4D9323C5">
        <w:rPr>
          <w:rFonts w:ascii="Calibri" w:hAnsi="Calibri" w:eastAsia="Calibri" w:cs="Calibri"/>
          <w:sz w:val="24"/>
          <w:szCs w:val="24"/>
        </w:rPr>
        <w:t>clinicians</w:t>
      </w:r>
      <w:r w:rsidRPr="792AD32B" w:rsidR="0921FB51">
        <w:rPr>
          <w:rFonts w:ascii="Calibri" w:hAnsi="Calibri" w:eastAsia="Calibri" w:cs="Calibri"/>
          <w:sz w:val="24"/>
          <w:szCs w:val="24"/>
        </w:rPr>
        <w:t xml:space="preserve">, </w:t>
      </w:r>
      <w:r w:rsidRPr="792AD32B" w:rsidR="2A5C7095">
        <w:rPr>
          <w:rFonts w:ascii="Calibri" w:hAnsi="Calibri" w:eastAsia="Calibri" w:cs="Calibri"/>
          <w:sz w:val="24"/>
          <w:szCs w:val="24"/>
        </w:rPr>
        <w:t>using the</w:t>
      </w:r>
      <w:r w:rsidRPr="792AD32B" w:rsidR="0921FB51">
        <w:rPr>
          <w:rFonts w:ascii="Calibri" w:hAnsi="Calibri" w:eastAsia="Calibri" w:cs="Calibri"/>
          <w:sz w:val="24"/>
          <w:szCs w:val="24"/>
        </w:rPr>
        <w:t xml:space="preserve"> Budapest criteria</w:t>
      </w:r>
      <w:r w:rsidRPr="792AD32B" w:rsidR="008C4E79">
        <w:rPr>
          <w:rFonts w:ascii="Calibri" w:hAnsi="Calibri" w:eastAsia="Calibri" w:cs="Calibri"/>
          <w:sz w:val="24"/>
          <w:szCs w:val="24"/>
        </w:rPr>
        <w:t xml:space="preserve">. </w:t>
      </w:r>
      <w:r w:rsidRPr="792AD32B" w:rsidR="138B66AD">
        <w:rPr>
          <w:rFonts w:ascii="Calibri" w:hAnsi="Calibri" w:eastAsia="Calibri" w:cs="Calibri"/>
          <w:color w:val="FF0000"/>
          <w:sz w:val="24"/>
          <w:szCs w:val="24"/>
        </w:rPr>
        <w:t xml:space="preserve">Finally, </w:t>
      </w:r>
      <w:r w:rsidRPr="792AD32B" w:rsidR="51BBA36C">
        <w:rPr>
          <w:rFonts w:ascii="Calibri" w:hAnsi="Calibri" w:eastAsia="Calibri" w:cs="Calibri"/>
          <w:color w:val="FF0000"/>
          <w:sz w:val="24"/>
          <w:szCs w:val="24"/>
        </w:rPr>
        <w:t xml:space="preserve">a </w:t>
      </w:r>
      <w:r w:rsidRPr="792AD32B" w:rsidR="138B66AD">
        <w:rPr>
          <w:rFonts w:ascii="Calibri" w:hAnsi="Calibri" w:eastAsia="Calibri" w:cs="Calibri"/>
          <w:color w:val="FF0000"/>
          <w:sz w:val="24"/>
          <w:szCs w:val="24"/>
        </w:rPr>
        <w:t xml:space="preserve">preliminary </w:t>
      </w:r>
      <w:r w:rsidRPr="792AD32B" w:rsidR="773EFC50">
        <w:rPr>
          <w:rFonts w:ascii="Calibri" w:hAnsi="Calibri" w:eastAsia="Calibri" w:cs="Calibri"/>
          <w:color w:val="FF0000"/>
          <w:sz w:val="24"/>
          <w:szCs w:val="24"/>
        </w:rPr>
        <w:t xml:space="preserve">analysis of </w:t>
      </w:r>
      <w:r w:rsidRPr="792AD32B" w:rsidR="138B66AD">
        <w:rPr>
          <w:rFonts w:ascii="Calibri" w:hAnsi="Calibri" w:eastAsia="Calibri" w:cs="Calibri"/>
          <w:color w:val="FF0000"/>
          <w:sz w:val="24"/>
          <w:szCs w:val="24"/>
        </w:rPr>
        <w:t xml:space="preserve">longitudinal data (at </w:t>
      </w:r>
      <w:r w:rsidRPr="792AD32B" w:rsidR="5B3C30BA">
        <w:rPr>
          <w:rFonts w:ascii="Calibri" w:hAnsi="Calibri" w:eastAsia="Calibri" w:cs="Calibri"/>
          <w:color w:val="FF0000"/>
          <w:sz w:val="24"/>
          <w:szCs w:val="24"/>
        </w:rPr>
        <w:t>6- and 12-month</w:t>
      </w:r>
      <w:r w:rsidRPr="792AD32B" w:rsidR="138B66AD">
        <w:rPr>
          <w:rFonts w:ascii="Calibri" w:hAnsi="Calibri" w:eastAsia="Calibri" w:cs="Calibri"/>
          <w:color w:val="FF0000"/>
          <w:sz w:val="24"/>
          <w:szCs w:val="24"/>
        </w:rPr>
        <w:t xml:space="preserve"> follow-up</w:t>
      </w:r>
      <w:r w:rsidRPr="792AD32B" w:rsidR="52F73410">
        <w:rPr>
          <w:rFonts w:ascii="Calibri" w:hAnsi="Calibri" w:eastAsia="Calibri" w:cs="Calibri"/>
          <w:color w:val="FF0000"/>
          <w:sz w:val="24"/>
          <w:szCs w:val="24"/>
        </w:rPr>
        <w:t xml:space="preserve">, </w:t>
      </w:r>
      <w:r w:rsidRPr="792AD32B" w:rsidR="52F73410">
        <w:rPr>
          <w:rFonts w:ascii="Calibri" w:hAnsi="Calibri" w:eastAsia="Calibri" w:cs="Calibri"/>
          <w:color w:val="FF0000"/>
          <w:sz w:val="24"/>
          <w:szCs w:val="24"/>
        </w:rPr>
        <w:t>n=</w:t>
      </w:r>
      <w:r w:rsidRPr="792AD32B" w:rsidR="75A04BAE">
        <w:rPr>
          <w:rFonts w:ascii="Calibri" w:hAnsi="Calibri" w:eastAsia="Calibri" w:cs="Calibri"/>
          <w:color w:val="FF0000"/>
          <w:sz w:val="24"/>
          <w:szCs w:val="24"/>
        </w:rPr>
        <w:t>91</w:t>
      </w:r>
      <w:r w:rsidRPr="792AD32B" w:rsidR="138B66AD">
        <w:rPr>
          <w:rFonts w:ascii="Calibri" w:hAnsi="Calibri" w:eastAsia="Calibri" w:cs="Calibri"/>
          <w:color w:val="FF0000"/>
          <w:sz w:val="24"/>
          <w:szCs w:val="24"/>
        </w:rPr>
        <w:t>)</w:t>
      </w:r>
      <w:r w:rsidRPr="792AD32B" w:rsidR="138B66AD">
        <w:rPr>
          <w:rFonts w:ascii="Calibri" w:hAnsi="Calibri" w:eastAsia="Calibri" w:cs="Calibri"/>
          <w:color w:val="FF0000"/>
          <w:sz w:val="24"/>
          <w:szCs w:val="24"/>
        </w:rPr>
        <w:t xml:space="preserve"> </w:t>
      </w:r>
      <w:r w:rsidRPr="792AD32B" w:rsidR="7E999163">
        <w:rPr>
          <w:rFonts w:ascii="Calibri" w:hAnsi="Calibri" w:eastAsia="Calibri" w:cs="Calibri"/>
          <w:color w:val="FF0000"/>
          <w:sz w:val="24"/>
          <w:szCs w:val="24"/>
        </w:rPr>
        <w:t xml:space="preserve">showed no </w:t>
      </w:r>
      <w:r w:rsidRPr="792AD32B" w:rsidR="00E55DF8">
        <w:rPr>
          <w:rFonts w:ascii="Calibri" w:hAnsi="Calibri" w:eastAsia="Calibri" w:cs="Calibri"/>
          <w:color w:val="FF0000"/>
          <w:sz w:val="24"/>
          <w:szCs w:val="24"/>
        </w:rPr>
        <w:t>different outcomes</w:t>
      </w:r>
      <w:r w:rsidRPr="792AD32B" w:rsidR="7BF639D8">
        <w:rPr>
          <w:rFonts w:ascii="Calibri" w:hAnsi="Calibri" w:eastAsia="Calibri" w:cs="Calibri"/>
          <w:color w:val="FF0000"/>
          <w:sz w:val="24"/>
          <w:szCs w:val="24"/>
        </w:rPr>
        <w:t xml:space="preserve"> </w:t>
      </w:r>
      <w:r w:rsidRPr="792AD32B" w:rsidR="00D162E4">
        <w:rPr>
          <w:rFonts w:ascii="Calibri" w:hAnsi="Calibri" w:eastAsia="Calibri" w:cs="Calibri"/>
          <w:color w:val="FF0000"/>
          <w:sz w:val="24"/>
          <w:szCs w:val="24"/>
        </w:rPr>
        <w:t>(</w:t>
      </w:r>
      <w:r w:rsidRPr="792AD32B" w:rsidR="00D162E4">
        <w:rPr>
          <w:rFonts w:eastAsia="游明朝" w:eastAsiaTheme="minorEastAsia"/>
          <w:color w:val="FF0000"/>
          <w:sz w:val="24"/>
          <w:szCs w:val="24"/>
        </w:rPr>
        <w:t xml:space="preserve">pain, CSS, Budapest clinical criteria, disability or </w:t>
      </w:r>
      <w:r w:rsidRPr="792AD32B" w:rsidR="00D162E4">
        <w:rPr>
          <w:rFonts w:eastAsia="游明朝" w:eastAsiaTheme="minorEastAsia"/>
          <w:color w:val="FF0000"/>
          <w:sz w:val="24"/>
          <w:szCs w:val="24"/>
        </w:rPr>
        <w:t>QoL</w:t>
      </w:r>
      <w:r w:rsidRPr="792AD32B" w:rsidR="00D162E4">
        <w:rPr>
          <w:rFonts w:ascii="Calibri" w:hAnsi="Calibri" w:eastAsia="Calibri" w:cs="Calibri"/>
          <w:color w:val="FF0000"/>
          <w:sz w:val="24"/>
          <w:szCs w:val="24"/>
        </w:rPr>
        <w:t xml:space="preserve">) </w:t>
      </w:r>
      <w:r w:rsidRPr="792AD32B" w:rsidR="7BF639D8">
        <w:rPr>
          <w:rFonts w:ascii="Calibri" w:hAnsi="Calibri" w:eastAsia="Calibri" w:cs="Calibri"/>
          <w:color w:val="FF0000"/>
          <w:sz w:val="24"/>
          <w:szCs w:val="24"/>
        </w:rPr>
        <w:t>based on this criterion</w:t>
      </w:r>
      <w:r w:rsidRPr="792AD32B" w:rsidR="00D162E4">
        <w:rPr>
          <w:rFonts w:eastAsia="游明朝" w:eastAsiaTheme="minorEastAsia"/>
          <w:sz w:val="24"/>
          <w:szCs w:val="24"/>
        </w:rPr>
        <w:t xml:space="preserve"> </w:t>
      </w:r>
      <w:r w:rsidRPr="792AD32B" w:rsidR="00D162E4">
        <w:rPr>
          <w:rFonts w:eastAsia="游明朝" w:eastAsiaTheme="minorEastAsia"/>
          <w:color w:val="FF0000"/>
          <w:sz w:val="24"/>
          <w:szCs w:val="24"/>
        </w:rPr>
        <w:t>(</w:t>
      </w:r>
      <w:r w:rsidRPr="792AD32B" w:rsidR="240D5113">
        <w:rPr>
          <w:rFonts w:ascii="Calibri" w:hAnsi="Calibri" w:eastAsia="Calibri" w:cs="Calibri"/>
          <w:i w:val="1"/>
          <w:iCs w:val="1"/>
          <w:color w:val="FF0000"/>
          <w:sz w:val="24"/>
          <w:szCs w:val="24"/>
        </w:rPr>
        <w:t>data not shown</w:t>
      </w:r>
      <w:r w:rsidRPr="792AD32B" w:rsidR="240D5113">
        <w:rPr>
          <w:rFonts w:ascii="Calibri" w:hAnsi="Calibri" w:eastAsia="Calibri" w:cs="Calibri"/>
          <w:color w:val="FF0000"/>
          <w:sz w:val="24"/>
          <w:szCs w:val="24"/>
        </w:rPr>
        <w:t>)</w:t>
      </w:r>
      <w:r w:rsidRPr="792AD32B" w:rsidR="138B66AD">
        <w:rPr>
          <w:rFonts w:ascii="Calibri" w:hAnsi="Calibri" w:eastAsia="Calibri" w:cs="Calibri"/>
          <w:color w:val="FF0000"/>
          <w:sz w:val="24"/>
          <w:szCs w:val="24"/>
        </w:rPr>
        <w:t>.</w:t>
      </w:r>
    </w:p>
    <w:p w:rsidR="19AEA5BA" w:rsidP="2C99B635" w:rsidRDefault="2BBC81E9" w14:paraId="2A55A416" w14:textId="6B51F95F">
      <w:pPr>
        <w:pStyle w:val="Normal"/>
        <w:suppressLineNumbers w:val="0"/>
        <w:bidi w:val="0"/>
        <w:spacing w:before="0" w:beforeAutospacing="off" w:after="160" w:afterAutospacing="off" w:line="480" w:lineRule="auto"/>
        <w:ind w:left="0" w:right="0"/>
        <w:jc w:val="both"/>
        <w:rPr>
          <w:rFonts w:eastAsia="游明朝" w:eastAsiaTheme="minorEastAsia"/>
          <w:color w:val="FF0000"/>
          <w:sz w:val="24"/>
          <w:szCs w:val="24"/>
          <w:lang w:val="en-US"/>
        </w:rPr>
      </w:pPr>
      <w:r w:rsidRPr="792AD32B" w:rsidR="2BBC81E9">
        <w:rPr>
          <w:rFonts w:eastAsia="游明朝" w:eastAsiaTheme="minorEastAsia"/>
          <w:sz w:val="24"/>
          <w:szCs w:val="24"/>
        </w:rPr>
        <w:t>The selection of</w:t>
      </w:r>
      <w:r w:rsidRPr="792AD32B" w:rsidR="73F70A7D">
        <w:rPr>
          <w:rFonts w:eastAsia="游明朝" w:eastAsiaTheme="minorEastAsia"/>
          <w:sz w:val="24"/>
          <w:szCs w:val="24"/>
        </w:rPr>
        <w:t xml:space="preserve"> </w:t>
      </w:r>
      <w:r w:rsidRPr="792AD32B" w:rsidR="73F70A7D">
        <w:rPr>
          <w:rFonts w:eastAsia="游明朝" w:eastAsiaTheme="minorEastAsia"/>
          <w:color w:val="FF0000"/>
          <w:sz w:val="24"/>
          <w:szCs w:val="24"/>
        </w:rPr>
        <w:t>(very)</w:t>
      </w:r>
      <w:r w:rsidRPr="792AD32B" w:rsidR="2BBC81E9">
        <w:rPr>
          <w:rFonts w:eastAsia="游明朝" w:eastAsiaTheme="minorEastAsia"/>
          <w:sz w:val="24"/>
          <w:szCs w:val="24"/>
        </w:rPr>
        <w:t xml:space="preserve"> early</w:t>
      </w:r>
      <w:r w:rsidRPr="792AD32B" w:rsidR="2BBC81E9">
        <w:rPr>
          <w:rFonts w:eastAsia="游明朝" w:eastAsiaTheme="minorEastAsia"/>
          <w:i w:val="1"/>
          <w:iCs w:val="1"/>
          <w:sz w:val="24"/>
          <w:szCs w:val="24"/>
        </w:rPr>
        <w:t xml:space="preserve"> </w:t>
      </w:r>
      <w:r w:rsidRPr="792AD32B" w:rsidR="2BBC81E9">
        <w:rPr>
          <w:rFonts w:eastAsia="游明朝" w:eastAsiaTheme="minorEastAsia"/>
          <w:sz w:val="24"/>
          <w:szCs w:val="24"/>
        </w:rPr>
        <w:t xml:space="preserve">CRPS participants might be hampered by </w:t>
      </w:r>
      <w:r w:rsidRPr="792AD32B" w:rsidR="4D7CD832">
        <w:rPr>
          <w:rFonts w:eastAsia="游明朝" w:eastAsiaTheme="minorEastAsia"/>
          <w:sz w:val="24"/>
          <w:szCs w:val="24"/>
        </w:rPr>
        <w:t>the difficulty of distinguishing signs and symptoms that are “</w:t>
      </w:r>
      <w:r w:rsidRPr="792AD32B" w:rsidR="4D7CD832">
        <w:rPr>
          <w:rFonts w:eastAsia="游明朝" w:eastAsiaTheme="minorEastAsia"/>
          <w:i w:val="1"/>
          <w:iCs w:val="1"/>
          <w:sz w:val="24"/>
          <w:szCs w:val="24"/>
        </w:rPr>
        <w:t>normal</w:t>
      </w:r>
      <w:r w:rsidRPr="792AD32B" w:rsidR="4D7CD832">
        <w:rPr>
          <w:rFonts w:eastAsia="游明朝" w:eastAsiaTheme="minorEastAsia"/>
          <w:sz w:val="24"/>
          <w:szCs w:val="24"/>
        </w:rPr>
        <w:t>” after</w:t>
      </w:r>
      <w:r w:rsidRPr="792AD32B" w:rsidR="62156D95">
        <w:rPr>
          <w:rFonts w:eastAsia="游明朝" w:eastAsiaTheme="minorEastAsia"/>
          <w:sz w:val="24"/>
          <w:szCs w:val="24"/>
        </w:rPr>
        <w:t xml:space="preserve"> a trauma from</w:t>
      </w:r>
      <w:r w:rsidRPr="792AD32B" w:rsidR="4D7CD832">
        <w:rPr>
          <w:rFonts w:eastAsia="游明朝" w:eastAsiaTheme="minorEastAsia"/>
          <w:sz w:val="24"/>
          <w:szCs w:val="24"/>
        </w:rPr>
        <w:t xml:space="preserve"> </w:t>
      </w:r>
      <w:r w:rsidRPr="792AD32B" w:rsidR="79FB1210">
        <w:rPr>
          <w:rFonts w:eastAsia="游明朝" w:eastAsiaTheme="minorEastAsia"/>
          <w:sz w:val="24"/>
          <w:szCs w:val="24"/>
        </w:rPr>
        <w:t>those</w:t>
      </w:r>
      <w:r w:rsidRPr="792AD32B" w:rsidR="1CFFA77A">
        <w:rPr>
          <w:rFonts w:eastAsia="游明朝" w:eastAsiaTheme="minorEastAsia"/>
          <w:sz w:val="24"/>
          <w:szCs w:val="24"/>
        </w:rPr>
        <w:t xml:space="preserve"> that </w:t>
      </w:r>
      <w:r w:rsidRPr="792AD32B" w:rsidR="1CFFA77A">
        <w:rPr>
          <w:rFonts w:eastAsia="游明朝" w:eastAsiaTheme="minorEastAsia"/>
          <w:sz w:val="24"/>
          <w:szCs w:val="24"/>
        </w:rPr>
        <w:t>indicate</w:t>
      </w:r>
      <w:r w:rsidRPr="792AD32B" w:rsidR="1CFFA77A">
        <w:rPr>
          <w:rFonts w:eastAsia="游明朝" w:eastAsiaTheme="minorEastAsia"/>
          <w:sz w:val="24"/>
          <w:szCs w:val="24"/>
        </w:rPr>
        <w:t xml:space="preserve"> </w:t>
      </w:r>
      <w:r w:rsidRPr="792AD32B" w:rsidR="006A4DE2">
        <w:rPr>
          <w:rFonts w:eastAsia="游明朝" w:eastAsiaTheme="minorEastAsia"/>
          <w:sz w:val="24"/>
          <w:szCs w:val="24"/>
        </w:rPr>
        <w:t xml:space="preserve">early </w:t>
      </w:r>
      <w:r w:rsidRPr="792AD32B" w:rsidR="1CFFA77A">
        <w:rPr>
          <w:rFonts w:eastAsia="游明朝" w:eastAsiaTheme="minorEastAsia"/>
          <w:sz w:val="24"/>
          <w:szCs w:val="24"/>
        </w:rPr>
        <w:t>CRPS</w:t>
      </w:r>
      <w:r w:rsidRPr="792AD32B" w:rsidR="67014740">
        <w:rPr>
          <w:rFonts w:eastAsia="游明朝" w:eastAsiaTheme="minorEastAsia"/>
          <w:sz w:val="24"/>
          <w:szCs w:val="24"/>
        </w:rPr>
        <w:t xml:space="preserve">. </w:t>
      </w:r>
      <w:r w:rsidRPr="792AD32B" w:rsidR="416F97DF">
        <w:rPr>
          <w:rFonts w:eastAsia="游明朝" w:eastAsiaTheme="minorEastAsia"/>
          <w:sz w:val="24"/>
          <w:szCs w:val="24"/>
        </w:rPr>
        <w:t xml:space="preserve">As </w:t>
      </w:r>
      <w:r w:rsidRPr="792AD32B" w:rsidR="67014740">
        <w:rPr>
          <w:rFonts w:eastAsia="游明朝" w:eastAsiaTheme="minorEastAsia"/>
          <w:sz w:val="24"/>
          <w:szCs w:val="24"/>
        </w:rPr>
        <w:t xml:space="preserve">explained </w:t>
      </w:r>
      <w:r w:rsidRPr="792AD32B" w:rsidR="2031EF31">
        <w:rPr>
          <w:rFonts w:eastAsia="游明朝" w:eastAsiaTheme="minorEastAsia"/>
          <w:sz w:val="24"/>
          <w:szCs w:val="24"/>
        </w:rPr>
        <w:t xml:space="preserve">in </w:t>
      </w:r>
      <w:r w:rsidRPr="792AD32B" w:rsidR="67014740">
        <w:rPr>
          <w:rFonts w:eastAsia="游明朝" w:eastAsiaTheme="minorEastAsia"/>
          <w:sz w:val="24"/>
          <w:szCs w:val="24"/>
        </w:rPr>
        <w:t xml:space="preserve">the </w:t>
      </w:r>
      <w:r w:rsidRPr="792AD32B" w:rsidR="3CD9AC69">
        <w:rPr>
          <w:rFonts w:eastAsia="游明朝" w:eastAsiaTheme="minorEastAsia"/>
          <w:sz w:val="24"/>
          <w:szCs w:val="24"/>
        </w:rPr>
        <w:t xml:space="preserve">methods section, </w:t>
      </w:r>
      <w:r w:rsidRPr="792AD32B" w:rsidR="394BDF86">
        <w:rPr>
          <w:rFonts w:eastAsia="游明朝" w:eastAsiaTheme="minorEastAsia"/>
          <w:sz w:val="24"/>
          <w:szCs w:val="24"/>
        </w:rPr>
        <w:t>no specific recommendation can be found</w:t>
      </w:r>
      <w:r w:rsidRPr="792AD32B" w:rsidR="3AE67CA8">
        <w:rPr>
          <w:rFonts w:eastAsia="游明朝" w:eastAsiaTheme="minorEastAsia"/>
          <w:sz w:val="24"/>
          <w:szCs w:val="24"/>
        </w:rPr>
        <w:t xml:space="preserve"> </w:t>
      </w:r>
      <w:r w:rsidRPr="792AD32B" w:rsidR="006A4DE2">
        <w:rPr>
          <w:rFonts w:eastAsia="游明朝" w:eastAsiaTheme="minorEastAsia"/>
          <w:color w:val="FF0000"/>
          <w:sz w:val="24"/>
          <w:szCs w:val="24"/>
        </w:rPr>
        <w:t xml:space="preserve">in the literature </w:t>
      </w:r>
      <w:r w:rsidRPr="792AD32B" w:rsidR="394BDF86">
        <w:rPr>
          <w:rFonts w:eastAsia="游明朝" w:eastAsiaTheme="minorEastAsia"/>
          <w:color w:val="FF0000"/>
          <w:sz w:val="24"/>
          <w:szCs w:val="24"/>
        </w:rPr>
        <w:t>concerning this question</w:t>
      </w:r>
      <w:r w:rsidRPr="792AD32B" w:rsidR="006A4DE2">
        <w:rPr>
          <w:rFonts w:eastAsia="游明朝" w:eastAsiaTheme="minorEastAsia"/>
          <w:color w:val="FF0000"/>
          <w:sz w:val="24"/>
          <w:szCs w:val="24"/>
        </w:rPr>
        <w:t xml:space="preserve"> and “normal” evolution after trauma can take days or weeks depending on trauma severity</w:t>
      </w:r>
      <w:r w:rsidRPr="792AD32B" w:rsidR="41D6B5D2">
        <w:rPr>
          <w:rFonts w:eastAsia="游明朝" w:eastAsiaTheme="minorEastAsia"/>
          <w:color w:val="FF0000"/>
          <w:sz w:val="24"/>
          <w:szCs w:val="24"/>
        </w:rPr>
        <w:t>.</w:t>
      </w:r>
      <w:r w:rsidRPr="792AD32B" w:rsidR="002A0CA3">
        <w:rPr>
          <w:rFonts w:eastAsia="游明朝" w:eastAsiaTheme="minorEastAsia"/>
          <w:color w:val="FF0000"/>
          <w:sz w:val="24"/>
          <w:szCs w:val="24"/>
        </w:rPr>
        <w:t xml:space="preserve"> Therefore, we </w:t>
      </w:r>
      <w:r w:rsidRPr="792AD32B" w:rsidR="7413D172">
        <w:rPr>
          <w:rFonts w:eastAsia="游明朝" w:eastAsiaTheme="minorEastAsia"/>
          <w:sz w:val="24"/>
          <w:szCs w:val="24"/>
        </w:rPr>
        <w:t xml:space="preserve">suggest </w:t>
      </w:r>
      <w:r w:rsidRPr="792AD32B" w:rsidR="002A0CA3">
        <w:rPr>
          <w:rFonts w:eastAsia="游明朝" w:eastAsiaTheme="minorEastAsia"/>
          <w:color w:val="FF0000"/>
          <w:sz w:val="24"/>
          <w:szCs w:val="24"/>
        </w:rPr>
        <w:t>that “very early CRPS” diagnosis is possible when the evolution does not follow the expected pattern.</w:t>
      </w:r>
      <w:r w:rsidRPr="792AD32B" w:rsidR="41D6B5D2">
        <w:rPr>
          <w:rFonts w:eastAsia="游明朝" w:eastAsiaTheme="minorEastAsia"/>
          <w:color w:val="FF0000"/>
          <w:sz w:val="24"/>
          <w:szCs w:val="24"/>
        </w:rPr>
        <w:t xml:space="preserve"> </w:t>
      </w:r>
      <w:r w:rsidRPr="792AD32B" w:rsidR="3710512A">
        <w:rPr>
          <w:rFonts w:eastAsia="游明朝" w:eastAsiaTheme="minorEastAsia"/>
          <w:sz w:val="24"/>
          <w:szCs w:val="24"/>
        </w:rPr>
        <w:t xml:space="preserve">Furthermore, we did not </w:t>
      </w:r>
      <w:r w:rsidRPr="792AD32B" w:rsidR="3710512A">
        <w:rPr>
          <w:rFonts w:eastAsia="游明朝" w:eastAsiaTheme="minorEastAsia"/>
          <w:sz w:val="24"/>
          <w:szCs w:val="24"/>
        </w:rPr>
        <w:t>identify</w:t>
      </w:r>
      <w:r w:rsidRPr="792AD32B" w:rsidR="3710512A">
        <w:rPr>
          <w:rFonts w:eastAsia="游明朝" w:eastAsiaTheme="minorEastAsia"/>
          <w:sz w:val="24"/>
          <w:szCs w:val="24"/>
        </w:rPr>
        <w:t xml:space="preserve"> any difference in our sample between </w:t>
      </w:r>
      <w:r w:rsidRPr="792AD32B" w:rsidR="3710512A">
        <w:rPr>
          <w:rFonts w:eastAsia="游明朝" w:eastAsiaTheme="minorEastAsia"/>
          <w:i w:val="1"/>
          <w:iCs w:val="1"/>
          <w:sz w:val="24"/>
          <w:szCs w:val="24"/>
        </w:rPr>
        <w:t>ver</w:t>
      </w:r>
      <w:r w:rsidRPr="792AD32B" w:rsidR="174A87BA">
        <w:rPr>
          <w:rFonts w:eastAsia="游明朝" w:eastAsiaTheme="minorEastAsia"/>
          <w:i w:val="1"/>
          <w:iCs w:val="1"/>
          <w:sz w:val="24"/>
          <w:szCs w:val="24"/>
        </w:rPr>
        <w:t>y</w:t>
      </w:r>
      <w:r w:rsidRPr="792AD32B" w:rsidR="3710512A">
        <w:rPr>
          <w:rFonts w:eastAsia="游明朝" w:eastAsiaTheme="minorEastAsia"/>
          <w:i w:val="1"/>
          <w:iCs w:val="1"/>
          <w:sz w:val="24"/>
          <w:szCs w:val="24"/>
        </w:rPr>
        <w:t xml:space="preserve"> </w:t>
      </w:r>
      <w:r w:rsidRPr="792AD32B" w:rsidR="3710512A">
        <w:rPr>
          <w:rFonts w:eastAsia="游明朝" w:eastAsiaTheme="minorEastAsia"/>
          <w:sz w:val="24"/>
          <w:szCs w:val="24"/>
        </w:rPr>
        <w:t>early</w:t>
      </w:r>
      <w:r w:rsidRPr="792AD32B" w:rsidR="3710512A">
        <w:rPr>
          <w:rFonts w:eastAsia="游明朝" w:eastAsiaTheme="minorEastAsia"/>
          <w:sz w:val="24"/>
          <w:szCs w:val="24"/>
        </w:rPr>
        <w:t xml:space="preserve"> CRPS (&lt; 3 months) and </w:t>
      </w:r>
      <w:r w:rsidRPr="792AD32B" w:rsidR="3AC09181">
        <w:rPr>
          <w:rFonts w:eastAsia="游明朝" w:eastAsiaTheme="minorEastAsia"/>
          <w:sz w:val="24"/>
          <w:szCs w:val="24"/>
        </w:rPr>
        <w:t>3-6 months CRPS</w:t>
      </w:r>
      <w:r w:rsidRPr="792AD32B" w:rsidR="3710512A">
        <w:rPr>
          <w:rFonts w:eastAsia="游明朝" w:eastAsiaTheme="minorEastAsia"/>
          <w:sz w:val="24"/>
          <w:szCs w:val="24"/>
        </w:rPr>
        <w:t xml:space="preserve">. </w:t>
      </w:r>
      <w:r w:rsidRPr="792AD32B" w:rsidR="44832F14">
        <w:rPr>
          <w:rFonts w:eastAsia="游明朝" w:eastAsiaTheme="minorEastAsia"/>
          <w:sz w:val="24"/>
          <w:szCs w:val="24"/>
        </w:rPr>
        <w:t>Finally</w:t>
      </w:r>
      <w:r w:rsidRPr="792AD32B" w:rsidR="434AC21A">
        <w:rPr>
          <w:rFonts w:eastAsia="游明朝" w:eastAsiaTheme="minorEastAsia"/>
          <w:color w:val="FF0000"/>
          <w:sz w:val="24"/>
          <w:szCs w:val="24"/>
        </w:rPr>
        <w:t xml:space="preserve">, </w:t>
      </w:r>
      <w:r w:rsidRPr="792AD32B" w:rsidR="7F0A4340">
        <w:rPr>
          <w:rFonts w:eastAsia="游明朝" w:eastAsiaTheme="minorEastAsia"/>
          <w:color w:val="FF0000"/>
          <w:sz w:val="24"/>
          <w:szCs w:val="24"/>
        </w:rPr>
        <w:t>our preliminary analysis of longitudinal dat</w:t>
      </w:r>
      <w:r w:rsidRPr="792AD32B" w:rsidR="3D7BD223">
        <w:rPr>
          <w:rFonts w:eastAsia="游明朝" w:eastAsiaTheme="minorEastAsia"/>
          <w:color w:val="FF0000"/>
          <w:sz w:val="24"/>
          <w:szCs w:val="24"/>
        </w:rPr>
        <w:t xml:space="preserve">a at 1 year </w:t>
      </w:r>
      <w:r w:rsidRPr="792AD32B" w:rsidR="7F0A4340">
        <w:rPr>
          <w:rFonts w:eastAsia="游明朝" w:eastAsiaTheme="minorEastAsia"/>
          <w:sz w:val="24"/>
          <w:szCs w:val="24"/>
        </w:rPr>
        <w:t xml:space="preserve">suggests </w:t>
      </w:r>
      <w:r w:rsidRPr="792AD32B" w:rsidR="434AC21A">
        <w:rPr>
          <w:rFonts w:eastAsia="游明朝" w:eastAsiaTheme="minorEastAsia"/>
          <w:color w:val="FF0000"/>
          <w:sz w:val="24"/>
          <w:szCs w:val="24"/>
        </w:rPr>
        <w:t xml:space="preserve">that </w:t>
      </w:r>
      <w:r w:rsidRPr="792AD32B" w:rsidR="434AC21A">
        <w:rPr>
          <w:rFonts w:eastAsia="游明朝" w:eastAsiaTheme="minorEastAsia"/>
          <w:i w:val="1"/>
          <w:iCs w:val="1"/>
          <w:color w:val="FF0000"/>
          <w:sz w:val="24"/>
          <w:szCs w:val="24"/>
        </w:rPr>
        <w:t>very early</w:t>
      </w:r>
      <w:r w:rsidRPr="792AD32B" w:rsidR="434AC21A">
        <w:rPr>
          <w:rFonts w:eastAsia="游明朝" w:eastAsiaTheme="minorEastAsia"/>
          <w:color w:val="FF0000"/>
          <w:sz w:val="24"/>
          <w:szCs w:val="24"/>
        </w:rPr>
        <w:t xml:space="preserve"> CRPS did not differ in terms of </w:t>
      </w:r>
      <w:r w:rsidRPr="792AD32B" w:rsidR="00E55DF8">
        <w:rPr>
          <w:rFonts w:eastAsia="游明朝" w:eastAsiaTheme="minorEastAsia"/>
          <w:color w:val="FF0000"/>
          <w:sz w:val="24"/>
          <w:szCs w:val="24"/>
        </w:rPr>
        <w:t xml:space="preserve">the </w:t>
      </w:r>
      <w:r w:rsidRPr="792AD32B" w:rsidR="00E55DF8">
        <w:rPr>
          <w:rFonts w:eastAsia="游明朝" w:eastAsiaTheme="minorEastAsia"/>
          <w:color w:val="FF0000"/>
          <w:sz w:val="24"/>
          <w:szCs w:val="24"/>
        </w:rPr>
        <w:t xml:space="preserve">aforementioned </w:t>
      </w:r>
      <w:r w:rsidRPr="792AD32B" w:rsidR="434AC21A">
        <w:rPr>
          <w:rFonts w:eastAsia="游明朝" w:eastAsiaTheme="minorEastAsia"/>
          <w:color w:val="FF0000"/>
          <w:sz w:val="24"/>
          <w:szCs w:val="24"/>
        </w:rPr>
        <w:t>outcomes</w:t>
      </w:r>
      <w:r w:rsidRPr="792AD32B" w:rsidR="434AC21A">
        <w:rPr>
          <w:rFonts w:eastAsia="游明朝" w:eastAsiaTheme="minorEastAsia"/>
          <w:color w:val="FF0000"/>
          <w:sz w:val="24"/>
          <w:szCs w:val="24"/>
        </w:rPr>
        <w:t>, and that the duration of CRPS</w:t>
      </w:r>
      <w:r w:rsidRPr="792AD32B" w:rsidR="75B57572">
        <w:rPr>
          <w:rFonts w:eastAsia="游明朝" w:eastAsiaTheme="minorEastAsia"/>
          <w:color w:val="FF0000"/>
          <w:sz w:val="24"/>
          <w:szCs w:val="24"/>
        </w:rPr>
        <w:t xml:space="preserve"> or</w:t>
      </w:r>
      <w:r w:rsidRPr="792AD32B" w:rsidR="434AC21A">
        <w:rPr>
          <w:rFonts w:eastAsia="游明朝" w:eastAsiaTheme="minorEastAsia"/>
          <w:color w:val="FF0000"/>
          <w:sz w:val="24"/>
          <w:szCs w:val="24"/>
        </w:rPr>
        <w:t xml:space="preserve"> </w:t>
      </w:r>
      <w:r w:rsidRPr="792AD32B" w:rsidR="7D2E37EC">
        <w:rPr>
          <w:rFonts w:eastAsia="游明朝" w:eastAsiaTheme="minorEastAsia"/>
          <w:color w:val="FF0000"/>
          <w:sz w:val="24"/>
          <w:szCs w:val="24"/>
        </w:rPr>
        <w:t xml:space="preserve">since </w:t>
      </w:r>
      <w:r w:rsidRPr="792AD32B" w:rsidR="434AC21A">
        <w:rPr>
          <w:rFonts w:eastAsia="游明朝" w:eastAsiaTheme="minorEastAsia"/>
          <w:color w:val="FF0000"/>
          <w:sz w:val="24"/>
          <w:szCs w:val="24"/>
        </w:rPr>
        <w:t xml:space="preserve">the triggering event was not associated with any of these outcomes (univariate analysis in a mixed-effects model, </w:t>
      </w:r>
      <w:r w:rsidRPr="792AD32B" w:rsidR="5917FAD6">
        <w:rPr>
          <w:rFonts w:eastAsia="游明朝" w:eastAsiaTheme="minorEastAsia"/>
          <w:color w:val="FF0000"/>
          <w:sz w:val="24"/>
          <w:szCs w:val="24"/>
        </w:rPr>
        <w:t xml:space="preserve">unpublished </w:t>
      </w:r>
      <w:r w:rsidRPr="792AD32B" w:rsidR="434AC21A">
        <w:rPr>
          <w:rFonts w:eastAsia="游明朝" w:eastAsiaTheme="minorEastAsia"/>
          <w:color w:val="FF0000"/>
          <w:sz w:val="24"/>
          <w:szCs w:val="24"/>
        </w:rPr>
        <w:t>preliminary results).</w:t>
      </w:r>
    </w:p>
    <w:p w:rsidR="19AEA5BA" w:rsidP="5F7DF4C4" w:rsidRDefault="6CE9E93C" w14:paraId="1FCE8D33" w14:textId="7A2BFA80">
      <w:pPr>
        <w:spacing w:line="480" w:lineRule="auto"/>
        <w:jc w:val="both"/>
        <w:rPr>
          <w:rFonts w:ascii="Calibri" w:hAnsi="Calibri" w:eastAsia="Calibri" w:cs="Calibri"/>
          <w:color w:val="FF0000"/>
          <w:sz w:val="24"/>
          <w:szCs w:val="24"/>
          <w:lang w:val="en-US"/>
        </w:rPr>
      </w:pPr>
      <w:r w:rsidRPr="0C2EDE46">
        <w:rPr>
          <w:rFonts w:ascii="Calibri" w:hAnsi="Calibri" w:eastAsia="Calibri" w:cs="Calibri"/>
          <w:sz w:val="24"/>
          <w:szCs w:val="24"/>
        </w:rPr>
        <w:lastRenderedPageBreak/>
        <w:t xml:space="preserve">All measurements, including temperature, were taken at only one point in time. However, CRPS </w:t>
      </w:r>
      <w:r w:rsidRPr="0C2EDE46" w:rsidR="4C95E166">
        <w:rPr>
          <w:rFonts w:ascii="Calibri" w:hAnsi="Calibri" w:eastAsia="Calibri" w:cs="Calibri"/>
          <w:sz w:val="24"/>
          <w:szCs w:val="24"/>
        </w:rPr>
        <w:t xml:space="preserve">symptoms </w:t>
      </w:r>
      <w:r w:rsidRPr="0C2EDE46">
        <w:rPr>
          <w:rFonts w:ascii="Calibri" w:hAnsi="Calibri" w:eastAsia="Calibri" w:cs="Calibri"/>
          <w:sz w:val="24"/>
          <w:szCs w:val="24"/>
        </w:rPr>
        <w:t>are variable over time</w:t>
      </w:r>
      <w:r w:rsidRPr="0C2EDE46" w:rsidR="7820E67F">
        <w:rPr>
          <w:rFonts w:ascii="Calibri" w:hAnsi="Calibri" w:eastAsia="Calibri" w:cs="Calibri"/>
          <w:sz w:val="24"/>
          <w:szCs w:val="24"/>
        </w:rPr>
        <w:t xml:space="preserve"> </w:t>
      </w:r>
      <w:r w:rsidRPr="0C2EDE46" w:rsidR="4C0BD50F">
        <w:rPr>
          <w:rFonts w:ascii="Calibri" w:hAnsi="Calibri" w:eastAsia="Calibri" w:cs="Calibri"/>
        </w:rPr>
        <w:fldChar w:fldCharType="begin"/>
      </w:r>
      <w:r w:rsidR="00A03CF2">
        <w:rPr>
          <w:rFonts w:ascii="Calibri" w:hAnsi="Calibri" w:eastAsia="Calibri" w:cs="Calibri"/>
        </w:rPr>
        <w:instrText xml:space="preserve"> ADDIN ZOTERO_ITEM CSL_CITATION {"citationID":"xm2mr8AR","properties":{"formattedCitation":"(Goebel et al., 2021)","plainCitation":"(Goebel et al., 2021)","noteIndex":0},"citationItems":[{"id":"jyRXZ8R7/Rbi0a8df","uris":["http://zotero.org/users/8777725/items/SX7YM7MV"],"itemData":{"id":503,"type":"article-journal","container-title":"Pain","DOI":"10.1097/j.pain.0000000000002245","ISSN":"1872-6623","issue":"9","journalAbbreviation":"Pain","language":"eng","note":"PMID: 33729210\nPMCID: PMC8374712","page":"2346-2348","source":"PubMed","title":"The Valencia consensus-based adaptation of the IASP complex regional pain syndrome diagnostic criteria","volume":"162","author":[{"family":"Goebel","given":"Andreas"},{"family":"Birklein","given":"Frank"},{"family":"Brunner","given":"Florian"},{"family":"Clark","given":"J. David"},{"family":"Gierthmühlen","given":"Janne"},{"family":"Harden","given":"Norman"},{"family":"Huygen","given":"Frank"},{"family":"Knudsen","given":"Lone"},{"family":"McCabe","given":"Candy"},{"family":"Lewis","given":"Jenny"},{"family":"Maihöfner","given":"Christian"},{"family":"Magerl","given":"Walter"},{"family":"Moseley","given":"G. Lorimer"},{"family":"Terkelsen","given":"Astrid"},{"family":"Thomassen","given":"Ilona"},{"family":"Bruehl","given":"Stephen"}],"issued":{"date-parts":[["2021",9,1]]}}}],"schema":"https://github.com/citation-style-language/schema/raw/master/csl-citation.json"} </w:instrText>
      </w:r>
      <w:r w:rsidRPr="0C2EDE46" w:rsidR="4C0BD50F">
        <w:rPr>
          <w:rFonts w:ascii="Calibri" w:hAnsi="Calibri" w:eastAsia="Calibri" w:cs="Calibri"/>
        </w:rPr>
        <w:fldChar w:fldCharType="separate"/>
      </w:r>
      <w:r w:rsidRPr="008425F7" w:rsidR="008425F7">
        <w:rPr>
          <w:rFonts w:ascii="Calibri" w:hAnsi="Calibri" w:cs="Calibri"/>
          <w:sz w:val="24"/>
        </w:rPr>
        <w:t>(Goebel et al., 2021)</w:t>
      </w:r>
      <w:r w:rsidRPr="0C2EDE46" w:rsidR="4C0BD50F">
        <w:rPr>
          <w:rFonts w:ascii="Calibri" w:hAnsi="Calibri" w:eastAsia="Calibri" w:cs="Calibri"/>
        </w:rPr>
        <w:fldChar w:fldCharType="end"/>
      </w:r>
      <w:r w:rsidRPr="0C2EDE46" w:rsidR="4F8CD5E0">
        <w:rPr>
          <w:rFonts w:eastAsiaTheme="minorEastAsia"/>
          <w:sz w:val="24"/>
          <w:szCs w:val="24"/>
        </w:rPr>
        <w:t xml:space="preserve">. Therefore, a single measure might not be </w:t>
      </w:r>
      <w:r w:rsidRPr="0C2EDE46" w:rsidR="0968EAB2">
        <w:rPr>
          <w:rFonts w:ascii="Calibri" w:hAnsi="Calibri" w:eastAsia="Calibri" w:cs="Calibri"/>
          <w:sz w:val="24"/>
          <w:szCs w:val="24"/>
        </w:rPr>
        <w:t>sufficient to detect change</w:t>
      </w:r>
      <w:r w:rsidRPr="0C2EDE46" w:rsidR="4F8CD5E0">
        <w:rPr>
          <w:rFonts w:ascii="Calibri" w:hAnsi="Calibri" w:eastAsia="Calibri" w:cs="Calibri"/>
          <w:sz w:val="24"/>
          <w:szCs w:val="24"/>
        </w:rPr>
        <w:t xml:space="preserve">. </w:t>
      </w:r>
    </w:p>
    <w:p w:rsidRPr="00171B6F" w:rsidR="0A26D4F9" w:rsidP="36495B6F" w:rsidRDefault="5B1ADD5F" w14:paraId="6BCBB367" w14:textId="69FE01AD">
      <w:pPr>
        <w:spacing w:line="480" w:lineRule="auto"/>
        <w:jc w:val="both"/>
        <w:rPr>
          <w:rFonts w:ascii="Calibri" w:hAnsi="Calibri" w:eastAsia="Calibri" w:cs="Calibri"/>
          <w:sz w:val="24"/>
          <w:szCs w:val="24"/>
        </w:rPr>
      </w:pPr>
      <w:r w:rsidRPr="4EF8719D">
        <w:rPr>
          <w:rFonts w:ascii="Calibri" w:hAnsi="Calibri" w:eastAsia="Calibri" w:cs="Calibri"/>
          <w:sz w:val="24"/>
          <w:szCs w:val="24"/>
        </w:rPr>
        <w:t xml:space="preserve">Our sample size was relatively small to perform </w:t>
      </w:r>
      <w:proofErr w:type="spellStart"/>
      <w:r w:rsidRPr="4EF8719D" w:rsidR="770A7B6F">
        <w:rPr>
          <w:rFonts w:ascii="Calibri" w:hAnsi="Calibri" w:eastAsia="Calibri" w:cs="Calibri"/>
          <w:sz w:val="24"/>
          <w:szCs w:val="24"/>
        </w:rPr>
        <w:t>LCA</w:t>
      </w:r>
      <w:proofErr w:type="spellEnd"/>
      <w:r w:rsidRPr="4EF8719D">
        <w:rPr>
          <w:rFonts w:ascii="Calibri" w:hAnsi="Calibri" w:eastAsia="Calibri" w:cs="Calibri"/>
          <w:sz w:val="24"/>
          <w:szCs w:val="24"/>
        </w:rPr>
        <w:t xml:space="preserve">, even though clear </w:t>
      </w:r>
      <w:r w:rsidRPr="4EF8719D" w:rsidR="2436EB20">
        <w:rPr>
          <w:rFonts w:ascii="Calibri" w:hAnsi="Calibri" w:eastAsia="Calibri" w:cs="Calibri"/>
          <w:sz w:val="24"/>
          <w:szCs w:val="24"/>
        </w:rPr>
        <w:t>recommendations</w:t>
      </w:r>
      <w:r w:rsidRPr="4EF8719D">
        <w:rPr>
          <w:rFonts w:ascii="Calibri" w:hAnsi="Calibri" w:eastAsia="Calibri" w:cs="Calibri"/>
          <w:sz w:val="24"/>
          <w:szCs w:val="24"/>
        </w:rPr>
        <w:t xml:space="preserve"> </w:t>
      </w:r>
      <w:r w:rsidRPr="4EF8719D" w:rsidR="22156B9A">
        <w:rPr>
          <w:rFonts w:ascii="Calibri" w:hAnsi="Calibri" w:eastAsia="Calibri" w:cs="Calibri"/>
          <w:sz w:val="24"/>
          <w:szCs w:val="24"/>
        </w:rPr>
        <w:t>do not</w:t>
      </w:r>
      <w:r w:rsidRPr="4EF8719D">
        <w:rPr>
          <w:rFonts w:ascii="Calibri" w:hAnsi="Calibri" w:eastAsia="Calibri" w:cs="Calibri"/>
          <w:sz w:val="24"/>
          <w:szCs w:val="24"/>
        </w:rPr>
        <w:t xml:space="preserve"> exist</w:t>
      </w:r>
      <w:r w:rsidRPr="4EF8719D" w:rsidR="159B0878">
        <w:rPr>
          <w:rFonts w:ascii="Calibri" w:hAnsi="Calibri" w:eastAsia="Calibri" w:cs="Calibri"/>
          <w:sz w:val="24"/>
          <w:szCs w:val="24"/>
        </w:rPr>
        <w:t xml:space="preserve"> </w:t>
      </w:r>
      <w:r w:rsidRPr="4EF8719D" w:rsidR="6422F858">
        <w:rPr>
          <w:rFonts w:ascii="Calibri" w:hAnsi="Calibri" w:eastAsia="Calibri" w:cs="Calibri"/>
        </w:rPr>
        <w:fldChar w:fldCharType="begin"/>
      </w:r>
      <w:r w:rsidR="00A03CF2">
        <w:rPr>
          <w:rFonts w:ascii="Calibri" w:hAnsi="Calibri" w:eastAsia="Calibri" w:cs="Calibri"/>
        </w:rPr>
        <w:instrText xml:space="preserve"> ADDIN ZOTERO_ITEM CSL_CITATION {"citationID":"UBJTFyom","properties":{"formattedCitation":"(Sinha et al., 2021)","plainCitation":"(Sinha et al., 2021)","noteIndex":0},"citationItems":[{"id":101,"uris":["http://zotero.org/users/8514361/items/2T9E9D6J"],"itemData":{"id":101,"type":"article-journal","abstract":"Latent Class Analysis (LCA) is a probabilistic modelling algorithm that allows clustering of data and statistical inference. There has been a recent upsurge in the application of LCA in the fields of critical care, respiratory medicine, and beyond. In this review, we present a brief overview of the principles behind LCA. Further, in a stepwise manner, we outline the key processes necessary to perform LCA including some of the challenges and pitfalls faced at each of these steps. The review provides a one-stop shop for investigators seeking to apply LCA to their data.","container-title":"Critical care medicine","DOI":"10.1097/CCM.0000000000004710","ISSN":"0090-3493","issue":"1","journalAbbreviation":"Crit Care Med","note":"PMID: 33165028\nPMCID: PMC7746621","page":"e63-e79","source":"PubMed Central","title":"Practitioner’s Guide to Latent Class Analysis: Methodological Considerations and Common Pitfalls.","title-short":"Practitioner’s Guide to Latent Class Analysis","volume":"49","author":[{"family":"Sinha","given":"Pratik"},{"family":"Calfee","given":"Carolyn S."},{"family":"Delucchi","given":"Kevin L."}],"issued":{"date-parts":[["2021",1,1]]}}}],"schema":"https://github.com/citation-style-language/schema/raw/master/csl-citation.json"} </w:instrText>
      </w:r>
      <w:r w:rsidRPr="4EF8719D" w:rsidR="6422F858">
        <w:rPr>
          <w:rFonts w:ascii="Calibri" w:hAnsi="Calibri" w:eastAsia="Calibri" w:cs="Calibri"/>
        </w:rPr>
        <w:fldChar w:fldCharType="separate"/>
      </w:r>
      <w:r w:rsidRPr="00681713" w:rsidR="00681713">
        <w:rPr>
          <w:rFonts w:ascii="Calibri" w:hAnsi="Calibri" w:cs="Calibri"/>
          <w:sz w:val="24"/>
        </w:rPr>
        <w:t>(Sinha et al., 2021)</w:t>
      </w:r>
      <w:r w:rsidRPr="4EF8719D" w:rsidR="6422F858">
        <w:rPr>
          <w:rFonts w:ascii="Calibri" w:hAnsi="Calibri" w:eastAsia="Calibri" w:cs="Calibri"/>
        </w:rPr>
        <w:fldChar w:fldCharType="end"/>
      </w:r>
      <w:r w:rsidRPr="4EF8719D">
        <w:rPr>
          <w:rFonts w:ascii="Calibri" w:hAnsi="Calibri" w:eastAsia="Calibri" w:cs="Calibri"/>
          <w:sz w:val="24"/>
          <w:szCs w:val="24"/>
        </w:rPr>
        <w:t xml:space="preserve">. </w:t>
      </w:r>
      <w:r w:rsidRPr="4EF8719D" w:rsidR="0E5AC440">
        <w:rPr>
          <w:rFonts w:ascii="Calibri" w:hAnsi="Calibri" w:eastAsia="Calibri" w:cs="Calibri"/>
          <w:sz w:val="24"/>
          <w:szCs w:val="24"/>
        </w:rPr>
        <w:t>I</w:t>
      </w:r>
      <w:r w:rsidRPr="4EF8719D" w:rsidR="6916EAEC">
        <w:rPr>
          <w:rFonts w:ascii="Calibri" w:hAnsi="Calibri" w:eastAsia="Calibri" w:cs="Calibri"/>
          <w:sz w:val="24"/>
          <w:szCs w:val="24"/>
        </w:rPr>
        <w:t>n the future</w:t>
      </w:r>
      <w:r w:rsidRPr="4EF8719D" w:rsidR="3D66596E">
        <w:rPr>
          <w:rFonts w:ascii="Calibri" w:hAnsi="Calibri" w:eastAsia="Calibri" w:cs="Calibri"/>
          <w:sz w:val="24"/>
          <w:szCs w:val="24"/>
        </w:rPr>
        <w:t>,</w:t>
      </w:r>
      <w:r w:rsidRPr="4EF8719D" w:rsidR="6916EAEC">
        <w:rPr>
          <w:rFonts w:ascii="Calibri" w:hAnsi="Calibri" w:eastAsia="Calibri" w:cs="Calibri"/>
          <w:sz w:val="24"/>
          <w:szCs w:val="24"/>
        </w:rPr>
        <w:t xml:space="preserve"> it will be</w:t>
      </w:r>
      <w:r w:rsidRPr="4EF8719D" w:rsidR="5E5173F5">
        <w:rPr>
          <w:rFonts w:ascii="Calibri" w:hAnsi="Calibri" w:eastAsia="Calibri" w:cs="Calibri"/>
          <w:sz w:val="24"/>
          <w:szCs w:val="24"/>
        </w:rPr>
        <w:t xml:space="preserve"> important</w:t>
      </w:r>
      <w:r w:rsidRPr="4EF8719D" w:rsidR="4A735008">
        <w:rPr>
          <w:rFonts w:ascii="Calibri" w:hAnsi="Calibri" w:eastAsia="Calibri" w:cs="Calibri"/>
          <w:sz w:val="24"/>
          <w:szCs w:val="24"/>
        </w:rPr>
        <w:t xml:space="preserve"> </w:t>
      </w:r>
      <w:r w:rsidRPr="4EF8719D" w:rsidR="5E5173F5">
        <w:rPr>
          <w:rFonts w:ascii="Calibri" w:hAnsi="Calibri" w:eastAsia="Calibri" w:cs="Calibri"/>
          <w:sz w:val="24"/>
          <w:szCs w:val="24"/>
        </w:rPr>
        <w:t xml:space="preserve">to reproduce our findings with </w:t>
      </w:r>
      <w:r w:rsidRPr="4EF8719D" w:rsidR="399CBC10">
        <w:rPr>
          <w:rFonts w:ascii="Calibri" w:hAnsi="Calibri" w:eastAsia="Calibri" w:cs="Calibri"/>
          <w:sz w:val="24"/>
          <w:szCs w:val="24"/>
        </w:rPr>
        <w:t xml:space="preserve">an </w:t>
      </w:r>
      <w:r w:rsidRPr="4EF8719D" w:rsidR="5E5173F5">
        <w:rPr>
          <w:rFonts w:ascii="Calibri" w:hAnsi="Calibri" w:eastAsia="Calibri" w:cs="Calibri"/>
          <w:sz w:val="24"/>
          <w:szCs w:val="24"/>
        </w:rPr>
        <w:t>external dataset</w:t>
      </w:r>
      <w:r w:rsidRPr="4EF8719D" w:rsidR="17A75944">
        <w:rPr>
          <w:rFonts w:ascii="Calibri" w:hAnsi="Calibri" w:eastAsia="Calibri" w:cs="Calibri"/>
          <w:sz w:val="24"/>
          <w:szCs w:val="24"/>
        </w:rPr>
        <w:t xml:space="preserve"> to validate the identified </w:t>
      </w:r>
      <w:r w:rsidRPr="4EF8719D" w:rsidR="672B1EB7">
        <w:rPr>
          <w:rFonts w:ascii="Calibri" w:hAnsi="Calibri" w:eastAsia="Calibri" w:cs="Calibri"/>
          <w:sz w:val="24"/>
          <w:szCs w:val="24"/>
        </w:rPr>
        <w:t>profiles.</w:t>
      </w:r>
      <w:r w:rsidR="002A0CA3">
        <w:rPr>
          <w:rFonts w:ascii="Calibri" w:hAnsi="Calibri" w:eastAsia="Calibri" w:cs="Calibri"/>
          <w:sz w:val="24"/>
          <w:szCs w:val="24"/>
        </w:rPr>
        <w:t xml:space="preserve"> </w:t>
      </w:r>
      <w:r w:rsidRPr="00E55DF8" w:rsidR="002A0CA3">
        <w:rPr>
          <w:rFonts w:ascii="Calibri" w:hAnsi="Calibri" w:eastAsia="Calibri" w:cs="Calibri"/>
          <w:color w:val="FF0000"/>
          <w:sz w:val="24"/>
          <w:szCs w:val="24"/>
        </w:rPr>
        <w:t xml:space="preserve">It would also be interesting to evaluate whether the parameters selected for the </w:t>
      </w:r>
      <w:proofErr w:type="spellStart"/>
      <w:r w:rsidRPr="00E55DF8" w:rsidR="002A0CA3">
        <w:rPr>
          <w:rFonts w:ascii="Calibri" w:hAnsi="Calibri" w:eastAsia="Calibri" w:cs="Calibri"/>
          <w:color w:val="FF0000"/>
          <w:sz w:val="24"/>
          <w:szCs w:val="24"/>
        </w:rPr>
        <w:t>LCA</w:t>
      </w:r>
      <w:proofErr w:type="spellEnd"/>
      <w:r w:rsidRPr="00E55DF8" w:rsidR="002A0CA3">
        <w:rPr>
          <w:rFonts w:ascii="Calibri" w:hAnsi="Calibri" w:eastAsia="Calibri" w:cs="Calibri"/>
          <w:color w:val="FF0000"/>
          <w:sz w:val="24"/>
          <w:szCs w:val="24"/>
        </w:rPr>
        <w:t xml:space="preserve"> do really reflect the putative pathophysiological mechanisms that were </w:t>
      </w:r>
      <w:r w:rsidRPr="00E55DF8" w:rsidR="00E55DF8">
        <w:rPr>
          <w:rFonts w:ascii="Calibri" w:hAnsi="Calibri" w:eastAsia="Calibri" w:cs="Calibri"/>
          <w:color w:val="FF0000"/>
          <w:sz w:val="24"/>
          <w:szCs w:val="24"/>
        </w:rPr>
        <w:t>hypothesized</w:t>
      </w:r>
      <w:r w:rsidRPr="00E55DF8" w:rsidR="002A0CA3">
        <w:rPr>
          <w:rFonts w:ascii="Calibri" w:hAnsi="Calibri" w:eastAsia="Calibri" w:cs="Calibri"/>
          <w:color w:val="FF0000"/>
          <w:sz w:val="24"/>
          <w:szCs w:val="24"/>
        </w:rPr>
        <w:t xml:space="preserve">. </w:t>
      </w:r>
    </w:p>
    <w:p w:rsidRPr="00171B6F" w:rsidR="00814482" w:rsidP="560E2E1C" w:rsidRDefault="548F71EE" w14:paraId="50C3250A" w14:textId="342B44CE">
      <w:pPr>
        <w:pStyle w:val="ListParagraph"/>
        <w:numPr>
          <w:ilvl w:val="0"/>
          <w:numId w:val="6"/>
        </w:numPr>
        <w:spacing w:line="480" w:lineRule="auto"/>
        <w:jc w:val="both"/>
        <w:rPr>
          <w:rFonts w:ascii="Calibri" w:hAnsi="Calibri" w:eastAsia="Calibri" w:cs="Calibri"/>
          <w:b/>
          <w:bCs/>
          <w:sz w:val="24"/>
          <w:szCs w:val="24"/>
        </w:rPr>
      </w:pPr>
      <w:r w:rsidRPr="560E2E1C">
        <w:rPr>
          <w:rFonts w:ascii="Calibri" w:hAnsi="Calibri" w:eastAsia="Calibri" w:cs="Calibri"/>
          <w:b/>
          <w:bCs/>
          <w:sz w:val="24"/>
          <w:szCs w:val="24"/>
        </w:rPr>
        <w:t>Conclusion</w:t>
      </w:r>
    </w:p>
    <w:p w:rsidRPr="000C204D" w:rsidR="60435B4D" w:rsidP="2C99B635" w:rsidRDefault="12270075" w14:paraId="12234DFC" w14:textId="29948538">
      <w:pPr>
        <w:spacing w:beforeAutospacing="on" w:afterAutospacing="on" w:line="480" w:lineRule="auto"/>
        <w:jc w:val="both"/>
        <w:rPr>
          <w:rFonts w:eastAsia="游明朝" w:eastAsiaTheme="minorEastAsia"/>
          <w:sz w:val="18"/>
          <w:szCs w:val="18"/>
          <w:lang w:val="en-US"/>
        </w:rPr>
      </w:pPr>
      <w:r w:rsidRPr="792AD32B" w:rsidR="12270075">
        <w:rPr>
          <w:rFonts w:ascii="Calibri" w:hAnsi="Calibri" w:eastAsia="Calibri" w:cs="Calibri"/>
          <w:sz w:val="24"/>
          <w:szCs w:val="24"/>
        </w:rPr>
        <w:t>T</w:t>
      </w:r>
      <w:r w:rsidRPr="792AD32B" w:rsidR="15FE1C85">
        <w:rPr>
          <w:rFonts w:ascii="Calibri" w:hAnsi="Calibri" w:eastAsia="Calibri" w:cs="Calibri"/>
          <w:sz w:val="24"/>
          <w:szCs w:val="24"/>
        </w:rPr>
        <w:t xml:space="preserve">his study contributes to a nuanced understanding of </w:t>
      </w:r>
      <w:r w:rsidRPr="792AD32B" w:rsidR="0BCB7ED9">
        <w:rPr>
          <w:rFonts w:ascii="Calibri" w:hAnsi="Calibri" w:eastAsia="Calibri" w:cs="Calibri"/>
          <w:color w:val="FF0000"/>
          <w:sz w:val="24"/>
          <w:szCs w:val="24"/>
        </w:rPr>
        <w:t>(very)</w:t>
      </w:r>
      <w:r w:rsidRPr="792AD32B" w:rsidR="0BCB7ED9">
        <w:rPr>
          <w:rFonts w:ascii="Calibri" w:hAnsi="Calibri" w:eastAsia="Calibri" w:cs="Calibri"/>
          <w:sz w:val="24"/>
          <w:szCs w:val="24"/>
        </w:rPr>
        <w:t xml:space="preserve"> </w:t>
      </w:r>
      <w:r w:rsidRPr="792AD32B" w:rsidR="15FE1C85">
        <w:rPr>
          <w:rFonts w:ascii="Calibri" w:hAnsi="Calibri" w:eastAsia="Calibri" w:cs="Calibri"/>
          <w:sz w:val="24"/>
          <w:szCs w:val="24"/>
        </w:rPr>
        <w:t>early CRPS</w:t>
      </w:r>
      <w:r w:rsidRPr="792AD32B" w:rsidR="3D23AF86">
        <w:rPr>
          <w:rFonts w:ascii="Calibri" w:hAnsi="Calibri" w:eastAsia="Calibri" w:cs="Calibri"/>
          <w:sz w:val="24"/>
          <w:szCs w:val="24"/>
        </w:rPr>
        <w:t xml:space="preserve"> </w:t>
      </w:r>
      <w:r w:rsidRPr="792AD32B" w:rsidR="15FE1C85">
        <w:rPr>
          <w:rFonts w:ascii="Calibri" w:hAnsi="Calibri" w:eastAsia="Calibri" w:cs="Calibri"/>
          <w:sz w:val="24"/>
          <w:szCs w:val="24"/>
        </w:rPr>
        <w:t xml:space="preserve">and highlights </w:t>
      </w:r>
      <w:r w:rsidRPr="792AD32B" w:rsidR="5F4FE6FE">
        <w:rPr>
          <w:rFonts w:ascii="Calibri" w:hAnsi="Calibri" w:eastAsia="Calibri" w:cs="Calibri"/>
          <w:sz w:val="24"/>
          <w:szCs w:val="24"/>
        </w:rPr>
        <w:t xml:space="preserve">that </w:t>
      </w:r>
      <w:r w:rsidRPr="792AD32B" w:rsidR="7A29E288">
        <w:rPr>
          <w:rFonts w:ascii="Calibri" w:hAnsi="Calibri" w:eastAsia="Calibri" w:cs="Calibri"/>
          <w:sz w:val="24"/>
          <w:szCs w:val="24"/>
        </w:rPr>
        <w:t>this population</w:t>
      </w:r>
      <w:r w:rsidRPr="792AD32B" w:rsidR="5F4FE6FE">
        <w:rPr>
          <w:rFonts w:ascii="Calibri" w:hAnsi="Calibri" w:eastAsia="Calibri" w:cs="Calibri"/>
          <w:sz w:val="24"/>
          <w:szCs w:val="24"/>
        </w:rPr>
        <w:t xml:space="preserve"> can be divided into subgroups, </w:t>
      </w:r>
      <w:r w:rsidRPr="792AD32B" w:rsidR="75751DDC">
        <w:rPr>
          <w:rFonts w:ascii="Calibri" w:hAnsi="Calibri" w:eastAsia="Calibri" w:cs="Calibri"/>
          <w:sz w:val="24"/>
          <w:szCs w:val="24"/>
        </w:rPr>
        <w:t xml:space="preserve">presenting </w:t>
      </w:r>
      <w:r w:rsidRPr="792AD32B" w:rsidR="5F4FE6FE">
        <w:rPr>
          <w:rFonts w:ascii="Calibri" w:hAnsi="Calibri" w:eastAsia="Calibri" w:cs="Calibri"/>
          <w:sz w:val="24"/>
          <w:szCs w:val="24"/>
        </w:rPr>
        <w:t>different outcomes.</w:t>
      </w:r>
      <w:r w:rsidRPr="792AD32B" w:rsidR="00E2355A">
        <w:rPr>
          <w:rFonts w:ascii="Calibri" w:hAnsi="Calibri" w:eastAsia="Calibri" w:cs="Calibri"/>
          <w:sz w:val="24"/>
          <w:szCs w:val="24"/>
        </w:rPr>
        <w:t xml:space="preserve"> </w:t>
      </w:r>
      <w:r w:rsidRPr="792AD32B" w:rsidR="00996DD7">
        <w:rPr>
          <w:rFonts w:ascii="Calibri" w:hAnsi="Calibri" w:eastAsia="Calibri" w:cs="Calibri"/>
          <w:color w:val="FF0000"/>
          <w:sz w:val="24"/>
          <w:szCs w:val="24"/>
        </w:rPr>
        <w:t xml:space="preserve">These profiles did not depend on the duration of the condition, suggesting the </w:t>
      </w:r>
      <w:r w:rsidRPr="792AD32B" w:rsidR="00996DD7">
        <w:rPr>
          <w:rFonts w:ascii="Calibri" w:hAnsi="Calibri" w:eastAsia="Calibri" w:cs="Calibri"/>
          <w:color w:val="FF0000"/>
          <w:sz w:val="24"/>
          <w:szCs w:val="24"/>
        </w:rPr>
        <w:t xml:space="preserve">absence of minimum delay </w:t>
      </w:r>
      <w:r w:rsidRPr="792AD32B" w:rsidR="00996DD7">
        <w:rPr>
          <w:rFonts w:ascii="Calibri" w:hAnsi="Calibri" w:eastAsia="Calibri" w:cs="Calibri"/>
          <w:color w:val="FF0000"/>
          <w:sz w:val="24"/>
          <w:szCs w:val="24"/>
        </w:rPr>
        <w:t>required</w:t>
      </w:r>
      <w:r w:rsidRPr="792AD32B" w:rsidR="00996DD7">
        <w:rPr>
          <w:rFonts w:ascii="Calibri" w:hAnsi="Calibri" w:eastAsia="Calibri" w:cs="Calibri"/>
          <w:color w:val="FF0000"/>
          <w:sz w:val="24"/>
          <w:szCs w:val="24"/>
        </w:rPr>
        <w:t xml:space="preserve"> to diagnose CRPS. Furthermore, it does not seem relevant to distinguish </w:t>
      </w:r>
      <w:r w:rsidRPr="792AD32B" w:rsidR="00996DD7">
        <w:rPr>
          <w:rFonts w:ascii="Calibri" w:hAnsi="Calibri" w:eastAsia="Calibri" w:cs="Calibri"/>
          <w:i w:val="1"/>
          <w:iCs w:val="1"/>
          <w:color w:val="FF0000"/>
          <w:sz w:val="24"/>
          <w:szCs w:val="24"/>
        </w:rPr>
        <w:t>early</w:t>
      </w:r>
      <w:r w:rsidRPr="792AD32B" w:rsidR="00996DD7">
        <w:rPr>
          <w:rFonts w:ascii="Calibri" w:hAnsi="Calibri" w:eastAsia="Calibri" w:cs="Calibri"/>
          <w:color w:val="FF0000"/>
          <w:sz w:val="24"/>
          <w:szCs w:val="24"/>
        </w:rPr>
        <w:t xml:space="preserve"> CRPS </w:t>
      </w:r>
      <w:r w:rsidRPr="792AD32B" w:rsidR="009F4B73">
        <w:rPr>
          <w:rFonts w:ascii="Calibri" w:hAnsi="Calibri" w:eastAsia="Calibri" w:cs="Calibri"/>
          <w:color w:val="FF0000"/>
          <w:sz w:val="24"/>
          <w:szCs w:val="24"/>
        </w:rPr>
        <w:t>based on</w:t>
      </w:r>
      <w:r w:rsidRPr="792AD32B" w:rsidR="00996DD7">
        <w:rPr>
          <w:rFonts w:ascii="Calibri" w:hAnsi="Calibri" w:eastAsia="Calibri" w:cs="Calibri"/>
          <w:color w:val="FF0000"/>
          <w:sz w:val="24"/>
          <w:szCs w:val="24"/>
        </w:rPr>
        <w:t xml:space="preserve"> skin temperature.</w:t>
      </w:r>
      <w:r w:rsidRPr="792AD32B" w:rsidR="00996DD7">
        <w:rPr>
          <w:rFonts w:ascii="Calibri" w:hAnsi="Calibri" w:eastAsia="Calibri" w:cs="Calibri"/>
          <w:color w:val="FF0000"/>
          <w:sz w:val="24"/>
          <w:szCs w:val="24"/>
        </w:rPr>
        <w:t xml:space="preserve"> </w:t>
      </w:r>
      <w:r w:rsidRPr="792AD32B" w:rsidR="53F1F055">
        <w:rPr>
          <w:rFonts w:ascii="Calibri" w:hAnsi="Calibri" w:eastAsia="Calibri" w:cs="Calibri"/>
          <w:sz w:val="24"/>
          <w:szCs w:val="24"/>
        </w:rPr>
        <w:t>Our results challenge some traditional CRPS classifications, suggesting that current diagnostic criteria may not fully capture the complexity of the disorder.</w:t>
      </w:r>
      <w:r w:rsidRPr="792AD32B" w:rsidR="0B923EC8">
        <w:rPr>
          <w:rFonts w:ascii="Calibri" w:hAnsi="Calibri" w:eastAsia="Calibri" w:cs="Calibri"/>
          <w:sz w:val="24"/>
          <w:szCs w:val="24"/>
        </w:rPr>
        <w:t xml:space="preserve"> </w:t>
      </w:r>
      <w:r w:rsidRPr="792AD32B" w:rsidR="0B923EC8">
        <w:rPr>
          <w:rFonts w:ascii="Calibri" w:hAnsi="Calibri" w:eastAsia="Calibri" w:cs="Calibri"/>
          <w:sz w:val="24"/>
          <w:szCs w:val="24"/>
        </w:rPr>
        <w:t>LCA</w:t>
      </w:r>
      <w:r w:rsidRPr="792AD32B" w:rsidR="0B923EC8">
        <w:rPr>
          <w:rFonts w:ascii="Calibri" w:hAnsi="Calibri" w:eastAsia="Calibri" w:cs="Calibri"/>
          <w:sz w:val="24"/>
          <w:szCs w:val="24"/>
        </w:rPr>
        <w:t xml:space="preserve"> results point to the potential role of central</w:t>
      </w:r>
      <w:r w:rsidRPr="792AD32B" w:rsidR="00170AA4">
        <w:rPr>
          <w:rFonts w:ascii="Calibri" w:hAnsi="Calibri" w:eastAsia="Calibri" w:cs="Calibri"/>
          <w:sz w:val="24"/>
          <w:szCs w:val="24"/>
        </w:rPr>
        <w:t xml:space="preserve"> / systemic</w:t>
      </w:r>
      <w:r w:rsidRPr="792AD32B" w:rsidR="0B923EC8">
        <w:rPr>
          <w:rFonts w:ascii="Calibri" w:hAnsi="Calibri" w:eastAsia="Calibri" w:cs="Calibri"/>
          <w:sz w:val="24"/>
          <w:szCs w:val="24"/>
        </w:rPr>
        <w:t xml:space="preserve"> mechanisms in severe </w:t>
      </w:r>
      <w:r w:rsidRPr="792AD32B" w:rsidR="05EBC807">
        <w:rPr>
          <w:rFonts w:ascii="Calibri" w:hAnsi="Calibri" w:eastAsia="Calibri" w:cs="Calibri"/>
          <w:sz w:val="24"/>
          <w:szCs w:val="24"/>
        </w:rPr>
        <w:t>conditions. The</w:t>
      </w:r>
      <w:r w:rsidRPr="792AD32B" w:rsidR="36DEB4D6">
        <w:rPr>
          <w:rFonts w:ascii="Calibri" w:hAnsi="Calibri" w:eastAsia="Calibri" w:cs="Calibri"/>
          <w:sz w:val="24"/>
          <w:szCs w:val="24"/>
        </w:rPr>
        <w:t xml:space="preserve"> clinical</w:t>
      </w:r>
      <w:r w:rsidRPr="792AD32B" w:rsidR="5F4FE6FE">
        <w:rPr>
          <w:rFonts w:ascii="Calibri" w:hAnsi="Calibri" w:eastAsia="Calibri" w:cs="Calibri"/>
          <w:sz w:val="24"/>
          <w:szCs w:val="24"/>
        </w:rPr>
        <w:t xml:space="preserve"> </w:t>
      </w:r>
      <w:r w:rsidRPr="792AD32B" w:rsidR="15FE1C85">
        <w:rPr>
          <w:rFonts w:ascii="Calibri" w:hAnsi="Calibri" w:eastAsia="Calibri" w:cs="Calibri"/>
          <w:sz w:val="24"/>
          <w:szCs w:val="24"/>
        </w:rPr>
        <w:t>i</w:t>
      </w:r>
      <w:r w:rsidRPr="792AD32B" w:rsidR="5F4FE6FE">
        <w:rPr>
          <w:rFonts w:ascii="Calibri" w:hAnsi="Calibri" w:eastAsia="Calibri" w:cs="Calibri"/>
          <w:sz w:val="24"/>
          <w:szCs w:val="24"/>
        </w:rPr>
        <w:t>mplication of the</w:t>
      </w:r>
      <w:r w:rsidRPr="792AD32B" w:rsidR="3B5FC899">
        <w:rPr>
          <w:rFonts w:ascii="Calibri" w:hAnsi="Calibri" w:eastAsia="Calibri" w:cs="Calibri"/>
          <w:sz w:val="24"/>
          <w:szCs w:val="24"/>
        </w:rPr>
        <w:t xml:space="preserve"> identified </w:t>
      </w:r>
      <w:r w:rsidRPr="792AD32B" w:rsidR="5F4FE6FE">
        <w:rPr>
          <w:rFonts w:ascii="Calibri" w:hAnsi="Calibri" w:eastAsia="Calibri" w:cs="Calibri"/>
          <w:sz w:val="24"/>
          <w:szCs w:val="24"/>
        </w:rPr>
        <w:t>phenotypes should</w:t>
      </w:r>
      <w:r w:rsidRPr="792AD32B" w:rsidR="3C28207C">
        <w:rPr>
          <w:rFonts w:ascii="Calibri" w:hAnsi="Calibri" w:eastAsia="Calibri" w:cs="Calibri"/>
          <w:sz w:val="24"/>
          <w:szCs w:val="24"/>
        </w:rPr>
        <w:t xml:space="preserve"> be</w:t>
      </w:r>
      <w:r w:rsidRPr="792AD32B" w:rsidR="5F4FE6FE">
        <w:rPr>
          <w:rFonts w:ascii="Calibri" w:hAnsi="Calibri" w:eastAsia="Calibri" w:cs="Calibri"/>
          <w:sz w:val="24"/>
          <w:szCs w:val="24"/>
        </w:rPr>
        <w:t xml:space="preserve"> </w:t>
      </w:r>
      <w:r w:rsidRPr="792AD32B" w:rsidR="3A6CD675">
        <w:rPr>
          <w:rFonts w:ascii="Calibri" w:hAnsi="Calibri" w:eastAsia="Calibri" w:cs="Calibri"/>
          <w:sz w:val="24"/>
          <w:szCs w:val="24"/>
        </w:rPr>
        <w:t>further investigated.</w:t>
      </w:r>
    </w:p>
    <w:p w:rsidR="0FEC445E" w:rsidRDefault="0FEC445E" w14:paraId="06333021" w14:textId="66A45D19">
      <w:r>
        <w:br w:type="page"/>
      </w:r>
    </w:p>
    <w:p w:rsidRPr="00171B6F" w:rsidR="642B2883" w:rsidP="560E2E1C" w:rsidRDefault="7060F514" w14:paraId="5A9D89C3" w14:textId="109F60D4">
      <w:pPr>
        <w:pStyle w:val="Heading1"/>
        <w:spacing w:line="480" w:lineRule="auto"/>
        <w:rPr>
          <w:sz w:val="24"/>
          <w:szCs w:val="24"/>
        </w:rPr>
      </w:pPr>
      <w:r w:rsidRPr="4EF8719D">
        <w:rPr>
          <w:sz w:val="24"/>
          <w:szCs w:val="24"/>
        </w:rPr>
        <w:lastRenderedPageBreak/>
        <w:t>Acknowledgments</w:t>
      </w:r>
    </w:p>
    <w:p w:rsidR="34C38EF9" w:rsidP="4EF8719D" w:rsidRDefault="4AF281DF" w14:paraId="7CAAB94A" w14:textId="1ABF1C9D">
      <w:pPr>
        <w:spacing w:beforeAutospacing="1" w:afterAutospacing="1" w:line="480" w:lineRule="auto"/>
        <w:jc w:val="both"/>
        <w:rPr>
          <w:rFonts w:ascii="Calibri" w:hAnsi="Calibri" w:eastAsia="Calibri" w:cs="Calibri"/>
          <w:sz w:val="24"/>
          <w:szCs w:val="24"/>
        </w:rPr>
      </w:pPr>
      <w:r w:rsidRPr="00321447">
        <w:rPr>
          <w:rFonts w:ascii="Calibri" w:hAnsi="Calibri" w:eastAsia="Calibri" w:cs="Calibri"/>
          <w:sz w:val="24"/>
          <w:szCs w:val="24"/>
        </w:rPr>
        <w:t xml:space="preserve">We thank Sophie </w:t>
      </w:r>
      <w:proofErr w:type="spellStart"/>
      <w:r w:rsidRPr="00321447" w:rsidR="344AD053">
        <w:rPr>
          <w:rFonts w:ascii="Calibri" w:hAnsi="Calibri" w:eastAsia="Calibri" w:cs="Calibri"/>
          <w:sz w:val="24"/>
          <w:szCs w:val="24"/>
        </w:rPr>
        <w:t>Cockx</w:t>
      </w:r>
      <w:proofErr w:type="spellEnd"/>
      <w:r w:rsidRPr="00321447" w:rsidR="344AD053">
        <w:rPr>
          <w:rFonts w:ascii="Calibri" w:hAnsi="Calibri" w:eastAsia="Calibri" w:cs="Calibri"/>
          <w:sz w:val="24"/>
          <w:szCs w:val="24"/>
        </w:rPr>
        <w:t xml:space="preserve">, Jérôme </w:t>
      </w:r>
      <w:proofErr w:type="spellStart"/>
      <w:r w:rsidRPr="00321447" w:rsidR="344AD053">
        <w:rPr>
          <w:rFonts w:ascii="Calibri" w:hAnsi="Calibri" w:eastAsia="Calibri" w:cs="Calibri"/>
          <w:sz w:val="24"/>
          <w:szCs w:val="24"/>
        </w:rPr>
        <w:t>Boquet</w:t>
      </w:r>
      <w:proofErr w:type="spellEnd"/>
      <w:r w:rsidRPr="00321447" w:rsidR="344AD053">
        <w:rPr>
          <w:rFonts w:ascii="Calibri" w:hAnsi="Calibri" w:eastAsia="Calibri" w:cs="Calibri"/>
          <w:sz w:val="24"/>
          <w:szCs w:val="24"/>
        </w:rPr>
        <w:t xml:space="preserve">, Quentin </w:t>
      </w:r>
      <w:proofErr w:type="spellStart"/>
      <w:r w:rsidRPr="00321447" w:rsidR="344AD053">
        <w:rPr>
          <w:rFonts w:ascii="Calibri" w:hAnsi="Calibri" w:eastAsia="Calibri" w:cs="Calibri"/>
          <w:sz w:val="24"/>
          <w:szCs w:val="24"/>
        </w:rPr>
        <w:t>Rasmont</w:t>
      </w:r>
      <w:proofErr w:type="spellEnd"/>
      <w:r w:rsidRPr="00321447" w:rsidR="344AD053">
        <w:rPr>
          <w:rFonts w:ascii="Calibri" w:hAnsi="Calibri" w:eastAsia="Calibri" w:cs="Calibri"/>
          <w:sz w:val="24"/>
          <w:szCs w:val="24"/>
        </w:rPr>
        <w:t>, Valérie</w:t>
      </w:r>
      <w:r w:rsidRPr="00321447" w:rsidR="777CFAC0">
        <w:rPr>
          <w:rFonts w:ascii="Calibri" w:hAnsi="Calibri" w:eastAsia="Calibri" w:cs="Calibri"/>
          <w:sz w:val="24"/>
          <w:szCs w:val="24"/>
        </w:rPr>
        <w:t>-Anne</w:t>
      </w:r>
      <w:r w:rsidRPr="00321447" w:rsidR="344AD053">
        <w:rPr>
          <w:rFonts w:ascii="Calibri" w:hAnsi="Calibri" w:eastAsia="Calibri" w:cs="Calibri"/>
          <w:sz w:val="24"/>
          <w:szCs w:val="24"/>
        </w:rPr>
        <w:t xml:space="preserve"> Dewilde, </w:t>
      </w:r>
      <w:r w:rsidRPr="00321447" w:rsidR="64FC29C7">
        <w:rPr>
          <w:rFonts w:ascii="Calibri" w:hAnsi="Calibri" w:eastAsia="Calibri" w:cs="Calibri"/>
          <w:sz w:val="24"/>
          <w:szCs w:val="24"/>
        </w:rPr>
        <w:t xml:space="preserve">David Willame, </w:t>
      </w:r>
      <w:r w:rsidRPr="00321447" w:rsidR="5505D1FD">
        <w:rPr>
          <w:rFonts w:ascii="Calibri" w:hAnsi="Calibri" w:eastAsia="Calibri" w:cs="Calibri"/>
          <w:sz w:val="24"/>
          <w:szCs w:val="24"/>
        </w:rPr>
        <w:t xml:space="preserve">Pauline Gonzalez, </w:t>
      </w:r>
      <w:r w:rsidRPr="00321447" w:rsidR="1E22CE36">
        <w:rPr>
          <w:rFonts w:ascii="Calibri" w:hAnsi="Calibri" w:eastAsia="Calibri" w:cs="Calibri"/>
          <w:sz w:val="24"/>
          <w:szCs w:val="24"/>
        </w:rPr>
        <w:t xml:space="preserve">Bruno Leroy, </w:t>
      </w:r>
      <w:r w:rsidRPr="00321447" w:rsidR="64FC29C7">
        <w:rPr>
          <w:rFonts w:ascii="Calibri" w:hAnsi="Calibri" w:eastAsia="Calibri" w:cs="Calibri"/>
          <w:sz w:val="24"/>
          <w:szCs w:val="24"/>
        </w:rPr>
        <w:t>Caroline Meyer</w:t>
      </w:r>
      <w:r w:rsidRPr="00321447" w:rsidR="20AB4D47">
        <w:rPr>
          <w:rFonts w:ascii="Calibri" w:hAnsi="Calibri" w:eastAsia="Calibri" w:cs="Calibri"/>
          <w:sz w:val="24"/>
          <w:szCs w:val="24"/>
        </w:rPr>
        <w:t xml:space="preserve">, Stéphanie </w:t>
      </w:r>
      <w:r w:rsidRPr="00321447" w:rsidR="22ABFCF9">
        <w:rPr>
          <w:rFonts w:ascii="Calibri" w:hAnsi="Calibri" w:eastAsia="Calibri" w:cs="Calibri"/>
          <w:sz w:val="24"/>
          <w:szCs w:val="24"/>
        </w:rPr>
        <w:t xml:space="preserve">Remy, </w:t>
      </w:r>
      <w:r w:rsidR="00644AC1">
        <w:rPr>
          <w:rFonts w:ascii="Calibri" w:hAnsi="Calibri" w:eastAsia="Calibri" w:cs="Calibri"/>
          <w:sz w:val="24"/>
          <w:szCs w:val="24"/>
        </w:rPr>
        <w:t xml:space="preserve">Catherine Dutilleux, </w:t>
      </w:r>
      <w:r w:rsidRPr="00321447" w:rsidR="300CE8CE">
        <w:rPr>
          <w:rFonts w:ascii="Calibri" w:hAnsi="Calibri" w:eastAsia="Calibri" w:cs="Calibri"/>
          <w:sz w:val="24"/>
          <w:szCs w:val="24"/>
        </w:rPr>
        <w:t xml:space="preserve">Laura </w:t>
      </w:r>
      <w:proofErr w:type="spellStart"/>
      <w:r w:rsidRPr="00321447" w:rsidR="300CE8CE">
        <w:rPr>
          <w:rFonts w:ascii="Calibri" w:hAnsi="Calibri" w:eastAsia="Calibri" w:cs="Calibri"/>
          <w:sz w:val="24"/>
          <w:szCs w:val="24"/>
        </w:rPr>
        <w:t>Pierchon</w:t>
      </w:r>
      <w:proofErr w:type="spellEnd"/>
      <w:r w:rsidR="00644AC1">
        <w:rPr>
          <w:rFonts w:ascii="Calibri" w:hAnsi="Calibri" w:eastAsia="Calibri" w:cs="Calibri"/>
          <w:sz w:val="24"/>
          <w:szCs w:val="24"/>
        </w:rPr>
        <w:t xml:space="preserve">, </w:t>
      </w:r>
      <w:proofErr w:type="spellStart"/>
      <w:r w:rsidR="00644AC1">
        <w:rPr>
          <w:rFonts w:ascii="Calibri" w:hAnsi="Calibri" w:eastAsia="Calibri" w:cs="Calibri"/>
          <w:sz w:val="24"/>
          <w:szCs w:val="24"/>
        </w:rPr>
        <w:t>Géry</w:t>
      </w:r>
      <w:proofErr w:type="spellEnd"/>
      <w:r w:rsidR="00644AC1">
        <w:rPr>
          <w:rFonts w:ascii="Calibri" w:hAnsi="Calibri" w:eastAsia="Calibri" w:cs="Calibri"/>
          <w:sz w:val="24"/>
          <w:szCs w:val="24"/>
        </w:rPr>
        <w:t xml:space="preserve"> Burlet, </w:t>
      </w:r>
      <w:r w:rsidR="00113ABA">
        <w:rPr>
          <w:rFonts w:ascii="Calibri" w:hAnsi="Calibri" w:eastAsia="Calibri" w:cs="Calibri"/>
          <w:sz w:val="24"/>
          <w:szCs w:val="24"/>
        </w:rPr>
        <w:t xml:space="preserve">Jason </w:t>
      </w:r>
      <w:proofErr w:type="spellStart"/>
      <w:r w:rsidR="00113ABA">
        <w:rPr>
          <w:rFonts w:ascii="Calibri" w:hAnsi="Calibri" w:eastAsia="Calibri" w:cs="Calibri"/>
          <w:sz w:val="24"/>
          <w:szCs w:val="24"/>
        </w:rPr>
        <w:t>Sépulle</w:t>
      </w:r>
      <w:proofErr w:type="spellEnd"/>
      <w:r w:rsidR="00113ABA">
        <w:rPr>
          <w:rFonts w:ascii="Calibri" w:hAnsi="Calibri" w:eastAsia="Calibri" w:cs="Calibri"/>
          <w:sz w:val="24"/>
          <w:szCs w:val="24"/>
        </w:rPr>
        <w:t xml:space="preserve">, </w:t>
      </w:r>
      <w:r w:rsidR="00644AC1">
        <w:rPr>
          <w:rFonts w:ascii="Calibri" w:hAnsi="Calibri" w:eastAsia="Calibri" w:cs="Calibri"/>
          <w:sz w:val="24"/>
          <w:szCs w:val="24"/>
        </w:rPr>
        <w:t>Olivia Martin</w:t>
      </w:r>
      <w:r w:rsidR="00837445">
        <w:rPr>
          <w:rFonts w:ascii="Calibri" w:hAnsi="Calibri" w:eastAsia="Calibri" w:cs="Calibri"/>
          <w:sz w:val="24"/>
          <w:szCs w:val="24"/>
        </w:rPr>
        <w:t xml:space="preserve"> and Anthony Nasr</w:t>
      </w:r>
      <w:r w:rsidR="00644AC1">
        <w:rPr>
          <w:rFonts w:ascii="Calibri" w:hAnsi="Calibri" w:eastAsia="Calibri" w:cs="Calibri"/>
          <w:sz w:val="24"/>
          <w:szCs w:val="24"/>
        </w:rPr>
        <w:t xml:space="preserve">, Estelle Verraes, Anthony Gevers, </w:t>
      </w:r>
      <w:r w:rsidR="00837445">
        <w:rPr>
          <w:rFonts w:ascii="Calibri" w:hAnsi="Calibri" w:eastAsia="Calibri" w:cs="Calibri"/>
          <w:sz w:val="24"/>
          <w:szCs w:val="24"/>
        </w:rPr>
        <w:t xml:space="preserve">and </w:t>
      </w:r>
      <w:r w:rsidR="00644AC1">
        <w:rPr>
          <w:rFonts w:ascii="Calibri" w:hAnsi="Calibri" w:eastAsia="Calibri" w:cs="Calibri"/>
          <w:sz w:val="24"/>
          <w:szCs w:val="24"/>
        </w:rPr>
        <w:t>Vincent Foulon</w:t>
      </w:r>
      <w:r w:rsidRPr="00321447" w:rsidR="64FC29C7">
        <w:rPr>
          <w:rFonts w:ascii="Calibri" w:hAnsi="Calibri" w:eastAsia="Calibri" w:cs="Calibri"/>
          <w:sz w:val="24"/>
          <w:szCs w:val="24"/>
        </w:rPr>
        <w:t xml:space="preserve"> for their help in </w:t>
      </w:r>
      <w:r w:rsidRPr="00321447" w:rsidR="184327FE">
        <w:rPr>
          <w:rFonts w:ascii="Calibri" w:hAnsi="Calibri" w:eastAsia="Calibri" w:cs="Calibri"/>
          <w:sz w:val="24"/>
          <w:szCs w:val="24"/>
        </w:rPr>
        <w:t>recruiting.</w:t>
      </w:r>
      <w:r w:rsidRPr="00321447" w:rsidR="2AEDD421">
        <w:rPr>
          <w:rFonts w:ascii="Calibri" w:hAnsi="Calibri" w:eastAsia="Calibri" w:cs="Calibri"/>
          <w:sz w:val="24"/>
          <w:szCs w:val="24"/>
        </w:rPr>
        <w:t xml:space="preserve"> We also thank André </w:t>
      </w:r>
      <w:proofErr w:type="spellStart"/>
      <w:r w:rsidRPr="00321447" w:rsidR="2AEDD421">
        <w:rPr>
          <w:rFonts w:ascii="Calibri" w:hAnsi="Calibri" w:eastAsia="Calibri" w:cs="Calibri"/>
          <w:sz w:val="24"/>
          <w:szCs w:val="24"/>
        </w:rPr>
        <w:t>Mouraux</w:t>
      </w:r>
      <w:proofErr w:type="spellEnd"/>
      <w:r w:rsidRPr="00321447" w:rsidR="006C4BC8">
        <w:rPr>
          <w:rFonts w:ascii="Calibri" w:hAnsi="Calibri" w:eastAsia="Calibri" w:cs="Calibri"/>
          <w:sz w:val="24"/>
          <w:szCs w:val="24"/>
        </w:rPr>
        <w:t>, Carlo Matej Rinaudo,</w:t>
      </w:r>
      <w:r w:rsidRPr="00321447" w:rsidR="2AEDD421">
        <w:rPr>
          <w:rFonts w:ascii="Calibri" w:hAnsi="Calibri" w:eastAsia="Calibri" w:cs="Calibri"/>
          <w:sz w:val="24"/>
          <w:szCs w:val="24"/>
        </w:rPr>
        <w:t xml:space="preserve"> and Arnaud Steyaert for their methodological opinions and suggestions.</w:t>
      </w:r>
    </w:p>
    <w:p w:rsidRPr="00A410E3" w:rsidR="00A410E3" w:rsidP="4EF8719D" w:rsidRDefault="00A410E3" w14:paraId="035C5EE1" w14:textId="50D250ED">
      <w:pPr>
        <w:spacing w:beforeAutospacing="1" w:afterAutospacing="1" w:line="480" w:lineRule="auto"/>
        <w:jc w:val="both"/>
        <w:rPr>
          <w:rFonts w:ascii="Calibri" w:hAnsi="Calibri" w:eastAsia="Calibri" w:cs="Calibri"/>
          <w:sz w:val="24"/>
          <w:szCs w:val="24"/>
        </w:rPr>
      </w:pPr>
      <w:r w:rsidRPr="002521B0">
        <w:rPr>
          <w:rFonts w:ascii="Calibri" w:hAnsi="Calibri" w:eastAsia="Calibri" w:cs="Calibri"/>
          <w:sz w:val="24"/>
          <w:szCs w:val="24"/>
        </w:rPr>
        <w:t xml:space="preserve">This study was designed by </w:t>
      </w:r>
      <w:proofErr w:type="spellStart"/>
      <w:r>
        <w:rPr>
          <w:rFonts w:ascii="Calibri" w:hAnsi="Calibri" w:eastAsia="Calibri" w:cs="Calibri"/>
          <w:sz w:val="24"/>
          <w:szCs w:val="24"/>
        </w:rPr>
        <w:t>MHL</w:t>
      </w:r>
      <w:proofErr w:type="spellEnd"/>
      <w:r>
        <w:rPr>
          <w:rFonts w:ascii="Calibri" w:hAnsi="Calibri" w:eastAsia="Calibri" w:cs="Calibri"/>
          <w:sz w:val="24"/>
          <w:szCs w:val="24"/>
        </w:rPr>
        <w:t xml:space="preserve">, </w:t>
      </w:r>
      <w:proofErr w:type="spellStart"/>
      <w:r>
        <w:rPr>
          <w:rFonts w:ascii="Calibri" w:hAnsi="Calibri" w:eastAsia="Calibri" w:cs="Calibri"/>
          <w:sz w:val="24"/>
          <w:szCs w:val="24"/>
        </w:rPr>
        <w:t>VL</w:t>
      </w:r>
      <w:proofErr w:type="spellEnd"/>
      <w:r>
        <w:rPr>
          <w:rFonts w:ascii="Calibri" w:hAnsi="Calibri" w:eastAsia="Calibri" w:cs="Calibri"/>
          <w:sz w:val="24"/>
          <w:szCs w:val="24"/>
        </w:rPr>
        <w:t xml:space="preserve">, LF, and AB. </w:t>
      </w:r>
      <w:r w:rsidRPr="002521B0">
        <w:rPr>
          <w:rFonts w:ascii="Calibri" w:hAnsi="Calibri" w:eastAsia="Calibri" w:cs="Calibri"/>
          <w:sz w:val="24"/>
          <w:szCs w:val="24"/>
        </w:rPr>
        <w:t xml:space="preserve">The experiments were performed by </w:t>
      </w:r>
      <w:proofErr w:type="spellStart"/>
      <w:r>
        <w:rPr>
          <w:rFonts w:ascii="Calibri" w:hAnsi="Calibri" w:eastAsia="Calibri" w:cs="Calibri"/>
          <w:sz w:val="24"/>
          <w:szCs w:val="24"/>
        </w:rPr>
        <w:t>MHL</w:t>
      </w:r>
      <w:proofErr w:type="spellEnd"/>
      <w:r w:rsidRPr="002521B0">
        <w:rPr>
          <w:rFonts w:ascii="Calibri" w:hAnsi="Calibri" w:eastAsia="Calibri" w:cs="Calibri"/>
          <w:sz w:val="24"/>
          <w:szCs w:val="24"/>
        </w:rPr>
        <w:t xml:space="preserve">. The data were </w:t>
      </w:r>
      <w:r w:rsidRPr="5045E0F5" w:rsidR="0AA01874">
        <w:rPr>
          <w:rFonts w:ascii="Calibri" w:hAnsi="Calibri" w:eastAsia="Calibri" w:cs="Calibri"/>
          <w:sz w:val="24"/>
          <w:szCs w:val="24"/>
        </w:rPr>
        <w:t>analysed</w:t>
      </w:r>
      <w:r w:rsidRPr="002521B0">
        <w:rPr>
          <w:rFonts w:ascii="Calibri" w:hAnsi="Calibri" w:eastAsia="Calibri" w:cs="Calibri"/>
          <w:sz w:val="24"/>
          <w:szCs w:val="24"/>
        </w:rPr>
        <w:t xml:space="preserve"> by </w:t>
      </w:r>
      <w:proofErr w:type="spellStart"/>
      <w:r>
        <w:rPr>
          <w:rFonts w:ascii="Calibri" w:hAnsi="Calibri" w:eastAsia="Calibri" w:cs="Calibri"/>
          <w:sz w:val="24"/>
          <w:szCs w:val="24"/>
        </w:rPr>
        <w:t>MHL</w:t>
      </w:r>
      <w:proofErr w:type="spellEnd"/>
      <w:r>
        <w:rPr>
          <w:rFonts w:ascii="Calibri" w:hAnsi="Calibri" w:eastAsia="Calibri" w:cs="Calibri"/>
          <w:sz w:val="24"/>
          <w:szCs w:val="24"/>
        </w:rPr>
        <w:t xml:space="preserve">, VA, SH, </w:t>
      </w:r>
      <w:proofErr w:type="spellStart"/>
      <w:r>
        <w:rPr>
          <w:rFonts w:ascii="Calibri" w:hAnsi="Calibri" w:eastAsia="Calibri" w:cs="Calibri"/>
          <w:sz w:val="24"/>
          <w:szCs w:val="24"/>
        </w:rPr>
        <w:t>VL</w:t>
      </w:r>
      <w:proofErr w:type="spellEnd"/>
      <w:r>
        <w:rPr>
          <w:rFonts w:ascii="Calibri" w:hAnsi="Calibri" w:eastAsia="Calibri" w:cs="Calibri"/>
          <w:sz w:val="24"/>
          <w:szCs w:val="24"/>
        </w:rPr>
        <w:t>, and AB;</w:t>
      </w:r>
      <w:r w:rsidRPr="002521B0">
        <w:rPr>
          <w:rFonts w:ascii="Calibri" w:hAnsi="Calibri" w:eastAsia="Calibri" w:cs="Calibri"/>
          <w:sz w:val="24"/>
          <w:szCs w:val="24"/>
        </w:rPr>
        <w:t xml:space="preserve"> the results were critically examined by all authors.</w:t>
      </w:r>
      <w:r>
        <w:rPr>
          <w:rFonts w:ascii="Calibri" w:hAnsi="Calibri" w:eastAsia="Calibri" w:cs="Calibri"/>
          <w:sz w:val="24"/>
          <w:szCs w:val="24"/>
        </w:rPr>
        <w:t xml:space="preserve"> </w:t>
      </w:r>
      <w:proofErr w:type="spellStart"/>
      <w:r>
        <w:rPr>
          <w:rFonts w:ascii="Calibri" w:hAnsi="Calibri" w:eastAsia="Calibri" w:cs="Calibri"/>
          <w:sz w:val="24"/>
          <w:szCs w:val="24"/>
        </w:rPr>
        <w:t>MHL</w:t>
      </w:r>
      <w:proofErr w:type="spellEnd"/>
      <w:r w:rsidRPr="002521B0">
        <w:rPr>
          <w:rFonts w:ascii="Calibri" w:hAnsi="Calibri" w:eastAsia="Calibri" w:cs="Calibri"/>
          <w:sz w:val="24"/>
          <w:szCs w:val="24"/>
        </w:rPr>
        <w:t xml:space="preserve"> had a primary role in preparing the manuscript, which was edited by </w:t>
      </w:r>
      <w:r>
        <w:rPr>
          <w:rFonts w:ascii="Calibri" w:hAnsi="Calibri" w:eastAsia="Calibri" w:cs="Calibri"/>
          <w:sz w:val="24"/>
          <w:szCs w:val="24"/>
        </w:rPr>
        <w:t>all authors.</w:t>
      </w:r>
      <w:r w:rsidRPr="002521B0">
        <w:rPr>
          <w:rFonts w:ascii="Calibri" w:hAnsi="Calibri" w:eastAsia="Calibri" w:cs="Calibri"/>
          <w:sz w:val="24"/>
          <w:szCs w:val="24"/>
        </w:rPr>
        <w:t xml:space="preserve"> All authors have approved the ﬁnal version of the manuscript and agree to be accountable for all aspects of the work.</w:t>
      </w:r>
    </w:p>
    <w:p w:rsidR="007843EE" w:rsidP="4EF8719D" w:rsidRDefault="7060F514" w14:paraId="5C09D30C" w14:textId="614F405D">
      <w:pPr>
        <w:spacing w:beforeAutospacing="1" w:afterAutospacing="1" w:line="480" w:lineRule="auto"/>
        <w:jc w:val="both"/>
        <w:rPr>
          <w:rFonts w:ascii="Calibri" w:hAnsi="Calibri" w:eastAsia="Calibri" w:cs="Calibri"/>
          <w:sz w:val="24"/>
          <w:szCs w:val="24"/>
          <w:lang w:val="en-US"/>
        </w:rPr>
      </w:pPr>
      <w:r w:rsidRPr="00FE1F54">
        <w:rPr>
          <w:rFonts w:ascii="Calibri" w:hAnsi="Calibri" w:eastAsia="Calibri" w:cs="Calibri"/>
          <w:sz w:val="24"/>
          <w:szCs w:val="24"/>
        </w:rPr>
        <w:t>Funding</w:t>
      </w:r>
      <w:r w:rsidRPr="00FE1F54" w:rsidR="70998809">
        <w:rPr>
          <w:rFonts w:ascii="Calibri" w:hAnsi="Calibri" w:eastAsia="Calibri" w:cs="Calibri"/>
          <w:sz w:val="24"/>
          <w:szCs w:val="24"/>
        </w:rPr>
        <w:t>:</w:t>
      </w:r>
      <w:r w:rsidRPr="00FE1F54">
        <w:rPr>
          <w:rFonts w:ascii="Calibri" w:hAnsi="Calibri" w:eastAsia="Calibri" w:cs="Calibri"/>
          <w:sz w:val="24"/>
          <w:szCs w:val="24"/>
        </w:rPr>
        <w:t xml:space="preserve"> </w:t>
      </w:r>
      <w:proofErr w:type="spellStart"/>
      <w:r w:rsidRPr="00FE1F54">
        <w:rPr>
          <w:rFonts w:ascii="Calibri" w:hAnsi="Calibri" w:eastAsia="Calibri" w:cs="Calibri"/>
          <w:sz w:val="24"/>
          <w:szCs w:val="24"/>
        </w:rPr>
        <w:t>MHL</w:t>
      </w:r>
      <w:proofErr w:type="spellEnd"/>
      <w:r w:rsidRPr="00FE1F54">
        <w:rPr>
          <w:rFonts w:ascii="Calibri" w:hAnsi="Calibri" w:eastAsia="Calibri" w:cs="Calibri"/>
          <w:sz w:val="24"/>
          <w:szCs w:val="24"/>
        </w:rPr>
        <w:t xml:space="preserve"> is supported by </w:t>
      </w:r>
      <w:proofErr w:type="spellStart"/>
      <w:r w:rsidRPr="00FE1F54">
        <w:rPr>
          <w:rFonts w:ascii="Calibri" w:hAnsi="Calibri" w:eastAsia="Calibri" w:cs="Calibri"/>
          <w:sz w:val="24"/>
          <w:szCs w:val="24"/>
        </w:rPr>
        <w:t>Fondation</w:t>
      </w:r>
      <w:proofErr w:type="spellEnd"/>
      <w:r w:rsidRPr="00FE1F54">
        <w:rPr>
          <w:rFonts w:ascii="Calibri" w:hAnsi="Calibri" w:eastAsia="Calibri" w:cs="Calibri"/>
          <w:sz w:val="24"/>
          <w:szCs w:val="24"/>
        </w:rPr>
        <w:t xml:space="preserve"> Saint-Luc </w:t>
      </w:r>
      <w:r w:rsidRPr="00FE1F54" w:rsidR="70998809">
        <w:rPr>
          <w:rFonts w:ascii="Calibri" w:hAnsi="Calibri" w:eastAsia="Calibri" w:cs="Calibri"/>
          <w:sz w:val="24"/>
          <w:szCs w:val="24"/>
        </w:rPr>
        <w:t xml:space="preserve">and </w:t>
      </w:r>
      <w:r w:rsidRPr="00FE1F54" w:rsidR="00805220">
        <w:rPr>
          <w:rFonts w:ascii="Calibri" w:hAnsi="Calibri" w:eastAsia="Calibri" w:cs="Calibri"/>
          <w:sz w:val="24"/>
          <w:szCs w:val="24"/>
        </w:rPr>
        <w:t xml:space="preserve">the Fund for Scientific Research </w:t>
      </w:r>
      <w:r w:rsidRPr="4EF8719D" w:rsidR="00805220">
        <w:rPr>
          <w:rFonts w:ascii="Calibri" w:hAnsi="Calibri" w:eastAsia="Calibri" w:cs="Calibri"/>
          <w:sz w:val="24"/>
          <w:szCs w:val="24"/>
        </w:rPr>
        <w:t>of the French-speaking Community of Belgium (F.R.S.-</w:t>
      </w:r>
      <w:proofErr w:type="spellStart"/>
      <w:r w:rsidRPr="4EF8719D" w:rsidR="00805220">
        <w:rPr>
          <w:rFonts w:ascii="Calibri" w:hAnsi="Calibri" w:eastAsia="Calibri" w:cs="Calibri"/>
          <w:sz w:val="24"/>
          <w:szCs w:val="24"/>
        </w:rPr>
        <w:t>FNRS</w:t>
      </w:r>
      <w:proofErr w:type="spellEnd"/>
      <w:r w:rsidRPr="4EF8719D" w:rsidR="00805220">
        <w:rPr>
          <w:rFonts w:ascii="Calibri" w:hAnsi="Calibri" w:eastAsia="Calibri" w:cs="Calibri"/>
          <w:sz w:val="24"/>
          <w:szCs w:val="24"/>
        </w:rPr>
        <w:t>)</w:t>
      </w:r>
      <w:r w:rsidRPr="00FE1F54" w:rsidR="2B79044E">
        <w:rPr>
          <w:rFonts w:ascii="Calibri" w:hAnsi="Calibri" w:eastAsia="Calibri" w:cs="Calibri"/>
          <w:sz w:val="24"/>
          <w:szCs w:val="24"/>
        </w:rPr>
        <w:t xml:space="preserve">, </w:t>
      </w:r>
      <w:proofErr w:type="spellStart"/>
      <w:r w:rsidRPr="00FE1F54" w:rsidR="08BBF622">
        <w:rPr>
          <w:rFonts w:ascii="Calibri" w:hAnsi="Calibri" w:eastAsia="Calibri" w:cs="Calibri"/>
          <w:sz w:val="24"/>
          <w:szCs w:val="24"/>
        </w:rPr>
        <w:t>VL</w:t>
      </w:r>
      <w:proofErr w:type="spellEnd"/>
      <w:r w:rsidRPr="00FE1F54" w:rsidR="4A333A1E">
        <w:rPr>
          <w:rFonts w:ascii="Calibri" w:hAnsi="Calibri" w:eastAsia="Calibri" w:cs="Calibri"/>
          <w:sz w:val="24"/>
          <w:szCs w:val="24"/>
        </w:rPr>
        <w:t xml:space="preserve"> </w:t>
      </w:r>
      <w:r w:rsidRPr="00FE1F54" w:rsidR="08BBF622">
        <w:rPr>
          <w:rFonts w:ascii="Calibri" w:hAnsi="Calibri" w:eastAsia="Calibri" w:cs="Calibri"/>
          <w:sz w:val="24"/>
          <w:szCs w:val="24"/>
        </w:rPr>
        <w:t xml:space="preserve">and </w:t>
      </w:r>
      <w:r w:rsidRPr="00FE1F54" w:rsidR="4A333A1E">
        <w:rPr>
          <w:rFonts w:ascii="Calibri" w:hAnsi="Calibri" w:eastAsia="Calibri" w:cs="Calibri"/>
          <w:sz w:val="24"/>
          <w:szCs w:val="24"/>
        </w:rPr>
        <w:t>VA</w:t>
      </w:r>
      <w:r w:rsidRPr="00FE1F54" w:rsidR="08BBF622">
        <w:rPr>
          <w:rFonts w:ascii="Calibri" w:hAnsi="Calibri" w:eastAsia="Calibri" w:cs="Calibri"/>
          <w:sz w:val="24"/>
          <w:szCs w:val="24"/>
        </w:rPr>
        <w:t xml:space="preserve"> by </w:t>
      </w:r>
      <w:r w:rsidRPr="00FE1F54" w:rsidR="70998809">
        <w:rPr>
          <w:rFonts w:ascii="Calibri" w:hAnsi="Calibri" w:eastAsia="Calibri" w:cs="Calibri"/>
          <w:sz w:val="24"/>
          <w:szCs w:val="24"/>
        </w:rPr>
        <w:t xml:space="preserve">the </w:t>
      </w:r>
      <w:r w:rsidRPr="4EF8719D" w:rsidR="70998809">
        <w:rPr>
          <w:rFonts w:ascii="Calibri" w:hAnsi="Calibri" w:eastAsia="Calibri" w:cs="Calibri"/>
          <w:sz w:val="24"/>
          <w:szCs w:val="24"/>
        </w:rPr>
        <w:t>F.R.S.-</w:t>
      </w:r>
      <w:proofErr w:type="spellStart"/>
      <w:r w:rsidRPr="4EF8719D" w:rsidR="70998809">
        <w:rPr>
          <w:rFonts w:ascii="Calibri" w:hAnsi="Calibri" w:eastAsia="Calibri" w:cs="Calibri"/>
          <w:sz w:val="24"/>
          <w:szCs w:val="24"/>
        </w:rPr>
        <w:t>FNRS</w:t>
      </w:r>
      <w:proofErr w:type="spellEnd"/>
      <w:r w:rsidRPr="4EF8719D" w:rsidR="70998809">
        <w:rPr>
          <w:rFonts w:ascii="Calibri" w:hAnsi="Calibri" w:eastAsia="Calibri" w:cs="Calibri"/>
          <w:sz w:val="24"/>
          <w:szCs w:val="24"/>
        </w:rPr>
        <w:t>.</w:t>
      </w:r>
      <w:r w:rsidRPr="4EF8719D" w:rsidR="674B0CCA">
        <w:rPr>
          <w:rFonts w:ascii="Calibri" w:hAnsi="Calibri" w:eastAsia="Calibri" w:cs="Calibri"/>
          <w:sz w:val="24"/>
          <w:szCs w:val="24"/>
        </w:rPr>
        <w:t xml:space="preserve"> </w:t>
      </w:r>
      <w:r w:rsidRPr="4EF8719D" w:rsidR="51DE5C42">
        <w:rPr>
          <w:rFonts w:ascii="Calibri" w:hAnsi="Calibri" w:eastAsia="Calibri" w:cs="Calibri"/>
          <w:sz w:val="24"/>
          <w:szCs w:val="24"/>
          <w:lang w:val="en-US"/>
        </w:rPr>
        <w:t>This research did not receive any other specific grant from funding agencies in the public, commercial, or not-for-profit sectors.</w:t>
      </w:r>
    </w:p>
    <w:p w:rsidRPr="00321447" w:rsidR="004B4C4A" w:rsidP="00321447" w:rsidRDefault="6E171036" w14:paraId="5D23AACC" w14:textId="56E3EDD4">
      <w:pPr>
        <w:spacing w:beforeAutospacing="1" w:afterAutospacing="1" w:line="480" w:lineRule="auto"/>
        <w:jc w:val="both"/>
        <w:rPr>
          <w:rFonts w:ascii="Times New Roman" w:hAnsi="Times New Roman" w:eastAsia="Times New Roman" w:cs="Times New Roman"/>
          <w:color w:val="FF0000"/>
          <w:sz w:val="16"/>
          <w:szCs w:val="16"/>
          <w:lang w:val="en-US" w:eastAsia="fr-FR"/>
        </w:rPr>
      </w:pPr>
      <w:r w:rsidRPr="36495B6F">
        <w:rPr>
          <w:rFonts w:ascii="Calibri" w:hAnsi="Calibri" w:eastAsia="Calibri" w:cs="Calibri"/>
          <w:sz w:val="24"/>
          <w:szCs w:val="24"/>
        </w:rPr>
        <w:t>The authors declared no potential conflicts of interest with respect to the research, authorship, and/or publication of this article.</w:t>
      </w:r>
      <w:r w:rsidR="004B4C4A">
        <w:br w:type="page"/>
      </w:r>
    </w:p>
    <w:p w:rsidR="007843EE" w:rsidP="560E2E1C" w:rsidRDefault="4D02939D" w14:paraId="5DBFCEA5" w14:textId="5F3DB3B2">
      <w:pPr>
        <w:pStyle w:val="Heading1"/>
        <w:sectPr w:rsidR="007843EE" w:rsidSect="005C5A4A">
          <w:headerReference w:type="default" r:id="rId14"/>
          <w:pgSz w:w="11906" w:h="16838" w:orient="portrait"/>
          <w:pgMar w:top="1440" w:right="1440" w:bottom="1440" w:left="1440" w:header="720" w:footer="720" w:gutter="0"/>
          <w:lnNumType w:countBy="1"/>
          <w:cols w:space="720"/>
          <w:docGrid w:linePitch="360"/>
        </w:sectPr>
      </w:pPr>
      <w:r>
        <w:lastRenderedPageBreak/>
        <w:t>References</w:t>
      </w:r>
    </w:p>
    <w:p w:rsidR="005C5A4A" w:rsidP="005C5A4A" w:rsidRDefault="00600830" w14:paraId="7EC16123" w14:textId="77777777">
      <w:pPr>
        <w:pStyle w:val="Bibliography"/>
      </w:pPr>
      <w:r w:rsidRPr="560E2E1C">
        <w:rPr>
          <w:rFonts w:ascii="Calibri" w:hAnsi="Calibri" w:eastAsia="Calibri" w:cs="Calibri"/>
          <w:sz w:val="14"/>
          <w:szCs w:val="14"/>
        </w:rPr>
        <w:fldChar w:fldCharType="begin"/>
      </w:r>
      <w:r w:rsidR="00D55AFE">
        <w:rPr>
          <w:rFonts w:ascii="Calibri" w:hAnsi="Calibri" w:eastAsia="Calibri" w:cs="Calibri"/>
          <w:sz w:val="14"/>
          <w:szCs w:val="14"/>
        </w:rPr>
        <w:instrText xml:space="preserve"> ADDIN ZOTERO_BIBL {"uncited":[],"omitted":[],"custom":[]} CSL_BIBLIOGRAPHY </w:instrText>
      </w:r>
      <w:r w:rsidRPr="560E2E1C">
        <w:rPr>
          <w:rFonts w:ascii="Calibri" w:hAnsi="Calibri" w:eastAsia="Calibri" w:cs="Calibri"/>
          <w:sz w:val="14"/>
          <w:szCs w:val="14"/>
        </w:rPr>
        <w:fldChar w:fldCharType="separate"/>
      </w:r>
      <w:r w:rsidR="005C5A4A">
        <w:t xml:space="preserve">Baron, R., Binder, A., Wasner, G. (2010). Neuropathic pain: diagnosis, pathophysiological mechanisms, and treatment. </w:t>
      </w:r>
      <w:r w:rsidR="005C5A4A">
        <w:rPr>
          <w:i/>
          <w:iCs/>
        </w:rPr>
        <w:t>The Lancet Neurology</w:t>
      </w:r>
      <w:r w:rsidR="005C5A4A">
        <w:t xml:space="preserve"> 9, 807–819.</w:t>
      </w:r>
    </w:p>
    <w:p w:rsidR="005C5A4A" w:rsidP="005C5A4A" w:rsidRDefault="005C5A4A" w14:paraId="5BB86BA8" w14:textId="77777777">
      <w:pPr>
        <w:pStyle w:val="Bibliography"/>
      </w:pPr>
      <w:r>
        <w:t xml:space="preserve">Bean, D.J., Johnson, M.H., Heiss-Dunlop, W., Kydd, R.R. (2016a). Extent of recovery in the first 12 months of complex regional pain syndrome type-1: A prospective study. </w:t>
      </w:r>
      <w:r>
        <w:rPr>
          <w:i/>
          <w:iCs/>
        </w:rPr>
        <w:t>European Journal of Pain</w:t>
      </w:r>
      <w:r>
        <w:t xml:space="preserve"> 20, 884–894.</w:t>
      </w:r>
    </w:p>
    <w:p w:rsidR="005C5A4A" w:rsidP="005C5A4A" w:rsidRDefault="005C5A4A" w14:paraId="4D06F442" w14:textId="77777777">
      <w:pPr>
        <w:pStyle w:val="Bibliography"/>
      </w:pPr>
      <w:r>
        <w:t xml:space="preserve">Bean, D.J., Johnson, M.H., Heiss-Dunlop, W., Kydd, R.R. (2016b). Factors Associated With Disability and Sick Leave in Early Complex Regional Pain Syndrome Type-1. </w:t>
      </w:r>
      <w:r>
        <w:rPr>
          <w:i/>
          <w:iCs/>
        </w:rPr>
        <w:t>Clin J Pain</w:t>
      </w:r>
      <w:r>
        <w:t xml:space="preserve"> 32, 130–138.</w:t>
      </w:r>
    </w:p>
    <w:p w:rsidR="005C5A4A" w:rsidP="005C5A4A" w:rsidRDefault="005C5A4A" w14:paraId="1ED554DB" w14:textId="77777777">
      <w:pPr>
        <w:pStyle w:val="Bibliography"/>
      </w:pPr>
      <w:r>
        <w:t xml:space="preserve">Bean, D.J., Johnson, M.H., Kydd, R.R. (2014). The outcome of complex regional pain syndrome type 1: a systematic review. </w:t>
      </w:r>
      <w:r>
        <w:rPr>
          <w:i/>
          <w:iCs/>
        </w:rPr>
        <w:t>J Pain</w:t>
      </w:r>
      <w:r>
        <w:t xml:space="preserve"> 15, 677–690.</w:t>
      </w:r>
    </w:p>
    <w:p w:rsidR="005C5A4A" w:rsidP="005C5A4A" w:rsidRDefault="005C5A4A" w14:paraId="792516F8" w14:textId="77777777">
      <w:pPr>
        <w:pStyle w:val="Bibliography"/>
      </w:pPr>
      <w:r>
        <w:t xml:space="preserve">Beaton, D.E., Wright, J.G., Katz, J.N., Amadio, P., Bombardier, C., Cole, D., Davis, A., Hudak, P., Marx, R., Hawker, G., Makela, M., Punnett, L. (2005). Development of the QuickDASH: COmparison of three item-reduction approaches. </w:t>
      </w:r>
      <w:r>
        <w:rPr>
          <w:i/>
          <w:iCs/>
        </w:rPr>
        <w:t>Journal of Bone and Joint Surgery - Series A</w:t>
      </w:r>
      <w:r>
        <w:t xml:space="preserve"> 87, 1038–1046.</w:t>
      </w:r>
    </w:p>
    <w:p w:rsidR="005C5A4A" w:rsidP="005C5A4A" w:rsidRDefault="005C5A4A" w14:paraId="1EEF17E4" w14:textId="77777777">
      <w:pPr>
        <w:pStyle w:val="Bibliography"/>
      </w:pPr>
      <w:r>
        <w:t xml:space="preserve">Beerthuizen, A., Stronks, D.L., Van’t Spijker, A., Yaksh, A., Hanraets, B.M., Klein, J., Huygen, F.J.P.M. (2012). Demographic and medical parameters in the development of complex regional pain syndrome type 1 (CRPS1): prospective study on 596 patients with a fracture. </w:t>
      </w:r>
      <w:r>
        <w:rPr>
          <w:i/>
          <w:iCs/>
        </w:rPr>
        <w:t>Pain</w:t>
      </w:r>
      <w:r>
        <w:t xml:space="preserve"> 153, 1187–1192.</w:t>
      </w:r>
    </w:p>
    <w:p w:rsidR="005C5A4A" w:rsidP="005C5A4A" w:rsidRDefault="005C5A4A" w14:paraId="5574399A" w14:textId="77777777">
      <w:pPr>
        <w:pStyle w:val="Bibliography"/>
      </w:pPr>
      <w:r>
        <w:t xml:space="preserve">van den Berg, C., de Bree, P.N., Huygen, F.J.P.M., Tiemensma, J. (2022). Glucocorticoid treatment in patients with complex regional pain syndrome: A systematic review. </w:t>
      </w:r>
      <w:r>
        <w:rPr>
          <w:i/>
          <w:iCs/>
        </w:rPr>
        <w:t>Eur J Pain</w:t>
      </w:r>
      <w:r>
        <w:t xml:space="preserve"> 26, 2009–2035.</w:t>
      </w:r>
    </w:p>
    <w:p w:rsidR="005C5A4A" w:rsidP="005C5A4A" w:rsidRDefault="005C5A4A" w14:paraId="66D2B67D" w14:textId="77777777">
      <w:pPr>
        <w:pStyle w:val="Bibliography"/>
      </w:pPr>
      <w:r>
        <w:t xml:space="preserve">Binkley, J.M., Stratford, P.W., Lott, S.A., Riddle, D.L. (1999). The Lower Extremity Functional Scale (LEFS): scale development, measurement properties, and clinical application. North American Orthopaedic Rehabilitation Research Network. </w:t>
      </w:r>
      <w:r>
        <w:rPr>
          <w:i/>
          <w:iCs/>
        </w:rPr>
        <w:t>Phys Ther</w:t>
      </w:r>
      <w:r>
        <w:t xml:space="preserve"> 79, 371–383.</w:t>
      </w:r>
    </w:p>
    <w:p w:rsidR="005C5A4A" w:rsidP="005C5A4A" w:rsidRDefault="005C5A4A" w14:paraId="3CAFC8AE" w14:textId="77777777">
      <w:pPr>
        <w:pStyle w:val="Bibliography"/>
      </w:pPr>
      <w:r>
        <w:t xml:space="preserve">Birklein, F., Ajit, S.K., Goebel, A., Perez, R.S.G.M., Sommer, C. (2018a). Complex regional pain syndrome — phenotypic characteristics and potential biomarkers. </w:t>
      </w:r>
      <w:r>
        <w:rPr>
          <w:i/>
          <w:iCs/>
        </w:rPr>
        <w:t>Nature Reviews Neurology</w:t>
      </w:r>
      <w:r>
        <w:t xml:space="preserve"> 14, 272.</w:t>
      </w:r>
    </w:p>
    <w:p w:rsidR="005C5A4A" w:rsidP="005C5A4A" w:rsidRDefault="005C5A4A" w14:paraId="3EB28AEF" w14:textId="77777777">
      <w:pPr>
        <w:pStyle w:val="Bibliography"/>
      </w:pPr>
      <w:r>
        <w:t xml:space="preserve">Birklein, F., Ajit, S.K., Goebel, A., Perez, R.S.G.M., Sommer, C. (2018b). Complex regional pain syndrome — phenotypic characteristics and potential biomarkers. </w:t>
      </w:r>
      <w:r>
        <w:rPr>
          <w:i/>
          <w:iCs/>
        </w:rPr>
        <w:t>Nat Rev Neurol</w:t>
      </w:r>
      <w:r>
        <w:t xml:space="preserve"> 14, 272–284.</w:t>
      </w:r>
    </w:p>
    <w:p w:rsidR="005C5A4A" w:rsidP="005C5A4A" w:rsidRDefault="005C5A4A" w14:paraId="6288D6DA" w14:textId="77777777">
      <w:pPr>
        <w:pStyle w:val="Bibliography"/>
      </w:pPr>
      <w:r>
        <w:t xml:space="preserve">Bruehl, S. (2015). Complex regional pain syndrome. </w:t>
      </w:r>
      <w:r>
        <w:rPr>
          <w:i/>
          <w:iCs/>
        </w:rPr>
        <w:t>BMJ</w:t>
      </w:r>
      <w:r>
        <w:t xml:space="preserve"> 351, h2730.</w:t>
      </w:r>
    </w:p>
    <w:p w:rsidR="005C5A4A" w:rsidP="005C5A4A" w:rsidRDefault="005C5A4A" w14:paraId="36A755D8" w14:textId="77777777">
      <w:pPr>
        <w:pStyle w:val="Bibliography"/>
      </w:pPr>
      <w:r>
        <w:t xml:space="preserve">Bruehl, S., Billings, F.T., Anderson, S., Polkowski, G., Shinar, A., Schildcrout, J., Shi, Y., Milne, G., Dematteo, A., Mishra, P., Harden, R.N. (2022). Preoperative Predictors of Complex Regional Pain Syndrome Outcomes in the 6 Months Following Total Knee Arthroplasty. </w:t>
      </w:r>
      <w:r>
        <w:rPr>
          <w:i/>
          <w:iCs/>
        </w:rPr>
        <w:t>J Pain</w:t>
      </w:r>
      <w:r>
        <w:t xml:space="preserve"> 23, 1712–1723.</w:t>
      </w:r>
    </w:p>
    <w:p w:rsidR="005C5A4A" w:rsidP="005C5A4A" w:rsidRDefault="005C5A4A" w14:paraId="4C95017B" w14:textId="77777777">
      <w:pPr>
        <w:pStyle w:val="Bibliography"/>
      </w:pPr>
      <w:r>
        <w:t xml:space="preserve">Bruehl, S., Maihöfner, C., Stanton-Hicks, M., Perez, R.S.G.M., Vatine, J.-J., Brunner, F., Birklein, F., Schlereth, T., Mackey, S., Mailis-Gagnon, A., Livshitz, A., Harden, R.N. (2016). Complex regional pain syndrome: evidence for warm and cold subtypes in a large prospective clinical sample. </w:t>
      </w:r>
      <w:r>
        <w:rPr>
          <w:i/>
          <w:iCs/>
        </w:rPr>
        <w:t>PAIN</w:t>
      </w:r>
      <w:r>
        <w:t xml:space="preserve"> 157, 1674–1681.</w:t>
      </w:r>
    </w:p>
    <w:p w:rsidR="005C5A4A" w:rsidP="005C5A4A" w:rsidRDefault="005C5A4A" w14:paraId="0B66A680" w14:textId="77777777">
      <w:pPr>
        <w:pStyle w:val="Bibliography"/>
      </w:pPr>
      <w:r>
        <w:t xml:space="preserve">Brun, C., Giorgi, N., Pinard, A.-M., Gagné, M., McCabe, C.S., Mercier, C. (2019). Exploring the Relationships Between Altered Body Perception, Limb Position Sense, and Limb Movement Sense in Complex Regional Pain Syndrome. </w:t>
      </w:r>
      <w:r>
        <w:rPr>
          <w:i/>
          <w:iCs/>
        </w:rPr>
        <w:t>The Journal of Pain</w:t>
      </w:r>
      <w:r>
        <w:t xml:space="preserve"> 20, 17–27.</w:t>
      </w:r>
    </w:p>
    <w:p w:rsidR="005C5A4A" w:rsidP="005C5A4A" w:rsidRDefault="005C5A4A" w14:paraId="7C0E35AB" w14:textId="77777777">
      <w:pPr>
        <w:pStyle w:val="Bibliography"/>
      </w:pPr>
      <w:r>
        <w:t xml:space="preserve">Brunner, F., Bachmann, L. m., Perez, R. s. g. m., Marinus, J., Wertli, M. m. (2017). Painful swelling after a noxious event and the development of complex regional pain syndrome 1: A one-year prospective study. </w:t>
      </w:r>
      <w:r>
        <w:rPr>
          <w:i/>
          <w:iCs/>
        </w:rPr>
        <w:t>European Journal of Pain</w:t>
      </w:r>
      <w:r>
        <w:t xml:space="preserve"> 21, 1611–1617.</w:t>
      </w:r>
    </w:p>
    <w:p w:rsidR="005C5A4A" w:rsidP="005C5A4A" w:rsidRDefault="005C5A4A" w14:paraId="482DD1AA" w14:textId="77777777">
      <w:pPr>
        <w:pStyle w:val="Bibliography"/>
      </w:pPr>
      <w:r>
        <w:lastRenderedPageBreak/>
        <w:t xml:space="preserve">Bultitude, J.H., Walker, I., Spence, C. (2017a). Space-based bias of covert visual attention in complex regional pain syndrome. </w:t>
      </w:r>
      <w:r>
        <w:rPr>
          <w:i/>
          <w:iCs/>
        </w:rPr>
        <w:t>Brain</w:t>
      </w:r>
      <w:r>
        <w:t xml:space="preserve"> 140, 2306–2321.</w:t>
      </w:r>
    </w:p>
    <w:p w:rsidR="005C5A4A" w:rsidP="005C5A4A" w:rsidRDefault="005C5A4A" w14:paraId="20D13A01" w14:textId="77777777">
      <w:pPr>
        <w:pStyle w:val="Bibliography"/>
      </w:pPr>
      <w:r>
        <w:t xml:space="preserve">Bultitude, J.H., Walker, I., Spence, C. (2017b). Space-based bias of covert visual attention in complex regional pain syndrome. </w:t>
      </w:r>
      <w:r>
        <w:rPr>
          <w:i/>
          <w:iCs/>
        </w:rPr>
        <w:t>Brain</w:t>
      </w:r>
      <w:r>
        <w:t xml:space="preserve"> 140, 2306–2321.</w:t>
      </w:r>
    </w:p>
    <w:p w:rsidR="005C5A4A" w:rsidP="005C5A4A" w:rsidRDefault="005C5A4A" w14:paraId="15AB0AA3" w14:textId="77777777">
      <w:pPr>
        <w:pStyle w:val="Bibliography"/>
      </w:pPr>
      <w:r>
        <w:t xml:space="preserve">Clark, J., Nijs, J., Yeowell, G., Goodwin, P.C. (2017). What Are the Predictors of Altered Central Pain Modulation in Chronic Musculoskeletal Pain Populations? A Systematic Review. </w:t>
      </w:r>
      <w:r>
        <w:rPr>
          <w:i/>
          <w:iCs/>
        </w:rPr>
        <w:t>Pain Physician</w:t>
      </w:r>
      <w:r>
        <w:t xml:space="preserve"> 20, 487–500.</w:t>
      </w:r>
    </w:p>
    <w:p w:rsidR="005C5A4A" w:rsidP="005C5A4A" w:rsidRDefault="005C5A4A" w14:paraId="5DC3D39F" w14:textId="77777777">
      <w:pPr>
        <w:pStyle w:val="Bibliography"/>
      </w:pPr>
      <w:r>
        <w:t>Cleeland, C. (2009). The Brief Pain Inventory: User Guide.</w:t>
      </w:r>
    </w:p>
    <w:p w:rsidR="005C5A4A" w:rsidP="005C5A4A" w:rsidRDefault="005C5A4A" w14:paraId="3C9A74BF" w14:textId="77777777">
      <w:pPr>
        <w:pStyle w:val="Bibliography"/>
      </w:pPr>
      <w:r>
        <w:t xml:space="preserve">Cohen, H., McCabe, C., Harris, N., Hall, J., Lewis, J., Blake, D. r. (2013). Clinical evidence of parietal cortex dysfunction and correlation with extent of allodynia in CRPS type 1. </w:t>
      </w:r>
      <w:r>
        <w:rPr>
          <w:i/>
          <w:iCs/>
        </w:rPr>
        <w:t>European Journal of Pain</w:t>
      </w:r>
      <w:r>
        <w:t xml:space="preserve"> 17, 527–538.</w:t>
      </w:r>
    </w:p>
    <w:p w:rsidR="005C5A4A" w:rsidP="005C5A4A" w:rsidRDefault="005C5A4A" w14:paraId="0C7D9224" w14:textId="77777777">
      <w:pPr>
        <w:pStyle w:val="Bibliography"/>
      </w:pPr>
      <w:r>
        <w:t xml:space="preserve">Cuschieri, S. (2019). The STROBE guidelines. </w:t>
      </w:r>
      <w:r>
        <w:rPr>
          <w:i/>
          <w:iCs/>
        </w:rPr>
        <w:t>Saudi J Anaesth</w:t>
      </w:r>
      <w:r>
        <w:t xml:space="preserve"> 13, S31–S34.</w:t>
      </w:r>
    </w:p>
    <w:p w:rsidR="005C5A4A" w:rsidP="005C5A4A" w:rsidRDefault="005C5A4A" w14:paraId="485C1EE2" w14:textId="77777777">
      <w:pPr>
        <w:pStyle w:val="Bibliography"/>
      </w:pPr>
      <w:r>
        <w:t xml:space="preserve">Dietz, C., Müller, M., Reinhold, A.-K., Karch, L., Schwab, B., Forer, L., Vlckova, E., Brede, E.-M., Jakubietz, R., Üçeyler, N., Meffert, R., Bednarik, J., Kress, M., Sommer, C., Dimova, V., Birklein, F., Rittner, H.L. (2019). What is normal trauma healing and what is complex regional pain syndrome I? An analysis of clinical and experimental biomarkers. </w:t>
      </w:r>
      <w:r>
        <w:rPr>
          <w:i/>
          <w:iCs/>
        </w:rPr>
        <w:t>PAIN</w:t>
      </w:r>
      <w:r>
        <w:t xml:space="preserve"> 160, 2278.</w:t>
      </w:r>
    </w:p>
    <w:p w:rsidR="005C5A4A" w:rsidP="005C5A4A" w:rsidRDefault="005C5A4A" w14:paraId="11199999" w14:textId="77777777">
      <w:pPr>
        <w:pStyle w:val="Bibliography"/>
      </w:pPr>
      <w:r>
        <w:t xml:space="preserve">Dimova, V., Herrnberger, M.S., Escolano-Lozano, F., Rittner, H.L., Vlckova, E., Sommer, C., Maihöfner, C., Birklein, F. (2020). Clinical phenotypes and classification algorithm for complex regional pain syndrome. </w:t>
      </w:r>
      <w:r>
        <w:rPr>
          <w:i/>
          <w:iCs/>
        </w:rPr>
        <w:t>Neurology</w:t>
      </w:r>
      <w:r>
        <w:t xml:space="preserve"> 94, e357–e367.</w:t>
      </w:r>
    </w:p>
    <w:p w:rsidR="005C5A4A" w:rsidP="005C5A4A" w:rsidRDefault="005C5A4A" w14:paraId="1E263FBA" w14:textId="77777777">
      <w:pPr>
        <w:pStyle w:val="Bibliography"/>
      </w:pPr>
      <w:r>
        <w:t xml:space="preserve">Dualé, C., Bauer, U., Storme, B., Eljezi, V., Ruscheweyh, R., Eschalier, S., Dubray, C., Guiguet-Auclair, C. (2019). Transcultural adaptation and French validation of the Pain Sensitivity Questionnaire. </w:t>
      </w:r>
      <w:r>
        <w:rPr>
          <w:i/>
          <w:iCs/>
        </w:rPr>
        <w:t>Can J Anesth/J Can Anesth</w:t>
      </w:r>
      <w:r>
        <w:t xml:space="preserve"> 66, 1202–1212.</w:t>
      </w:r>
    </w:p>
    <w:p w:rsidRPr="005C5A4A" w:rsidR="005C5A4A" w:rsidP="005C5A4A" w:rsidRDefault="005C5A4A" w14:paraId="3C677E70" w14:textId="77777777">
      <w:pPr>
        <w:pStyle w:val="Bibliography"/>
        <w:rPr>
          <w:lang w:val="fr-FR"/>
        </w:rPr>
      </w:pPr>
      <w:r>
        <w:t xml:space="preserve">Ferraro, M.C., O’Connell, N.E., Sommer, C., Goebel, A., Bultitude, J.H., Cashin, A.G., Moseley, G.L., McAuley, J.H. (2024). Complex regional pain syndrome: advances in epidemiology, pathophysiology, diagnosis, and treatment. </w:t>
      </w:r>
      <w:r w:rsidRPr="005C5A4A">
        <w:rPr>
          <w:i/>
          <w:iCs/>
          <w:lang w:val="fr-FR"/>
        </w:rPr>
        <w:t>The Lancet Neurology</w:t>
      </w:r>
      <w:r w:rsidRPr="005C5A4A">
        <w:rPr>
          <w:lang w:val="fr-FR"/>
        </w:rPr>
        <w:t xml:space="preserve"> 23, 522–533.</w:t>
      </w:r>
    </w:p>
    <w:p w:rsidR="005C5A4A" w:rsidP="005C5A4A" w:rsidRDefault="005C5A4A" w14:paraId="696A6D8B" w14:textId="77777777">
      <w:pPr>
        <w:pStyle w:val="Bibliography"/>
      </w:pPr>
      <w:r w:rsidRPr="005C5A4A">
        <w:rPr>
          <w:lang w:val="fr-FR"/>
        </w:rPr>
        <w:t xml:space="preserve">Filbrich, L., Alamia, A., Verfaille, C., Berquin, A., Barbier, O., Libouton, X., Fraselle, V., Mouraux, D., Legrain, V. (2017). </w:t>
      </w:r>
      <w:r>
        <w:t xml:space="preserve">Biased visuospatial perception in complex regional pain syndrome. </w:t>
      </w:r>
      <w:r>
        <w:rPr>
          <w:i/>
          <w:iCs/>
        </w:rPr>
        <w:t>Sci Rep</w:t>
      </w:r>
      <w:r>
        <w:t xml:space="preserve"> 7, 9712.</w:t>
      </w:r>
    </w:p>
    <w:p w:rsidR="005C5A4A" w:rsidP="005C5A4A" w:rsidRDefault="005C5A4A" w14:paraId="32F96C0D" w14:textId="77777777">
      <w:pPr>
        <w:pStyle w:val="Bibliography"/>
      </w:pPr>
      <w:r w:rsidRPr="005C5A4A">
        <w:rPr>
          <w:lang w:val="fr-FR"/>
        </w:rPr>
        <w:t xml:space="preserve">Filbrich, L., Kuzminova, A., Molitor, V., Verfaille, C., Mouraux, D., Berquin, A., Barbier, O., Libouton, X., Legrain, V. (2023). </w:t>
      </w:r>
      <w:r>
        <w:t xml:space="preserve">Characterizing biased visuospatial perception in complex regional pain syndrome. </w:t>
      </w:r>
      <w:r>
        <w:rPr>
          <w:i/>
          <w:iCs/>
        </w:rPr>
        <w:t>Eur J Pain</w:t>
      </w:r>
      <w:r>
        <w:t xml:space="preserve"> 27, 871–883.</w:t>
      </w:r>
    </w:p>
    <w:p w:rsidR="005C5A4A" w:rsidP="005C5A4A" w:rsidRDefault="005C5A4A" w14:paraId="25B3008C" w14:textId="77777777">
      <w:pPr>
        <w:pStyle w:val="Bibliography"/>
      </w:pPr>
      <w:r>
        <w:t xml:space="preserve">Filbrich, L., Torta, D.M., Vanderclausen, C., Azañón, E., Legrain, V. (2016). Using temporal order judgments to investigate attention bias toward pain and threat-related information. Methodological and theoretical issues. </w:t>
      </w:r>
      <w:r>
        <w:rPr>
          <w:i/>
          <w:iCs/>
        </w:rPr>
        <w:t>Conscious Cogn</w:t>
      </w:r>
      <w:r>
        <w:t xml:space="preserve"> 41, 135–138.</w:t>
      </w:r>
    </w:p>
    <w:p w:rsidR="005C5A4A" w:rsidP="005C5A4A" w:rsidRDefault="005C5A4A" w14:paraId="5F28BBD2" w14:textId="77777777">
      <w:pPr>
        <w:pStyle w:val="Bibliography"/>
      </w:pPr>
      <w:r>
        <w:t xml:space="preserve">Gaynor, S.M., Bortsov, A., Bair, E., Fillingim, R.B., Greenspan, J.D., Ohrbach, R., Diatchenko, L., Nackley, A., Tchivileva, I.E., Whitehead, W., Alonso, A.A., Buchheit, T.E., Boortz-Marx, R.L., Liedtke, W., Park, J.J., Maixner, W., Smith, S.B. (2021). Phenotypic profile clustering pragmatically identifies diagnostically and mechanistically informative subgroups of chronic pain patients. </w:t>
      </w:r>
      <w:r>
        <w:rPr>
          <w:i/>
          <w:iCs/>
        </w:rPr>
        <w:t>Pain</w:t>
      </w:r>
      <w:r>
        <w:t xml:space="preserve"> 162, 1528–1538.</w:t>
      </w:r>
    </w:p>
    <w:p w:rsidR="005C5A4A" w:rsidP="005C5A4A" w:rsidRDefault="005C5A4A" w14:paraId="38BA53A3" w14:textId="77777777">
      <w:pPr>
        <w:pStyle w:val="Bibliography"/>
      </w:pPr>
      <w:r>
        <w:t xml:space="preserve">Georgopoulos, V., Akin-Akinyosoye, K., Zhang, W., McWilliams, D.F., Hendrick, P., Walsh, D.A. (2019). Quantitative Sensory Testing (QST) and predicting outcomes for musculoskeletal pain, disability and negative affect: a systematic review and meta-analysis. </w:t>
      </w:r>
      <w:r>
        <w:rPr>
          <w:i/>
          <w:iCs/>
        </w:rPr>
        <w:t>Pain</w:t>
      </w:r>
      <w:r>
        <w:t xml:space="preserve"> 160, 1920–1932.</w:t>
      </w:r>
    </w:p>
    <w:p w:rsidR="005C5A4A" w:rsidP="005C5A4A" w:rsidRDefault="005C5A4A" w14:paraId="5F2760B7" w14:textId="77777777">
      <w:pPr>
        <w:pStyle w:val="Bibliography"/>
      </w:pPr>
      <w:r>
        <w:t xml:space="preserve">Gierthmühlen, J., Binder, A., Baron, R. (2014). Mechanism-based treatment in complex regional pain syndromes. </w:t>
      </w:r>
      <w:r>
        <w:rPr>
          <w:i/>
          <w:iCs/>
        </w:rPr>
        <w:t>Nat Rev Neurol</w:t>
      </w:r>
      <w:r>
        <w:t xml:space="preserve"> 10, 518–528.</w:t>
      </w:r>
    </w:p>
    <w:p w:rsidR="005C5A4A" w:rsidP="005C5A4A" w:rsidRDefault="005C5A4A" w14:paraId="04B637C8" w14:textId="77777777">
      <w:pPr>
        <w:pStyle w:val="Bibliography"/>
      </w:pPr>
      <w:r>
        <w:lastRenderedPageBreak/>
        <w:t xml:space="preserve">Gierthmühlen, J., Maier, C., Baron, R., Tölle, T., Treede, R.-D., Birbaumer, N., Huge, V., Koroschetz, J., Krumova, E.K., Lauchart, M., Maihöfner, C., Richter, H., Westermann, A., German Research Network on Neuropathic Pain (DFNS) study group (2012). Sensory signs in complex regional pain syndrome and peripheral nerve injury. </w:t>
      </w:r>
      <w:r>
        <w:rPr>
          <w:i/>
          <w:iCs/>
        </w:rPr>
        <w:t>Pain</w:t>
      </w:r>
      <w:r>
        <w:t xml:space="preserve"> 153, 765–774.</w:t>
      </w:r>
    </w:p>
    <w:p w:rsidR="005C5A4A" w:rsidP="005C5A4A" w:rsidRDefault="005C5A4A" w14:paraId="5D86AB54" w14:textId="77777777">
      <w:pPr>
        <w:pStyle w:val="Bibliography"/>
      </w:pPr>
      <w:r>
        <w:t xml:space="preserve">Goebel, A., Barker, C., Birklein, F., Brunner, F., Casale, R., Eccleston, C., Eisenberg, E., McCabe, C.S., Moseley, G.L., Perez, R., Perrot, S., Terkelsen, A., Thomassen, I., Zyluk, A., Wells, C. (2019). Standards for the diagnosis and management of complex regional pain syndrome: Results of a European Pain Federation task force. </w:t>
      </w:r>
      <w:r>
        <w:rPr>
          <w:i/>
          <w:iCs/>
        </w:rPr>
        <w:t>European Journal of Pain</w:t>
      </w:r>
      <w:r>
        <w:t xml:space="preserve"> 23, 641–651.</w:t>
      </w:r>
    </w:p>
    <w:p w:rsidRPr="005C5A4A" w:rsidR="005C5A4A" w:rsidP="005C5A4A" w:rsidRDefault="005C5A4A" w14:paraId="12678DC9" w14:textId="77777777">
      <w:pPr>
        <w:pStyle w:val="Bibliography"/>
        <w:rPr>
          <w:lang w:val="fr-FR"/>
        </w:rPr>
      </w:pPr>
      <w:r>
        <w:t xml:space="preserve">Goebel, A., Birklein, F., Brunner, F., Clark, J.D., Gierthmühlen, J., Harden, N., Huygen, F., Knudsen, L., McCabe, C., Lewis, J., Maihöfner, C., Magerl, W., Moseley, G.L., Terkelsen, A., Thomassen, I., Bruehl, S. (2021). The Valencia consensus-based adaptation of the IASP complex regional pain syndrome diagnostic criteria. </w:t>
      </w:r>
      <w:r w:rsidRPr="005C5A4A">
        <w:rPr>
          <w:i/>
          <w:iCs/>
          <w:lang w:val="fr-FR"/>
        </w:rPr>
        <w:t>Pain</w:t>
      </w:r>
      <w:r w:rsidRPr="005C5A4A">
        <w:rPr>
          <w:lang w:val="fr-FR"/>
        </w:rPr>
        <w:t xml:space="preserve"> 162, 2346–2348.</w:t>
      </w:r>
    </w:p>
    <w:p w:rsidR="005C5A4A" w:rsidP="005C5A4A" w:rsidRDefault="005C5A4A" w14:paraId="29B70A73" w14:textId="77777777">
      <w:pPr>
        <w:pStyle w:val="Bibliography"/>
      </w:pPr>
      <w:r w:rsidRPr="005C5A4A">
        <w:rPr>
          <w:lang w:val="fr-FR"/>
        </w:rPr>
        <w:t xml:space="preserve">Gutiérrez-Espinoza, H., Zavala-González, J., Gutiérrez-Monclus, R., Araya-Quintanilla, F. (2022). </w:t>
      </w:r>
      <w:r>
        <w:t xml:space="preserve">Functional Outcomes After a Physiotherapy Program in Elderly Patients With Complex Regional Pain Syndrome Type I After Distal Radius Fracture: A Prospective Observational Study. </w:t>
      </w:r>
      <w:r>
        <w:rPr>
          <w:i/>
          <w:iCs/>
        </w:rPr>
        <w:t>Hand (N Y)</w:t>
      </w:r>
      <w:r>
        <w:t xml:space="preserve"> 17, 81S-86S.</w:t>
      </w:r>
    </w:p>
    <w:p w:rsidR="005C5A4A" w:rsidP="005C5A4A" w:rsidRDefault="005C5A4A" w14:paraId="6E189A9E" w14:textId="77777777">
      <w:pPr>
        <w:pStyle w:val="Bibliography"/>
      </w:pPr>
      <w:r>
        <w:t xml:space="preserve">Halicka, M., Vittersø, A.D., Proulx, M.J., Bultitude, J.H. (2020). Neuropsychological Changes in Complex Regional Pain Syndrome (CRPS). </w:t>
      </w:r>
      <w:r>
        <w:rPr>
          <w:i/>
          <w:iCs/>
        </w:rPr>
        <w:t>Behav Neurol</w:t>
      </w:r>
      <w:r>
        <w:t xml:space="preserve"> 2020, 4561831.</w:t>
      </w:r>
    </w:p>
    <w:p w:rsidR="005C5A4A" w:rsidP="005C5A4A" w:rsidRDefault="005C5A4A" w14:paraId="40F08C1F" w14:textId="77777777">
      <w:pPr>
        <w:pStyle w:val="Bibliography"/>
      </w:pPr>
      <w:r>
        <w:t xml:space="preserve">Harden, N.R., Bruehl, S., Perez, R.S.G.M., Birklein, F., Marinus, J., Maihofner, C., Lubenow, T., Buvanendran, A., Mackey, S., Graciosa, J., Mogilevski, M., Ramsden, C., Chont, M., Vatine, J.-J. (2010). Validation of proposed diagnostic criteria (the “Budapest Criteria”) for Complex Regional Pain Syndrome. </w:t>
      </w:r>
      <w:r>
        <w:rPr>
          <w:i/>
          <w:iCs/>
        </w:rPr>
        <w:t>Pain</w:t>
      </w:r>
      <w:r>
        <w:t xml:space="preserve"> 150, 268–274.</w:t>
      </w:r>
    </w:p>
    <w:p w:rsidR="005C5A4A" w:rsidP="005C5A4A" w:rsidRDefault="005C5A4A" w14:paraId="673C4A51" w14:textId="77777777">
      <w:pPr>
        <w:pStyle w:val="Bibliography"/>
      </w:pPr>
      <w:r>
        <w:t xml:space="preserve">Harden, R.N., Maihofner, C., Abousaad, E., Vatine, J.-J., Kirsling, A., Perez, R.S.G.M., Kuroda, M., Brunner, F., Stanton-Hicks, M., Marinus, J., van Hilten, J.J., Mackey, S., Birklein, F., Schlereth, T., Mailis-Gagnon, A., Graciosa, J., Connoly, S.B., Dayanim, D., Massey, M., Frank, H., Livshitz, A., Bruehl, S. (2017). A prospective, multisite, international validation of the Complex Regional Pain Syndrome Severity Score. </w:t>
      </w:r>
      <w:r>
        <w:rPr>
          <w:i/>
          <w:iCs/>
        </w:rPr>
        <w:t>Pain</w:t>
      </w:r>
      <w:r>
        <w:t xml:space="preserve"> 158, 1430–1436.</w:t>
      </w:r>
    </w:p>
    <w:p w:rsidR="005C5A4A" w:rsidP="005C5A4A" w:rsidRDefault="005C5A4A" w14:paraId="0EFBE317" w14:textId="77777777">
      <w:pPr>
        <w:pStyle w:val="Bibliography"/>
      </w:pPr>
      <w:r>
        <w:t xml:space="preserve">Harden, R.N., McCabe, C.S., Goebel, A., Massey, M., Suvar, T., Grieve, S., Bruehl, S. (2022). Complex Regional Pain Syndrome: Practical Diagnostic and Treatment Guidelines, 5th Edition. </w:t>
      </w:r>
      <w:r>
        <w:rPr>
          <w:i/>
          <w:iCs/>
        </w:rPr>
        <w:t>Pain Med</w:t>
      </w:r>
      <w:r>
        <w:t xml:space="preserve"> 23, S1–S53.</w:t>
      </w:r>
    </w:p>
    <w:p w:rsidR="005C5A4A" w:rsidP="005C5A4A" w:rsidRDefault="005C5A4A" w14:paraId="70439EC7" w14:textId="77777777">
      <w:pPr>
        <w:pStyle w:val="Bibliography"/>
      </w:pPr>
      <w:r>
        <w:t xml:space="preserve">Helyes, Z., Tékus, V., Szentes, N., Pohóczky, K., Botz, B., Kiss, T., Kemény, Á., Környei, Z., Tóth, K., Lénárt, N., Ábrahám, H., Pinteaux, E., Francis, S., Sensi, S., Dénes, Á., Goebel, A. (2019). Transfer of complex regional pain syndrome to mice via human autoantibodies is mediated by interleukin-1-induced mechanisms. </w:t>
      </w:r>
      <w:r>
        <w:rPr>
          <w:i/>
          <w:iCs/>
        </w:rPr>
        <w:t>Proc Natl Acad Sci U S A</w:t>
      </w:r>
      <w:r>
        <w:t xml:space="preserve"> 116, 13067–13076.</w:t>
      </w:r>
    </w:p>
    <w:p w:rsidR="005C5A4A" w:rsidP="005C5A4A" w:rsidRDefault="005C5A4A" w14:paraId="6D2F25B0" w14:textId="77777777">
      <w:pPr>
        <w:pStyle w:val="Bibliography"/>
      </w:pPr>
      <w:r>
        <w:t xml:space="preserve">Herdman, M., Gudex, C., Lloyd, A., Janssen, M., Kind, P., Parkin, D., Bonsel, G., Badia, X. (2011). Development and preliminary testing of the new five-level version of EQ-5D (EQ-5D-5L). </w:t>
      </w:r>
      <w:r>
        <w:rPr>
          <w:i/>
          <w:iCs/>
        </w:rPr>
        <w:t>Qual Life Res</w:t>
      </w:r>
      <w:r>
        <w:t xml:space="preserve"> 20, 1727–1736.</w:t>
      </w:r>
    </w:p>
    <w:p w:rsidR="005C5A4A" w:rsidP="005C5A4A" w:rsidRDefault="005C5A4A" w14:paraId="44C5B245" w14:textId="77777777">
      <w:pPr>
        <w:pStyle w:val="Bibliography"/>
      </w:pPr>
      <w:r>
        <w:t xml:space="preserve">Herrmann, C. (1997). International experiences with the Hospital Anxiety and Depression Scale--a review of validation data and clinical results. </w:t>
      </w:r>
      <w:r>
        <w:rPr>
          <w:i/>
          <w:iCs/>
        </w:rPr>
        <w:t>J Psychosom Res</w:t>
      </w:r>
      <w:r>
        <w:t xml:space="preserve"> 42, 17–41.</w:t>
      </w:r>
    </w:p>
    <w:p w:rsidR="005C5A4A" w:rsidP="005C5A4A" w:rsidRDefault="005C5A4A" w14:paraId="6F54D91B" w14:textId="77777777">
      <w:pPr>
        <w:pStyle w:val="Bibliography"/>
      </w:pPr>
      <w:r>
        <w:t xml:space="preserve">Hertel, E., Arendt-Nielsen, L., Olesen, A.E., Andersen, M.S., Petersen, K.K.-S. (2024). Quantitative sensory testing, psychological factors, and quality of life as predictors of current and future pain in patients with knee osteoarthritis. </w:t>
      </w:r>
      <w:r>
        <w:rPr>
          <w:i/>
          <w:iCs/>
        </w:rPr>
        <w:t>Pain</w:t>
      </w:r>
      <w:r>
        <w:t>.</w:t>
      </w:r>
    </w:p>
    <w:p w:rsidRPr="005C5A4A" w:rsidR="005C5A4A" w:rsidP="005C5A4A" w:rsidRDefault="005C5A4A" w14:paraId="2519CB0F" w14:textId="77777777">
      <w:pPr>
        <w:pStyle w:val="Bibliography"/>
        <w:rPr>
          <w:lang w:val="fr-FR"/>
        </w:rPr>
      </w:pPr>
      <w:r>
        <w:t xml:space="preserve">Hill, J.C., Whitehurst, D.G.T., Lewis, M., Bryan, S., Dunn, K.M., Foster, N.E., Konstantinou, K., Main, C.J., Mason, E., Somerville, S., Sowden, G., Vohora, K., Hay, E.M. (2011). Comparison of stratified primary care management for low back pain with current best practice (STarT Back): a randomised controlled trial. </w:t>
      </w:r>
      <w:r w:rsidRPr="005C5A4A">
        <w:rPr>
          <w:i/>
          <w:iCs/>
          <w:lang w:val="fr-FR"/>
        </w:rPr>
        <w:t>Lancet</w:t>
      </w:r>
      <w:r w:rsidRPr="005C5A4A">
        <w:rPr>
          <w:lang w:val="fr-FR"/>
        </w:rPr>
        <w:t xml:space="preserve"> 378, 1560–1571.</w:t>
      </w:r>
    </w:p>
    <w:p w:rsidR="005C5A4A" w:rsidP="005C5A4A" w:rsidRDefault="005C5A4A" w14:paraId="698FC7CD" w14:textId="77777777">
      <w:pPr>
        <w:pStyle w:val="Bibliography"/>
      </w:pPr>
      <w:r w:rsidRPr="005C5A4A">
        <w:rPr>
          <w:lang w:val="fr-FR"/>
        </w:rPr>
        <w:t xml:space="preserve">Irachabal, S., Koleck, M., Rascle, N., Bruchon-Schweitzer, M. (2008). </w:t>
      </w:r>
      <w:r>
        <w:t xml:space="preserve">[Pain coping strategies: French adaptation of the coping strategies questionnaire (CSQ-F)]. </w:t>
      </w:r>
      <w:r>
        <w:rPr>
          <w:i/>
          <w:iCs/>
        </w:rPr>
        <w:t>Encephale</w:t>
      </w:r>
      <w:r>
        <w:t xml:space="preserve"> 34, 47–53.</w:t>
      </w:r>
    </w:p>
    <w:p w:rsidR="005C5A4A" w:rsidP="005C5A4A" w:rsidRDefault="005C5A4A" w14:paraId="4BF0FD02" w14:textId="77777777">
      <w:pPr>
        <w:pStyle w:val="Bibliography"/>
      </w:pPr>
      <w:r>
        <w:lastRenderedPageBreak/>
        <w:t xml:space="preserve">Keller, S., Bann, C.M., Dodd, S.L., Schein, J., Mendoza, T.R., Cleeland, C.S. (2004). Validity of the brief pain inventory for use in documenting the outcomes of patients with noncancer pain. </w:t>
      </w:r>
      <w:r>
        <w:rPr>
          <w:i/>
          <w:iCs/>
        </w:rPr>
        <w:t>Clin J Pain</w:t>
      </w:r>
      <w:r>
        <w:t xml:space="preserve"> 20, 309–318.</w:t>
      </w:r>
    </w:p>
    <w:p w:rsidR="005C5A4A" w:rsidP="005C5A4A" w:rsidRDefault="005C5A4A" w14:paraId="77270107" w14:textId="77777777">
      <w:pPr>
        <w:pStyle w:val="Bibliography"/>
      </w:pPr>
      <w:r>
        <w:t xml:space="preserve">Knudsen, L., Santoro, L., Bruehl, S., Harden, N., Brunner, F. (2023). Subtypes of complex regional pain syndrome-a systematic review of the literature. </w:t>
      </w:r>
      <w:r>
        <w:rPr>
          <w:i/>
          <w:iCs/>
        </w:rPr>
        <w:t>Pain Rep</w:t>
      </w:r>
      <w:r>
        <w:t xml:space="preserve"> 8, e1111.</w:t>
      </w:r>
    </w:p>
    <w:p w:rsidR="005C5A4A" w:rsidP="005C5A4A" w:rsidRDefault="005C5A4A" w14:paraId="2E5F5870" w14:textId="77777777">
      <w:pPr>
        <w:pStyle w:val="Bibliography"/>
      </w:pPr>
      <w:r>
        <w:t xml:space="preserve">Korogod, N., Steyaert, A., Nonclercq, O., Opsommer, E., Berquin, A. (2022). Can the French version of the short Örebro Musculoskeletal Pain Screening Questionnaire or its subsets predict the evolution of patients with acute, (sub) acute and chronic pain? </w:t>
      </w:r>
      <w:r>
        <w:rPr>
          <w:i/>
          <w:iCs/>
        </w:rPr>
        <w:t>BMC Musculoskelet Disord</w:t>
      </w:r>
      <w:r>
        <w:t xml:space="preserve"> 23, 311.</w:t>
      </w:r>
    </w:p>
    <w:p w:rsidR="005C5A4A" w:rsidP="005C5A4A" w:rsidRDefault="005C5A4A" w14:paraId="1AD093EF" w14:textId="77777777">
      <w:pPr>
        <w:pStyle w:val="Bibliography"/>
      </w:pPr>
      <w:r>
        <w:t xml:space="preserve">Lee, J., Lim, Y.H., Hong, S.J., Jeong, J.H., Choi, H.R., Park, S.K., Kim, J.E., Park, E.H., Kim, J.H. (2021). Multicenter survey of symptoms, work life, economic status, and quality of life of complex regional pain syndrome patients. </w:t>
      </w:r>
      <w:r>
        <w:rPr>
          <w:i/>
          <w:iCs/>
        </w:rPr>
        <w:t>Korean J Pain</w:t>
      </w:r>
      <w:r>
        <w:t xml:space="preserve"> 34, 288–303.</w:t>
      </w:r>
    </w:p>
    <w:p w:rsidR="005C5A4A" w:rsidP="005C5A4A" w:rsidRDefault="005C5A4A" w14:paraId="4EC80A18" w14:textId="77777777">
      <w:pPr>
        <w:pStyle w:val="Bibliography"/>
      </w:pPr>
      <w:r>
        <w:t xml:space="preserve">Lewis, J.S., Kersten, P., McCabe, C.S., McPherson, K.M., Blake, D.R. (2007). Body perception disturbance: a contribution to pain in complex regional pain syndrome (CRPS). </w:t>
      </w:r>
      <w:r>
        <w:rPr>
          <w:i/>
          <w:iCs/>
        </w:rPr>
        <w:t>Pain</w:t>
      </w:r>
      <w:r>
        <w:t xml:space="preserve"> 133, 111–119.</w:t>
      </w:r>
    </w:p>
    <w:p w:rsidR="005C5A4A" w:rsidP="005C5A4A" w:rsidRDefault="005C5A4A" w14:paraId="6B38257D" w14:textId="77777777">
      <w:pPr>
        <w:pStyle w:val="Bibliography"/>
      </w:pPr>
      <w:r>
        <w:t xml:space="preserve">Linton, S.J., Boersma, K. (2003). Early identification of patients at risk of developing a persistent back problem: the predictive validity of the Orebro Musculoskeletal Pain Questionnaire. </w:t>
      </w:r>
      <w:r>
        <w:rPr>
          <w:i/>
          <w:iCs/>
        </w:rPr>
        <w:t>Clin J Pain</w:t>
      </w:r>
      <w:r>
        <w:t xml:space="preserve"> 19, 80–86.</w:t>
      </w:r>
    </w:p>
    <w:p w:rsidR="005C5A4A" w:rsidP="005C5A4A" w:rsidRDefault="005C5A4A" w14:paraId="64032664" w14:textId="77777777">
      <w:pPr>
        <w:pStyle w:val="Bibliography"/>
      </w:pPr>
      <w:r>
        <w:t xml:space="preserve">Lorente, A., Mariscal, G., Lorente, R. (2023). Incidence and risk factors for complex regional pain syndrome in radius fractures: meta-analysis. </w:t>
      </w:r>
      <w:r>
        <w:rPr>
          <w:i/>
          <w:iCs/>
        </w:rPr>
        <w:t>Arch Orthop Trauma Surg</w:t>
      </w:r>
      <w:r>
        <w:t xml:space="preserve"> 143, 5687–5699.</w:t>
      </w:r>
    </w:p>
    <w:p w:rsidR="005C5A4A" w:rsidP="005C5A4A" w:rsidRDefault="005C5A4A" w14:paraId="67E4BF70" w14:textId="77777777">
      <w:pPr>
        <w:pStyle w:val="Bibliography"/>
      </w:pPr>
      <w:r>
        <w:t xml:space="preserve">Louis, M.-H., Meyer, C., Legrain, V., Berquin, A. (2023). Biological and psychological early prognostic factors in complex regional pain syndrome: A systematic review. </w:t>
      </w:r>
      <w:r>
        <w:rPr>
          <w:i/>
          <w:iCs/>
        </w:rPr>
        <w:t>European Journal of Pain</w:t>
      </w:r>
      <w:r>
        <w:t xml:space="preserve"> 27, 338–352.</w:t>
      </w:r>
    </w:p>
    <w:p w:rsidR="005C5A4A" w:rsidP="005C5A4A" w:rsidRDefault="005C5A4A" w14:paraId="4D912838" w14:textId="77777777">
      <w:pPr>
        <w:pStyle w:val="Bibliography"/>
      </w:pPr>
      <w:r>
        <w:t xml:space="preserve">Magerl, W., Krumova, E.K., Baron, R., Tölle, T., Treede, R.-D., Maier, C. (2010). Reference data for quantitative sensory testing (QST): refined stratification for age and a novel method for statistical comparison of group data. </w:t>
      </w:r>
      <w:r>
        <w:rPr>
          <w:i/>
          <w:iCs/>
        </w:rPr>
        <w:t>Pain</w:t>
      </w:r>
      <w:r>
        <w:t xml:space="preserve"> 151, 598–605.</w:t>
      </w:r>
    </w:p>
    <w:p w:rsidR="005C5A4A" w:rsidP="005C5A4A" w:rsidRDefault="005C5A4A" w14:paraId="54C0C1D6" w14:textId="77777777">
      <w:pPr>
        <w:pStyle w:val="Bibliography"/>
      </w:pPr>
      <w:r>
        <w:t xml:space="preserve">Maihöfner, C., Handwerker, H.O., Birklein, F. (2006). Functional imaging of allodynia in complex regional pain syndrome. </w:t>
      </w:r>
      <w:r>
        <w:rPr>
          <w:i/>
          <w:iCs/>
        </w:rPr>
        <w:t>Neurology</w:t>
      </w:r>
      <w:r>
        <w:t xml:space="preserve"> 66, 711–717.</w:t>
      </w:r>
    </w:p>
    <w:p w:rsidR="005C5A4A" w:rsidP="005C5A4A" w:rsidRDefault="005C5A4A" w14:paraId="01D91240" w14:textId="77777777">
      <w:pPr>
        <w:pStyle w:val="Bibliography"/>
      </w:pPr>
      <w:r>
        <w:t xml:space="preserve">Meints, S.M., Mawla, I., Napadow, V., Kong, J., Gerber, J., Chan, S.-T., Wasan, A.D., Kaptchuk, T.J., McDonnell, C., Carriere, J., Rosen, B., Gollub, R.L., Edwards, R.R. (2019). The relationship between catastrophizing and altered pain sensitivity in patients with chronic low back pain. </w:t>
      </w:r>
      <w:r>
        <w:rPr>
          <w:i/>
          <w:iCs/>
        </w:rPr>
        <w:t>Pain</w:t>
      </w:r>
      <w:r>
        <w:t xml:space="preserve"> 160, 833–843.</w:t>
      </w:r>
    </w:p>
    <w:p w:rsidR="005C5A4A" w:rsidP="005C5A4A" w:rsidRDefault="005C5A4A" w14:paraId="7F9DDD1D" w14:textId="77777777">
      <w:pPr>
        <w:pStyle w:val="Bibliography"/>
      </w:pPr>
      <w:r>
        <w:t xml:space="preserve">de Mos, M., de Bruijn, A.G.J., Huygen, F.J.P.M., Dieleman, J.P., Stricker, B.H.C., Sturkenboom, M.C.J.M. (2007). The incidence of complex regional pain syndrome: a population-based study. </w:t>
      </w:r>
      <w:r>
        <w:rPr>
          <w:i/>
          <w:iCs/>
        </w:rPr>
        <w:t>Pain</w:t>
      </w:r>
      <w:r>
        <w:t xml:space="preserve"> 129, 12–20.</w:t>
      </w:r>
    </w:p>
    <w:p w:rsidR="005C5A4A" w:rsidP="005C5A4A" w:rsidRDefault="005C5A4A" w14:paraId="6638A6C2" w14:textId="77777777">
      <w:pPr>
        <w:pStyle w:val="Bibliography"/>
      </w:pPr>
      <w:r>
        <w:t xml:space="preserve">Moseley, G.L., Herbert, R.D., Parsons, T., Lucas, S., Van Hilten, J.J., Marinus, J. (2014). Intense pain soon after wrist fracture strongly predicts who will develop complex regional pain syndrome: prospective cohort study. </w:t>
      </w:r>
      <w:r>
        <w:rPr>
          <w:i/>
          <w:iCs/>
        </w:rPr>
        <w:t>J Pain</w:t>
      </w:r>
      <w:r>
        <w:t xml:space="preserve"> 15, 16–23.</w:t>
      </w:r>
    </w:p>
    <w:p w:rsidRPr="005C5A4A" w:rsidR="005C5A4A" w:rsidP="005C5A4A" w:rsidRDefault="005C5A4A" w14:paraId="26624FBF" w14:textId="77777777">
      <w:pPr>
        <w:pStyle w:val="Bibliography"/>
        <w:rPr>
          <w:lang w:val="fr-FR"/>
        </w:rPr>
      </w:pPr>
      <w:r>
        <w:t xml:space="preserve">Moseley, L.G., Wiech, K. (2009). The effect of tactile discrimination training is enhanced when patients watch the reflected image of their unaffected limb during training. </w:t>
      </w:r>
      <w:r w:rsidRPr="005C5A4A">
        <w:rPr>
          <w:i/>
          <w:iCs/>
          <w:lang w:val="fr-FR"/>
        </w:rPr>
        <w:t>Pain</w:t>
      </w:r>
      <w:r w:rsidRPr="005C5A4A">
        <w:rPr>
          <w:lang w:val="fr-FR"/>
        </w:rPr>
        <w:t xml:space="preserve"> 144, 314–319.</w:t>
      </w:r>
    </w:p>
    <w:p w:rsidR="005C5A4A" w:rsidP="005C5A4A" w:rsidRDefault="005C5A4A" w14:paraId="249A221D" w14:textId="77777777">
      <w:pPr>
        <w:pStyle w:val="Bibliography"/>
      </w:pPr>
      <w:r w:rsidRPr="005C5A4A">
        <w:rPr>
          <w:lang w:val="fr-FR"/>
        </w:rPr>
        <w:t xml:space="preserve">Mouraux, D., Lenoir, C., Tuna, T., Brassinne, E., Sobczak, S. (2021). </w:t>
      </w:r>
      <w:r>
        <w:t xml:space="preserve">The long-term effect of complex regional pain syndrome type 1 on disability and quality of life after foot injury. </w:t>
      </w:r>
      <w:r>
        <w:rPr>
          <w:i/>
          <w:iCs/>
        </w:rPr>
        <w:t>Disability and Rehabilitation</w:t>
      </w:r>
      <w:r>
        <w:t xml:space="preserve"> 43, 967–975.</w:t>
      </w:r>
    </w:p>
    <w:p w:rsidR="005C5A4A" w:rsidP="005C5A4A" w:rsidRDefault="005C5A4A" w14:paraId="481B7033" w14:textId="77777777">
      <w:pPr>
        <w:pStyle w:val="Bibliography"/>
      </w:pPr>
      <w:r>
        <w:t xml:space="preserve">Mücke, M., Cuhls, H., Radbruch, L., Baron, R., Maier, C., Tölle, T., Treede, R.-D., Rolke, R. (2021). Quantitative sensory testing (QST). English version. </w:t>
      </w:r>
      <w:r>
        <w:rPr>
          <w:i/>
          <w:iCs/>
        </w:rPr>
        <w:t>Schmerz</w:t>
      </w:r>
      <w:r>
        <w:t xml:space="preserve"> 35, 153–160.</w:t>
      </w:r>
    </w:p>
    <w:p w:rsidR="005C5A4A" w:rsidP="005C5A4A" w:rsidRDefault="005C5A4A" w14:paraId="5FAC412C" w14:textId="77777777">
      <w:pPr>
        <w:pStyle w:val="Bibliography"/>
      </w:pPr>
      <w:r>
        <w:lastRenderedPageBreak/>
        <w:t xml:space="preserve">Opsommer, E., Rivier, G., Crombez, G., Hilfiker, R. (2017). The predictive value of subsets of the Örebro Musculoskeletal Pain Screening Questionnaire for return to work in chronic low back pain. </w:t>
      </w:r>
      <w:r>
        <w:rPr>
          <w:i/>
          <w:iCs/>
        </w:rPr>
        <w:t>Eur J Phys Rehabil Med</w:t>
      </w:r>
      <w:r>
        <w:t xml:space="preserve"> 53, 359–365.</w:t>
      </w:r>
    </w:p>
    <w:p w:rsidR="005C5A4A" w:rsidP="005C5A4A" w:rsidRDefault="005C5A4A" w14:paraId="6E4D1D5B" w14:textId="77777777">
      <w:pPr>
        <w:pStyle w:val="Bibliography"/>
      </w:pPr>
      <w:r>
        <w:t xml:space="preserve">Ott, S., Maihöfner, C. (2018). Signs and Symptoms in 1,043 Patients with Complex Regional Pain Syndrome. </w:t>
      </w:r>
      <w:r>
        <w:rPr>
          <w:i/>
          <w:iCs/>
        </w:rPr>
        <w:t>The Journal of Pain</w:t>
      </w:r>
      <w:r>
        <w:t xml:space="preserve"> 19, 599–611.</w:t>
      </w:r>
    </w:p>
    <w:p w:rsidR="005C5A4A" w:rsidP="005C5A4A" w:rsidRDefault="005C5A4A" w14:paraId="1F6C2D3D" w14:textId="77777777">
      <w:pPr>
        <w:pStyle w:val="Bibliography"/>
      </w:pPr>
      <w:r>
        <w:t xml:space="preserve">Parkitny, L., McAuley, J.H., Herbert, R.D., Di Pietro, F., Cashin, A.G., Ferraro, M.C., Moseley, G.L. (2022). Post-fracture serum cytokine levels are not associated with a later diagnosis of complex regional pain syndrome: a case-control study nested in a prospective cohort study. </w:t>
      </w:r>
      <w:r>
        <w:rPr>
          <w:i/>
          <w:iCs/>
        </w:rPr>
        <w:t>BMC Neurol</w:t>
      </w:r>
      <w:r>
        <w:t xml:space="preserve"> 22, 385.</w:t>
      </w:r>
    </w:p>
    <w:p w:rsidR="005C5A4A" w:rsidP="005C5A4A" w:rsidRDefault="005C5A4A" w14:paraId="14103655" w14:textId="77777777">
      <w:pPr>
        <w:pStyle w:val="Bibliography"/>
      </w:pPr>
      <w:r>
        <w:t xml:space="preserve">Petersen, K.K.-S., Kilic, K., Hertel, E., Sejersgaard-Jacobsen, T.H., Jørgensen, M.K., Troelsen, A., Arendt-Nielsen, L., Boye Larsen, D. (2023). Quantitative sensory testing as an assessment tool to predict the response to standard pain treatment in knee osteoarthritis: a systematic review and meta-analysis. </w:t>
      </w:r>
      <w:r>
        <w:rPr>
          <w:i/>
          <w:iCs/>
        </w:rPr>
        <w:t>Pain Rep</w:t>
      </w:r>
      <w:r>
        <w:t xml:space="preserve"> 8, e1079.</w:t>
      </w:r>
    </w:p>
    <w:p w:rsidR="005C5A4A" w:rsidP="005C5A4A" w:rsidRDefault="005C5A4A" w14:paraId="4D01250F" w14:textId="77777777">
      <w:pPr>
        <w:pStyle w:val="Bibliography"/>
      </w:pPr>
      <w:r>
        <w:t xml:space="preserve">Pons, T., Shipton, E.A., Williman, J., Mulder, R.T. (2015). Potential Risk Factors for the Onset of Complex Regional Pain Syndrome Type 1: A Systematic Literature Review. </w:t>
      </w:r>
      <w:r>
        <w:rPr>
          <w:i/>
          <w:iCs/>
        </w:rPr>
        <w:t>Anesthesiol Res Pract</w:t>
      </w:r>
      <w:r>
        <w:t xml:space="preserve"> 2015, 956539.</w:t>
      </w:r>
    </w:p>
    <w:p w:rsidR="005C5A4A" w:rsidP="005C5A4A" w:rsidRDefault="005C5A4A" w14:paraId="3FF7838C" w14:textId="77777777">
      <w:pPr>
        <w:pStyle w:val="Bibliography"/>
      </w:pPr>
      <w:r>
        <w:t xml:space="preserve">Rascle, N., Bruchon-Schweitzer, M., Sarason, I.G. (2005). Short Form of Sarason’s Social Support Questionnaire: French Adaptation and Validation. </w:t>
      </w:r>
      <w:r>
        <w:rPr>
          <w:i/>
          <w:iCs/>
        </w:rPr>
        <w:t>Psychol Rep</w:t>
      </w:r>
      <w:r>
        <w:t xml:space="preserve"> 97, 195–202.</w:t>
      </w:r>
    </w:p>
    <w:p w:rsidR="005C5A4A" w:rsidP="005C5A4A" w:rsidRDefault="005C5A4A" w14:paraId="157E5632" w14:textId="77777777">
      <w:pPr>
        <w:pStyle w:val="Bibliography"/>
      </w:pPr>
      <w:r>
        <w:t xml:space="preserve">Reimer, M., Rempe, T., Diedrichs, C., Baron, R., Gierthmühlen, J. (2016). Sensitization of the Nociceptive System in Complex Regional Pain Syndrome. </w:t>
      </w:r>
      <w:r>
        <w:rPr>
          <w:i/>
          <w:iCs/>
        </w:rPr>
        <w:t>PLoS One</w:t>
      </w:r>
      <w:r>
        <w:t xml:space="preserve"> 11, e0154553.</w:t>
      </w:r>
    </w:p>
    <w:p w:rsidR="005C5A4A" w:rsidP="005C5A4A" w:rsidRDefault="005C5A4A" w14:paraId="2ABD88D1" w14:textId="77777777">
      <w:pPr>
        <w:pStyle w:val="Bibliography"/>
      </w:pPr>
      <w:r>
        <w:t xml:space="preserve">Richards, L., Palmiter-Thomas, P. (1996). Grip Strength Measurement: A Critical Review of Tools, Methods, and Clinical Utility. </w:t>
      </w:r>
      <w:r>
        <w:rPr>
          <w:i/>
          <w:iCs/>
        </w:rPr>
        <w:t>CRP</w:t>
      </w:r>
      <w:r>
        <w:t xml:space="preserve"> 8.</w:t>
      </w:r>
    </w:p>
    <w:p w:rsidR="005C5A4A" w:rsidP="005C5A4A" w:rsidRDefault="005C5A4A" w14:paraId="44368CCC" w14:textId="77777777">
      <w:pPr>
        <w:pStyle w:val="Bibliography"/>
      </w:pPr>
      <w:r>
        <w:t xml:space="preserve">Roh, Y.H., Gong, H.S., Baek, G.H. (2019). Prognostic Value of Pain Sensitization During Early Recovery After Distal Radius Fracture in Complex Regional Pain Syndrome. </w:t>
      </w:r>
      <w:r>
        <w:rPr>
          <w:i/>
          <w:iCs/>
        </w:rPr>
        <w:t>Pain Med</w:t>
      </w:r>
      <w:r>
        <w:t xml:space="preserve"> 20, 1066–1071.</w:t>
      </w:r>
    </w:p>
    <w:p w:rsidR="005C5A4A" w:rsidP="005C5A4A" w:rsidRDefault="005C5A4A" w14:paraId="7BC443E6" w14:textId="77777777">
      <w:pPr>
        <w:pStyle w:val="Bibliography"/>
      </w:pPr>
      <w:r>
        <w:t xml:space="preserve">Roh, Y.H., Lee, B.K., Noh, J.H., Baek, J.R., Oh, J.H., Gong, H.S., Baek, G.H. (2014). Factors associated with complex regional pain syndrome type I in patients with surgically treated distal radius fracture. </w:t>
      </w:r>
      <w:r>
        <w:rPr>
          <w:i/>
          <w:iCs/>
        </w:rPr>
        <w:t>Arch Orthop Trauma Surg</w:t>
      </w:r>
      <w:r>
        <w:t xml:space="preserve"> 134, 1775–1781.</w:t>
      </w:r>
    </w:p>
    <w:p w:rsidR="005C5A4A" w:rsidP="005C5A4A" w:rsidRDefault="005C5A4A" w14:paraId="336DCDEF" w14:textId="77777777">
      <w:pPr>
        <w:pStyle w:val="Bibliography"/>
      </w:pPr>
      <w:r>
        <w:t xml:space="preserve">Rolke, R., Baron, R., Maier, C., Tölle, T.R., Treede, -D. R., Beyer, A., Binder, A., Birbaumer, N., Birklein, F., Bötefür, I.C., Braune, S., Flor, H., Huge, V., Klug, R., Landwehrmeyer, G.B., Magerl, W., Maihöfner, C., Rolko, C., Schaub, C., Scherens, A., Sprenger, T., Valet, M., Wasserka, B. (2006a). Quantitative sensory testing in the German Research Network on Neuropathic Pain (DFNS): standardized protocol and reference values. </w:t>
      </w:r>
      <w:r>
        <w:rPr>
          <w:i/>
          <w:iCs/>
        </w:rPr>
        <w:t>Pain</w:t>
      </w:r>
      <w:r>
        <w:t xml:space="preserve"> 123, 231–243.</w:t>
      </w:r>
    </w:p>
    <w:p w:rsidR="005C5A4A" w:rsidP="005C5A4A" w:rsidRDefault="005C5A4A" w14:paraId="16821B93" w14:textId="77777777">
      <w:pPr>
        <w:pStyle w:val="Bibliography"/>
      </w:pPr>
      <w:r>
        <w:t xml:space="preserve">Rolke, R., Magerl, W., Campbell, K.A., Schalber, C., Caspari, S., Birklein, F., Treede, R.-D. (2006b). Quantitative sensory testing: a comprehensive protocol for clinical trials. </w:t>
      </w:r>
      <w:r>
        <w:rPr>
          <w:i/>
          <w:iCs/>
        </w:rPr>
        <w:t>Eur J Pain</w:t>
      </w:r>
      <w:r>
        <w:t xml:space="preserve"> 10, 77–88.</w:t>
      </w:r>
    </w:p>
    <w:p w:rsidR="005C5A4A" w:rsidP="005C5A4A" w:rsidRDefault="005C5A4A" w14:paraId="18689066" w14:textId="77777777">
      <w:pPr>
        <w:pStyle w:val="Bibliography"/>
      </w:pPr>
      <w:r>
        <w:t xml:space="preserve">Sandroni, P., Benrud-Larson, L.M., McClelland, R.L., Low, P.A. (2003). Complex regional pain syndrome type I: incidence and prevalence in Olmsted county, a population-based study. </w:t>
      </w:r>
      <w:r>
        <w:rPr>
          <w:i/>
          <w:iCs/>
        </w:rPr>
        <w:t>Pain</w:t>
      </w:r>
      <w:r>
        <w:t xml:space="preserve"> 103, 199–207.</w:t>
      </w:r>
    </w:p>
    <w:p w:rsidR="005C5A4A" w:rsidP="005C5A4A" w:rsidRDefault="005C5A4A" w14:paraId="7E786328" w14:textId="77777777">
      <w:pPr>
        <w:pStyle w:val="Bibliography"/>
      </w:pPr>
      <w:r>
        <w:t xml:space="preserve">Sinha, P., Calfee, C.S., Delucchi, K.L. (2021). Practitioner’s Guide to Latent Class Analysis: Methodological Considerations and Common Pitfalls. </w:t>
      </w:r>
      <w:r>
        <w:rPr>
          <w:i/>
          <w:iCs/>
        </w:rPr>
        <w:t>Crit Care Med</w:t>
      </w:r>
      <w:r>
        <w:t xml:space="preserve"> 49, e63–e79.</w:t>
      </w:r>
    </w:p>
    <w:p w:rsidR="005C5A4A" w:rsidP="005C5A4A" w:rsidRDefault="005C5A4A" w14:paraId="6B80E805" w14:textId="77777777">
      <w:pPr>
        <w:pStyle w:val="Bibliography"/>
      </w:pPr>
      <w:r>
        <w:t xml:space="preserve">Snoek, A., Dekker, M., Lagrand, T., Epema, A., van der Ploeg, T., van den Brand, J.G.H. (2013). A clinical decision model identifies patients at risk for delayed diagnosed injuries after high-energy trauma. </w:t>
      </w:r>
      <w:r>
        <w:rPr>
          <w:i/>
          <w:iCs/>
        </w:rPr>
        <w:t>Eur J Emerg Med</w:t>
      </w:r>
      <w:r>
        <w:t xml:space="preserve"> 20, 167–172.</w:t>
      </w:r>
    </w:p>
    <w:p w:rsidR="005C5A4A" w:rsidP="005C5A4A" w:rsidRDefault="005C5A4A" w14:paraId="4B51F6A3" w14:textId="77777777">
      <w:pPr>
        <w:pStyle w:val="Bibliography"/>
      </w:pPr>
      <w:r>
        <w:lastRenderedPageBreak/>
        <w:t xml:space="preserve">Sobeeh, M.G., Hassan, K.A., da Silva, A.G., Youssef, E.F., Fayaz, N.A., Mohammed, M.M. (2023). Pain mechanisms in complex regional pain syndrome: a systematic review and meta-analysis of quantitative sensory testing outcomes. </w:t>
      </w:r>
      <w:r>
        <w:rPr>
          <w:i/>
          <w:iCs/>
        </w:rPr>
        <w:t>Journal of Orthopaedic Surgery and Research</w:t>
      </w:r>
      <w:r>
        <w:t xml:space="preserve"> 18, 2.</w:t>
      </w:r>
    </w:p>
    <w:p w:rsidR="005C5A4A" w:rsidP="005C5A4A" w:rsidRDefault="005C5A4A" w14:paraId="226F9792" w14:textId="77777777">
      <w:pPr>
        <w:pStyle w:val="Bibliography"/>
      </w:pPr>
      <w:r>
        <w:t xml:space="preserve">Ten Brink, A.F., Halicka, M., Vittersø, A.D., Jones, H.G., Stanton, T.R., Bultitude, J.H. (2021a). Validation of the Bath CRPS Body Perception Disturbance Scale. </w:t>
      </w:r>
      <w:r>
        <w:rPr>
          <w:i/>
          <w:iCs/>
        </w:rPr>
        <w:t>J Pain</w:t>
      </w:r>
      <w:r>
        <w:t xml:space="preserve"> 22, 1371–1384.</w:t>
      </w:r>
    </w:p>
    <w:p w:rsidR="005C5A4A" w:rsidP="005C5A4A" w:rsidRDefault="005C5A4A" w14:paraId="2E16730A" w14:textId="77777777">
      <w:pPr>
        <w:pStyle w:val="Bibliography"/>
      </w:pPr>
      <w:r>
        <w:t xml:space="preserve">Ten Brink, A.F., Halicka, M., Vittersø, A.D., Keogh, E., Bultitude, J.H. (2021b). Ignoring space around a painful limb? No evidence for a body-related visuospatial attention bias in complex regional pain syndrome. </w:t>
      </w:r>
      <w:r>
        <w:rPr>
          <w:i/>
          <w:iCs/>
        </w:rPr>
        <w:t>Cortex</w:t>
      </w:r>
      <w:r>
        <w:t xml:space="preserve"> 136, 89–108.</w:t>
      </w:r>
    </w:p>
    <w:p w:rsidR="005C5A4A" w:rsidP="005C5A4A" w:rsidRDefault="005C5A4A" w14:paraId="2E48068C" w14:textId="77777777">
      <w:pPr>
        <w:pStyle w:val="Bibliography"/>
      </w:pPr>
      <w:r>
        <w:t xml:space="preserve">van Velzen, G.A.J., Perez, R.S.G.M., van Gestel, M.A., Huygen, F.J.P.M., van Kleef, M., van Eijs, F., Dahan, A., van Hilten, J.J., Marinus, J. (2014). Health-related quality of life in 975 patients with complex regional pain syndrome type 1. </w:t>
      </w:r>
      <w:r>
        <w:rPr>
          <w:i/>
          <w:iCs/>
        </w:rPr>
        <w:t>Pain</w:t>
      </w:r>
      <w:r>
        <w:t xml:space="preserve"> 155, 629–634.</w:t>
      </w:r>
    </w:p>
    <w:p w:rsidR="005C5A4A" w:rsidP="005C5A4A" w:rsidRDefault="005C5A4A" w14:paraId="1C300061" w14:textId="77777777">
      <w:pPr>
        <w:pStyle w:val="Bibliography"/>
      </w:pPr>
      <w:r>
        <w:t xml:space="preserve">Weller, B.E., Bowen, N.K., Faubert, S.J. (2020). Latent Class Analysis: A Guide to Best Practice. </w:t>
      </w:r>
      <w:r>
        <w:rPr>
          <w:i/>
          <w:iCs/>
        </w:rPr>
        <w:t>Journal of Black Psychology</w:t>
      </w:r>
      <w:r>
        <w:t xml:space="preserve"> 46, 287–311.</w:t>
      </w:r>
    </w:p>
    <w:p w:rsidR="005C5A4A" w:rsidP="005C5A4A" w:rsidRDefault="005C5A4A" w14:paraId="788B42B5" w14:textId="77777777">
      <w:pPr>
        <w:pStyle w:val="Bibliography"/>
      </w:pPr>
      <w:r>
        <w:t xml:space="preserve">Wertli, M.M., Brunner, F., Steurer, J., Held, U. (2017). Usefulness of bone scintigraphy for the diagnosis of Complex Regional Pain Syndrome 1: A systematic review and Bayesian meta-analysis. </w:t>
      </w:r>
      <w:r>
        <w:rPr>
          <w:i/>
          <w:iCs/>
        </w:rPr>
        <w:t>PLoS One</w:t>
      </w:r>
      <w:r>
        <w:t xml:space="preserve"> 12, e0173688.</w:t>
      </w:r>
    </w:p>
    <w:p w:rsidR="005C5A4A" w:rsidP="005C5A4A" w:rsidRDefault="005C5A4A" w14:paraId="118AFFCF" w14:textId="77777777">
      <w:pPr>
        <w:pStyle w:val="Bibliography"/>
      </w:pPr>
      <w:r>
        <w:t xml:space="preserve">Woby, S.R., Roach, N.K., Urmston, M., Watson, P.J. (2005). Psychometric properties of the TSK-11: a shortened version of the Tampa Scale for Kinesiophobia. </w:t>
      </w:r>
      <w:r>
        <w:rPr>
          <w:i/>
          <w:iCs/>
        </w:rPr>
        <w:t>Pain</w:t>
      </w:r>
      <w:r>
        <w:t xml:space="preserve"> 117, 137–144.</w:t>
      </w:r>
    </w:p>
    <w:p w:rsidR="005C5A4A" w:rsidP="005C5A4A" w:rsidRDefault="005C5A4A" w14:paraId="1C846AF6" w14:textId="77777777">
      <w:pPr>
        <w:pStyle w:val="Bibliography"/>
      </w:pPr>
      <w:r>
        <w:t xml:space="preserve">Woolf, C.J. (2011). Central sensitization: Implications for the diagnosis and treatment of pain. </w:t>
      </w:r>
      <w:r>
        <w:rPr>
          <w:i/>
          <w:iCs/>
        </w:rPr>
        <w:t>Pain</w:t>
      </w:r>
      <w:r>
        <w:t xml:space="preserve"> 152, S2-15.</w:t>
      </w:r>
    </w:p>
    <w:p w:rsidR="005C5A4A" w:rsidP="005C5A4A" w:rsidRDefault="005C5A4A" w14:paraId="1F083324" w14:textId="77777777">
      <w:pPr>
        <w:pStyle w:val="Bibliography"/>
      </w:pPr>
      <w:r>
        <w:t xml:space="preserve">Zigmond, A.S., Snaith, R.P. (1983). The hospital anxiety and depression scale. </w:t>
      </w:r>
      <w:r>
        <w:rPr>
          <w:i/>
          <w:iCs/>
        </w:rPr>
        <w:t>Acta Psychiatr Scand</w:t>
      </w:r>
      <w:r>
        <w:t xml:space="preserve"> 67, 361–370.</w:t>
      </w:r>
    </w:p>
    <w:p w:rsidR="005C5A4A" w:rsidP="005C5A4A" w:rsidRDefault="005C5A4A" w14:paraId="189EA267" w14:textId="77777777">
      <w:pPr>
        <w:pStyle w:val="Bibliography"/>
      </w:pPr>
      <w:r>
        <w:t xml:space="preserve">de Zwart, B.C., Broersen, J.P., van der Beek, A.J., Frings-Dresen, M.H., van Dijk, F.J. (1997). Occupational classification according to work demands: an evaluation study. </w:t>
      </w:r>
      <w:r>
        <w:rPr>
          <w:i/>
          <w:iCs/>
        </w:rPr>
        <w:t>Int J Occup Med Environ Health</w:t>
      </w:r>
      <w:r>
        <w:t xml:space="preserve"> 10, 283–295.</w:t>
      </w:r>
    </w:p>
    <w:p w:rsidR="007843EE" w:rsidP="560E2E1C" w:rsidRDefault="00600830" w14:paraId="22677A6B" w14:textId="654B3114">
      <w:pPr>
        <w:spacing w:line="480" w:lineRule="auto"/>
        <w:jc w:val="both"/>
        <w:rPr>
          <w:rFonts w:ascii="Calibri" w:hAnsi="Calibri" w:eastAsia="Calibri" w:cs="Calibri"/>
          <w:sz w:val="14"/>
          <w:szCs w:val="14"/>
        </w:rPr>
        <w:sectPr w:rsidR="007843EE" w:rsidSect="004F1172">
          <w:headerReference w:type="default" r:id="rId15"/>
          <w:type w:val="continuous"/>
          <w:pgSz w:w="11906" w:h="16838" w:orient="portrait"/>
          <w:pgMar w:top="720" w:right="720" w:bottom="720" w:left="720" w:header="720" w:footer="720" w:gutter="0"/>
          <w:cols w:space="720"/>
          <w:docGrid w:linePitch="360"/>
        </w:sectPr>
      </w:pPr>
      <w:r w:rsidRPr="560E2E1C">
        <w:rPr>
          <w:rFonts w:ascii="Calibri" w:hAnsi="Calibri" w:eastAsia="Calibri" w:cs="Calibri"/>
          <w:sz w:val="14"/>
          <w:szCs w:val="14"/>
        </w:rPr>
        <w:fldChar w:fldCharType="end"/>
      </w:r>
    </w:p>
    <w:p w:rsidRPr="0071128C" w:rsidR="5A3A1CE6" w:rsidP="00096341" w:rsidRDefault="5A3A1CE6" w14:paraId="58EC4234" w14:textId="7C92CCFA">
      <w:pPr>
        <w:pStyle w:val="Heading1"/>
        <w:numPr>
          <w:ilvl w:val="0"/>
          <w:numId w:val="0"/>
        </w:numPr>
      </w:pPr>
    </w:p>
    <w:sectPr w:rsidRPr="0071128C" w:rsidR="5A3A1CE6" w:rsidSect="004F1172">
      <w:headerReference w:type="default" r:id="rId16"/>
      <w:type w:val="continuous"/>
      <w:pgSz w:w="11906" w:h="16838" w:orient="portrait"/>
      <w:pgMar w:top="720" w:right="720" w:bottom="720" w:left="72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605406" w:rsidP="000747B4" w:rsidRDefault="00605406" w14:paraId="419ED515" w14:textId="77777777">
      <w:pPr>
        <w:spacing w:after="0" w:line="240" w:lineRule="auto"/>
      </w:pPr>
      <w:r>
        <w:separator/>
      </w:r>
    </w:p>
  </w:endnote>
  <w:endnote w:type="continuationSeparator" w:id="0">
    <w:p w:rsidR="00605406" w:rsidP="000747B4" w:rsidRDefault="00605406" w14:paraId="03A7AE4E" w14:textId="77777777">
      <w:pPr>
        <w:spacing w:after="0" w:line="240" w:lineRule="auto"/>
      </w:pPr>
      <w:r>
        <w:continuationSeparator/>
      </w:r>
    </w:p>
  </w:endnote>
  <w:endnote w:type="continuationNotice" w:id="1">
    <w:p w:rsidR="00605406" w:rsidRDefault="00605406" w14:paraId="0CF75C5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9726555"/>
      <w:docPartObj>
        <w:docPartGallery w:val="Page Numbers (Bottom of Page)"/>
        <w:docPartUnique/>
      </w:docPartObj>
    </w:sdtPr>
    <w:sdtEndPr>
      <w:rPr>
        <w:noProof/>
      </w:rPr>
    </w:sdtEndPr>
    <w:sdtContent>
      <w:p w:rsidR="00FB1E46" w:rsidRDefault="00FB1E46" w14:paraId="170FA235" w14:textId="2CC2033F">
        <w:pPr>
          <w:pStyle w:val="Footer"/>
          <w:jc w:val="right"/>
        </w:pPr>
        <w:r>
          <w:fldChar w:fldCharType="begin"/>
        </w:r>
        <w:r>
          <w:instrText xml:space="preserve"> PAGE   \* MERGEFORMAT </w:instrText>
        </w:r>
        <w:r>
          <w:fldChar w:fldCharType="separate"/>
        </w:r>
        <w:r w:rsidR="29694989">
          <w:t>2</w:t>
        </w:r>
        <w:r>
          <w:fldChar w:fldCharType="end"/>
        </w:r>
      </w:p>
    </w:sdtContent>
  </w:sdt>
  <w:p w:rsidR="00FB1E46" w:rsidRDefault="00FB1E46" w14:paraId="169FFE2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605406" w:rsidP="000747B4" w:rsidRDefault="00605406" w14:paraId="255E50F9" w14:textId="77777777">
      <w:pPr>
        <w:spacing w:after="0" w:line="240" w:lineRule="auto"/>
      </w:pPr>
      <w:r>
        <w:separator/>
      </w:r>
    </w:p>
  </w:footnote>
  <w:footnote w:type="continuationSeparator" w:id="0">
    <w:p w:rsidR="00605406" w:rsidP="000747B4" w:rsidRDefault="00605406" w14:paraId="14C75D03" w14:textId="77777777">
      <w:pPr>
        <w:spacing w:after="0" w:line="240" w:lineRule="auto"/>
      </w:pPr>
      <w:r>
        <w:continuationSeparator/>
      </w:r>
    </w:p>
  </w:footnote>
  <w:footnote w:type="continuationNotice" w:id="1">
    <w:p w:rsidR="00605406" w:rsidRDefault="00605406" w14:paraId="45F21D0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A5E4D47" w:rsidTr="00321447" w14:paraId="72FCC954" w14:textId="77777777">
      <w:trPr>
        <w:trHeight w:val="300"/>
      </w:trPr>
      <w:tc>
        <w:tcPr>
          <w:tcW w:w="3005" w:type="dxa"/>
        </w:tcPr>
        <w:p w:rsidR="3A5E4D47" w:rsidP="00321447" w:rsidRDefault="3A5E4D47" w14:paraId="7091F419" w14:textId="539C86C1">
          <w:pPr>
            <w:pStyle w:val="Header"/>
            <w:ind w:left="-115"/>
          </w:pPr>
        </w:p>
      </w:tc>
      <w:tc>
        <w:tcPr>
          <w:tcW w:w="3005" w:type="dxa"/>
        </w:tcPr>
        <w:p w:rsidR="3A5E4D47" w:rsidP="00321447" w:rsidRDefault="3A5E4D47" w14:paraId="3D0A5639" w14:textId="58FB8697">
          <w:pPr>
            <w:pStyle w:val="Header"/>
            <w:jc w:val="center"/>
          </w:pPr>
        </w:p>
      </w:tc>
      <w:tc>
        <w:tcPr>
          <w:tcW w:w="3005" w:type="dxa"/>
        </w:tcPr>
        <w:p w:rsidR="3A5E4D47" w:rsidP="00321447" w:rsidRDefault="3A5E4D47" w14:paraId="6C5C1A76" w14:textId="072B6D54">
          <w:pPr>
            <w:pStyle w:val="Header"/>
            <w:ind w:right="-115"/>
            <w:jc w:val="right"/>
          </w:pPr>
        </w:p>
      </w:tc>
    </w:tr>
  </w:tbl>
  <w:p w:rsidR="3A5E4D47" w:rsidP="00E06B20" w:rsidRDefault="3A5E4D47" w14:paraId="5F96FF50" w14:textId="1AEC73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485"/>
      <w:gridCol w:w="3485"/>
      <w:gridCol w:w="3485"/>
    </w:tblGrid>
    <w:tr w:rsidR="3A5E4D47" w:rsidTr="00321447" w14:paraId="47C4F718" w14:textId="77777777">
      <w:trPr>
        <w:trHeight w:val="300"/>
      </w:trPr>
      <w:tc>
        <w:tcPr>
          <w:tcW w:w="3485" w:type="dxa"/>
        </w:tcPr>
        <w:p w:rsidR="3A5E4D47" w:rsidP="00321447" w:rsidRDefault="3A5E4D47" w14:paraId="2371880C" w14:textId="67843187">
          <w:pPr>
            <w:pStyle w:val="Header"/>
            <w:ind w:left="-115"/>
          </w:pPr>
        </w:p>
      </w:tc>
      <w:tc>
        <w:tcPr>
          <w:tcW w:w="3485" w:type="dxa"/>
        </w:tcPr>
        <w:p w:rsidR="3A5E4D47" w:rsidP="00321447" w:rsidRDefault="3A5E4D47" w14:paraId="27CA7AF1" w14:textId="5AB8C88B">
          <w:pPr>
            <w:pStyle w:val="Header"/>
            <w:jc w:val="center"/>
          </w:pPr>
        </w:p>
      </w:tc>
      <w:tc>
        <w:tcPr>
          <w:tcW w:w="3485" w:type="dxa"/>
        </w:tcPr>
        <w:p w:rsidR="3A5E4D47" w:rsidP="00321447" w:rsidRDefault="3A5E4D47" w14:paraId="0BCB78B8" w14:textId="2D47D623">
          <w:pPr>
            <w:pStyle w:val="Header"/>
            <w:ind w:right="-115"/>
            <w:jc w:val="right"/>
          </w:pPr>
        </w:p>
      </w:tc>
    </w:tr>
  </w:tbl>
  <w:p w:rsidR="3A5E4D47" w:rsidP="00E06B20" w:rsidRDefault="3A5E4D47" w14:paraId="43603DF0" w14:textId="05E605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485"/>
      <w:gridCol w:w="3485"/>
      <w:gridCol w:w="3485"/>
    </w:tblGrid>
    <w:tr w:rsidR="3A5E4D47" w:rsidTr="00321447" w14:paraId="30D2FF64" w14:textId="77777777">
      <w:trPr>
        <w:trHeight w:val="300"/>
      </w:trPr>
      <w:tc>
        <w:tcPr>
          <w:tcW w:w="3485" w:type="dxa"/>
        </w:tcPr>
        <w:p w:rsidR="3A5E4D47" w:rsidP="00321447" w:rsidRDefault="3A5E4D47" w14:paraId="62DE623A" w14:textId="61B144A2">
          <w:pPr>
            <w:pStyle w:val="Header"/>
            <w:ind w:left="-115"/>
          </w:pPr>
        </w:p>
      </w:tc>
      <w:tc>
        <w:tcPr>
          <w:tcW w:w="3485" w:type="dxa"/>
        </w:tcPr>
        <w:p w:rsidR="3A5E4D47" w:rsidP="00321447" w:rsidRDefault="3A5E4D47" w14:paraId="2AE3E95E" w14:textId="28EB294D">
          <w:pPr>
            <w:pStyle w:val="Header"/>
            <w:jc w:val="center"/>
          </w:pPr>
        </w:p>
      </w:tc>
      <w:tc>
        <w:tcPr>
          <w:tcW w:w="3485" w:type="dxa"/>
        </w:tcPr>
        <w:p w:rsidR="3A5E4D47" w:rsidP="00321447" w:rsidRDefault="3A5E4D47" w14:paraId="620051D2" w14:textId="3DEBFB6A">
          <w:pPr>
            <w:pStyle w:val="Header"/>
            <w:ind w:right="-115"/>
            <w:jc w:val="right"/>
          </w:pPr>
        </w:p>
      </w:tc>
    </w:tr>
  </w:tbl>
  <w:p w:rsidR="3A5E4D47" w:rsidP="00E06B20" w:rsidRDefault="3A5E4D47" w14:paraId="0E03EDD4" w14:textId="598DB8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0EFB5"/>
    <w:multiLevelType w:val="hybridMultilevel"/>
    <w:tmpl w:val="29C4A666"/>
    <w:lvl w:ilvl="0" w:tplc="2FD09B18">
      <w:start w:val="1"/>
      <w:numFmt w:val="decimal"/>
      <w:lvlText w:val="%1."/>
      <w:lvlJc w:val="left"/>
      <w:pPr>
        <w:ind w:left="720" w:hanging="360"/>
      </w:pPr>
    </w:lvl>
    <w:lvl w:ilvl="1" w:tplc="4E1CF650">
      <w:start w:val="1"/>
      <w:numFmt w:val="lowerLetter"/>
      <w:lvlText w:val="%2."/>
      <w:lvlJc w:val="left"/>
      <w:pPr>
        <w:ind w:left="1440" w:hanging="360"/>
      </w:pPr>
    </w:lvl>
    <w:lvl w:ilvl="2" w:tplc="0254B6C6">
      <w:start w:val="1"/>
      <w:numFmt w:val="lowerRoman"/>
      <w:lvlText w:val="%3."/>
      <w:lvlJc w:val="right"/>
      <w:pPr>
        <w:ind w:left="2160" w:hanging="180"/>
      </w:pPr>
    </w:lvl>
    <w:lvl w:ilvl="3" w:tplc="389E8C6A">
      <w:start w:val="1"/>
      <w:numFmt w:val="decimal"/>
      <w:lvlText w:val="%4."/>
      <w:lvlJc w:val="left"/>
      <w:pPr>
        <w:ind w:left="2880" w:hanging="360"/>
      </w:pPr>
    </w:lvl>
    <w:lvl w:ilvl="4" w:tplc="34283938">
      <w:start w:val="1"/>
      <w:numFmt w:val="lowerLetter"/>
      <w:lvlText w:val="%5."/>
      <w:lvlJc w:val="left"/>
      <w:pPr>
        <w:ind w:left="3600" w:hanging="360"/>
      </w:pPr>
    </w:lvl>
    <w:lvl w:ilvl="5" w:tplc="A66E3248">
      <w:start w:val="1"/>
      <w:numFmt w:val="lowerRoman"/>
      <w:lvlText w:val="%6."/>
      <w:lvlJc w:val="right"/>
      <w:pPr>
        <w:ind w:left="4320" w:hanging="180"/>
      </w:pPr>
    </w:lvl>
    <w:lvl w:ilvl="6" w:tplc="50B6D32A">
      <w:start w:val="1"/>
      <w:numFmt w:val="decimal"/>
      <w:lvlText w:val="%7."/>
      <w:lvlJc w:val="left"/>
      <w:pPr>
        <w:ind w:left="5040" w:hanging="360"/>
      </w:pPr>
    </w:lvl>
    <w:lvl w:ilvl="7" w:tplc="A84E68E2">
      <w:start w:val="1"/>
      <w:numFmt w:val="lowerLetter"/>
      <w:lvlText w:val="%8."/>
      <w:lvlJc w:val="left"/>
      <w:pPr>
        <w:ind w:left="5760" w:hanging="360"/>
      </w:pPr>
    </w:lvl>
    <w:lvl w:ilvl="8" w:tplc="279E4952">
      <w:start w:val="1"/>
      <w:numFmt w:val="lowerRoman"/>
      <w:lvlText w:val="%9."/>
      <w:lvlJc w:val="right"/>
      <w:pPr>
        <w:ind w:left="6480" w:hanging="180"/>
      </w:pPr>
    </w:lvl>
  </w:abstractNum>
  <w:abstractNum w:abstractNumId="1" w15:restartNumberingAfterBreak="0">
    <w:nsid w:val="01A1CD48"/>
    <w:multiLevelType w:val="hybridMultilevel"/>
    <w:tmpl w:val="674E88C0"/>
    <w:lvl w:ilvl="0" w:tplc="CEF87BB8">
      <w:start w:val="1"/>
      <w:numFmt w:val="decimal"/>
      <w:lvlText w:val="%1."/>
      <w:lvlJc w:val="left"/>
      <w:pPr>
        <w:ind w:left="720" w:hanging="360"/>
      </w:pPr>
    </w:lvl>
    <w:lvl w:ilvl="1" w:tplc="DBD4E8BE">
      <w:start w:val="1"/>
      <w:numFmt w:val="lowerLetter"/>
      <w:lvlText w:val="%2."/>
      <w:lvlJc w:val="left"/>
      <w:pPr>
        <w:ind w:left="1440" w:hanging="360"/>
      </w:pPr>
    </w:lvl>
    <w:lvl w:ilvl="2" w:tplc="7E12DA88">
      <w:start w:val="1"/>
      <w:numFmt w:val="lowerRoman"/>
      <w:lvlText w:val="%3."/>
      <w:lvlJc w:val="right"/>
      <w:pPr>
        <w:ind w:left="2160" w:hanging="180"/>
      </w:pPr>
    </w:lvl>
    <w:lvl w:ilvl="3" w:tplc="2A102E64">
      <w:start w:val="1"/>
      <w:numFmt w:val="decimal"/>
      <w:lvlText w:val="%4."/>
      <w:lvlJc w:val="left"/>
      <w:pPr>
        <w:ind w:left="2880" w:hanging="360"/>
      </w:pPr>
    </w:lvl>
    <w:lvl w:ilvl="4" w:tplc="3CEA71D0">
      <w:start w:val="1"/>
      <w:numFmt w:val="lowerLetter"/>
      <w:lvlText w:val="%5."/>
      <w:lvlJc w:val="left"/>
      <w:pPr>
        <w:ind w:left="3600" w:hanging="360"/>
      </w:pPr>
    </w:lvl>
    <w:lvl w:ilvl="5" w:tplc="CA42052E">
      <w:start w:val="1"/>
      <w:numFmt w:val="lowerRoman"/>
      <w:lvlText w:val="%6."/>
      <w:lvlJc w:val="right"/>
      <w:pPr>
        <w:ind w:left="4320" w:hanging="180"/>
      </w:pPr>
    </w:lvl>
    <w:lvl w:ilvl="6" w:tplc="057C9F7C">
      <w:start w:val="1"/>
      <w:numFmt w:val="decimal"/>
      <w:lvlText w:val="%7."/>
      <w:lvlJc w:val="left"/>
      <w:pPr>
        <w:ind w:left="5040" w:hanging="360"/>
      </w:pPr>
    </w:lvl>
    <w:lvl w:ilvl="7" w:tplc="DE18CD5E">
      <w:start w:val="1"/>
      <w:numFmt w:val="lowerLetter"/>
      <w:lvlText w:val="%8."/>
      <w:lvlJc w:val="left"/>
      <w:pPr>
        <w:ind w:left="5760" w:hanging="360"/>
      </w:pPr>
    </w:lvl>
    <w:lvl w:ilvl="8" w:tplc="05028398">
      <w:start w:val="1"/>
      <w:numFmt w:val="lowerRoman"/>
      <w:lvlText w:val="%9."/>
      <w:lvlJc w:val="right"/>
      <w:pPr>
        <w:ind w:left="6480" w:hanging="180"/>
      </w:pPr>
    </w:lvl>
  </w:abstractNum>
  <w:abstractNum w:abstractNumId="2" w15:restartNumberingAfterBreak="0">
    <w:nsid w:val="0381F7FC"/>
    <w:multiLevelType w:val="hybridMultilevel"/>
    <w:tmpl w:val="48A2C4E8"/>
    <w:lvl w:ilvl="0" w:tplc="7A8E18D4">
      <w:start w:val="1"/>
      <w:numFmt w:val="lowerLetter"/>
      <w:lvlText w:val="%1."/>
      <w:lvlJc w:val="left"/>
      <w:pPr>
        <w:ind w:left="720" w:hanging="360"/>
      </w:pPr>
    </w:lvl>
    <w:lvl w:ilvl="1" w:tplc="00D8A588">
      <w:start w:val="1"/>
      <w:numFmt w:val="lowerLetter"/>
      <w:lvlText w:val="%2."/>
      <w:lvlJc w:val="left"/>
      <w:pPr>
        <w:ind w:left="1440" w:hanging="360"/>
      </w:pPr>
    </w:lvl>
    <w:lvl w:ilvl="2" w:tplc="FFB452A6">
      <w:start w:val="1"/>
      <w:numFmt w:val="lowerRoman"/>
      <w:lvlText w:val="%3."/>
      <w:lvlJc w:val="right"/>
      <w:pPr>
        <w:ind w:left="2160" w:hanging="180"/>
      </w:pPr>
    </w:lvl>
    <w:lvl w:ilvl="3" w:tplc="4162B8BC">
      <w:start w:val="1"/>
      <w:numFmt w:val="decimal"/>
      <w:lvlText w:val="%4."/>
      <w:lvlJc w:val="left"/>
      <w:pPr>
        <w:ind w:left="2880" w:hanging="360"/>
      </w:pPr>
    </w:lvl>
    <w:lvl w:ilvl="4" w:tplc="B67A0CA8">
      <w:start w:val="1"/>
      <w:numFmt w:val="lowerLetter"/>
      <w:lvlText w:val="%5."/>
      <w:lvlJc w:val="left"/>
      <w:pPr>
        <w:ind w:left="3600" w:hanging="360"/>
      </w:pPr>
    </w:lvl>
    <w:lvl w:ilvl="5" w:tplc="EBA828BE">
      <w:start w:val="1"/>
      <w:numFmt w:val="lowerRoman"/>
      <w:lvlText w:val="%6."/>
      <w:lvlJc w:val="right"/>
      <w:pPr>
        <w:ind w:left="4320" w:hanging="180"/>
      </w:pPr>
    </w:lvl>
    <w:lvl w:ilvl="6" w:tplc="5288A680">
      <w:start w:val="1"/>
      <w:numFmt w:val="decimal"/>
      <w:lvlText w:val="%7."/>
      <w:lvlJc w:val="left"/>
      <w:pPr>
        <w:ind w:left="5040" w:hanging="360"/>
      </w:pPr>
    </w:lvl>
    <w:lvl w:ilvl="7" w:tplc="13F88340">
      <w:start w:val="1"/>
      <w:numFmt w:val="lowerLetter"/>
      <w:lvlText w:val="%8."/>
      <w:lvlJc w:val="left"/>
      <w:pPr>
        <w:ind w:left="5760" w:hanging="360"/>
      </w:pPr>
    </w:lvl>
    <w:lvl w:ilvl="8" w:tplc="ABDCCBD8">
      <w:start w:val="1"/>
      <w:numFmt w:val="lowerRoman"/>
      <w:lvlText w:val="%9."/>
      <w:lvlJc w:val="right"/>
      <w:pPr>
        <w:ind w:left="6480" w:hanging="180"/>
      </w:pPr>
    </w:lvl>
  </w:abstractNum>
  <w:abstractNum w:abstractNumId="3" w15:restartNumberingAfterBreak="0">
    <w:nsid w:val="03850C32"/>
    <w:multiLevelType w:val="hybridMultilevel"/>
    <w:tmpl w:val="C8BC8222"/>
    <w:lvl w:ilvl="0" w:tplc="BFCC6F60">
      <w:start w:val="3"/>
      <w:numFmt w:val="upperLetter"/>
      <w:lvlText w:val="%1."/>
      <w:lvlJc w:val="left"/>
      <w:pPr>
        <w:ind w:left="720" w:hanging="360"/>
      </w:pPr>
      <w:rPr>
        <w:b/>
        <w:bCs/>
      </w:rPr>
    </w:lvl>
    <w:lvl w:ilvl="1" w:tplc="9CE818D2">
      <w:start w:val="1"/>
      <w:numFmt w:val="lowerLetter"/>
      <w:lvlText w:val="%2."/>
      <w:lvlJc w:val="left"/>
      <w:pPr>
        <w:ind w:left="1440" w:hanging="360"/>
      </w:pPr>
    </w:lvl>
    <w:lvl w:ilvl="2" w:tplc="A0E630CA">
      <w:start w:val="1"/>
      <w:numFmt w:val="lowerRoman"/>
      <w:lvlText w:val="%3."/>
      <w:lvlJc w:val="right"/>
      <w:pPr>
        <w:ind w:left="2160" w:hanging="180"/>
      </w:pPr>
    </w:lvl>
    <w:lvl w:ilvl="3" w:tplc="30D26CE8">
      <w:start w:val="1"/>
      <w:numFmt w:val="decimal"/>
      <w:lvlText w:val="%4."/>
      <w:lvlJc w:val="left"/>
      <w:pPr>
        <w:ind w:left="2880" w:hanging="360"/>
      </w:pPr>
    </w:lvl>
    <w:lvl w:ilvl="4" w:tplc="7A8485EC">
      <w:start w:val="1"/>
      <w:numFmt w:val="lowerLetter"/>
      <w:lvlText w:val="%5."/>
      <w:lvlJc w:val="left"/>
      <w:pPr>
        <w:ind w:left="3600" w:hanging="360"/>
      </w:pPr>
    </w:lvl>
    <w:lvl w:ilvl="5" w:tplc="313C3CDA">
      <w:start w:val="1"/>
      <w:numFmt w:val="lowerRoman"/>
      <w:lvlText w:val="%6."/>
      <w:lvlJc w:val="right"/>
      <w:pPr>
        <w:ind w:left="4320" w:hanging="180"/>
      </w:pPr>
    </w:lvl>
    <w:lvl w:ilvl="6" w:tplc="D41AABB0">
      <w:start w:val="1"/>
      <w:numFmt w:val="decimal"/>
      <w:lvlText w:val="%7."/>
      <w:lvlJc w:val="left"/>
      <w:pPr>
        <w:ind w:left="5040" w:hanging="360"/>
      </w:pPr>
    </w:lvl>
    <w:lvl w:ilvl="7" w:tplc="FD44AC8E">
      <w:start w:val="1"/>
      <w:numFmt w:val="lowerLetter"/>
      <w:lvlText w:val="%8."/>
      <w:lvlJc w:val="left"/>
      <w:pPr>
        <w:ind w:left="5760" w:hanging="360"/>
      </w:pPr>
    </w:lvl>
    <w:lvl w:ilvl="8" w:tplc="428A1E1C">
      <w:start w:val="1"/>
      <w:numFmt w:val="lowerRoman"/>
      <w:lvlText w:val="%9."/>
      <w:lvlJc w:val="right"/>
      <w:pPr>
        <w:ind w:left="6480" w:hanging="180"/>
      </w:pPr>
    </w:lvl>
  </w:abstractNum>
  <w:abstractNum w:abstractNumId="4" w15:restartNumberingAfterBreak="0">
    <w:nsid w:val="0449233B"/>
    <w:multiLevelType w:val="hybridMultilevel"/>
    <w:tmpl w:val="F9803F80"/>
    <w:lvl w:ilvl="0" w:tplc="98AC7848">
      <w:start w:val="1"/>
      <w:numFmt w:val="decimal"/>
      <w:lvlText w:val="%1."/>
      <w:lvlJc w:val="left"/>
      <w:pPr>
        <w:ind w:left="720" w:hanging="360"/>
      </w:pPr>
    </w:lvl>
    <w:lvl w:ilvl="1" w:tplc="F348A29A">
      <w:start w:val="1"/>
      <w:numFmt w:val="lowerLetter"/>
      <w:lvlText w:val="%2."/>
      <w:lvlJc w:val="left"/>
      <w:pPr>
        <w:ind w:left="1440" w:hanging="360"/>
      </w:pPr>
    </w:lvl>
    <w:lvl w:ilvl="2" w:tplc="96164036">
      <w:start w:val="1"/>
      <w:numFmt w:val="lowerRoman"/>
      <w:lvlText w:val="%3."/>
      <w:lvlJc w:val="right"/>
      <w:pPr>
        <w:ind w:left="2160" w:hanging="180"/>
      </w:pPr>
    </w:lvl>
    <w:lvl w:ilvl="3" w:tplc="CC602E8C">
      <w:start w:val="1"/>
      <w:numFmt w:val="decimal"/>
      <w:lvlText w:val="%4."/>
      <w:lvlJc w:val="left"/>
      <w:pPr>
        <w:ind w:left="2880" w:hanging="360"/>
      </w:pPr>
    </w:lvl>
    <w:lvl w:ilvl="4" w:tplc="3ED857C4">
      <w:start w:val="1"/>
      <w:numFmt w:val="lowerLetter"/>
      <w:lvlText w:val="%5."/>
      <w:lvlJc w:val="left"/>
      <w:pPr>
        <w:ind w:left="3600" w:hanging="360"/>
      </w:pPr>
    </w:lvl>
    <w:lvl w:ilvl="5" w:tplc="7E285BB0">
      <w:start w:val="1"/>
      <w:numFmt w:val="lowerRoman"/>
      <w:lvlText w:val="%6."/>
      <w:lvlJc w:val="right"/>
      <w:pPr>
        <w:ind w:left="4320" w:hanging="180"/>
      </w:pPr>
    </w:lvl>
    <w:lvl w:ilvl="6" w:tplc="FC32B25E">
      <w:start w:val="1"/>
      <w:numFmt w:val="decimal"/>
      <w:lvlText w:val="%7."/>
      <w:lvlJc w:val="left"/>
      <w:pPr>
        <w:ind w:left="5040" w:hanging="360"/>
      </w:pPr>
    </w:lvl>
    <w:lvl w:ilvl="7" w:tplc="36DE4890">
      <w:start w:val="1"/>
      <w:numFmt w:val="lowerLetter"/>
      <w:lvlText w:val="%8."/>
      <w:lvlJc w:val="left"/>
      <w:pPr>
        <w:ind w:left="5760" w:hanging="360"/>
      </w:pPr>
    </w:lvl>
    <w:lvl w:ilvl="8" w:tplc="0BBC674C">
      <w:start w:val="1"/>
      <w:numFmt w:val="lowerRoman"/>
      <w:lvlText w:val="%9."/>
      <w:lvlJc w:val="right"/>
      <w:pPr>
        <w:ind w:left="6480" w:hanging="180"/>
      </w:pPr>
    </w:lvl>
  </w:abstractNum>
  <w:abstractNum w:abstractNumId="5" w15:restartNumberingAfterBreak="0">
    <w:nsid w:val="0AD4A326"/>
    <w:multiLevelType w:val="hybridMultilevel"/>
    <w:tmpl w:val="D50E0238"/>
    <w:lvl w:ilvl="0" w:tplc="700AA26E">
      <w:start w:val="1"/>
      <w:numFmt w:val="upperRoman"/>
      <w:lvlText w:val="%1."/>
      <w:lvlJc w:val="left"/>
      <w:pPr>
        <w:ind w:left="720" w:hanging="360"/>
      </w:pPr>
    </w:lvl>
    <w:lvl w:ilvl="1" w:tplc="F7FE724E">
      <w:start w:val="1"/>
      <w:numFmt w:val="lowerLetter"/>
      <w:lvlText w:val="%2."/>
      <w:lvlJc w:val="left"/>
      <w:pPr>
        <w:ind w:left="1440" w:hanging="360"/>
      </w:pPr>
    </w:lvl>
    <w:lvl w:ilvl="2" w:tplc="72BC28CE">
      <w:start w:val="1"/>
      <w:numFmt w:val="lowerRoman"/>
      <w:lvlText w:val="%3."/>
      <w:lvlJc w:val="right"/>
      <w:pPr>
        <w:ind w:left="2160" w:hanging="180"/>
      </w:pPr>
    </w:lvl>
    <w:lvl w:ilvl="3" w:tplc="E31AE5EA">
      <w:start w:val="1"/>
      <w:numFmt w:val="decimal"/>
      <w:lvlText w:val="%4."/>
      <w:lvlJc w:val="left"/>
      <w:pPr>
        <w:ind w:left="2880" w:hanging="360"/>
      </w:pPr>
    </w:lvl>
    <w:lvl w:ilvl="4" w:tplc="0400BCE2">
      <w:start w:val="1"/>
      <w:numFmt w:val="lowerLetter"/>
      <w:lvlText w:val="%5."/>
      <w:lvlJc w:val="left"/>
      <w:pPr>
        <w:ind w:left="3600" w:hanging="360"/>
      </w:pPr>
    </w:lvl>
    <w:lvl w:ilvl="5" w:tplc="D4B0F612">
      <w:start w:val="1"/>
      <w:numFmt w:val="lowerRoman"/>
      <w:lvlText w:val="%6."/>
      <w:lvlJc w:val="right"/>
      <w:pPr>
        <w:ind w:left="4320" w:hanging="180"/>
      </w:pPr>
    </w:lvl>
    <w:lvl w:ilvl="6" w:tplc="A02E9A9C">
      <w:start w:val="1"/>
      <w:numFmt w:val="decimal"/>
      <w:lvlText w:val="%7."/>
      <w:lvlJc w:val="left"/>
      <w:pPr>
        <w:ind w:left="5040" w:hanging="360"/>
      </w:pPr>
    </w:lvl>
    <w:lvl w:ilvl="7" w:tplc="C81ED29E">
      <w:start w:val="1"/>
      <w:numFmt w:val="lowerLetter"/>
      <w:lvlText w:val="%8."/>
      <w:lvlJc w:val="left"/>
      <w:pPr>
        <w:ind w:left="5760" w:hanging="360"/>
      </w:pPr>
    </w:lvl>
    <w:lvl w:ilvl="8" w:tplc="B1989978">
      <w:start w:val="1"/>
      <w:numFmt w:val="lowerRoman"/>
      <w:lvlText w:val="%9."/>
      <w:lvlJc w:val="right"/>
      <w:pPr>
        <w:ind w:left="6480" w:hanging="180"/>
      </w:pPr>
    </w:lvl>
  </w:abstractNum>
  <w:abstractNum w:abstractNumId="6" w15:restartNumberingAfterBreak="0">
    <w:nsid w:val="118AC0E5"/>
    <w:multiLevelType w:val="hybridMultilevel"/>
    <w:tmpl w:val="4CC81C04"/>
    <w:lvl w:ilvl="0" w:tplc="0ECE62BE">
      <w:start w:val="1"/>
      <w:numFmt w:val="upperLetter"/>
      <w:lvlText w:val="%1."/>
      <w:lvlJc w:val="left"/>
      <w:pPr>
        <w:ind w:left="720" w:hanging="360"/>
      </w:pPr>
    </w:lvl>
    <w:lvl w:ilvl="1" w:tplc="A96633C0">
      <w:start w:val="1"/>
      <w:numFmt w:val="lowerLetter"/>
      <w:lvlText w:val="%2."/>
      <w:lvlJc w:val="left"/>
      <w:pPr>
        <w:ind w:left="1440" w:hanging="360"/>
      </w:pPr>
    </w:lvl>
    <w:lvl w:ilvl="2" w:tplc="C682278A">
      <w:start w:val="1"/>
      <w:numFmt w:val="lowerRoman"/>
      <w:lvlText w:val="%3."/>
      <w:lvlJc w:val="right"/>
      <w:pPr>
        <w:ind w:left="2160" w:hanging="180"/>
      </w:pPr>
    </w:lvl>
    <w:lvl w:ilvl="3" w:tplc="4358EA1E">
      <w:start w:val="1"/>
      <w:numFmt w:val="decimal"/>
      <w:lvlText w:val="%4."/>
      <w:lvlJc w:val="left"/>
      <w:pPr>
        <w:ind w:left="2880" w:hanging="360"/>
      </w:pPr>
    </w:lvl>
    <w:lvl w:ilvl="4" w:tplc="13E0FFC0">
      <w:start w:val="1"/>
      <w:numFmt w:val="lowerLetter"/>
      <w:lvlText w:val="%5."/>
      <w:lvlJc w:val="left"/>
      <w:pPr>
        <w:ind w:left="3600" w:hanging="360"/>
      </w:pPr>
    </w:lvl>
    <w:lvl w:ilvl="5" w:tplc="30CC88CA">
      <w:start w:val="1"/>
      <w:numFmt w:val="lowerRoman"/>
      <w:lvlText w:val="%6."/>
      <w:lvlJc w:val="right"/>
      <w:pPr>
        <w:ind w:left="4320" w:hanging="180"/>
      </w:pPr>
    </w:lvl>
    <w:lvl w:ilvl="6" w:tplc="4B9024B6">
      <w:start w:val="1"/>
      <w:numFmt w:val="decimal"/>
      <w:lvlText w:val="%7."/>
      <w:lvlJc w:val="left"/>
      <w:pPr>
        <w:ind w:left="5040" w:hanging="360"/>
      </w:pPr>
    </w:lvl>
    <w:lvl w:ilvl="7" w:tplc="D6587CE0">
      <w:start w:val="1"/>
      <w:numFmt w:val="lowerLetter"/>
      <w:lvlText w:val="%8."/>
      <w:lvlJc w:val="left"/>
      <w:pPr>
        <w:ind w:left="5760" w:hanging="360"/>
      </w:pPr>
    </w:lvl>
    <w:lvl w:ilvl="8" w:tplc="432ECEC0">
      <w:start w:val="1"/>
      <w:numFmt w:val="lowerRoman"/>
      <w:lvlText w:val="%9."/>
      <w:lvlJc w:val="right"/>
      <w:pPr>
        <w:ind w:left="6480" w:hanging="180"/>
      </w:pPr>
    </w:lvl>
  </w:abstractNum>
  <w:abstractNum w:abstractNumId="7" w15:restartNumberingAfterBreak="0">
    <w:nsid w:val="12336746"/>
    <w:multiLevelType w:val="hybridMultilevel"/>
    <w:tmpl w:val="5CB27A0A"/>
    <w:lvl w:ilvl="0" w:tplc="03B6C9DA">
      <w:start w:val="1"/>
      <w:numFmt w:val="bullet"/>
      <w:lvlText w:val="-"/>
      <w:lvlJc w:val="left"/>
      <w:pPr>
        <w:ind w:left="720" w:hanging="360"/>
      </w:pPr>
      <w:rPr>
        <w:rFonts w:hint="default" w:ascii="Calibri" w:hAnsi="Calibri" w:cs="Calibri" w:eastAsiaTheme="minorHAnsi"/>
      </w:rPr>
    </w:lvl>
    <w:lvl w:ilvl="1" w:tplc="040C0003" w:tentative="1">
      <w:start w:val="1"/>
      <w:numFmt w:val="bullet"/>
      <w:lvlText w:val="o"/>
      <w:lvlJc w:val="left"/>
      <w:pPr>
        <w:ind w:left="1440" w:hanging="360"/>
      </w:pPr>
      <w:rPr>
        <w:rFonts w:hint="default" w:ascii="Courier New" w:hAnsi="Courier New" w:cs="Courier New"/>
      </w:rPr>
    </w:lvl>
    <w:lvl w:ilvl="2" w:tplc="040C0005" w:tentative="1">
      <w:start w:val="1"/>
      <w:numFmt w:val="bullet"/>
      <w:lvlText w:val=""/>
      <w:lvlJc w:val="left"/>
      <w:pPr>
        <w:ind w:left="2160" w:hanging="360"/>
      </w:pPr>
      <w:rPr>
        <w:rFonts w:hint="default" w:ascii="Wingdings" w:hAnsi="Wingdings"/>
      </w:rPr>
    </w:lvl>
    <w:lvl w:ilvl="3" w:tplc="040C0001" w:tentative="1">
      <w:start w:val="1"/>
      <w:numFmt w:val="bullet"/>
      <w:lvlText w:val=""/>
      <w:lvlJc w:val="left"/>
      <w:pPr>
        <w:ind w:left="2880" w:hanging="360"/>
      </w:pPr>
      <w:rPr>
        <w:rFonts w:hint="default" w:ascii="Symbol" w:hAnsi="Symbol"/>
      </w:rPr>
    </w:lvl>
    <w:lvl w:ilvl="4" w:tplc="040C0003" w:tentative="1">
      <w:start w:val="1"/>
      <w:numFmt w:val="bullet"/>
      <w:lvlText w:val="o"/>
      <w:lvlJc w:val="left"/>
      <w:pPr>
        <w:ind w:left="3600" w:hanging="360"/>
      </w:pPr>
      <w:rPr>
        <w:rFonts w:hint="default" w:ascii="Courier New" w:hAnsi="Courier New" w:cs="Courier New"/>
      </w:rPr>
    </w:lvl>
    <w:lvl w:ilvl="5" w:tplc="040C0005" w:tentative="1">
      <w:start w:val="1"/>
      <w:numFmt w:val="bullet"/>
      <w:lvlText w:val=""/>
      <w:lvlJc w:val="left"/>
      <w:pPr>
        <w:ind w:left="4320" w:hanging="360"/>
      </w:pPr>
      <w:rPr>
        <w:rFonts w:hint="default" w:ascii="Wingdings" w:hAnsi="Wingdings"/>
      </w:rPr>
    </w:lvl>
    <w:lvl w:ilvl="6" w:tplc="040C0001" w:tentative="1">
      <w:start w:val="1"/>
      <w:numFmt w:val="bullet"/>
      <w:lvlText w:val=""/>
      <w:lvlJc w:val="left"/>
      <w:pPr>
        <w:ind w:left="5040" w:hanging="360"/>
      </w:pPr>
      <w:rPr>
        <w:rFonts w:hint="default" w:ascii="Symbol" w:hAnsi="Symbol"/>
      </w:rPr>
    </w:lvl>
    <w:lvl w:ilvl="7" w:tplc="040C0003" w:tentative="1">
      <w:start w:val="1"/>
      <w:numFmt w:val="bullet"/>
      <w:lvlText w:val="o"/>
      <w:lvlJc w:val="left"/>
      <w:pPr>
        <w:ind w:left="5760" w:hanging="360"/>
      </w:pPr>
      <w:rPr>
        <w:rFonts w:hint="default" w:ascii="Courier New" w:hAnsi="Courier New" w:cs="Courier New"/>
      </w:rPr>
    </w:lvl>
    <w:lvl w:ilvl="8" w:tplc="040C0005" w:tentative="1">
      <w:start w:val="1"/>
      <w:numFmt w:val="bullet"/>
      <w:lvlText w:val=""/>
      <w:lvlJc w:val="left"/>
      <w:pPr>
        <w:ind w:left="6480" w:hanging="360"/>
      </w:pPr>
      <w:rPr>
        <w:rFonts w:hint="default" w:ascii="Wingdings" w:hAnsi="Wingdings"/>
      </w:rPr>
    </w:lvl>
  </w:abstractNum>
  <w:abstractNum w:abstractNumId="8" w15:restartNumberingAfterBreak="0">
    <w:nsid w:val="1872095B"/>
    <w:multiLevelType w:val="multilevel"/>
    <w:tmpl w:val="3DE045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A1D0E0B"/>
    <w:multiLevelType w:val="hybridMultilevel"/>
    <w:tmpl w:val="1818B79A"/>
    <w:lvl w:ilvl="0" w:tplc="FFFFFFFF">
      <w:start w:val="1"/>
      <w:numFmt w:val="bullet"/>
      <w:lvlText w:val="-"/>
      <w:lvlJc w:val="left"/>
      <w:pPr>
        <w:ind w:left="360" w:hanging="360"/>
      </w:pPr>
      <w:rPr>
        <w:rFonts w:hint="default" w:ascii="Calibri" w:hAnsi="Calibri"/>
      </w:rPr>
    </w:lvl>
    <w:lvl w:ilvl="1" w:tplc="080C0003">
      <w:start w:val="1"/>
      <w:numFmt w:val="bullet"/>
      <w:lvlText w:val="o"/>
      <w:lvlJc w:val="left"/>
      <w:pPr>
        <w:ind w:left="644" w:hanging="360"/>
      </w:pPr>
      <w:rPr>
        <w:rFonts w:hint="default" w:ascii="Courier New" w:hAnsi="Courier New" w:cs="Courier New"/>
      </w:rPr>
    </w:lvl>
    <w:lvl w:ilvl="2" w:tplc="080C0005">
      <w:start w:val="1"/>
      <w:numFmt w:val="bullet"/>
      <w:lvlText w:val=""/>
      <w:lvlJc w:val="left"/>
      <w:pPr>
        <w:ind w:left="927" w:hanging="360"/>
      </w:pPr>
      <w:rPr>
        <w:rFonts w:hint="default" w:ascii="Wingdings" w:hAnsi="Wingdings"/>
      </w:rPr>
    </w:lvl>
    <w:lvl w:ilvl="3" w:tplc="080C0001">
      <w:start w:val="1"/>
      <w:numFmt w:val="bullet"/>
      <w:lvlText w:val=""/>
      <w:lvlJc w:val="left"/>
      <w:pPr>
        <w:ind w:left="2520" w:hanging="360"/>
      </w:pPr>
      <w:rPr>
        <w:rFonts w:hint="default" w:ascii="Symbol" w:hAnsi="Symbol"/>
      </w:rPr>
    </w:lvl>
    <w:lvl w:ilvl="4" w:tplc="080C0003">
      <w:start w:val="1"/>
      <w:numFmt w:val="bullet"/>
      <w:lvlText w:val="o"/>
      <w:lvlJc w:val="left"/>
      <w:pPr>
        <w:ind w:left="3240" w:hanging="360"/>
      </w:pPr>
      <w:rPr>
        <w:rFonts w:hint="default" w:ascii="Courier New" w:hAnsi="Courier New" w:cs="Courier New"/>
      </w:rPr>
    </w:lvl>
    <w:lvl w:ilvl="5" w:tplc="080C0005">
      <w:start w:val="1"/>
      <w:numFmt w:val="bullet"/>
      <w:lvlText w:val=""/>
      <w:lvlJc w:val="left"/>
      <w:pPr>
        <w:ind w:left="3960" w:hanging="360"/>
      </w:pPr>
      <w:rPr>
        <w:rFonts w:hint="default" w:ascii="Wingdings" w:hAnsi="Wingdings"/>
      </w:rPr>
    </w:lvl>
    <w:lvl w:ilvl="6" w:tplc="080C0001">
      <w:start w:val="1"/>
      <w:numFmt w:val="bullet"/>
      <w:lvlText w:val=""/>
      <w:lvlJc w:val="left"/>
      <w:pPr>
        <w:ind w:left="4680" w:hanging="360"/>
      </w:pPr>
      <w:rPr>
        <w:rFonts w:hint="default" w:ascii="Symbol" w:hAnsi="Symbol"/>
      </w:rPr>
    </w:lvl>
    <w:lvl w:ilvl="7" w:tplc="080C0003">
      <w:start w:val="1"/>
      <w:numFmt w:val="bullet"/>
      <w:lvlText w:val="o"/>
      <w:lvlJc w:val="left"/>
      <w:pPr>
        <w:ind w:left="5400" w:hanging="360"/>
      </w:pPr>
      <w:rPr>
        <w:rFonts w:hint="default" w:ascii="Courier New" w:hAnsi="Courier New" w:cs="Courier New"/>
      </w:rPr>
    </w:lvl>
    <w:lvl w:ilvl="8" w:tplc="080C0005">
      <w:start w:val="1"/>
      <w:numFmt w:val="bullet"/>
      <w:lvlText w:val=""/>
      <w:lvlJc w:val="left"/>
      <w:pPr>
        <w:ind w:left="6120" w:hanging="360"/>
      </w:pPr>
      <w:rPr>
        <w:rFonts w:hint="default" w:ascii="Wingdings" w:hAnsi="Wingdings"/>
      </w:rPr>
    </w:lvl>
  </w:abstractNum>
  <w:abstractNum w:abstractNumId="10" w15:restartNumberingAfterBreak="0">
    <w:nsid w:val="1EBC6E82"/>
    <w:multiLevelType w:val="hybridMultilevel"/>
    <w:tmpl w:val="4ED0E806"/>
    <w:lvl w:ilvl="0" w:tplc="ACE41220">
      <w:start w:val="1"/>
      <w:numFmt w:val="decimal"/>
      <w:lvlText w:val="%1."/>
      <w:lvlJc w:val="left"/>
      <w:pPr>
        <w:ind w:left="720" w:hanging="360"/>
      </w:pPr>
    </w:lvl>
    <w:lvl w:ilvl="1" w:tplc="C67C1832">
      <w:start w:val="1"/>
      <w:numFmt w:val="lowerLetter"/>
      <w:lvlText w:val="%2."/>
      <w:lvlJc w:val="left"/>
      <w:pPr>
        <w:ind w:left="1440" w:hanging="360"/>
      </w:pPr>
    </w:lvl>
    <w:lvl w:ilvl="2" w:tplc="76ECB7F4">
      <w:start w:val="1"/>
      <w:numFmt w:val="lowerRoman"/>
      <w:lvlText w:val="%3."/>
      <w:lvlJc w:val="right"/>
      <w:pPr>
        <w:ind w:left="2160" w:hanging="180"/>
      </w:pPr>
    </w:lvl>
    <w:lvl w:ilvl="3" w:tplc="AD5C2F84">
      <w:start w:val="1"/>
      <w:numFmt w:val="decimal"/>
      <w:lvlText w:val="%4."/>
      <w:lvlJc w:val="left"/>
      <w:pPr>
        <w:ind w:left="2880" w:hanging="360"/>
      </w:pPr>
    </w:lvl>
    <w:lvl w:ilvl="4" w:tplc="333A8BCE">
      <w:start w:val="1"/>
      <w:numFmt w:val="lowerLetter"/>
      <w:lvlText w:val="%5."/>
      <w:lvlJc w:val="left"/>
      <w:pPr>
        <w:ind w:left="3600" w:hanging="360"/>
      </w:pPr>
    </w:lvl>
    <w:lvl w:ilvl="5" w:tplc="BF7C88E6">
      <w:start w:val="1"/>
      <w:numFmt w:val="lowerRoman"/>
      <w:lvlText w:val="%6."/>
      <w:lvlJc w:val="right"/>
      <w:pPr>
        <w:ind w:left="4320" w:hanging="180"/>
      </w:pPr>
    </w:lvl>
    <w:lvl w:ilvl="6" w:tplc="4F12F498">
      <w:start w:val="1"/>
      <w:numFmt w:val="decimal"/>
      <w:lvlText w:val="%7."/>
      <w:lvlJc w:val="left"/>
      <w:pPr>
        <w:ind w:left="5040" w:hanging="360"/>
      </w:pPr>
    </w:lvl>
    <w:lvl w:ilvl="7" w:tplc="32DC9D8A">
      <w:start w:val="1"/>
      <w:numFmt w:val="lowerLetter"/>
      <w:lvlText w:val="%8."/>
      <w:lvlJc w:val="left"/>
      <w:pPr>
        <w:ind w:left="5760" w:hanging="360"/>
      </w:pPr>
    </w:lvl>
    <w:lvl w:ilvl="8" w:tplc="2F0080E0">
      <w:start w:val="1"/>
      <w:numFmt w:val="lowerRoman"/>
      <w:lvlText w:val="%9."/>
      <w:lvlJc w:val="right"/>
      <w:pPr>
        <w:ind w:left="6480" w:hanging="180"/>
      </w:pPr>
    </w:lvl>
  </w:abstractNum>
  <w:abstractNum w:abstractNumId="11" w15:restartNumberingAfterBreak="0">
    <w:nsid w:val="2A2213BE"/>
    <w:multiLevelType w:val="hybridMultilevel"/>
    <w:tmpl w:val="E764A058"/>
    <w:lvl w:ilvl="0" w:tplc="4E2A152E">
      <w:numFmt w:val="bullet"/>
      <w:lvlText w:val="-"/>
      <w:lvlJc w:val="left"/>
      <w:pPr>
        <w:ind w:left="720" w:hanging="360"/>
      </w:pPr>
      <w:rPr>
        <w:rFonts w:hint="default" w:ascii="Calibri" w:hAnsi="Calibri" w:eastAsia="Calibri" w:cs="Calibri"/>
      </w:rPr>
    </w:lvl>
    <w:lvl w:ilvl="1" w:tplc="080C0003" w:tentative="1">
      <w:start w:val="1"/>
      <w:numFmt w:val="bullet"/>
      <w:lvlText w:val="o"/>
      <w:lvlJc w:val="left"/>
      <w:pPr>
        <w:ind w:left="1440" w:hanging="360"/>
      </w:pPr>
      <w:rPr>
        <w:rFonts w:hint="default" w:ascii="Courier New" w:hAnsi="Courier New" w:cs="Courier New"/>
      </w:rPr>
    </w:lvl>
    <w:lvl w:ilvl="2" w:tplc="080C0005" w:tentative="1">
      <w:start w:val="1"/>
      <w:numFmt w:val="bullet"/>
      <w:lvlText w:val=""/>
      <w:lvlJc w:val="left"/>
      <w:pPr>
        <w:ind w:left="2160" w:hanging="360"/>
      </w:pPr>
      <w:rPr>
        <w:rFonts w:hint="default" w:ascii="Wingdings" w:hAnsi="Wingdings"/>
      </w:rPr>
    </w:lvl>
    <w:lvl w:ilvl="3" w:tplc="080C0001" w:tentative="1">
      <w:start w:val="1"/>
      <w:numFmt w:val="bullet"/>
      <w:lvlText w:val=""/>
      <w:lvlJc w:val="left"/>
      <w:pPr>
        <w:ind w:left="2880" w:hanging="360"/>
      </w:pPr>
      <w:rPr>
        <w:rFonts w:hint="default" w:ascii="Symbol" w:hAnsi="Symbol"/>
      </w:rPr>
    </w:lvl>
    <w:lvl w:ilvl="4" w:tplc="080C0003" w:tentative="1">
      <w:start w:val="1"/>
      <w:numFmt w:val="bullet"/>
      <w:lvlText w:val="o"/>
      <w:lvlJc w:val="left"/>
      <w:pPr>
        <w:ind w:left="3600" w:hanging="360"/>
      </w:pPr>
      <w:rPr>
        <w:rFonts w:hint="default" w:ascii="Courier New" w:hAnsi="Courier New" w:cs="Courier New"/>
      </w:rPr>
    </w:lvl>
    <w:lvl w:ilvl="5" w:tplc="080C0005" w:tentative="1">
      <w:start w:val="1"/>
      <w:numFmt w:val="bullet"/>
      <w:lvlText w:val=""/>
      <w:lvlJc w:val="left"/>
      <w:pPr>
        <w:ind w:left="4320" w:hanging="360"/>
      </w:pPr>
      <w:rPr>
        <w:rFonts w:hint="default" w:ascii="Wingdings" w:hAnsi="Wingdings"/>
      </w:rPr>
    </w:lvl>
    <w:lvl w:ilvl="6" w:tplc="080C0001" w:tentative="1">
      <w:start w:val="1"/>
      <w:numFmt w:val="bullet"/>
      <w:lvlText w:val=""/>
      <w:lvlJc w:val="left"/>
      <w:pPr>
        <w:ind w:left="5040" w:hanging="360"/>
      </w:pPr>
      <w:rPr>
        <w:rFonts w:hint="default" w:ascii="Symbol" w:hAnsi="Symbol"/>
      </w:rPr>
    </w:lvl>
    <w:lvl w:ilvl="7" w:tplc="080C0003" w:tentative="1">
      <w:start w:val="1"/>
      <w:numFmt w:val="bullet"/>
      <w:lvlText w:val="o"/>
      <w:lvlJc w:val="left"/>
      <w:pPr>
        <w:ind w:left="5760" w:hanging="360"/>
      </w:pPr>
      <w:rPr>
        <w:rFonts w:hint="default" w:ascii="Courier New" w:hAnsi="Courier New" w:cs="Courier New"/>
      </w:rPr>
    </w:lvl>
    <w:lvl w:ilvl="8" w:tplc="080C0005" w:tentative="1">
      <w:start w:val="1"/>
      <w:numFmt w:val="bullet"/>
      <w:lvlText w:val=""/>
      <w:lvlJc w:val="left"/>
      <w:pPr>
        <w:ind w:left="6480" w:hanging="360"/>
      </w:pPr>
      <w:rPr>
        <w:rFonts w:hint="default" w:ascii="Wingdings" w:hAnsi="Wingdings"/>
      </w:rPr>
    </w:lvl>
  </w:abstractNum>
  <w:abstractNum w:abstractNumId="12" w15:restartNumberingAfterBreak="0">
    <w:nsid w:val="2A8C9CAD"/>
    <w:multiLevelType w:val="hybridMultilevel"/>
    <w:tmpl w:val="A48E6C8E"/>
    <w:lvl w:ilvl="0" w:tplc="DD62A268">
      <w:start w:val="9"/>
      <w:numFmt w:val="upperRoman"/>
      <w:lvlText w:val="%1."/>
      <w:lvlJc w:val="left"/>
      <w:pPr>
        <w:ind w:left="1080" w:hanging="360"/>
      </w:pPr>
    </w:lvl>
    <w:lvl w:ilvl="1" w:tplc="0A90AE34">
      <w:start w:val="1"/>
      <w:numFmt w:val="lowerLetter"/>
      <w:lvlText w:val="%2."/>
      <w:lvlJc w:val="left"/>
      <w:pPr>
        <w:ind w:left="1440" w:hanging="360"/>
      </w:pPr>
    </w:lvl>
    <w:lvl w:ilvl="2" w:tplc="9570935E">
      <w:start w:val="1"/>
      <w:numFmt w:val="lowerRoman"/>
      <w:lvlText w:val="%3."/>
      <w:lvlJc w:val="right"/>
      <w:pPr>
        <w:ind w:left="2160" w:hanging="180"/>
      </w:pPr>
    </w:lvl>
    <w:lvl w:ilvl="3" w:tplc="0FBAB18A">
      <w:start w:val="1"/>
      <w:numFmt w:val="decimal"/>
      <w:lvlText w:val="%4."/>
      <w:lvlJc w:val="left"/>
      <w:pPr>
        <w:ind w:left="2880" w:hanging="360"/>
      </w:pPr>
    </w:lvl>
    <w:lvl w:ilvl="4" w:tplc="AAF8874A">
      <w:start w:val="1"/>
      <w:numFmt w:val="lowerLetter"/>
      <w:lvlText w:val="%5."/>
      <w:lvlJc w:val="left"/>
      <w:pPr>
        <w:ind w:left="3600" w:hanging="360"/>
      </w:pPr>
    </w:lvl>
    <w:lvl w:ilvl="5" w:tplc="AEA45898">
      <w:start w:val="1"/>
      <w:numFmt w:val="lowerRoman"/>
      <w:lvlText w:val="%6."/>
      <w:lvlJc w:val="right"/>
      <w:pPr>
        <w:ind w:left="4320" w:hanging="180"/>
      </w:pPr>
    </w:lvl>
    <w:lvl w:ilvl="6" w:tplc="3842CC8C">
      <w:start w:val="1"/>
      <w:numFmt w:val="decimal"/>
      <w:lvlText w:val="%7."/>
      <w:lvlJc w:val="left"/>
      <w:pPr>
        <w:ind w:left="5040" w:hanging="360"/>
      </w:pPr>
    </w:lvl>
    <w:lvl w:ilvl="7" w:tplc="99A85702">
      <w:start w:val="1"/>
      <w:numFmt w:val="lowerLetter"/>
      <w:lvlText w:val="%8."/>
      <w:lvlJc w:val="left"/>
      <w:pPr>
        <w:ind w:left="5760" w:hanging="360"/>
      </w:pPr>
    </w:lvl>
    <w:lvl w:ilvl="8" w:tplc="61880C56">
      <w:start w:val="1"/>
      <w:numFmt w:val="lowerRoman"/>
      <w:lvlText w:val="%9."/>
      <w:lvlJc w:val="right"/>
      <w:pPr>
        <w:ind w:left="6480" w:hanging="180"/>
      </w:pPr>
    </w:lvl>
  </w:abstractNum>
  <w:abstractNum w:abstractNumId="13" w15:restartNumberingAfterBreak="0">
    <w:nsid w:val="2AB637F8"/>
    <w:multiLevelType w:val="hybridMultilevel"/>
    <w:tmpl w:val="E0FA5A9C"/>
    <w:lvl w:ilvl="0" w:tplc="9B06A22A">
      <w:start w:val="1"/>
      <w:numFmt w:val="decimal"/>
      <w:lvlText w:val="%1."/>
      <w:lvlJc w:val="left"/>
      <w:pPr>
        <w:ind w:left="720" w:hanging="360"/>
      </w:pPr>
    </w:lvl>
    <w:lvl w:ilvl="1" w:tplc="9C86628C">
      <w:start w:val="1"/>
      <w:numFmt w:val="lowerLetter"/>
      <w:lvlText w:val="%2."/>
      <w:lvlJc w:val="left"/>
      <w:pPr>
        <w:ind w:left="1440" w:hanging="360"/>
      </w:pPr>
    </w:lvl>
    <w:lvl w:ilvl="2" w:tplc="24146480">
      <w:start w:val="1"/>
      <w:numFmt w:val="lowerRoman"/>
      <w:lvlText w:val="%3."/>
      <w:lvlJc w:val="right"/>
      <w:pPr>
        <w:ind w:left="2160" w:hanging="180"/>
      </w:pPr>
    </w:lvl>
    <w:lvl w:ilvl="3" w:tplc="F7CC0470">
      <w:start w:val="1"/>
      <w:numFmt w:val="decimal"/>
      <w:lvlText w:val="%4."/>
      <w:lvlJc w:val="left"/>
      <w:pPr>
        <w:ind w:left="2880" w:hanging="360"/>
      </w:pPr>
    </w:lvl>
    <w:lvl w:ilvl="4" w:tplc="7CBCD420">
      <w:start w:val="1"/>
      <w:numFmt w:val="lowerLetter"/>
      <w:lvlText w:val="%5."/>
      <w:lvlJc w:val="left"/>
      <w:pPr>
        <w:ind w:left="3600" w:hanging="360"/>
      </w:pPr>
    </w:lvl>
    <w:lvl w:ilvl="5" w:tplc="82F44014">
      <w:start w:val="1"/>
      <w:numFmt w:val="lowerRoman"/>
      <w:lvlText w:val="%6."/>
      <w:lvlJc w:val="right"/>
      <w:pPr>
        <w:ind w:left="4320" w:hanging="180"/>
      </w:pPr>
    </w:lvl>
    <w:lvl w:ilvl="6" w:tplc="C88893BC">
      <w:start w:val="1"/>
      <w:numFmt w:val="decimal"/>
      <w:lvlText w:val="%7."/>
      <w:lvlJc w:val="left"/>
      <w:pPr>
        <w:ind w:left="5040" w:hanging="360"/>
      </w:pPr>
    </w:lvl>
    <w:lvl w:ilvl="7" w:tplc="1F8C97F8">
      <w:start w:val="1"/>
      <w:numFmt w:val="lowerLetter"/>
      <w:lvlText w:val="%8."/>
      <w:lvlJc w:val="left"/>
      <w:pPr>
        <w:ind w:left="5760" w:hanging="360"/>
      </w:pPr>
    </w:lvl>
    <w:lvl w:ilvl="8" w:tplc="6B54F202">
      <w:start w:val="1"/>
      <w:numFmt w:val="lowerRoman"/>
      <w:lvlText w:val="%9."/>
      <w:lvlJc w:val="right"/>
      <w:pPr>
        <w:ind w:left="6480" w:hanging="180"/>
      </w:pPr>
    </w:lvl>
  </w:abstractNum>
  <w:abstractNum w:abstractNumId="14" w15:restartNumberingAfterBreak="0">
    <w:nsid w:val="2B0B12AA"/>
    <w:multiLevelType w:val="hybridMultilevel"/>
    <w:tmpl w:val="E0F4B45A"/>
    <w:lvl w:ilvl="0" w:tplc="5CC21646">
      <w:start w:val="1"/>
      <w:numFmt w:val="bullet"/>
      <w:lvlText w:val="-"/>
      <w:lvlJc w:val="left"/>
      <w:pPr>
        <w:ind w:left="720" w:hanging="360"/>
      </w:pPr>
      <w:rPr>
        <w:rFonts w:hint="default" w:ascii="Calibri" w:hAnsi="Calibri"/>
      </w:rPr>
    </w:lvl>
    <w:lvl w:ilvl="1" w:tplc="E1A28D22">
      <w:start w:val="1"/>
      <w:numFmt w:val="bullet"/>
      <w:lvlText w:val="o"/>
      <w:lvlJc w:val="left"/>
      <w:pPr>
        <w:ind w:left="1440" w:hanging="360"/>
      </w:pPr>
      <w:rPr>
        <w:rFonts w:hint="default" w:ascii="Courier New" w:hAnsi="Courier New"/>
      </w:rPr>
    </w:lvl>
    <w:lvl w:ilvl="2" w:tplc="D71E1E86">
      <w:start w:val="1"/>
      <w:numFmt w:val="bullet"/>
      <w:lvlText w:val=""/>
      <w:lvlJc w:val="left"/>
      <w:pPr>
        <w:ind w:left="2160" w:hanging="360"/>
      </w:pPr>
      <w:rPr>
        <w:rFonts w:hint="default" w:ascii="Wingdings" w:hAnsi="Wingdings"/>
      </w:rPr>
    </w:lvl>
    <w:lvl w:ilvl="3" w:tplc="73B096E8">
      <w:start w:val="1"/>
      <w:numFmt w:val="bullet"/>
      <w:lvlText w:val=""/>
      <w:lvlJc w:val="left"/>
      <w:pPr>
        <w:ind w:left="2880" w:hanging="360"/>
      </w:pPr>
      <w:rPr>
        <w:rFonts w:hint="default" w:ascii="Symbol" w:hAnsi="Symbol"/>
      </w:rPr>
    </w:lvl>
    <w:lvl w:ilvl="4" w:tplc="E2CC2700">
      <w:start w:val="1"/>
      <w:numFmt w:val="bullet"/>
      <w:lvlText w:val="o"/>
      <w:lvlJc w:val="left"/>
      <w:pPr>
        <w:ind w:left="3600" w:hanging="360"/>
      </w:pPr>
      <w:rPr>
        <w:rFonts w:hint="default" w:ascii="Courier New" w:hAnsi="Courier New"/>
      </w:rPr>
    </w:lvl>
    <w:lvl w:ilvl="5" w:tplc="8A00B28C">
      <w:start w:val="1"/>
      <w:numFmt w:val="bullet"/>
      <w:lvlText w:val=""/>
      <w:lvlJc w:val="left"/>
      <w:pPr>
        <w:ind w:left="4320" w:hanging="360"/>
      </w:pPr>
      <w:rPr>
        <w:rFonts w:hint="default" w:ascii="Wingdings" w:hAnsi="Wingdings"/>
      </w:rPr>
    </w:lvl>
    <w:lvl w:ilvl="6" w:tplc="271E13EE">
      <w:start w:val="1"/>
      <w:numFmt w:val="bullet"/>
      <w:lvlText w:val=""/>
      <w:lvlJc w:val="left"/>
      <w:pPr>
        <w:ind w:left="5040" w:hanging="360"/>
      </w:pPr>
      <w:rPr>
        <w:rFonts w:hint="default" w:ascii="Symbol" w:hAnsi="Symbol"/>
      </w:rPr>
    </w:lvl>
    <w:lvl w:ilvl="7" w:tplc="D6503B34">
      <w:start w:val="1"/>
      <w:numFmt w:val="bullet"/>
      <w:lvlText w:val="o"/>
      <w:lvlJc w:val="left"/>
      <w:pPr>
        <w:ind w:left="5760" w:hanging="360"/>
      </w:pPr>
      <w:rPr>
        <w:rFonts w:hint="default" w:ascii="Courier New" w:hAnsi="Courier New"/>
      </w:rPr>
    </w:lvl>
    <w:lvl w:ilvl="8" w:tplc="AAEA61BC">
      <w:start w:val="1"/>
      <w:numFmt w:val="bullet"/>
      <w:lvlText w:val=""/>
      <w:lvlJc w:val="left"/>
      <w:pPr>
        <w:ind w:left="6480" w:hanging="360"/>
      </w:pPr>
      <w:rPr>
        <w:rFonts w:hint="default" w:ascii="Wingdings" w:hAnsi="Wingdings"/>
      </w:rPr>
    </w:lvl>
  </w:abstractNum>
  <w:abstractNum w:abstractNumId="15" w15:restartNumberingAfterBreak="0">
    <w:nsid w:val="2DF815C6"/>
    <w:multiLevelType w:val="hybridMultilevel"/>
    <w:tmpl w:val="68449842"/>
    <w:lvl w:ilvl="0" w:tplc="AC0A69AE">
      <w:start w:val="1"/>
      <w:numFmt w:val="upperLetter"/>
      <w:lvlText w:val="%1."/>
      <w:lvlJc w:val="left"/>
      <w:pPr>
        <w:ind w:left="720" w:hanging="360"/>
      </w:pPr>
    </w:lvl>
    <w:lvl w:ilvl="1" w:tplc="CF9AC5AC">
      <w:start w:val="1"/>
      <w:numFmt w:val="lowerLetter"/>
      <w:lvlText w:val="%2."/>
      <w:lvlJc w:val="left"/>
      <w:pPr>
        <w:ind w:left="1440" w:hanging="360"/>
      </w:pPr>
    </w:lvl>
    <w:lvl w:ilvl="2" w:tplc="0CE2BE94">
      <w:start w:val="1"/>
      <w:numFmt w:val="lowerRoman"/>
      <w:lvlText w:val="%3."/>
      <w:lvlJc w:val="right"/>
      <w:pPr>
        <w:ind w:left="889" w:hanging="180"/>
      </w:pPr>
    </w:lvl>
    <w:lvl w:ilvl="3" w:tplc="EEBC3D32">
      <w:start w:val="1"/>
      <w:numFmt w:val="decimal"/>
      <w:lvlText w:val="%4."/>
      <w:lvlJc w:val="left"/>
      <w:pPr>
        <w:ind w:left="2880" w:hanging="360"/>
      </w:pPr>
    </w:lvl>
    <w:lvl w:ilvl="4" w:tplc="F7926074">
      <w:start w:val="1"/>
      <w:numFmt w:val="lowerLetter"/>
      <w:lvlText w:val="%5."/>
      <w:lvlJc w:val="left"/>
      <w:pPr>
        <w:ind w:left="3600" w:hanging="360"/>
      </w:pPr>
    </w:lvl>
    <w:lvl w:ilvl="5" w:tplc="9D7647C2">
      <w:start w:val="1"/>
      <w:numFmt w:val="lowerRoman"/>
      <w:lvlText w:val="%6."/>
      <w:lvlJc w:val="right"/>
      <w:pPr>
        <w:ind w:left="4320" w:hanging="180"/>
      </w:pPr>
    </w:lvl>
    <w:lvl w:ilvl="6" w:tplc="5C8E21D8">
      <w:start w:val="1"/>
      <w:numFmt w:val="decimal"/>
      <w:lvlText w:val="%7."/>
      <w:lvlJc w:val="left"/>
      <w:pPr>
        <w:ind w:left="5040" w:hanging="360"/>
      </w:pPr>
    </w:lvl>
    <w:lvl w:ilvl="7" w:tplc="BDDA003C">
      <w:start w:val="1"/>
      <w:numFmt w:val="lowerLetter"/>
      <w:lvlText w:val="%8."/>
      <w:lvlJc w:val="left"/>
      <w:pPr>
        <w:ind w:left="5760" w:hanging="360"/>
      </w:pPr>
    </w:lvl>
    <w:lvl w:ilvl="8" w:tplc="5BA8CF94">
      <w:start w:val="1"/>
      <w:numFmt w:val="lowerRoman"/>
      <w:lvlText w:val="%9."/>
      <w:lvlJc w:val="right"/>
      <w:pPr>
        <w:ind w:left="6480" w:hanging="180"/>
      </w:pPr>
    </w:lvl>
  </w:abstractNum>
  <w:abstractNum w:abstractNumId="16" w15:restartNumberingAfterBreak="0">
    <w:nsid w:val="2FF14CAA"/>
    <w:multiLevelType w:val="hybridMultilevel"/>
    <w:tmpl w:val="B622EA08"/>
    <w:lvl w:ilvl="0" w:tplc="CFD8367A">
      <w:start w:val="1"/>
      <w:numFmt w:val="upperLetter"/>
      <w:pStyle w:val="Heading2"/>
      <w:lvlText w:val="%1."/>
      <w:lvlJc w:val="left"/>
      <w:pPr>
        <w:ind w:left="720" w:hanging="360"/>
      </w:pPr>
      <w:rPr>
        <w:rFonts w:hint="default"/>
      </w:rPr>
    </w:lvl>
    <w:lvl w:ilvl="1" w:tplc="0DACFFF4">
      <w:start w:val="1"/>
      <w:numFmt w:val="lowerLetter"/>
      <w:lvlText w:val="%2."/>
      <w:lvlJc w:val="left"/>
      <w:pPr>
        <w:ind w:left="1440" w:hanging="360"/>
      </w:pPr>
    </w:lvl>
    <w:lvl w:ilvl="2" w:tplc="C3005852">
      <w:start w:val="1"/>
      <w:numFmt w:val="lowerRoman"/>
      <w:lvlText w:val="%3."/>
      <w:lvlJc w:val="right"/>
      <w:pPr>
        <w:ind w:left="2160" w:hanging="180"/>
      </w:pPr>
    </w:lvl>
    <w:lvl w:ilvl="3" w:tplc="ABA200E8">
      <w:start w:val="1"/>
      <w:numFmt w:val="decimal"/>
      <w:lvlText w:val="%4."/>
      <w:lvlJc w:val="left"/>
      <w:pPr>
        <w:ind w:left="2880" w:hanging="360"/>
      </w:pPr>
    </w:lvl>
    <w:lvl w:ilvl="4" w:tplc="1CE4DB90">
      <w:start w:val="1"/>
      <w:numFmt w:val="lowerLetter"/>
      <w:lvlText w:val="%5."/>
      <w:lvlJc w:val="left"/>
      <w:pPr>
        <w:ind w:left="3600" w:hanging="360"/>
      </w:pPr>
    </w:lvl>
    <w:lvl w:ilvl="5" w:tplc="B91E65AA">
      <w:start w:val="1"/>
      <w:numFmt w:val="lowerRoman"/>
      <w:lvlText w:val="%6."/>
      <w:lvlJc w:val="right"/>
      <w:pPr>
        <w:ind w:left="4320" w:hanging="180"/>
      </w:pPr>
    </w:lvl>
    <w:lvl w:ilvl="6" w:tplc="8D0A5576">
      <w:start w:val="1"/>
      <w:numFmt w:val="decimal"/>
      <w:lvlText w:val="%7."/>
      <w:lvlJc w:val="left"/>
      <w:pPr>
        <w:ind w:left="5040" w:hanging="360"/>
      </w:pPr>
    </w:lvl>
    <w:lvl w:ilvl="7" w:tplc="0CD0C9B0">
      <w:start w:val="1"/>
      <w:numFmt w:val="lowerLetter"/>
      <w:lvlText w:val="%8."/>
      <w:lvlJc w:val="left"/>
      <w:pPr>
        <w:ind w:left="5760" w:hanging="360"/>
      </w:pPr>
    </w:lvl>
    <w:lvl w:ilvl="8" w:tplc="DF72D614">
      <w:start w:val="1"/>
      <w:numFmt w:val="lowerRoman"/>
      <w:lvlText w:val="%9."/>
      <w:lvlJc w:val="right"/>
      <w:pPr>
        <w:ind w:left="6480" w:hanging="180"/>
      </w:pPr>
    </w:lvl>
  </w:abstractNum>
  <w:abstractNum w:abstractNumId="17" w15:restartNumberingAfterBreak="0">
    <w:nsid w:val="32AE2E25"/>
    <w:multiLevelType w:val="hybridMultilevel"/>
    <w:tmpl w:val="FB9A0522"/>
    <w:lvl w:ilvl="0" w:tplc="364206F2">
      <w:start w:val="1"/>
      <w:numFmt w:val="bullet"/>
      <w:lvlText w:val="-"/>
      <w:lvlJc w:val="left"/>
      <w:pPr>
        <w:ind w:left="720" w:hanging="360"/>
      </w:pPr>
      <w:rPr>
        <w:rFonts w:hint="default" w:ascii="Aptos" w:hAnsi="Aptos"/>
      </w:rPr>
    </w:lvl>
    <w:lvl w:ilvl="1" w:tplc="EDB24F30">
      <w:start w:val="1"/>
      <w:numFmt w:val="bullet"/>
      <w:lvlText w:val="o"/>
      <w:lvlJc w:val="left"/>
      <w:pPr>
        <w:ind w:left="1440" w:hanging="360"/>
      </w:pPr>
      <w:rPr>
        <w:rFonts w:hint="default" w:ascii="Courier New" w:hAnsi="Courier New"/>
      </w:rPr>
    </w:lvl>
    <w:lvl w:ilvl="2" w:tplc="77488F8E">
      <w:start w:val="1"/>
      <w:numFmt w:val="bullet"/>
      <w:lvlText w:val=""/>
      <w:lvlJc w:val="left"/>
      <w:pPr>
        <w:ind w:left="2160" w:hanging="360"/>
      </w:pPr>
      <w:rPr>
        <w:rFonts w:hint="default" w:ascii="Wingdings" w:hAnsi="Wingdings"/>
      </w:rPr>
    </w:lvl>
    <w:lvl w:ilvl="3" w:tplc="A48E517A">
      <w:start w:val="1"/>
      <w:numFmt w:val="bullet"/>
      <w:lvlText w:val=""/>
      <w:lvlJc w:val="left"/>
      <w:pPr>
        <w:ind w:left="2880" w:hanging="360"/>
      </w:pPr>
      <w:rPr>
        <w:rFonts w:hint="default" w:ascii="Symbol" w:hAnsi="Symbol"/>
      </w:rPr>
    </w:lvl>
    <w:lvl w:ilvl="4" w:tplc="4EC2FE94">
      <w:start w:val="1"/>
      <w:numFmt w:val="bullet"/>
      <w:lvlText w:val="o"/>
      <w:lvlJc w:val="left"/>
      <w:pPr>
        <w:ind w:left="3600" w:hanging="360"/>
      </w:pPr>
      <w:rPr>
        <w:rFonts w:hint="default" w:ascii="Courier New" w:hAnsi="Courier New"/>
      </w:rPr>
    </w:lvl>
    <w:lvl w:ilvl="5" w:tplc="03D6A674">
      <w:start w:val="1"/>
      <w:numFmt w:val="bullet"/>
      <w:lvlText w:val=""/>
      <w:lvlJc w:val="left"/>
      <w:pPr>
        <w:ind w:left="4320" w:hanging="360"/>
      </w:pPr>
      <w:rPr>
        <w:rFonts w:hint="default" w:ascii="Wingdings" w:hAnsi="Wingdings"/>
      </w:rPr>
    </w:lvl>
    <w:lvl w:ilvl="6" w:tplc="2E5E29EE">
      <w:start w:val="1"/>
      <w:numFmt w:val="bullet"/>
      <w:lvlText w:val=""/>
      <w:lvlJc w:val="left"/>
      <w:pPr>
        <w:ind w:left="5040" w:hanging="360"/>
      </w:pPr>
      <w:rPr>
        <w:rFonts w:hint="default" w:ascii="Symbol" w:hAnsi="Symbol"/>
      </w:rPr>
    </w:lvl>
    <w:lvl w:ilvl="7" w:tplc="15D4DD78">
      <w:start w:val="1"/>
      <w:numFmt w:val="bullet"/>
      <w:lvlText w:val="o"/>
      <w:lvlJc w:val="left"/>
      <w:pPr>
        <w:ind w:left="5760" w:hanging="360"/>
      </w:pPr>
      <w:rPr>
        <w:rFonts w:hint="default" w:ascii="Courier New" w:hAnsi="Courier New"/>
      </w:rPr>
    </w:lvl>
    <w:lvl w:ilvl="8" w:tplc="023C2684">
      <w:start w:val="1"/>
      <w:numFmt w:val="bullet"/>
      <w:lvlText w:val=""/>
      <w:lvlJc w:val="left"/>
      <w:pPr>
        <w:ind w:left="6480" w:hanging="360"/>
      </w:pPr>
      <w:rPr>
        <w:rFonts w:hint="default" w:ascii="Wingdings" w:hAnsi="Wingdings"/>
      </w:rPr>
    </w:lvl>
  </w:abstractNum>
  <w:abstractNum w:abstractNumId="18" w15:restartNumberingAfterBreak="0">
    <w:nsid w:val="344916F5"/>
    <w:multiLevelType w:val="hybridMultilevel"/>
    <w:tmpl w:val="5816DA50"/>
    <w:lvl w:ilvl="0" w:tplc="FFFFFFFF">
      <w:start w:val="1"/>
      <w:numFmt w:val="upperRoman"/>
      <w:pStyle w:val="Heading1"/>
      <w:lvlText w:val="%1."/>
      <w:lvlJc w:val="left"/>
      <w:pPr>
        <w:ind w:left="1080" w:hanging="72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34E91D54"/>
    <w:multiLevelType w:val="hybridMultilevel"/>
    <w:tmpl w:val="11D2F9BE"/>
    <w:lvl w:ilvl="0" w:tplc="FFFFFFFF">
      <w:start w:val="4"/>
      <w:numFmt w:val="upperLetter"/>
      <w:lvlText w:val="%1."/>
      <w:lvlJc w:val="left"/>
      <w:pPr>
        <w:ind w:left="720" w:hanging="360"/>
      </w:pPr>
    </w:lvl>
    <w:lvl w:ilvl="1" w:tplc="1F10F5AA">
      <w:start w:val="1"/>
      <w:numFmt w:val="lowerLetter"/>
      <w:lvlText w:val="%2."/>
      <w:lvlJc w:val="left"/>
      <w:pPr>
        <w:ind w:left="1440" w:hanging="360"/>
      </w:pPr>
    </w:lvl>
    <w:lvl w:ilvl="2" w:tplc="426EE4D0">
      <w:start w:val="1"/>
      <w:numFmt w:val="lowerRoman"/>
      <w:lvlText w:val="%3."/>
      <w:lvlJc w:val="right"/>
      <w:pPr>
        <w:ind w:left="2160" w:hanging="180"/>
      </w:pPr>
    </w:lvl>
    <w:lvl w:ilvl="3" w:tplc="81B0D4AA">
      <w:start w:val="1"/>
      <w:numFmt w:val="decimal"/>
      <w:lvlText w:val="%4."/>
      <w:lvlJc w:val="left"/>
      <w:pPr>
        <w:ind w:left="2880" w:hanging="360"/>
      </w:pPr>
    </w:lvl>
    <w:lvl w:ilvl="4" w:tplc="1DDE38BC">
      <w:start w:val="1"/>
      <w:numFmt w:val="lowerLetter"/>
      <w:lvlText w:val="%5."/>
      <w:lvlJc w:val="left"/>
      <w:pPr>
        <w:ind w:left="3600" w:hanging="360"/>
      </w:pPr>
    </w:lvl>
    <w:lvl w:ilvl="5" w:tplc="E1F04BF4">
      <w:start w:val="1"/>
      <w:numFmt w:val="lowerRoman"/>
      <w:lvlText w:val="%6."/>
      <w:lvlJc w:val="right"/>
      <w:pPr>
        <w:ind w:left="4320" w:hanging="180"/>
      </w:pPr>
    </w:lvl>
    <w:lvl w:ilvl="6" w:tplc="54A4A77E">
      <w:start w:val="1"/>
      <w:numFmt w:val="decimal"/>
      <w:lvlText w:val="%7."/>
      <w:lvlJc w:val="left"/>
      <w:pPr>
        <w:ind w:left="5040" w:hanging="360"/>
      </w:pPr>
    </w:lvl>
    <w:lvl w:ilvl="7" w:tplc="23FA8B26">
      <w:start w:val="1"/>
      <w:numFmt w:val="lowerLetter"/>
      <w:lvlText w:val="%8."/>
      <w:lvlJc w:val="left"/>
      <w:pPr>
        <w:ind w:left="5760" w:hanging="360"/>
      </w:pPr>
    </w:lvl>
    <w:lvl w:ilvl="8" w:tplc="93C0C33E">
      <w:start w:val="1"/>
      <w:numFmt w:val="lowerRoman"/>
      <w:lvlText w:val="%9."/>
      <w:lvlJc w:val="right"/>
      <w:pPr>
        <w:ind w:left="6480" w:hanging="180"/>
      </w:pPr>
    </w:lvl>
  </w:abstractNum>
  <w:abstractNum w:abstractNumId="20" w15:restartNumberingAfterBreak="0">
    <w:nsid w:val="3AA75BD7"/>
    <w:multiLevelType w:val="hybridMultilevel"/>
    <w:tmpl w:val="2D767B4E"/>
    <w:lvl w:ilvl="0" w:tplc="DD522574">
      <w:start w:val="1"/>
      <w:numFmt w:val="bullet"/>
      <w:lvlText w:val=""/>
      <w:lvlJc w:val="left"/>
      <w:pPr>
        <w:ind w:left="720" w:hanging="360"/>
      </w:pPr>
      <w:rPr>
        <w:rFonts w:hint="default" w:ascii="Symbol" w:hAnsi="Symbol"/>
      </w:rPr>
    </w:lvl>
    <w:lvl w:ilvl="1" w:tplc="1E2A7E5E">
      <w:start w:val="1"/>
      <w:numFmt w:val="bullet"/>
      <w:lvlText w:val="o"/>
      <w:lvlJc w:val="left"/>
      <w:pPr>
        <w:ind w:left="1440" w:hanging="360"/>
      </w:pPr>
      <w:rPr>
        <w:rFonts w:hint="default" w:ascii="Courier New" w:hAnsi="Courier New"/>
      </w:rPr>
    </w:lvl>
    <w:lvl w:ilvl="2" w:tplc="68EC80CE">
      <w:start w:val="1"/>
      <w:numFmt w:val="bullet"/>
      <w:lvlText w:val=""/>
      <w:lvlJc w:val="left"/>
      <w:pPr>
        <w:ind w:left="2160" w:hanging="360"/>
      </w:pPr>
      <w:rPr>
        <w:rFonts w:hint="default" w:ascii="Wingdings" w:hAnsi="Wingdings"/>
      </w:rPr>
    </w:lvl>
    <w:lvl w:ilvl="3" w:tplc="C22206B2">
      <w:start w:val="1"/>
      <w:numFmt w:val="bullet"/>
      <w:lvlText w:val=""/>
      <w:lvlJc w:val="left"/>
      <w:pPr>
        <w:ind w:left="2880" w:hanging="360"/>
      </w:pPr>
      <w:rPr>
        <w:rFonts w:hint="default" w:ascii="Symbol" w:hAnsi="Symbol"/>
      </w:rPr>
    </w:lvl>
    <w:lvl w:ilvl="4" w:tplc="16E25310">
      <w:start w:val="1"/>
      <w:numFmt w:val="bullet"/>
      <w:lvlText w:val="o"/>
      <w:lvlJc w:val="left"/>
      <w:pPr>
        <w:ind w:left="3600" w:hanging="360"/>
      </w:pPr>
      <w:rPr>
        <w:rFonts w:hint="default" w:ascii="Courier New" w:hAnsi="Courier New"/>
      </w:rPr>
    </w:lvl>
    <w:lvl w:ilvl="5" w:tplc="1EEEE972">
      <w:start w:val="1"/>
      <w:numFmt w:val="bullet"/>
      <w:lvlText w:val=""/>
      <w:lvlJc w:val="left"/>
      <w:pPr>
        <w:ind w:left="4320" w:hanging="360"/>
      </w:pPr>
      <w:rPr>
        <w:rFonts w:hint="default" w:ascii="Wingdings" w:hAnsi="Wingdings"/>
      </w:rPr>
    </w:lvl>
    <w:lvl w:ilvl="6" w:tplc="54A6CD82">
      <w:start w:val="1"/>
      <w:numFmt w:val="bullet"/>
      <w:lvlText w:val=""/>
      <w:lvlJc w:val="left"/>
      <w:pPr>
        <w:ind w:left="5040" w:hanging="360"/>
      </w:pPr>
      <w:rPr>
        <w:rFonts w:hint="default" w:ascii="Symbol" w:hAnsi="Symbol"/>
      </w:rPr>
    </w:lvl>
    <w:lvl w:ilvl="7" w:tplc="9450435C">
      <w:start w:val="1"/>
      <w:numFmt w:val="bullet"/>
      <w:lvlText w:val="o"/>
      <w:lvlJc w:val="left"/>
      <w:pPr>
        <w:ind w:left="5760" w:hanging="360"/>
      </w:pPr>
      <w:rPr>
        <w:rFonts w:hint="default" w:ascii="Courier New" w:hAnsi="Courier New"/>
      </w:rPr>
    </w:lvl>
    <w:lvl w:ilvl="8" w:tplc="B060E5BC">
      <w:start w:val="1"/>
      <w:numFmt w:val="bullet"/>
      <w:lvlText w:val=""/>
      <w:lvlJc w:val="left"/>
      <w:pPr>
        <w:ind w:left="6480" w:hanging="360"/>
      </w:pPr>
      <w:rPr>
        <w:rFonts w:hint="default" w:ascii="Wingdings" w:hAnsi="Wingdings"/>
      </w:rPr>
    </w:lvl>
  </w:abstractNum>
  <w:abstractNum w:abstractNumId="21" w15:restartNumberingAfterBreak="0">
    <w:nsid w:val="3C281635"/>
    <w:multiLevelType w:val="multilevel"/>
    <w:tmpl w:val="743C9820"/>
    <w:lvl w:ilvl="0">
      <w:start w:val="1"/>
      <w:numFmt w:val="decimal"/>
      <w:pStyle w:val="Niv1"/>
      <w:lvlText w:val="%1."/>
      <w:lvlJc w:val="left"/>
      <w:pPr>
        <w:ind w:left="360" w:hanging="360"/>
      </w:pPr>
    </w:lvl>
    <w:lvl w:ilvl="1">
      <w:start w:val="1"/>
      <w:numFmt w:val="decimal"/>
      <w:pStyle w:val="Niv2"/>
      <w:lvlText w:val="%1.%2."/>
      <w:lvlJc w:val="left"/>
      <w:pPr>
        <w:ind w:left="2700" w:hanging="432"/>
      </w:pPr>
      <w:rPr>
        <w:rFonts w:hint="default" w:asciiTheme="minorHAnsi" w:hAnsiTheme="minorHAnsi" w:cstheme="minorHAnsi"/>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iv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C8DEF53"/>
    <w:multiLevelType w:val="hybridMultilevel"/>
    <w:tmpl w:val="FFFFFFFF"/>
    <w:lvl w:ilvl="0" w:tplc="C616F1AA">
      <w:start w:val="1"/>
      <w:numFmt w:val="bullet"/>
      <w:lvlText w:val="-"/>
      <w:lvlJc w:val="left"/>
      <w:pPr>
        <w:ind w:left="720" w:hanging="360"/>
      </w:pPr>
      <w:rPr>
        <w:rFonts w:hint="default" w:ascii="Calibri" w:hAnsi="Calibri"/>
      </w:rPr>
    </w:lvl>
    <w:lvl w:ilvl="1" w:tplc="BF6ACBAA">
      <w:start w:val="1"/>
      <w:numFmt w:val="bullet"/>
      <w:lvlText w:val="o"/>
      <w:lvlJc w:val="left"/>
      <w:pPr>
        <w:ind w:left="1440" w:hanging="360"/>
      </w:pPr>
      <w:rPr>
        <w:rFonts w:hint="default" w:ascii="Courier New" w:hAnsi="Courier New"/>
      </w:rPr>
    </w:lvl>
    <w:lvl w:ilvl="2" w:tplc="D4DEF532">
      <w:start w:val="1"/>
      <w:numFmt w:val="bullet"/>
      <w:lvlText w:val=""/>
      <w:lvlJc w:val="left"/>
      <w:pPr>
        <w:ind w:left="2160" w:hanging="360"/>
      </w:pPr>
      <w:rPr>
        <w:rFonts w:hint="default" w:ascii="Wingdings" w:hAnsi="Wingdings"/>
      </w:rPr>
    </w:lvl>
    <w:lvl w:ilvl="3" w:tplc="3BB4ED02">
      <w:start w:val="1"/>
      <w:numFmt w:val="bullet"/>
      <w:lvlText w:val=""/>
      <w:lvlJc w:val="left"/>
      <w:pPr>
        <w:ind w:left="2880" w:hanging="360"/>
      </w:pPr>
      <w:rPr>
        <w:rFonts w:hint="default" w:ascii="Symbol" w:hAnsi="Symbol"/>
      </w:rPr>
    </w:lvl>
    <w:lvl w:ilvl="4" w:tplc="2578B6EA">
      <w:start w:val="1"/>
      <w:numFmt w:val="bullet"/>
      <w:lvlText w:val="o"/>
      <w:lvlJc w:val="left"/>
      <w:pPr>
        <w:ind w:left="3600" w:hanging="360"/>
      </w:pPr>
      <w:rPr>
        <w:rFonts w:hint="default" w:ascii="Courier New" w:hAnsi="Courier New"/>
      </w:rPr>
    </w:lvl>
    <w:lvl w:ilvl="5" w:tplc="C1044644">
      <w:start w:val="1"/>
      <w:numFmt w:val="bullet"/>
      <w:lvlText w:val=""/>
      <w:lvlJc w:val="left"/>
      <w:pPr>
        <w:ind w:left="4320" w:hanging="360"/>
      </w:pPr>
      <w:rPr>
        <w:rFonts w:hint="default" w:ascii="Wingdings" w:hAnsi="Wingdings"/>
      </w:rPr>
    </w:lvl>
    <w:lvl w:ilvl="6" w:tplc="2A06787C">
      <w:start w:val="1"/>
      <w:numFmt w:val="bullet"/>
      <w:lvlText w:val=""/>
      <w:lvlJc w:val="left"/>
      <w:pPr>
        <w:ind w:left="5040" w:hanging="360"/>
      </w:pPr>
      <w:rPr>
        <w:rFonts w:hint="default" w:ascii="Symbol" w:hAnsi="Symbol"/>
      </w:rPr>
    </w:lvl>
    <w:lvl w:ilvl="7" w:tplc="9C062F78">
      <w:start w:val="1"/>
      <w:numFmt w:val="bullet"/>
      <w:lvlText w:val="o"/>
      <w:lvlJc w:val="left"/>
      <w:pPr>
        <w:ind w:left="5760" w:hanging="360"/>
      </w:pPr>
      <w:rPr>
        <w:rFonts w:hint="default" w:ascii="Courier New" w:hAnsi="Courier New"/>
      </w:rPr>
    </w:lvl>
    <w:lvl w:ilvl="8" w:tplc="782493CA">
      <w:start w:val="1"/>
      <w:numFmt w:val="bullet"/>
      <w:lvlText w:val=""/>
      <w:lvlJc w:val="left"/>
      <w:pPr>
        <w:ind w:left="6480" w:hanging="360"/>
      </w:pPr>
      <w:rPr>
        <w:rFonts w:hint="default" w:ascii="Wingdings" w:hAnsi="Wingdings"/>
      </w:rPr>
    </w:lvl>
  </w:abstractNum>
  <w:abstractNum w:abstractNumId="23" w15:restartNumberingAfterBreak="0">
    <w:nsid w:val="4055B157"/>
    <w:multiLevelType w:val="hybridMultilevel"/>
    <w:tmpl w:val="8452B8BE"/>
    <w:lvl w:ilvl="0" w:tplc="F2868B18">
      <w:start w:val="1"/>
      <w:numFmt w:val="upperLetter"/>
      <w:lvlText w:val="%1."/>
      <w:lvlJc w:val="left"/>
      <w:pPr>
        <w:ind w:left="720" w:hanging="360"/>
      </w:pPr>
    </w:lvl>
    <w:lvl w:ilvl="1" w:tplc="80BABF96">
      <w:start w:val="1"/>
      <w:numFmt w:val="lowerLetter"/>
      <w:lvlText w:val="%2."/>
      <w:lvlJc w:val="left"/>
      <w:pPr>
        <w:ind w:left="1440" w:hanging="360"/>
      </w:pPr>
    </w:lvl>
    <w:lvl w:ilvl="2" w:tplc="66C8A846">
      <w:start w:val="1"/>
      <w:numFmt w:val="lowerRoman"/>
      <w:lvlText w:val="%3."/>
      <w:lvlJc w:val="right"/>
      <w:pPr>
        <w:ind w:left="2160" w:hanging="180"/>
      </w:pPr>
    </w:lvl>
    <w:lvl w:ilvl="3" w:tplc="3222D260">
      <w:start w:val="1"/>
      <w:numFmt w:val="decimal"/>
      <w:lvlText w:val="%4."/>
      <w:lvlJc w:val="left"/>
      <w:pPr>
        <w:ind w:left="2880" w:hanging="360"/>
      </w:pPr>
    </w:lvl>
    <w:lvl w:ilvl="4" w:tplc="699E2F16">
      <w:start w:val="1"/>
      <w:numFmt w:val="lowerLetter"/>
      <w:lvlText w:val="%5."/>
      <w:lvlJc w:val="left"/>
      <w:pPr>
        <w:ind w:left="3600" w:hanging="360"/>
      </w:pPr>
    </w:lvl>
    <w:lvl w:ilvl="5" w:tplc="A3C8D642">
      <w:start w:val="1"/>
      <w:numFmt w:val="lowerRoman"/>
      <w:lvlText w:val="%6."/>
      <w:lvlJc w:val="right"/>
      <w:pPr>
        <w:ind w:left="4320" w:hanging="180"/>
      </w:pPr>
    </w:lvl>
    <w:lvl w:ilvl="6" w:tplc="34F882C4">
      <w:start w:val="1"/>
      <w:numFmt w:val="decimal"/>
      <w:lvlText w:val="%7."/>
      <w:lvlJc w:val="left"/>
      <w:pPr>
        <w:ind w:left="5040" w:hanging="360"/>
      </w:pPr>
    </w:lvl>
    <w:lvl w:ilvl="7" w:tplc="1224675E">
      <w:start w:val="1"/>
      <w:numFmt w:val="lowerLetter"/>
      <w:lvlText w:val="%8."/>
      <w:lvlJc w:val="left"/>
      <w:pPr>
        <w:ind w:left="5760" w:hanging="360"/>
      </w:pPr>
    </w:lvl>
    <w:lvl w:ilvl="8" w:tplc="0C542DBA">
      <w:start w:val="1"/>
      <w:numFmt w:val="lowerRoman"/>
      <w:lvlText w:val="%9."/>
      <w:lvlJc w:val="right"/>
      <w:pPr>
        <w:ind w:left="6480" w:hanging="180"/>
      </w:pPr>
    </w:lvl>
  </w:abstractNum>
  <w:abstractNum w:abstractNumId="24" w15:restartNumberingAfterBreak="0">
    <w:nsid w:val="4178AF62"/>
    <w:multiLevelType w:val="hybridMultilevel"/>
    <w:tmpl w:val="2B74581A"/>
    <w:lvl w:ilvl="0" w:tplc="2F10F85E">
      <w:start w:val="1"/>
      <w:numFmt w:val="upperLetter"/>
      <w:lvlText w:val="%1."/>
      <w:lvlJc w:val="left"/>
      <w:pPr>
        <w:ind w:left="720" w:hanging="360"/>
      </w:pPr>
    </w:lvl>
    <w:lvl w:ilvl="1" w:tplc="BAEEC752">
      <w:start w:val="1"/>
      <w:numFmt w:val="lowerLetter"/>
      <w:lvlText w:val="%2."/>
      <w:lvlJc w:val="left"/>
      <w:pPr>
        <w:ind w:left="1440" w:hanging="360"/>
      </w:pPr>
    </w:lvl>
    <w:lvl w:ilvl="2" w:tplc="4A7A809A">
      <w:start w:val="1"/>
      <w:numFmt w:val="lowerRoman"/>
      <w:lvlText w:val="%3."/>
      <w:lvlJc w:val="right"/>
      <w:pPr>
        <w:ind w:left="2160" w:hanging="180"/>
      </w:pPr>
    </w:lvl>
    <w:lvl w:ilvl="3" w:tplc="2C949B0E">
      <w:start w:val="1"/>
      <w:numFmt w:val="decimal"/>
      <w:lvlText w:val="%4."/>
      <w:lvlJc w:val="left"/>
      <w:pPr>
        <w:ind w:left="2880" w:hanging="360"/>
      </w:pPr>
    </w:lvl>
    <w:lvl w:ilvl="4" w:tplc="09DA5084">
      <w:start w:val="1"/>
      <w:numFmt w:val="lowerLetter"/>
      <w:lvlText w:val="%5."/>
      <w:lvlJc w:val="left"/>
      <w:pPr>
        <w:ind w:left="3600" w:hanging="360"/>
      </w:pPr>
    </w:lvl>
    <w:lvl w:ilvl="5" w:tplc="4F003F44">
      <w:start w:val="1"/>
      <w:numFmt w:val="lowerRoman"/>
      <w:lvlText w:val="%6."/>
      <w:lvlJc w:val="right"/>
      <w:pPr>
        <w:ind w:left="4320" w:hanging="180"/>
      </w:pPr>
    </w:lvl>
    <w:lvl w:ilvl="6" w:tplc="64B03732">
      <w:start w:val="1"/>
      <w:numFmt w:val="decimal"/>
      <w:lvlText w:val="%7."/>
      <w:lvlJc w:val="left"/>
      <w:pPr>
        <w:ind w:left="5040" w:hanging="360"/>
      </w:pPr>
    </w:lvl>
    <w:lvl w:ilvl="7" w:tplc="CA4AEE48">
      <w:start w:val="1"/>
      <w:numFmt w:val="lowerLetter"/>
      <w:lvlText w:val="%8."/>
      <w:lvlJc w:val="left"/>
      <w:pPr>
        <w:ind w:left="5760" w:hanging="360"/>
      </w:pPr>
    </w:lvl>
    <w:lvl w:ilvl="8" w:tplc="DD84CF4A">
      <w:start w:val="1"/>
      <w:numFmt w:val="lowerRoman"/>
      <w:lvlText w:val="%9."/>
      <w:lvlJc w:val="right"/>
      <w:pPr>
        <w:ind w:left="6480" w:hanging="180"/>
      </w:pPr>
    </w:lvl>
  </w:abstractNum>
  <w:abstractNum w:abstractNumId="25" w15:restartNumberingAfterBreak="0">
    <w:nsid w:val="42DE46F8"/>
    <w:multiLevelType w:val="hybridMultilevel"/>
    <w:tmpl w:val="80FCC0BE"/>
    <w:lvl w:ilvl="0" w:tplc="FFFFFFFF">
      <w:start w:val="1"/>
      <w:numFmt w:val="upperLetter"/>
      <w:lvlText w:val="%1."/>
      <w:lvlJc w:val="left"/>
      <w:pPr>
        <w:ind w:left="720" w:hanging="360"/>
      </w:pPr>
    </w:lvl>
    <w:lvl w:ilvl="1" w:tplc="116CB562">
      <w:start w:val="1"/>
      <w:numFmt w:val="lowerLetter"/>
      <w:lvlText w:val="%2."/>
      <w:lvlJc w:val="left"/>
      <w:pPr>
        <w:ind w:left="1440" w:hanging="360"/>
      </w:pPr>
    </w:lvl>
    <w:lvl w:ilvl="2" w:tplc="E22C3B52">
      <w:start w:val="1"/>
      <w:numFmt w:val="lowerRoman"/>
      <w:lvlText w:val="%3."/>
      <w:lvlJc w:val="right"/>
      <w:pPr>
        <w:ind w:left="2160" w:hanging="180"/>
      </w:pPr>
    </w:lvl>
    <w:lvl w:ilvl="3" w:tplc="4C060FA2">
      <w:start w:val="1"/>
      <w:numFmt w:val="decimal"/>
      <w:lvlText w:val="%4."/>
      <w:lvlJc w:val="left"/>
      <w:pPr>
        <w:ind w:left="2880" w:hanging="360"/>
      </w:pPr>
    </w:lvl>
    <w:lvl w:ilvl="4" w:tplc="1ABCF4C0">
      <w:start w:val="1"/>
      <w:numFmt w:val="lowerLetter"/>
      <w:lvlText w:val="%5."/>
      <w:lvlJc w:val="left"/>
      <w:pPr>
        <w:ind w:left="3600" w:hanging="360"/>
      </w:pPr>
    </w:lvl>
    <w:lvl w:ilvl="5" w:tplc="196C9984">
      <w:start w:val="1"/>
      <w:numFmt w:val="lowerRoman"/>
      <w:lvlText w:val="%6."/>
      <w:lvlJc w:val="right"/>
      <w:pPr>
        <w:ind w:left="4320" w:hanging="180"/>
      </w:pPr>
    </w:lvl>
    <w:lvl w:ilvl="6" w:tplc="C8A4E1AE">
      <w:start w:val="1"/>
      <w:numFmt w:val="decimal"/>
      <w:lvlText w:val="%7."/>
      <w:lvlJc w:val="left"/>
      <w:pPr>
        <w:ind w:left="5040" w:hanging="360"/>
      </w:pPr>
    </w:lvl>
    <w:lvl w:ilvl="7" w:tplc="8250C990">
      <w:start w:val="1"/>
      <w:numFmt w:val="lowerLetter"/>
      <w:lvlText w:val="%8."/>
      <w:lvlJc w:val="left"/>
      <w:pPr>
        <w:ind w:left="5760" w:hanging="360"/>
      </w:pPr>
    </w:lvl>
    <w:lvl w:ilvl="8" w:tplc="3BB4DE2C">
      <w:start w:val="1"/>
      <w:numFmt w:val="lowerRoman"/>
      <w:lvlText w:val="%9."/>
      <w:lvlJc w:val="right"/>
      <w:pPr>
        <w:ind w:left="6480" w:hanging="180"/>
      </w:pPr>
    </w:lvl>
  </w:abstractNum>
  <w:abstractNum w:abstractNumId="26" w15:restartNumberingAfterBreak="0">
    <w:nsid w:val="43677A01"/>
    <w:multiLevelType w:val="hybridMultilevel"/>
    <w:tmpl w:val="E0FA5A9C"/>
    <w:lvl w:ilvl="0" w:tplc="9B06A22A">
      <w:start w:val="1"/>
      <w:numFmt w:val="decimal"/>
      <w:lvlText w:val="%1."/>
      <w:lvlJc w:val="left"/>
      <w:pPr>
        <w:ind w:left="720" w:hanging="360"/>
      </w:pPr>
    </w:lvl>
    <w:lvl w:ilvl="1" w:tplc="9C86628C">
      <w:start w:val="1"/>
      <w:numFmt w:val="lowerLetter"/>
      <w:lvlText w:val="%2."/>
      <w:lvlJc w:val="left"/>
      <w:pPr>
        <w:ind w:left="1440" w:hanging="360"/>
      </w:pPr>
    </w:lvl>
    <w:lvl w:ilvl="2" w:tplc="24146480">
      <w:start w:val="1"/>
      <w:numFmt w:val="lowerRoman"/>
      <w:lvlText w:val="%3."/>
      <w:lvlJc w:val="right"/>
      <w:pPr>
        <w:ind w:left="2160" w:hanging="180"/>
      </w:pPr>
    </w:lvl>
    <w:lvl w:ilvl="3" w:tplc="F7CC0470">
      <w:start w:val="1"/>
      <w:numFmt w:val="decimal"/>
      <w:lvlText w:val="%4."/>
      <w:lvlJc w:val="left"/>
      <w:pPr>
        <w:ind w:left="2880" w:hanging="360"/>
      </w:pPr>
    </w:lvl>
    <w:lvl w:ilvl="4" w:tplc="7CBCD420">
      <w:start w:val="1"/>
      <w:numFmt w:val="lowerLetter"/>
      <w:lvlText w:val="%5."/>
      <w:lvlJc w:val="left"/>
      <w:pPr>
        <w:ind w:left="3600" w:hanging="360"/>
      </w:pPr>
    </w:lvl>
    <w:lvl w:ilvl="5" w:tplc="82F44014">
      <w:start w:val="1"/>
      <w:numFmt w:val="lowerRoman"/>
      <w:lvlText w:val="%6."/>
      <w:lvlJc w:val="right"/>
      <w:pPr>
        <w:ind w:left="4320" w:hanging="180"/>
      </w:pPr>
    </w:lvl>
    <w:lvl w:ilvl="6" w:tplc="C88893BC">
      <w:start w:val="1"/>
      <w:numFmt w:val="decimal"/>
      <w:lvlText w:val="%7."/>
      <w:lvlJc w:val="left"/>
      <w:pPr>
        <w:ind w:left="5040" w:hanging="360"/>
      </w:pPr>
    </w:lvl>
    <w:lvl w:ilvl="7" w:tplc="1F8C97F8">
      <w:start w:val="1"/>
      <w:numFmt w:val="lowerLetter"/>
      <w:lvlText w:val="%8."/>
      <w:lvlJc w:val="left"/>
      <w:pPr>
        <w:ind w:left="5760" w:hanging="360"/>
      </w:pPr>
    </w:lvl>
    <w:lvl w:ilvl="8" w:tplc="6B54F202">
      <w:start w:val="1"/>
      <w:numFmt w:val="lowerRoman"/>
      <w:lvlText w:val="%9."/>
      <w:lvlJc w:val="right"/>
      <w:pPr>
        <w:ind w:left="6480" w:hanging="180"/>
      </w:pPr>
    </w:lvl>
  </w:abstractNum>
  <w:abstractNum w:abstractNumId="27" w15:restartNumberingAfterBreak="0">
    <w:nsid w:val="4568F1BB"/>
    <w:multiLevelType w:val="hybridMultilevel"/>
    <w:tmpl w:val="0D62DF74"/>
    <w:lvl w:ilvl="0" w:tplc="22183E4E">
      <w:start w:val="8"/>
      <w:numFmt w:val="upperRoman"/>
      <w:lvlText w:val="%1."/>
      <w:lvlJc w:val="left"/>
      <w:pPr>
        <w:ind w:left="1080" w:hanging="360"/>
      </w:pPr>
    </w:lvl>
    <w:lvl w:ilvl="1" w:tplc="C0C4D9EA">
      <w:start w:val="1"/>
      <w:numFmt w:val="lowerLetter"/>
      <w:lvlText w:val="%2."/>
      <w:lvlJc w:val="left"/>
      <w:pPr>
        <w:ind w:left="1440" w:hanging="360"/>
      </w:pPr>
    </w:lvl>
    <w:lvl w:ilvl="2" w:tplc="8488FC38">
      <w:start w:val="1"/>
      <w:numFmt w:val="lowerRoman"/>
      <w:lvlText w:val="%3."/>
      <w:lvlJc w:val="right"/>
      <w:pPr>
        <w:ind w:left="2160" w:hanging="180"/>
      </w:pPr>
    </w:lvl>
    <w:lvl w:ilvl="3" w:tplc="8A161254">
      <w:start w:val="1"/>
      <w:numFmt w:val="decimal"/>
      <w:lvlText w:val="%4."/>
      <w:lvlJc w:val="left"/>
      <w:pPr>
        <w:ind w:left="2880" w:hanging="360"/>
      </w:pPr>
    </w:lvl>
    <w:lvl w:ilvl="4" w:tplc="7668D832">
      <w:start w:val="1"/>
      <w:numFmt w:val="lowerLetter"/>
      <w:lvlText w:val="%5."/>
      <w:lvlJc w:val="left"/>
      <w:pPr>
        <w:ind w:left="3600" w:hanging="360"/>
      </w:pPr>
    </w:lvl>
    <w:lvl w:ilvl="5" w:tplc="A89E543C">
      <w:start w:val="1"/>
      <w:numFmt w:val="lowerRoman"/>
      <w:lvlText w:val="%6."/>
      <w:lvlJc w:val="right"/>
      <w:pPr>
        <w:ind w:left="4320" w:hanging="180"/>
      </w:pPr>
    </w:lvl>
    <w:lvl w:ilvl="6" w:tplc="DB84E2D8">
      <w:start w:val="1"/>
      <w:numFmt w:val="decimal"/>
      <w:lvlText w:val="%7."/>
      <w:lvlJc w:val="left"/>
      <w:pPr>
        <w:ind w:left="5040" w:hanging="360"/>
      </w:pPr>
    </w:lvl>
    <w:lvl w:ilvl="7" w:tplc="21482D70">
      <w:start w:val="1"/>
      <w:numFmt w:val="lowerLetter"/>
      <w:lvlText w:val="%8."/>
      <w:lvlJc w:val="left"/>
      <w:pPr>
        <w:ind w:left="5760" w:hanging="360"/>
      </w:pPr>
    </w:lvl>
    <w:lvl w:ilvl="8" w:tplc="A3BC07F8">
      <w:start w:val="1"/>
      <w:numFmt w:val="lowerRoman"/>
      <w:lvlText w:val="%9."/>
      <w:lvlJc w:val="right"/>
      <w:pPr>
        <w:ind w:left="6480" w:hanging="180"/>
      </w:pPr>
    </w:lvl>
  </w:abstractNum>
  <w:abstractNum w:abstractNumId="28" w15:restartNumberingAfterBreak="0">
    <w:nsid w:val="5047F27F"/>
    <w:multiLevelType w:val="hybridMultilevel"/>
    <w:tmpl w:val="195C1D8C"/>
    <w:lvl w:ilvl="0" w:tplc="E75E7F80">
      <w:start w:val="1"/>
      <w:numFmt w:val="bullet"/>
      <w:lvlText w:val=""/>
      <w:lvlJc w:val="left"/>
      <w:pPr>
        <w:ind w:left="720" w:hanging="360"/>
      </w:pPr>
      <w:rPr>
        <w:rFonts w:hint="default" w:ascii="Wingdings" w:hAnsi="Wingdings"/>
      </w:rPr>
    </w:lvl>
    <w:lvl w:ilvl="1" w:tplc="AE2A202C">
      <w:start w:val="1"/>
      <w:numFmt w:val="bullet"/>
      <w:lvlText w:val=""/>
      <w:lvlJc w:val="left"/>
      <w:pPr>
        <w:ind w:left="1440" w:hanging="360"/>
      </w:pPr>
      <w:rPr>
        <w:rFonts w:hint="default" w:ascii="Wingdings" w:hAnsi="Wingdings"/>
      </w:rPr>
    </w:lvl>
    <w:lvl w:ilvl="2" w:tplc="80A84BFE">
      <w:start w:val="1"/>
      <w:numFmt w:val="bullet"/>
      <w:lvlText w:val=""/>
      <w:lvlJc w:val="left"/>
      <w:pPr>
        <w:ind w:left="2160" w:hanging="360"/>
      </w:pPr>
      <w:rPr>
        <w:rFonts w:hint="default" w:ascii="Wingdings" w:hAnsi="Wingdings"/>
      </w:rPr>
    </w:lvl>
    <w:lvl w:ilvl="3" w:tplc="C3C00E58">
      <w:start w:val="1"/>
      <w:numFmt w:val="bullet"/>
      <w:lvlText w:val=""/>
      <w:lvlJc w:val="left"/>
      <w:pPr>
        <w:ind w:left="2880" w:hanging="360"/>
      </w:pPr>
      <w:rPr>
        <w:rFonts w:hint="default" w:ascii="Wingdings" w:hAnsi="Wingdings"/>
      </w:rPr>
    </w:lvl>
    <w:lvl w:ilvl="4" w:tplc="C340FF0A">
      <w:start w:val="1"/>
      <w:numFmt w:val="bullet"/>
      <w:lvlText w:val=""/>
      <w:lvlJc w:val="left"/>
      <w:pPr>
        <w:ind w:left="3600" w:hanging="360"/>
      </w:pPr>
      <w:rPr>
        <w:rFonts w:hint="default" w:ascii="Wingdings" w:hAnsi="Wingdings"/>
      </w:rPr>
    </w:lvl>
    <w:lvl w:ilvl="5" w:tplc="E13C68D8">
      <w:start w:val="1"/>
      <w:numFmt w:val="bullet"/>
      <w:lvlText w:val=""/>
      <w:lvlJc w:val="left"/>
      <w:pPr>
        <w:ind w:left="4320" w:hanging="360"/>
      </w:pPr>
      <w:rPr>
        <w:rFonts w:hint="default" w:ascii="Wingdings" w:hAnsi="Wingdings"/>
      </w:rPr>
    </w:lvl>
    <w:lvl w:ilvl="6" w:tplc="9BD6E250">
      <w:start w:val="1"/>
      <w:numFmt w:val="bullet"/>
      <w:lvlText w:val=""/>
      <w:lvlJc w:val="left"/>
      <w:pPr>
        <w:ind w:left="5040" w:hanging="360"/>
      </w:pPr>
      <w:rPr>
        <w:rFonts w:hint="default" w:ascii="Wingdings" w:hAnsi="Wingdings"/>
      </w:rPr>
    </w:lvl>
    <w:lvl w:ilvl="7" w:tplc="B14669B6">
      <w:start w:val="1"/>
      <w:numFmt w:val="bullet"/>
      <w:lvlText w:val=""/>
      <w:lvlJc w:val="left"/>
      <w:pPr>
        <w:ind w:left="5760" w:hanging="360"/>
      </w:pPr>
      <w:rPr>
        <w:rFonts w:hint="default" w:ascii="Wingdings" w:hAnsi="Wingdings"/>
      </w:rPr>
    </w:lvl>
    <w:lvl w:ilvl="8" w:tplc="CEB6B338">
      <w:start w:val="1"/>
      <w:numFmt w:val="bullet"/>
      <w:lvlText w:val=""/>
      <w:lvlJc w:val="left"/>
      <w:pPr>
        <w:ind w:left="6480" w:hanging="360"/>
      </w:pPr>
      <w:rPr>
        <w:rFonts w:hint="default" w:ascii="Wingdings" w:hAnsi="Wingdings"/>
      </w:rPr>
    </w:lvl>
  </w:abstractNum>
  <w:abstractNum w:abstractNumId="29" w15:restartNumberingAfterBreak="0">
    <w:nsid w:val="5078009C"/>
    <w:multiLevelType w:val="hybridMultilevel"/>
    <w:tmpl w:val="FF506776"/>
    <w:lvl w:ilvl="0" w:tplc="79064B1E">
      <w:start w:val="1"/>
      <w:numFmt w:val="bullet"/>
      <w:lvlText w:val="-"/>
      <w:lvlJc w:val="left"/>
      <w:pPr>
        <w:ind w:left="720" w:hanging="360"/>
      </w:pPr>
      <w:rPr>
        <w:rFonts w:hint="default" w:ascii="Calibri" w:hAnsi="Calibri"/>
      </w:rPr>
    </w:lvl>
    <w:lvl w:ilvl="1" w:tplc="508C6FF4">
      <w:start w:val="1"/>
      <w:numFmt w:val="bullet"/>
      <w:lvlText w:val="o"/>
      <w:lvlJc w:val="left"/>
      <w:pPr>
        <w:ind w:left="1440" w:hanging="360"/>
      </w:pPr>
      <w:rPr>
        <w:rFonts w:hint="default" w:ascii="Courier New" w:hAnsi="Courier New"/>
      </w:rPr>
    </w:lvl>
    <w:lvl w:ilvl="2" w:tplc="73201E48">
      <w:start w:val="1"/>
      <w:numFmt w:val="bullet"/>
      <w:lvlText w:val=""/>
      <w:lvlJc w:val="left"/>
      <w:pPr>
        <w:ind w:left="2160" w:hanging="360"/>
      </w:pPr>
      <w:rPr>
        <w:rFonts w:hint="default" w:ascii="Wingdings" w:hAnsi="Wingdings"/>
      </w:rPr>
    </w:lvl>
    <w:lvl w:ilvl="3" w:tplc="38CAFA56">
      <w:start w:val="1"/>
      <w:numFmt w:val="bullet"/>
      <w:lvlText w:val=""/>
      <w:lvlJc w:val="left"/>
      <w:pPr>
        <w:ind w:left="2880" w:hanging="360"/>
      </w:pPr>
      <w:rPr>
        <w:rFonts w:hint="default" w:ascii="Symbol" w:hAnsi="Symbol"/>
      </w:rPr>
    </w:lvl>
    <w:lvl w:ilvl="4" w:tplc="641E2766">
      <w:start w:val="1"/>
      <w:numFmt w:val="bullet"/>
      <w:lvlText w:val="o"/>
      <w:lvlJc w:val="left"/>
      <w:pPr>
        <w:ind w:left="3600" w:hanging="360"/>
      </w:pPr>
      <w:rPr>
        <w:rFonts w:hint="default" w:ascii="Courier New" w:hAnsi="Courier New"/>
      </w:rPr>
    </w:lvl>
    <w:lvl w:ilvl="5" w:tplc="E50C7B98">
      <w:start w:val="1"/>
      <w:numFmt w:val="bullet"/>
      <w:lvlText w:val=""/>
      <w:lvlJc w:val="left"/>
      <w:pPr>
        <w:ind w:left="4320" w:hanging="360"/>
      </w:pPr>
      <w:rPr>
        <w:rFonts w:hint="default" w:ascii="Wingdings" w:hAnsi="Wingdings"/>
      </w:rPr>
    </w:lvl>
    <w:lvl w:ilvl="6" w:tplc="D776885A">
      <w:start w:val="1"/>
      <w:numFmt w:val="bullet"/>
      <w:lvlText w:val=""/>
      <w:lvlJc w:val="left"/>
      <w:pPr>
        <w:ind w:left="5040" w:hanging="360"/>
      </w:pPr>
      <w:rPr>
        <w:rFonts w:hint="default" w:ascii="Symbol" w:hAnsi="Symbol"/>
      </w:rPr>
    </w:lvl>
    <w:lvl w:ilvl="7" w:tplc="82429DBC">
      <w:start w:val="1"/>
      <w:numFmt w:val="bullet"/>
      <w:lvlText w:val="o"/>
      <w:lvlJc w:val="left"/>
      <w:pPr>
        <w:ind w:left="5760" w:hanging="360"/>
      </w:pPr>
      <w:rPr>
        <w:rFonts w:hint="default" w:ascii="Courier New" w:hAnsi="Courier New"/>
      </w:rPr>
    </w:lvl>
    <w:lvl w:ilvl="8" w:tplc="BFC69DB4">
      <w:start w:val="1"/>
      <w:numFmt w:val="bullet"/>
      <w:lvlText w:val=""/>
      <w:lvlJc w:val="left"/>
      <w:pPr>
        <w:ind w:left="6480" w:hanging="360"/>
      </w:pPr>
      <w:rPr>
        <w:rFonts w:hint="default" w:ascii="Wingdings" w:hAnsi="Wingdings"/>
      </w:rPr>
    </w:lvl>
  </w:abstractNum>
  <w:abstractNum w:abstractNumId="30" w15:restartNumberingAfterBreak="0">
    <w:nsid w:val="5A63537A"/>
    <w:multiLevelType w:val="hybridMultilevel"/>
    <w:tmpl w:val="87623C22"/>
    <w:lvl w:ilvl="0" w:tplc="43E8AD18">
      <w:start w:val="3"/>
      <w:numFmt w:val="upperLetter"/>
      <w:lvlText w:val="%1."/>
      <w:lvlJc w:val="left"/>
      <w:pPr>
        <w:ind w:left="720" w:hanging="360"/>
      </w:pPr>
    </w:lvl>
    <w:lvl w:ilvl="1" w:tplc="F7E0D714">
      <w:start w:val="1"/>
      <w:numFmt w:val="lowerLetter"/>
      <w:lvlText w:val="%2."/>
      <w:lvlJc w:val="left"/>
      <w:pPr>
        <w:ind w:left="1440" w:hanging="360"/>
      </w:pPr>
    </w:lvl>
    <w:lvl w:ilvl="2" w:tplc="DB4450BA">
      <w:start w:val="1"/>
      <w:numFmt w:val="lowerRoman"/>
      <w:lvlText w:val="%3."/>
      <w:lvlJc w:val="right"/>
      <w:pPr>
        <w:ind w:left="2160" w:hanging="180"/>
      </w:pPr>
    </w:lvl>
    <w:lvl w:ilvl="3" w:tplc="79D44378">
      <w:start w:val="1"/>
      <w:numFmt w:val="decimal"/>
      <w:lvlText w:val="%4."/>
      <w:lvlJc w:val="left"/>
      <w:pPr>
        <w:ind w:left="2880" w:hanging="360"/>
      </w:pPr>
    </w:lvl>
    <w:lvl w:ilvl="4" w:tplc="A0F43726">
      <w:start w:val="1"/>
      <w:numFmt w:val="lowerLetter"/>
      <w:lvlText w:val="%5."/>
      <w:lvlJc w:val="left"/>
      <w:pPr>
        <w:ind w:left="3600" w:hanging="360"/>
      </w:pPr>
    </w:lvl>
    <w:lvl w:ilvl="5" w:tplc="FCE0C376">
      <w:start w:val="1"/>
      <w:numFmt w:val="lowerRoman"/>
      <w:lvlText w:val="%6."/>
      <w:lvlJc w:val="right"/>
      <w:pPr>
        <w:ind w:left="4320" w:hanging="180"/>
      </w:pPr>
    </w:lvl>
    <w:lvl w:ilvl="6" w:tplc="263C4952">
      <w:start w:val="1"/>
      <w:numFmt w:val="decimal"/>
      <w:lvlText w:val="%7."/>
      <w:lvlJc w:val="left"/>
      <w:pPr>
        <w:ind w:left="5040" w:hanging="360"/>
      </w:pPr>
    </w:lvl>
    <w:lvl w:ilvl="7" w:tplc="52FA9810">
      <w:start w:val="1"/>
      <w:numFmt w:val="lowerLetter"/>
      <w:lvlText w:val="%8."/>
      <w:lvlJc w:val="left"/>
      <w:pPr>
        <w:ind w:left="5760" w:hanging="360"/>
      </w:pPr>
    </w:lvl>
    <w:lvl w:ilvl="8" w:tplc="3730B594">
      <w:start w:val="1"/>
      <w:numFmt w:val="lowerRoman"/>
      <w:lvlText w:val="%9."/>
      <w:lvlJc w:val="right"/>
      <w:pPr>
        <w:ind w:left="6480" w:hanging="180"/>
      </w:pPr>
    </w:lvl>
  </w:abstractNum>
  <w:abstractNum w:abstractNumId="31" w15:restartNumberingAfterBreak="0">
    <w:nsid w:val="5E9BB59E"/>
    <w:multiLevelType w:val="hybridMultilevel"/>
    <w:tmpl w:val="973EA66C"/>
    <w:lvl w:ilvl="0" w:tplc="31A62404">
      <w:start w:val="1"/>
      <w:numFmt w:val="lowerRoman"/>
      <w:lvlText w:val="%1."/>
      <w:lvlJc w:val="left"/>
      <w:pPr>
        <w:ind w:left="720" w:hanging="360"/>
      </w:pPr>
    </w:lvl>
    <w:lvl w:ilvl="1" w:tplc="14D0F42C">
      <w:start w:val="1"/>
      <w:numFmt w:val="lowerLetter"/>
      <w:lvlText w:val="%2."/>
      <w:lvlJc w:val="left"/>
      <w:pPr>
        <w:ind w:left="1440" w:hanging="360"/>
      </w:pPr>
    </w:lvl>
    <w:lvl w:ilvl="2" w:tplc="EA9E621E">
      <w:start w:val="1"/>
      <w:numFmt w:val="lowerRoman"/>
      <w:lvlText w:val="%3."/>
      <w:lvlJc w:val="right"/>
      <w:pPr>
        <w:ind w:left="2160" w:hanging="180"/>
      </w:pPr>
    </w:lvl>
    <w:lvl w:ilvl="3" w:tplc="9DEAC226">
      <w:start w:val="1"/>
      <w:numFmt w:val="decimal"/>
      <w:lvlText w:val="%4."/>
      <w:lvlJc w:val="left"/>
      <w:pPr>
        <w:ind w:left="2880" w:hanging="360"/>
      </w:pPr>
    </w:lvl>
    <w:lvl w:ilvl="4" w:tplc="C33C668C">
      <w:start w:val="1"/>
      <w:numFmt w:val="lowerLetter"/>
      <w:lvlText w:val="%5."/>
      <w:lvlJc w:val="left"/>
      <w:pPr>
        <w:ind w:left="3600" w:hanging="360"/>
      </w:pPr>
    </w:lvl>
    <w:lvl w:ilvl="5" w:tplc="A6A23E60">
      <w:start w:val="1"/>
      <w:numFmt w:val="lowerRoman"/>
      <w:lvlText w:val="%6."/>
      <w:lvlJc w:val="right"/>
      <w:pPr>
        <w:ind w:left="4320" w:hanging="180"/>
      </w:pPr>
    </w:lvl>
    <w:lvl w:ilvl="6" w:tplc="702EF57C">
      <w:start w:val="1"/>
      <w:numFmt w:val="decimal"/>
      <w:lvlText w:val="%7."/>
      <w:lvlJc w:val="left"/>
      <w:pPr>
        <w:ind w:left="5040" w:hanging="360"/>
      </w:pPr>
    </w:lvl>
    <w:lvl w:ilvl="7" w:tplc="3820B3AA">
      <w:start w:val="1"/>
      <w:numFmt w:val="lowerLetter"/>
      <w:lvlText w:val="%8."/>
      <w:lvlJc w:val="left"/>
      <w:pPr>
        <w:ind w:left="5760" w:hanging="360"/>
      </w:pPr>
    </w:lvl>
    <w:lvl w:ilvl="8" w:tplc="0BE84948">
      <w:start w:val="1"/>
      <w:numFmt w:val="lowerRoman"/>
      <w:lvlText w:val="%9."/>
      <w:lvlJc w:val="right"/>
      <w:pPr>
        <w:ind w:left="6480" w:hanging="180"/>
      </w:pPr>
    </w:lvl>
  </w:abstractNum>
  <w:abstractNum w:abstractNumId="32" w15:restartNumberingAfterBreak="0">
    <w:nsid w:val="63F3F18C"/>
    <w:multiLevelType w:val="hybridMultilevel"/>
    <w:tmpl w:val="5D305EE0"/>
    <w:lvl w:ilvl="0" w:tplc="3A2AB0DA">
      <w:start w:val="9"/>
      <w:numFmt w:val="upperRoman"/>
      <w:lvlText w:val="%1."/>
      <w:lvlJc w:val="left"/>
      <w:pPr>
        <w:ind w:left="1080" w:hanging="360"/>
      </w:pPr>
    </w:lvl>
    <w:lvl w:ilvl="1" w:tplc="241A422C">
      <w:start w:val="1"/>
      <w:numFmt w:val="lowerLetter"/>
      <w:lvlText w:val="%2."/>
      <w:lvlJc w:val="left"/>
      <w:pPr>
        <w:ind w:left="1440" w:hanging="360"/>
      </w:pPr>
    </w:lvl>
    <w:lvl w:ilvl="2" w:tplc="F79A8352">
      <w:start w:val="1"/>
      <w:numFmt w:val="lowerRoman"/>
      <w:lvlText w:val="%3."/>
      <w:lvlJc w:val="right"/>
      <w:pPr>
        <w:ind w:left="2160" w:hanging="180"/>
      </w:pPr>
    </w:lvl>
    <w:lvl w:ilvl="3" w:tplc="78386ECA">
      <w:start w:val="1"/>
      <w:numFmt w:val="decimal"/>
      <w:lvlText w:val="%4."/>
      <w:lvlJc w:val="left"/>
      <w:pPr>
        <w:ind w:left="2880" w:hanging="360"/>
      </w:pPr>
    </w:lvl>
    <w:lvl w:ilvl="4" w:tplc="D5A6BC32">
      <w:start w:val="1"/>
      <w:numFmt w:val="lowerLetter"/>
      <w:lvlText w:val="%5."/>
      <w:lvlJc w:val="left"/>
      <w:pPr>
        <w:ind w:left="3600" w:hanging="360"/>
      </w:pPr>
    </w:lvl>
    <w:lvl w:ilvl="5" w:tplc="66401918">
      <w:start w:val="1"/>
      <w:numFmt w:val="lowerRoman"/>
      <w:lvlText w:val="%6."/>
      <w:lvlJc w:val="right"/>
      <w:pPr>
        <w:ind w:left="4320" w:hanging="180"/>
      </w:pPr>
    </w:lvl>
    <w:lvl w:ilvl="6" w:tplc="36C0D99E">
      <w:start w:val="1"/>
      <w:numFmt w:val="decimal"/>
      <w:lvlText w:val="%7."/>
      <w:lvlJc w:val="left"/>
      <w:pPr>
        <w:ind w:left="5040" w:hanging="360"/>
      </w:pPr>
    </w:lvl>
    <w:lvl w:ilvl="7" w:tplc="2AA8E608">
      <w:start w:val="1"/>
      <w:numFmt w:val="lowerLetter"/>
      <w:lvlText w:val="%8."/>
      <w:lvlJc w:val="left"/>
      <w:pPr>
        <w:ind w:left="5760" w:hanging="360"/>
      </w:pPr>
    </w:lvl>
    <w:lvl w:ilvl="8" w:tplc="6324F8C2">
      <w:start w:val="1"/>
      <w:numFmt w:val="lowerRoman"/>
      <w:lvlText w:val="%9."/>
      <w:lvlJc w:val="right"/>
      <w:pPr>
        <w:ind w:left="6480" w:hanging="180"/>
      </w:pPr>
    </w:lvl>
  </w:abstractNum>
  <w:abstractNum w:abstractNumId="33" w15:restartNumberingAfterBreak="0">
    <w:nsid w:val="6801C3F4"/>
    <w:multiLevelType w:val="hybridMultilevel"/>
    <w:tmpl w:val="3F3433D2"/>
    <w:lvl w:ilvl="0" w:tplc="87E6F4FE">
      <w:start w:val="1"/>
      <w:numFmt w:val="bullet"/>
      <w:lvlText w:val="-"/>
      <w:lvlJc w:val="left"/>
      <w:pPr>
        <w:ind w:left="720" w:hanging="360"/>
      </w:pPr>
      <w:rPr>
        <w:rFonts w:hint="default" w:ascii="Calibri" w:hAnsi="Calibri"/>
      </w:rPr>
    </w:lvl>
    <w:lvl w:ilvl="1" w:tplc="7BAAD098">
      <w:start w:val="1"/>
      <w:numFmt w:val="bullet"/>
      <w:lvlText w:val="o"/>
      <w:lvlJc w:val="left"/>
      <w:pPr>
        <w:ind w:left="1440" w:hanging="360"/>
      </w:pPr>
      <w:rPr>
        <w:rFonts w:hint="default" w:ascii="Courier New" w:hAnsi="Courier New"/>
      </w:rPr>
    </w:lvl>
    <w:lvl w:ilvl="2" w:tplc="F47E4248">
      <w:start w:val="1"/>
      <w:numFmt w:val="bullet"/>
      <w:lvlText w:val=""/>
      <w:lvlJc w:val="left"/>
      <w:pPr>
        <w:ind w:left="2160" w:hanging="360"/>
      </w:pPr>
      <w:rPr>
        <w:rFonts w:hint="default" w:ascii="Wingdings" w:hAnsi="Wingdings"/>
      </w:rPr>
    </w:lvl>
    <w:lvl w:ilvl="3" w:tplc="57DC0156">
      <w:start w:val="1"/>
      <w:numFmt w:val="bullet"/>
      <w:lvlText w:val=""/>
      <w:lvlJc w:val="left"/>
      <w:pPr>
        <w:ind w:left="2880" w:hanging="360"/>
      </w:pPr>
      <w:rPr>
        <w:rFonts w:hint="default" w:ascii="Symbol" w:hAnsi="Symbol"/>
      </w:rPr>
    </w:lvl>
    <w:lvl w:ilvl="4" w:tplc="BEEC03C6">
      <w:start w:val="1"/>
      <w:numFmt w:val="bullet"/>
      <w:lvlText w:val="o"/>
      <w:lvlJc w:val="left"/>
      <w:pPr>
        <w:ind w:left="3600" w:hanging="360"/>
      </w:pPr>
      <w:rPr>
        <w:rFonts w:hint="default" w:ascii="Courier New" w:hAnsi="Courier New"/>
      </w:rPr>
    </w:lvl>
    <w:lvl w:ilvl="5" w:tplc="0AEC79A0">
      <w:start w:val="1"/>
      <w:numFmt w:val="bullet"/>
      <w:lvlText w:val=""/>
      <w:lvlJc w:val="left"/>
      <w:pPr>
        <w:ind w:left="4320" w:hanging="360"/>
      </w:pPr>
      <w:rPr>
        <w:rFonts w:hint="default" w:ascii="Wingdings" w:hAnsi="Wingdings"/>
      </w:rPr>
    </w:lvl>
    <w:lvl w:ilvl="6" w:tplc="59AA697C">
      <w:start w:val="1"/>
      <w:numFmt w:val="bullet"/>
      <w:lvlText w:val=""/>
      <w:lvlJc w:val="left"/>
      <w:pPr>
        <w:ind w:left="5040" w:hanging="360"/>
      </w:pPr>
      <w:rPr>
        <w:rFonts w:hint="default" w:ascii="Symbol" w:hAnsi="Symbol"/>
      </w:rPr>
    </w:lvl>
    <w:lvl w:ilvl="7" w:tplc="1EE21658">
      <w:start w:val="1"/>
      <w:numFmt w:val="bullet"/>
      <w:lvlText w:val="o"/>
      <w:lvlJc w:val="left"/>
      <w:pPr>
        <w:ind w:left="5760" w:hanging="360"/>
      </w:pPr>
      <w:rPr>
        <w:rFonts w:hint="default" w:ascii="Courier New" w:hAnsi="Courier New"/>
      </w:rPr>
    </w:lvl>
    <w:lvl w:ilvl="8" w:tplc="A36AC4CE">
      <w:start w:val="1"/>
      <w:numFmt w:val="bullet"/>
      <w:lvlText w:val=""/>
      <w:lvlJc w:val="left"/>
      <w:pPr>
        <w:ind w:left="6480" w:hanging="360"/>
      </w:pPr>
      <w:rPr>
        <w:rFonts w:hint="default" w:ascii="Wingdings" w:hAnsi="Wingdings"/>
      </w:rPr>
    </w:lvl>
  </w:abstractNum>
  <w:abstractNum w:abstractNumId="34" w15:restartNumberingAfterBreak="0">
    <w:nsid w:val="68AD61D5"/>
    <w:multiLevelType w:val="hybridMultilevel"/>
    <w:tmpl w:val="F356B490"/>
    <w:lvl w:ilvl="0" w:tplc="68AE639E">
      <w:start w:val="1"/>
      <w:numFmt w:val="upperLetter"/>
      <w:lvlText w:val="%1."/>
      <w:lvlJc w:val="left"/>
      <w:pPr>
        <w:ind w:left="720" w:hanging="360"/>
      </w:pPr>
    </w:lvl>
    <w:lvl w:ilvl="1" w:tplc="16F8AC34">
      <w:start w:val="1"/>
      <w:numFmt w:val="lowerLetter"/>
      <w:lvlText w:val="%2."/>
      <w:lvlJc w:val="left"/>
      <w:pPr>
        <w:ind w:left="1440" w:hanging="360"/>
      </w:pPr>
    </w:lvl>
    <w:lvl w:ilvl="2" w:tplc="C25CBBD0">
      <w:start w:val="1"/>
      <w:numFmt w:val="lowerRoman"/>
      <w:lvlText w:val="%3."/>
      <w:lvlJc w:val="right"/>
      <w:pPr>
        <w:ind w:left="2160" w:hanging="180"/>
      </w:pPr>
    </w:lvl>
    <w:lvl w:ilvl="3" w:tplc="9E1408C4">
      <w:start w:val="1"/>
      <w:numFmt w:val="decimal"/>
      <w:lvlText w:val="%4."/>
      <w:lvlJc w:val="left"/>
      <w:pPr>
        <w:ind w:left="2880" w:hanging="360"/>
      </w:pPr>
    </w:lvl>
    <w:lvl w:ilvl="4" w:tplc="CB1C7D96">
      <w:start w:val="1"/>
      <w:numFmt w:val="lowerLetter"/>
      <w:lvlText w:val="%5."/>
      <w:lvlJc w:val="left"/>
      <w:pPr>
        <w:ind w:left="3600" w:hanging="360"/>
      </w:pPr>
    </w:lvl>
    <w:lvl w:ilvl="5" w:tplc="6510AC54">
      <w:start w:val="1"/>
      <w:numFmt w:val="lowerRoman"/>
      <w:lvlText w:val="%6."/>
      <w:lvlJc w:val="right"/>
      <w:pPr>
        <w:ind w:left="4320" w:hanging="180"/>
      </w:pPr>
    </w:lvl>
    <w:lvl w:ilvl="6" w:tplc="C37CF9D4">
      <w:start w:val="1"/>
      <w:numFmt w:val="decimal"/>
      <w:lvlText w:val="%7."/>
      <w:lvlJc w:val="left"/>
      <w:pPr>
        <w:ind w:left="5040" w:hanging="360"/>
      </w:pPr>
    </w:lvl>
    <w:lvl w:ilvl="7" w:tplc="02CED60A">
      <w:start w:val="1"/>
      <w:numFmt w:val="lowerLetter"/>
      <w:lvlText w:val="%8."/>
      <w:lvlJc w:val="left"/>
      <w:pPr>
        <w:ind w:left="5760" w:hanging="360"/>
      </w:pPr>
    </w:lvl>
    <w:lvl w:ilvl="8" w:tplc="B9F216DC">
      <w:start w:val="1"/>
      <w:numFmt w:val="lowerRoman"/>
      <w:lvlText w:val="%9."/>
      <w:lvlJc w:val="right"/>
      <w:pPr>
        <w:ind w:left="6480" w:hanging="180"/>
      </w:pPr>
    </w:lvl>
  </w:abstractNum>
  <w:abstractNum w:abstractNumId="35" w15:restartNumberingAfterBreak="0">
    <w:nsid w:val="6FE91915"/>
    <w:multiLevelType w:val="hybridMultilevel"/>
    <w:tmpl w:val="C680D2D8"/>
    <w:lvl w:ilvl="0" w:tplc="47B0807E">
      <w:start w:val="1"/>
      <w:numFmt w:val="bullet"/>
      <w:lvlText w:val="-"/>
      <w:lvlJc w:val="left"/>
      <w:pPr>
        <w:ind w:left="720" w:hanging="360"/>
      </w:pPr>
      <w:rPr>
        <w:rFonts w:hint="default" w:ascii="Calibri" w:hAnsi="Calibri"/>
      </w:rPr>
    </w:lvl>
    <w:lvl w:ilvl="1" w:tplc="EF30CD90">
      <w:start w:val="1"/>
      <w:numFmt w:val="bullet"/>
      <w:lvlText w:val="o"/>
      <w:lvlJc w:val="left"/>
      <w:pPr>
        <w:ind w:left="1440" w:hanging="360"/>
      </w:pPr>
      <w:rPr>
        <w:rFonts w:hint="default" w:ascii="Courier New" w:hAnsi="Courier New"/>
      </w:rPr>
    </w:lvl>
    <w:lvl w:ilvl="2" w:tplc="833AA818">
      <w:start w:val="1"/>
      <w:numFmt w:val="bullet"/>
      <w:lvlText w:val=""/>
      <w:lvlJc w:val="left"/>
      <w:pPr>
        <w:ind w:left="2160" w:hanging="360"/>
      </w:pPr>
      <w:rPr>
        <w:rFonts w:hint="default" w:ascii="Wingdings" w:hAnsi="Wingdings"/>
      </w:rPr>
    </w:lvl>
    <w:lvl w:ilvl="3" w:tplc="0F988504">
      <w:start w:val="1"/>
      <w:numFmt w:val="bullet"/>
      <w:lvlText w:val=""/>
      <w:lvlJc w:val="left"/>
      <w:pPr>
        <w:ind w:left="2880" w:hanging="360"/>
      </w:pPr>
      <w:rPr>
        <w:rFonts w:hint="default" w:ascii="Symbol" w:hAnsi="Symbol"/>
      </w:rPr>
    </w:lvl>
    <w:lvl w:ilvl="4" w:tplc="741E219C">
      <w:start w:val="1"/>
      <w:numFmt w:val="bullet"/>
      <w:lvlText w:val="o"/>
      <w:lvlJc w:val="left"/>
      <w:pPr>
        <w:ind w:left="3600" w:hanging="360"/>
      </w:pPr>
      <w:rPr>
        <w:rFonts w:hint="default" w:ascii="Courier New" w:hAnsi="Courier New"/>
      </w:rPr>
    </w:lvl>
    <w:lvl w:ilvl="5" w:tplc="A5B0CEB6">
      <w:start w:val="1"/>
      <w:numFmt w:val="bullet"/>
      <w:lvlText w:val=""/>
      <w:lvlJc w:val="left"/>
      <w:pPr>
        <w:ind w:left="4320" w:hanging="360"/>
      </w:pPr>
      <w:rPr>
        <w:rFonts w:hint="default" w:ascii="Wingdings" w:hAnsi="Wingdings"/>
      </w:rPr>
    </w:lvl>
    <w:lvl w:ilvl="6" w:tplc="C89A6878">
      <w:start w:val="1"/>
      <w:numFmt w:val="bullet"/>
      <w:lvlText w:val=""/>
      <w:lvlJc w:val="left"/>
      <w:pPr>
        <w:ind w:left="5040" w:hanging="360"/>
      </w:pPr>
      <w:rPr>
        <w:rFonts w:hint="default" w:ascii="Symbol" w:hAnsi="Symbol"/>
      </w:rPr>
    </w:lvl>
    <w:lvl w:ilvl="7" w:tplc="41F261DA">
      <w:start w:val="1"/>
      <w:numFmt w:val="bullet"/>
      <w:lvlText w:val="o"/>
      <w:lvlJc w:val="left"/>
      <w:pPr>
        <w:ind w:left="5760" w:hanging="360"/>
      </w:pPr>
      <w:rPr>
        <w:rFonts w:hint="default" w:ascii="Courier New" w:hAnsi="Courier New"/>
      </w:rPr>
    </w:lvl>
    <w:lvl w:ilvl="8" w:tplc="520E40A6">
      <w:start w:val="1"/>
      <w:numFmt w:val="bullet"/>
      <w:lvlText w:val=""/>
      <w:lvlJc w:val="left"/>
      <w:pPr>
        <w:ind w:left="6480" w:hanging="360"/>
      </w:pPr>
      <w:rPr>
        <w:rFonts w:hint="default" w:ascii="Wingdings" w:hAnsi="Wingdings"/>
      </w:rPr>
    </w:lvl>
  </w:abstractNum>
  <w:abstractNum w:abstractNumId="36" w15:restartNumberingAfterBreak="0">
    <w:nsid w:val="783F6D4B"/>
    <w:multiLevelType w:val="hybridMultilevel"/>
    <w:tmpl w:val="7C461D22"/>
    <w:lvl w:ilvl="0" w:tplc="68A4E114">
      <w:numFmt w:val="decimal"/>
      <w:lvlText w:val="%1."/>
      <w:lvlJc w:val="left"/>
      <w:pPr>
        <w:ind w:left="855" w:hanging="49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D875D3"/>
    <w:multiLevelType w:val="hybridMultilevel"/>
    <w:tmpl w:val="19427740"/>
    <w:lvl w:ilvl="0" w:tplc="46187E58">
      <w:start w:val="1"/>
      <w:numFmt w:val="bullet"/>
      <w:lvlText w:val="-"/>
      <w:lvlJc w:val="left"/>
      <w:pPr>
        <w:ind w:left="720" w:hanging="360"/>
      </w:pPr>
      <w:rPr>
        <w:rFonts w:hint="default" w:ascii="Calibri" w:hAnsi="Calibri"/>
      </w:rPr>
    </w:lvl>
    <w:lvl w:ilvl="1" w:tplc="804A139A">
      <w:start w:val="1"/>
      <w:numFmt w:val="bullet"/>
      <w:lvlText w:val="o"/>
      <w:lvlJc w:val="left"/>
      <w:pPr>
        <w:ind w:left="1440" w:hanging="360"/>
      </w:pPr>
      <w:rPr>
        <w:rFonts w:hint="default" w:ascii="Courier New" w:hAnsi="Courier New"/>
      </w:rPr>
    </w:lvl>
    <w:lvl w:ilvl="2" w:tplc="8130B0F6">
      <w:start w:val="1"/>
      <w:numFmt w:val="bullet"/>
      <w:lvlText w:val=""/>
      <w:lvlJc w:val="left"/>
      <w:pPr>
        <w:ind w:left="2160" w:hanging="360"/>
      </w:pPr>
      <w:rPr>
        <w:rFonts w:hint="default" w:ascii="Wingdings" w:hAnsi="Wingdings"/>
      </w:rPr>
    </w:lvl>
    <w:lvl w:ilvl="3" w:tplc="4994FFB2">
      <w:start w:val="1"/>
      <w:numFmt w:val="bullet"/>
      <w:lvlText w:val=""/>
      <w:lvlJc w:val="left"/>
      <w:pPr>
        <w:ind w:left="2880" w:hanging="360"/>
      </w:pPr>
      <w:rPr>
        <w:rFonts w:hint="default" w:ascii="Symbol" w:hAnsi="Symbol"/>
      </w:rPr>
    </w:lvl>
    <w:lvl w:ilvl="4" w:tplc="0D584B88">
      <w:start w:val="1"/>
      <w:numFmt w:val="bullet"/>
      <w:lvlText w:val="o"/>
      <w:lvlJc w:val="left"/>
      <w:pPr>
        <w:ind w:left="3600" w:hanging="360"/>
      </w:pPr>
      <w:rPr>
        <w:rFonts w:hint="default" w:ascii="Courier New" w:hAnsi="Courier New"/>
      </w:rPr>
    </w:lvl>
    <w:lvl w:ilvl="5" w:tplc="31D07534">
      <w:start w:val="1"/>
      <w:numFmt w:val="bullet"/>
      <w:lvlText w:val=""/>
      <w:lvlJc w:val="left"/>
      <w:pPr>
        <w:ind w:left="4320" w:hanging="360"/>
      </w:pPr>
      <w:rPr>
        <w:rFonts w:hint="default" w:ascii="Wingdings" w:hAnsi="Wingdings"/>
      </w:rPr>
    </w:lvl>
    <w:lvl w:ilvl="6" w:tplc="CA62CBDA">
      <w:start w:val="1"/>
      <w:numFmt w:val="bullet"/>
      <w:lvlText w:val=""/>
      <w:lvlJc w:val="left"/>
      <w:pPr>
        <w:ind w:left="5040" w:hanging="360"/>
      </w:pPr>
      <w:rPr>
        <w:rFonts w:hint="default" w:ascii="Symbol" w:hAnsi="Symbol"/>
      </w:rPr>
    </w:lvl>
    <w:lvl w:ilvl="7" w:tplc="E898A72E">
      <w:start w:val="1"/>
      <w:numFmt w:val="bullet"/>
      <w:lvlText w:val="o"/>
      <w:lvlJc w:val="left"/>
      <w:pPr>
        <w:ind w:left="5760" w:hanging="360"/>
      </w:pPr>
      <w:rPr>
        <w:rFonts w:hint="default" w:ascii="Courier New" w:hAnsi="Courier New"/>
      </w:rPr>
    </w:lvl>
    <w:lvl w:ilvl="8" w:tplc="200270D4">
      <w:start w:val="1"/>
      <w:numFmt w:val="bullet"/>
      <w:lvlText w:val=""/>
      <w:lvlJc w:val="left"/>
      <w:pPr>
        <w:ind w:left="6480" w:hanging="360"/>
      </w:pPr>
      <w:rPr>
        <w:rFonts w:hint="default" w:ascii="Wingdings" w:hAnsi="Wingdings"/>
      </w:rPr>
    </w:lvl>
  </w:abstractNum>
  <w:num w:numId="1" w16cid:durableId="361979364">
    <w:abstractNumId w:val="28"/>
  </w:num>
  <w:num w:numId="2" w16cid:durableId="661546961">
    <w:abstractNumId w:val="12"/>
  </w:num>
  <w:num w:numId="3" w16cid:durableId="935796342">
    <w:abstractNumId w:val="32"/>
  </w:num>
  <w:num w:numId="4" w16cid:durableId="1682243631">
    <w:abstractNumId w:val="27"/>
  </w:num>
  <w:num w:numId="5" w16cid:durableId="2101178938">
    <w:abstractNumId w:val="17"/>
  </w:num>
  <w:num w:numId="6" w16cid:durableId="100490101">
    <w:abstractNumId w:val="3"/>
  </w:num>
  <w:num w:numId="7" w16cid:durableId="1236940270">
    <w:abstractNumId w:val="25"/>
  </w:num>
  <w:num w:numId="8" w16cid:durableId="1894661338">
    <w:abstractNumId w:val="6"/>
  </w:num>
  <w:num w:numId="9" w16cid:durableId="1187864941">
    <w:abstractNumId w:val="19"/>
  </w:num>
  <w:num w:numId="10" w16cid:durableId="399793220">
    <w:abstractNumId w:val="30"/>
  </w:num>
  <w:num w:numId="11" w16cid:durableId="697704395">
    <w:abstractNumId w:val="15"/>
  </w:num>
  <w:num w:numId="12" w16cid:durableId="397438514">
    <w:abstractNumId w:val="23"/>
  </w:num>
  <w:num w:numId="13" w16cid:durableId="1216351384">
    <w:abstractNumId w:val="34"/>
  </w:num>
  <w:num w:numId="14" w16cid:durableId="1669408366">
    <w:abstractNumId w:val="4"/>
  </w:num>
  <w:num w:numId="15" w16cid:durableId="1493375123">
    <w:abstractNumId w:val="2"/>
  </w:num>
  <w:num w:numId="16" w16cid:durableId="66653742">
    <w:abstractNumId w:val="10"/>
  </w:num>
  <w:num w:numId="17" w16cid:durableId="722412120">
    <w:abstractNumId w:val="1"/>
  </w:num>
  <w:num w:numId="18" w16cid:durableId="1698194002">
    <w:abstractNumId w:val="31"/>
  </w:num>
  <w:num w:numId="19" w16cid:durableId="779685087">
    <w:abstractNumId w:val="0"/>
  </w:num>
  <w:num w:numId="20" w16cid:durableId="684988264">
    <w:abstractNumId w:val="16"/>
  </w:num>
  <w:num w:numId="21" w16cid:durableId="1360617483">
    <w:abstractNumId w:val="24"/>
  </w:num>
  <w:num w:numId="22" w16cid:durableId="2038506515">
    <w:abstractNumId w:val="5"/>
  </w:num>
  <w:num w:numId="23" w16cid:durableId="1221481895">
    <w:abstractNumId w:val="22"/>
  </w:num>
  <w:num w:numId="24" w16cid:durableId="1890454509">
    <w:abstractNumId w:val="37"/>
  </w:num>
  <w:num w:numId="25" w16cid:durableId="118495735">
    <w:abstractNumId w:val="33"/>
  </w:num>
  <w:num w:numId="26" w16cid:durableId="674190823">
    <w:abstractNumId w:val="14"/>
  </w:num>
  <w:num w:numId="27" w16cid:durableId="416445457">
    <w:abstractNumId w:val="29"/>
  </w:num>
  <w:num w:numId="28" w16cid:durableId="220412835">
    <w:abstractNumId w:val="21"/>
  </w:num>
  <w:num w:numId="29" w16cid:durableId="891308311">
    <w:abstractNumId w:val="13"/>
  </w:num>
  <w:num w:numId="30" w16cid:durableId="756946442">
    <w:abstractNumId w:val="26"/>
  </w:num>
  <w:num w:numId="31" w16cid:durableId="2043051441">
    <w:abstractNumId w:val="11"/>
  </w:num>
  <w:num w:numId="32" w16cid:durableId="1698653837">
    <w:abstractNumId w:val="20"/>
  </w:num>
  <w:num w:numId="33" w16cid:durableId="1464615341">
    <w:abstractNumId w:val="35"/>
  </w:num>
  <w:num w:numId="34" w16cid:durableId="917592704">
    <w:abstractNumId w:val="9"/>
  </w:num>
  <w:num w:numId="35" w16cid:durableId="349189261">
    <w:abstractNumId w:val="18"/>
  </w:num>
  <w:num w:numId="36" w16cid:durableId="1711415615">
    <w:abstractNumId w:val="36"/>
  </w:num>
  <w:num w:numId="37" w16cid:durableId="1705714204">
    <w:abstractNumId w:val="18"/>
  </w:num>
  <w:num w:numId="38" w16cid:durableId="1067610293">
    <w:abstractNumId w:val="18"/>
  </w:num>
  <w:num w:numId="39" w16cid:durableId="1650091055">
    <w:abstractNumId w:val="16"/>
    <w:lvlOverride w:ilvl="0">
      <w:startOverride w:val="1"/>
    </w:lvlOverride>
  </w:num>
  <w:num w:numId="40" w16cid:durableId="1304116928">
    <w:abstractNumId w:val="8"/>
  </w:num>
  <w:num w:numId="41" w16cid:durableId="767848575">
    <w:abstractNumId w:val="7"/>
  </w:num>
  <w:num w:numId="42" w16cid:durableId="1995406061">
    <w:abstractNumId w:val="16"/>
    <w:lvlOverride w:ilvl="0">
      <w:startOverride w:val="1"/>
    </w:lvlOverride>
  </w:num>
  <w:num w:numId="43" w16cid:durableId="1961759189">
    <w:abstractNumId w:val="16"/>
    <w:lvlOverride w:ilvl="0">
      <w:startOverride w:val="1"/>
    </w:lvlOverride>
  </w:num>
  <w:num w:numId="44" w16cid:durableId="2080446587">
    <w:abstractNumId w:val="16"/>
    <w:lvlOverride w:ilvl="0">
      <w:startOverride w:val="4"/>
    </w:lvlOverride>
  </w:num>
  <w:num w:numId="45" w16cid:durableId="2136098114">
    <w:abstractNumId w:val="16"/>
    <w:lvlOverride w:ilvl="0">
      <w:startOverride w:val="1"/>
    </w:lvlOverride>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trackRevisions w:val="tru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630D"/>
    <w:rsid w:val="0000037A"/>
    <w:rsid w:val="000018C2"/>
    <w:rsid w:val="00002B5E"/>
    <w:rsid w:val="00002C12"/>
    <w:rsid w:val="00004449"/>
    <w:rsid w:val="0000473B"/>
    <w:rsid w:val="00004FAF"/>
    <w:rsid w:val="00005076"/>
    <w:rsid w:val="000051F9"/>
    <w:rsid w:val="0000573B"/>
    <w:rsid w:val="00006746"/>
    <w:rsid w:val="00006DA4"/>
    <w:rsid w:val="00007B34"/>
    <w:rsid w:val="0001146B"/>
    <w:rsid w:val="00012DF8"/>
    <w:rsid w:val="00012E2B"/>
    <w:rsid w:val="00013014"/>
    <w:rsid w:val="000132D2"/>
    <w:rsid w:val="000134F0"/>
    <w:rsid w:val="00013950"/>
    <w:rsid w:val="00014892"/>
    <w:rsid w:val="00014B6C"/>
    <w:rsid w:val="00015386"/>
    <w:rsid w:val="000154B5"/>
    <w:rsid w:val="000156A1"/>
    <w:rsid w:val="00016A62"/>
    <w:rsid w:val="00016EC7"/>
    <w:rsid w:val="00016F96"/>
    <w:rsid w:val="000170AB"/>
    <w:rsid w:val="00017715"/>
    <w:rsid w:val="0002091B"/>
    <w:rsid w:val="000211E6"/>
    <w:rsid w:val="000221FF"/>
    <w:rsid w:val="0002269A"/>
    <w:rsid w:val="00023AC3"/>
    <w:rsid w:val="00023CAF"/>
    <w:rsid w:val="00025331"/>
    <w:rsid w:val="00025671"/>
    <w:rsid w:val="00025D19"/>
    <w:rsid w:val="0002620D"/>
    <w:rsid w:val="00026E36"/>
    <w:rsid w:val="00030731"/>
    <w:rsid w:val="0003141E"/>
    <w:rsid w:val="00032EE7"/>
    <w:rsid w:val="00033577"/>
    <w:rsid w:val="00033D68"/>
    <w:rsid w:val="00034042"/>
    <w:rsid w:val="00034070"/>
    <w:rsid w:val="0003660F"/>
    <w:rsid w:val="00036BFE"/>
    <w:rsid w:val="00036C7B"/>
    <w:rsid w:val="00037649"/>
    <w:rsid w:val="000376F4"/>
    <w:rsid w:val="0003FA77"/>
    <w:rsid w:val="00040027"/>
    <w:rsid w:val="0004089C"/>
    <w:rsid w:val="000432C8"/>
    <w:rsid w:val="000433EB"/>
    <w:rsid w:val="00045762"/>
    <w:rsid w:val="00045BDC"/>
    <w:rsid w:val="00046026"/>
    <w:rsid w:val="00046F9E"/>
    <w:rsid w:val="00050C9A"/>
    <w:rsid w:val="00052058"/>
    <w:rsid w:val="000522FE"/>
    <w:rsid w:val="00052627"/>
    <w:rsid w:val="00052A67"/>
    <w:rsid w:val="0005310A"/>
    <w:rsid w:val="0005386E"/>
    <w:rsid w:val="00053CBE"/>
    <w:rsid w:val="000548AC"/>
    <w:rsid w:val="00054C2D"/>
    <w:rsid w:val="00054C91"/>
    <w:rsid w:val="000564E3"/>
    <w:rsid w:val="0005651E"/>
    <w:rsid w:val="0005684F"/>
    <w:rsid w:val="00056C7E"/>
    <w:rsid w:val="000579F2"/>
    <w:rsid w:val="00060C29"/>
    <w:rsid w:val="00060DD0"/>
    <w:rsid w:val="00060E75"/>
    <w:rsid w:val="00061345"/>
    <w:rsid w:val="00061D5C"/>
    <w:rsid w:val="00062CD6"/>
    <w:rsid w:val="00062F96"/>
    <w:rsid w:val="000632E3"/>
    <w:rsid w:val="00063559"/>
    <w:rsid w:val="00063C78"/>
    <w:rsid w:val="00065146"/>
    <w:rsid w:val="0006515B"/>
    <w:rsid w:val="0006560D"/>
    <w:rsid w:val="00067EA0"/>
    <w:rsid w:val="00070351"/>
    <w:rsid w:val="000728B3"/>
    <w:rsid w:val="00072D09"/>
    <w:rsid w:val="000734B8"/>
    <w:rsid w:val="000747B4"/>
    <w:rsid w:val="00075459"/>
    <w:rsid w:val="00075530"/>
    <w:rsid w:val="000760D7"/>
    <w:rsid w:val="0007618D"/>
    <w:rsid w:val="000767F5"/>
    <w:rsid w:val="000772CA"/>
    <w:rsid w:val="0007792A"/>
    <w:rsid w:val="00077BB8"/>
    <w:rsid w:val="000805B9"/>
    <w:rsid w:val="000817D1"/>
    <w:rsid w:val="00081921"/>
    <w:rsid w:val="00081A3D"/>
    <w:rsid w:val="00082A7C"/>
    <w:rsid w:val="00082AD8"/>
    <w:rsid w:val="00082C63"/>
    <w:rsid w:val="0008510F"/>
    <w:rsid w:val="00085416"/>
    <w:rsid w:val="000859C3"/>
    <w:rsid w:val="00086316"/>
    <w:rsid w:val="000866C2"/>
    <w:rsid w:val="00087071"/>
    <w:rsid w:val="000870BE"/>
    <w:rsid w:val="00087852"/>
    <w:rsid w:val="00087EB2"/>
    <w:rsid w:val="00090595"/>
    <w:rsid w:val="00090675"/>
    <w:rsid w:val="00090E9D"/>
    <w:rsid w:val="00090FBC"/>
    <w:rsid w:val="00091B25"/>
    <w:rsid w:val="00091C31"/>
    <w:rsid w:val="00092868"/>
    <w:rsid w:val="00092FEF"/>
    <w:rsid w:val="000939D8"/>
    <w:rsid w:val="000943DE"/>
    <w:rsid w:val="00094AB5"/>
    <w:rsid w:val="00094F7F"/>
    <w:rsid w:val="0009584A"/>
    <w:rsid w:val="000959FA"/>
    <w:rsid w:val="00095F3E"/>
    <w:rsid w:val="000962D0"/>
    <w:rsid w:val="00096341"/>
    <w:rsid w:val="00097A8E"/>
    <w:rsid w:val="00097B09"/>
    <w:rsid w:val="00097C21"/>
    <w:rsid w:val="00097C72"/>
    <w:rsid w:val="00097D86"/>
    <w:rsid w:val="000A07F8"/>
    <w:rsid w:val="000A0F2C"/>
    <w:rsid w:val="000A0F7B"/>
    <w:rsid w:val="000A239F"/>
    <w:rsid w:val="000A268C"/>
    <w:rsid w:val="000A2DD9"/>
    <w:rsid w:val="000A348A"/>
    <w:rsid w:val="000A3821"/>
    <w:rsid w:val="000A42C8"/>
    <w:rsid w:val="000A4C13"/>
    <w:rsid w:val="000A59BC"/>
    <w:rsid w:val="000A7217"/>
    <w:rsid w:val="000A77DC"/>
    <w:rsid w:val="000B0535"/>
    <w:rsid w:val="000B084D"/>
    <w:rsid w:val="000B09FC"/>
    <w:rsid w:val="000B261B"/>
    <w:rsid w:val="000B27E5"/>
    <w:rsid w:val="000B2D36"/>
    <w:rsid w:val="000B2F7D"/>
    <w:rsid w:val="000B30FC"/>
    <w:rsid w:val="000B3617"/>
    <w:rsid w:val="000B397A"/>
    <w:rsid w:val="000B477D"/>
    <w:rsid w:val="000B51A4"/>
    <w:rsid w:val="000B58B5"/>
    <w:rsid w:val="000B58EE"/>
    <w:rsid w:val="000B5B0B"/>
    <w:rsid w:val="000B6395"/>
    <w:rsid w:val="000B6722"/>
    <w:rsid w:val="000B67B2"/>
    <w:rsid w:val="000B7018"/>
    <w:rsid w:val="000B7D42"/>
    <w:rsid w:val="000B7DA0"/>
    <w:rsid w:val="000C06E8"/>
    <w:rsid w:val="000C070F"/>
    <w:rsid w:val="000C0ABD"/>
    <w:rsid w:val="000C0F6B"/>
    <w:rsid w:val="000C10B2"/>
    <w:rsid w:val="000C204D"/>
    <w:rsid w:val="000C315B"/>
    <w:rsid w:val="000C45F9"/>
    <w:rsid w:val="000C5B75"/>
    <w:rsid w:val="000C7136"/>
    <w:rsid w:val="000C7B01"/>
    <w:rsid w:val="000C7B53"/>
    <w:rsid w:val="000CA266"/>
    <w:rsid w:val="000D015A"/>
    <w:rsid w:val="000D01AF"/>
    <w:rsid w:val="000D0742"/>
    <w:rsid w:val="000D16C7"/>
    <w:rsid w:val="000D1940"/>
    <w:rsid w:val="000D2099"/>
    <w:rsid w:val="000D3792"/>
    <w:rsid w:val="000D457B"/>
    <w:rsid w:val="000D4B27"/>
    <w:rsid w:val="000D7421"/>
    <w:rsid w:val="000D7C41"/>
    <w:rsid w:val="000E0583"/>
    <w:rsid w:val="000E09BD"/>
    <w:rsid w:val="000E1C47"/>
    <w:rsid w:val="000E1DB8"/>
    <w:rsid w:val="000E2464"/>
    <w:rsid w:val="000E294D"/>
    <w:rsid w:val="000E2C50"/>
    <w:rsid w:val="000E2DE7"/>
    <w:rsid w:val="000E3F27"/>
    <w:rsid w:val="000E3FA1"/>
    <w:rsid w:val="000E43E6"/>
    <w:rsid w:val="000E5449"/>
    <w:rsid w:val="000E5E17"/>
    <w:rsid w:val="000E6488"/>
    <w:rsid w:val="000E648E"/>
    <w:rsid w:val="000E76CE"/>
    <w:rsid w:val="000E7D4F"/>
    <w:rsid w:val="000F157E"/>
    <w:rsid w:val="000F1BEA"/>
    <w:rsid w:val="000F27C8"/>
    <w:rsid w:val="000F2E81"/>
    <w:rsid w:val="000F412F"/>
    <w:rsid w:val="000F4769"/>
    <w:rsid w:val="000F487F"/>
    <w:rsid w:val="000F4D71"/>
    <w:rsid w:val="000F504E"/>
    <w:rsid w:val="000F5547"/>
    <w:rsid w:val="000F55AE"/>
    <w:rsid w:val="000F55F9"/>
    <w:rsid w:val="000F5795"/>
    <w:rsid w:val="000F680E"/>
    <w:rsid w:val="00100034"/>
    <w:rsid w:val="00100CB9"/>
    <w:rsid w:val="0010155F"/>
    <w:rsid w:val="0010187D"/>
    <w:rsid w:val="00101A17"/>
    <w:rsid w:val="00101A66"/>
    <w:rsid w:val="00101A7C"/>
    <w:rsid w:val="0010207D"/>
    <w:rsid w:val="001025B2"/>
    <w:rsid w:val="001028B8"/>
    <w:rsid w:val="001028E1"/>
    <w:rsid w:val="00102D81"/>
    <w:rsid w:val="00102EA8"/>
    <w:rsid w:val="00106157"/>
    <w:rsid w:val="00106215"/>
    <w:rsid w:val="00106D5B"/>
    <w:rsid w:val="00107CC2"/>
    <w:rsid w:val="0011074D"/>
    <w:rsid w:val="00110F91"/>
    <w:rsid w:val="0011101A"/>
    <w:rsid w:val="00112B2C"/>
    <w:rsid w:val="00112D68"/>
    <w:rsid w:val="00113408"/>
    <w:rsid w:val="001135A3"/>
    <w:rsid w:val="00113ABA"/>
    <w:rsid w:val="0011402E"/>
    <w:rsid w:val="00114136"/>
    <w:rsid w:val="00114861"/>
    <w:rsid w:val="001155B5"/>
    <w:rsid w:val="0011570F"/>
    <w:rsid w:val="001158F6"/>
    <w:rsid w:val="00116053"/>
    <w:rsid w:val="00116947"/>
    <w:rsid w:val="001169AB"/>
    <w:rsid w:val="001175AA"/>
    <w:rsid w:val="001210B9"/>
    <w:rsid w:val="001216AD"/>
    <w:rsid w:val="00122412"/>
    <w:rsid w:val="001225CF"/>
    <w:rsid w:val="001226C0"/>
    <w:rsid w:val="00122F09"/>
    <w:rsid w:val="00123B2D"/>
    <w:rsid w:val="00124205"/>
    <w:rsid w:val="00125B62"/>
    <w:rsid w:val="0012722D"/>
    <w:rsid w:val="0012768B"/>
    <w:rsid w:val="00127AC4"/>
    <w:rsid w:val="001302AA"/>
    <w:rsid w:val="001304C2"/>
    <w:rsid w:val="00130AD0"/>
    <w:rsid w:val="00130BB7"/>
    <w:rsid w:val="00130F2A"/>
    <w:rsid w:val="001314C9"/>
    <w:rsid w:val="001317B5"/>
    <w:rsid w:val="00131BB4"/>
    <w:rsid w:val="00132285"/>
    <w:rsid w:val="001328DD"/>
    <w:rsid w:val="00134FCB"/>
    <w:rsid w:val="001363FE"/>
    <w:rsid w:val="00136F7C"/>
    <w:rsid w:val="00137300"/>
    <w:rsid w:val="00137A67"/>
    <w:rsid w:val="00140226"/>
    <w:rsid w:val="00140ACC"/>
    <w:rsid w:val="00141643"/>
    <w:rsid w:val="001418CC"/>
    <w:rsid w:val="0014191A"/>
    <w:rsid w:val="0014193A"/>
    <w:rsid w:val="00141B2A"/>
    <w:rsid w:val="00141E0F"/>
    <w:rsid w:val="00141E52"/>
    <w:rsid w:val="00142780"/>
    <w:rsid w:val="00142EB8"/>
    <w:rsid w:val="00143316"/>
    <w:rsid w:val="00144155"/>
    <w:rsid w:val="00144B89"/>
    <w:rsid w:val="00144D19"/>
    <w:rsid w:val="00146976"/>
    <w:rsid w:val="00147634"/>
    <w:rsid w:val="001500CE"/>
    <w:rsid w:val="001509EF"/>
    <w:rsid w:val="0015108C"/>
    <w:rsid w:val="001519C7"/>
    <w:rsid w:val="001519E3"/>
    <w:rsid w:val="00151FD0"/>
    <w:rsid w:val="00152E86"/>
    <w:rsid w:val="00153D73"/>
    <w:rsid w:val="00153DBD"/>
    <w:rsid w:val="00154362"/>
    <w:rsid w:val="00154E66"/>
    <w:rsid w:val="001554E7"/>
    <w:rsid w:val="001564C8"/>
    <w:rsid w:val="0015651C"/>
    <w:rsid w:val="00156771"/>
    <w:rsid w:val="00156CAC"/>
    <w:rsid w:val="0015C0AC"/>
    <w:rsid w:val="0015EBAA"/>
    <w:rsid w:val="00160866"/>
    <w:rsid w:val="001613E9"/>
    <w:rsid w:val="00161BE5"/>
    <w:rsid w:val="001622E6"/>
    <w:rsid w:val="00162763"/>
    <w:rsid w:val="00163D57"/>
    <w:rsid w:val="00164CF2"/>
    <w:rsid w:val="00165A65"/>
    <w:rsid w:val="00165B80"/>
    <w:rsid w:val="00167052"/>
    <w:rsid w:val="001672FA"/>
    <w:rsid w:val="001677E6"/>
    <w:rsid w:val="00167D0C"/>
    <w:rsid w:val="00167D40"/>
    <w:rsid w:val="00167F5E"/>
    <w:rsid w:val="00170AA4"/>
    <w:rsid w:val="00171673"/>
    <w:rsid w:val="00171B6F"/>
    <w:rsid w:val="00171C4A"/>
    <w:rsid w:val="00172578"/>
    <w:rsid w:val="00172BEA"/>
    <w:rsid w:val="001730AC"/>
    <w:rsid w:val="00173980"/>
    <w:rsid w:val="00174CA6"/>
    <w:rsid w:val="00175E14"/>
    <w:rsid w:val="001761F5"/>
    <w:rsid w:val="00176EBF"/>
    <w:rsid w:val="00177317"/>
    <w:rsid w:val="00177363"/>
    <w:rsid w:val="00177919"/>
    <w:rsid w:val="00177D71"/>
    <w:rsid w:val="00180510"/>
    <w:rsid w:val="0018145A"/>
    <w:rsid w:val="00182AA1"/>
    <w:rsid w:val="00182C7C"/>
    <w:rsid w:val="001830D1"/>
    <w:rsid w:val="00183268"/>
    <w:rsid w:val="00183AC7"/>
    <w:rsid w:val="00183C65"/>
    <w:rsid w:val="00184317"/>
    <w:rsid w:val="001843E7"/>
    <w:rsid w:val="00185695"/>
    <w:rsid w:val="00185EB6"/>
    <w:rsid w:val="00186233"/>
    <w:rsid w:val="00186A92"/>
    <w:rsid w:val="00186CDC"/>
    <w:rsid w:val="00186CEB"/>
    <w:rsid w:val="001874B0"/>
    <w:rsid w:val="00187927"/>
    <w:rsid w:val="00187C2F"/>
    <w:rsid w:val="0018815A"/>
    <w:rsid w:val="001921A1"/>
    <w:rsid w:val="00192E08"/>
    <w:rsid w:val="00192E45"/>
    <w:rsid w:val="001935B2"/>
    <w:rsid w:val="00193952"/>
    <w:rsid w:val="00194452"/>
    <w:rsid w:val="00194510"/>
    <w:rsid w:val="0019472E"/>
    <w:rsid w:val="00194AC3"/>
    <w:rsid w:val="001971B0"/>
    <w:rsid w:val="00197B21"/>
    <w:rsid w:val="00197F39"/>
    <w:rsid w:val="001A0B79"/>
    <w:rsid w:val="001A0C12"/>
    <w:rsid w:val="001A1268"/>
    <w:rsid w:val="001A19EB"/>
    <w:rsid w:val="001A1A5C"/>
    <w:rsid w:val="001A247A"/>
    <w:rsid w:val="001A303B"/>
    <w:rsid w:val="001A3748"/>
    <w:rsid w:val="001A3D56"/>
    <w:rsid w:val="001A416C"/>
    <w:rsid w:val="001A42DB"/>
    <w:rsid w:val="001A5625"/>
    <w:rsid w:val="001A6126"/>
    <w:rsid w:val="001A7AE5"/>
    <w:rsid w:val="001AB5EC"/>
    <w:rsid w:val="001B01F5"/>
    <w:rsid w:val="001B0326"/>
    <w:rsid w:val="001B0435"/>
    <w:rsid w:val="001B0586"/>
    <w:rsid w:val="001B075F"/>
    <w:rsid w:val="001B1C10"/>
    <w:rsid w:val="001B2439"/>
    <w:rsid w:val="001B2795"/>
    <w:rsid w:val="001B38E5"/>
    <w:rsid w:val="001B3C46"/>
    <w:rsid w:val="001B3E75"/>
    <w:rsid w:val="001B4400"/>
    <w:rsid w:val="001B4996"/>
    <w:rsid w:val="001B4A62"/>
    <w:rsid w:val="001B66DF"/>
    <w:rsid w:val="001B7965"/>
    <w:rsid w:val="001B7D66"/>
    <w:rsid w:val="001C0816"/>
    <w:rsid w:val="001C0AD0"/>
    <w:rsid w:val="001C0CDE"/>
    <w:rsid w:val="001C0E12"/>
    <w:rsid w:val="001C14AA"/>
    <w:rsid w:val="001C175D"/>
    <w:rsid w:val="001C2055"/>
    <w:rsid w:val="001C23B1"/>
    <w:rsid w:val="001C27CC"/>
    <w:rsid w:val="001C2873"/>
    <w:rsid w:val="001C3551"/>
    <w:rsid w:val="001C41CA"/>
    <w:rsid w:val="001C4339"/>
    <w:rsid w:val="001C4D5D"/>
    <w:rsid w:val="001C5666"/>
    <w:rsid w:val="001C5FC7"/>
    <w:rsid w:val="001C6B90"/>
    <w:rsid w:val="001C6DE5"/>
    <w:rsid w:val="001C73D7"/>
    <w:rsid w:val="001C7970"/>
    <w:rsid w:val="001C7B63"/>
    <w:rsid w:val="001D0809"/>
    <w:rsid w:val="001D15E5"/>
    <w:rsid w:val="001D2E6B"/>
    <w:rsid w:val="001D3369"/>
    <w:rsid w:val="001D3483"/>
    <w:rsid w:val="001D3A65"/>
    <w:rsid w:val="001D4256"/>
    <w:rsid w:val="001D4C2F"/>
    <w:rsid w:val="001D4CF2"/>
    <w:rsid w:val="001D601C"/>
    <w:rsid w:val="001D6D6D"/>
    <w:rsid w:val="001D6EE8"/>
    <w:rsid w:val="001D7575"/>
    <w:rsid w:val="001D7637"/>
    <w:rsid w:val="001D7FDB"/>
    <w:rsid w:val="001E0491"/>
    <w:rsid w:val="001E1467"/>
    <w:rsid w:val="001E2818"/>
    <w:rsid w:val="001E38FA"/>
    <w:rsid w:val="001E424E"/>
    <w:rsid w:val="001E46CE"/>
    <w:rsid w:val="001E4726"/>
    <w:rsid w:val="001E4AB3"/>
    <w:rsid w:val="001E4C5C"/>
    <w:rsid w:val="001E54B3"/>
    <w:rsid w:val="001E6102"/>
    <w:rsid w:val="001E6257"/>
    <w:rsid w:val="001E6E91"/>
    <w:rsid w:val="001E737E"/>
    <w:rsid w:val="001F02CE"/>
    <w:rsid w:val="001F05F4"/>
    <w:rsid w:val="001F16BB"/>
    <w:rsid w:val="001F1BAB"/>
    <w:rsid w:val="001F3289"/>
    <w:rsid w:val="001F35F3"/>
    <w:rsid w:val="001F4AA9"/>
    <w:rsid w:val="001F4B47"/>
    <w:rsid w:val="001F529B"/>
    <w:rsid w:val="001F54FD"/>
    <w:rsid w:val="001F68BF"/>
    <w:rsid w:val="001F6BFC"/>
    <w:rsid w:val="001F6F38"/>
    <w:rsid w:val="001F7254"/>
    <w:rsid w:val="001FF092"/>
    <w:rsid w:val="002000BB"/>
    <w:rsid w:val="0020084F"/>
    <w:rsid w:val="00200ADA"/>
    <w:rsid w:val="00200DC1"/>
    <w:rsid w:val="002016FD"/>
    <w:rsid w:val="00201825"/>
    <w:rsid w:val="00201A22"/>
    <w:rsid w:val="002024F5"/>
    <w:rsid w:val="002033C6"/>
    <w:rsid w:val="0020346E"/>
    <w:rsid w:val="002041FB"/>
    <w:rsid w:val="00204547"/>
    <w:rsid w:val="0020469F"/>
    <w:rsid w:val="00205E91"/>
    <w:rsid w:val="00205FAA"/>
    <w:rsid w:val="00206678"/>
    <w:rsid w:val="00206957"/>
    <w:rsid w:val="00206AD2"/>
    <w:rsid w:val="00206DCF"/>
    <w:rsid w:val="00207CD0"/>
    <w:rsid w:val="00207E49"/>
    <w:rsid w:val="00207F21"/>
    <w:rsid w:val="00207FC1"/>
    <w:rsid w:val="0021078A"/>
    <w:rsid w:val="00210E5D"/>
    <w:rsid w:val="002116E5"/>
    <w:rsid w:val="0021219A"/>
    <w:rsid w:val="002125BD"/>
    <w:rsid w:val="00214731"/>
    <w:rsid w:val="00214B8E"/>
    <w:rsid w:val="00214CDC"/>
    <w:rsid w:val="00215528"/>
    <w:rsid w:val="002167DF"/>
    <w:rsid w:val="00216A04"/>
    <w:rsid w:val="00216A73"/>
    <w:rsid w:val="00216D6F"/>
    <w:rsid w:val="00216DA7"/>
    <w:rsid w:val="00217423"/>
    <w:rsid w:val="002202EE"/>
    <w:rsid w:val="00220347"/>
    <w:rsid w:val="00220BC5"/>
    <w:rsid w:val="00221552"/>
    <w:rsid w:val="00221D79"/>
    <w:rsid w:val="00222ADC"/>
    <w:rsid w:val="0022318E"/>
    <w:rsid w:val="002237A0"/>
    <w:rsid w:val="00223C4D"/>
    <w:rsid w:val="00224A63"/>
    <w:rsid w:val="00224F83"/>
    <w:rsid w:val="00225001"/>
    <w:rsid w:val="00225405"/>
    <w:rsid w:val="00225481"/>
    <w:rsid w:val="002256B7"/>
    <w:rsid w:val="00225A47"/>
    <w:rsid w:val="00225E2C"/>
    <w:rsid w:val="00225F0A"/>
    <w:rsid w:val="0022691E"/>
    <w:rsid w:val="00226D20"/>
    <w:rsid w:val="00227ED0"/>
    <w:rsid w:val="0022B709"/>
    <w:rsid w:val="0022C33D"/>
    <w:rsid w:val="0022E2AA"/>
    <w:rsid w:val="002306BE"/>
    <w:rsid w:val="00230A8C"/>
    <w:rsid w:val="00232154"/>
    <w:rsid w:val="002324D3"/>
    <w:rsid w:val="00233041"/>
    <w:rsid w:val="0023432F"/>
    <w:rsid w:val="00234AFE"/>
    <w:rsid w:val="002351F4"/>
    <w:rsid w:val="00235430"/>
    <w:rsid w:val="002356FA"/>
    <w:rsid w:val="00235F53"/>
    <w:rsid w:val="00236F91"/>
    <w:rsid w:val="00237D6A"/>
    <w:rsid w:val="00241555"/>
    <w:rsid w:val="00241995"/>
    <w:rsid w:val="00242DD8"/>
    <w:rsid w:val="00243AA4"/>
    <w:rsid w:val="00244D15"/>
    <w:rsid w:val="00244F1C"/>
    <w:rsid w:val="00245FB9"/>
    <w:rsid w:val="00246051"/>
    <w:rsid w:val="002467FC"/>
    <w:rsid w:val="00250484"/>
    <w:rsid w:val="00250CE0"/>
    <w:rsid w:val="00250D68"/>
    <w:rsid w:val="00250E8D"/>
    <w:rsid w:val="00251AB5"/>
    <w:rsid w:val="00251B98"/>
    <w:rsid w:val="002520BF"/>
    <w:rsid w:val="0025340E"/>
    <w:rsid w:val="00254AD5"/>
    <w:rsid w:val="00255738"/>
    <w:rsid w:val="00256300"/>
    <w:rsid w:val="00256DF7"/>
    <w:rsid w:val="00257A5D"/>
    <w:rsid w:val="00260A33"/>
    <w:rsid w:val="002611E5"/>
    <w:rsid w:val="00261718"/>
    <w:rsid w:val="002623AF"/>
    <w:rsid w:val="00263A0D"/>
    <w:rsid w:val="00264422"/>
    <w:rsid w:val="002648C3"/>
    <w:rsid w:val="00264BE0"/>
    <w:rsid w:val="00264F23"/>
    <w:rsid w:val="002659AC"/>
    <w:rsid w:val="00265C92"/>
    <w:rsid w:val="00265D63"/>
    <w:rsid w:val="0026766C"/>
    <w:rsid w:val="00267890"/>
    <w:rsid w:val="0026E173"/>
    <w:rsid w:val="002700CB"/>
    <w:rsid w:val="00270E12"/>
    <w:rsid w:val="00271ECC"/>
    <w:rsid w:val="0027269E"/>
    <w:rsid w:val="00272A66"/>
    <w:rsid w:val="00272D66"/>
    <w:rsid w:val="002735B0"/>
    <w:rsid w:val="00273629"/>
    <w:rsid w:val="0027404F"/>
    <w:rsid w:val="00274F15"/>
    <w:rsid w:val="002752B2"/>
    <w:rsid w:val="0027544C"/>
    <w:rsid w:val="002758B5"/>
    <w:rsid w:val="00275F8D"/>
    <w:rsid w:val="00276071"/>
    <w:rsid w:val="00276854"/>
    <w:rsid w:val="00276A76"/>
    <w:rsid w:val="00276D5A"/>
    <w:rsid w:val="0028127A"/>
    <w:rsid w:val="00281B71"/>
    <w:rsid w:val="00282516"/>
    <w:rsid w:val="00282582"/>
    <w:rsid w:val="00282AA3"/>
    <w:rsid w:val="0028334D"/>
    <w:rsid w:val="002833F3"/>
    <w:rsid w:val="0028359E"/>
    <w:rsid w:val="00283EB6"/>
    <w:rsid w:val="00284078"/>
    <w:rsid w:val="002854F0"/>
    <w:rsid w:val="002870DE"/>
    <w:rsid w:val="00287107"/>
    <w:rsid w:val="0028723E"/>
    <w:rsid w:val="00287814"/>
    <w:rsid w:val="002905AB"/>
    <w:rsid w:val="00290E32"/>
    <w:rsid w:val="002915D2"/>
    <w:rsid w:val="002916D6"/>
    <w:rsid w:val="00291E62"/>
    <w:rsid w:val="00293424"/>
    <w:rsid w:val="00293EEE"/>
    <w:rsid w:val="00293F75"/>
    <w:rsid w:val="0029409C"/>
    <w:rsid w:val="00294600"/>
    <w:rsid w:val="002951DF"/>
    <w:rsid w:val="00295792"/>
    <w:rsid w:val="00295E27"/>
    <w:rsid w:val="00296F55"/>
    <w:rsid w:val="00297A6E"/>
    <w:rsid w:val="00297BA3"/>
    <w:rsid w:val="00297FDB"/>
    <w:rsid w:val="002A0CA3"/>
    <w:rsid w:val="002A121A"/>
    <w:rsid w:val="002A1F2E"/>
    <w:rsid w:val="002A29F7"/>
    <w:rsid w:val="002A3E51"/>
    <w:rsid w:val="002A4EE4"/>
    <w:rsid w:val="002A4F1D"/>
    <w:rsid w:val="002A50EC"/>
    <w:rsid w:val="002A6563"/>
    <w:rsid w:val="002A6F61"/>
    <w:rsid w:val="002A6F8A"/>
    <w:rsid w:val="002A7054"/>
    <w:rsid w:val="002A7226"/>
    <w:rsid w:val="002A777A"/>
    <w:rsid w:val="002A7A87"/>
    <w:rsid w:val="002B07C9"/>
    <w:rsid w:val="002B0FE3"/>
    <w:rsid w:val="002B154D"/>
    <w:rsid w:val="002B167E"/>
    <w:rsid w:val="002B1A76"/>
    <w:rsid w:val="002B1DCA"/>
    <w:rsid w:val="002B3F97"/>
    <w:rsid w:val="002B449A"/>
    <w:rsid w:val="002B47E0"/>
    <w:rsid w:val="002B4B1E"/>
    <w:rsid w:val="002B4B9F"/>
    <w:rsid w:val="002B5BE3"/>
    <w:rsid w:val="002B5C4A"/>
    <w:rsid w:val="002B6389"/>
    <w:rsid w:val="002B7461"/>
    <w:rsid w:val="002B7AA6"/>
    <w:rsid w:val="002B7DB1"/>
    <w:rsid w:val="002BA563"/>
    <w:rsid w:val="002C0005"/>
    <w:rsid w:val="002C07F3"/>
    <w:rsid w:val="002C15D9"/>
    <w:rsid w:val="002C230B"/>
    <w:rsid w:val="002C246F"/>
    <w:rsid w:val="002C27A4"/>
    <w:rsid w:val="002C293C"/>
    <w:rsid w:val="002C2A24"/>
    <w:rsid w:val="002C3520"/>
    <w:rsid w:val="002C3982"/>
    <w:rsid w:val="002C3D08"/>
    <w:rsid w:val="002C48FE"/>
    <w:rsid w:val="002C4F49"/>
    <w:rsid w:val="002C573D"/>
    <w:rsid w:val="002C58DD"/>
    <w:rsid w:val="002C5AEB"/>
    <w:rsid w:val="002C5BBD"/>
    <w:rsid w:val="002C60E7"/>
    <w:rsid w:val="002C6773"/>
    <w:rsid w:val="002C6947"/>
    <w:rsid w:val="002C6C11"/>
    <w:rsid w:val="002C6DB8"/>
    <w:rsid w:val="002C7A97"/>
    <w:rsid w:val="002CDE12"/>
    <w:rsid w:val="002D02AC"/>
    <w:rsid w:val="002D17D7"/>
    <w:rsid w:val="002D24FD"/>
    <w:rsid w:val="002D281B"/>
    <w:rsid w:val="002D31B4"/>
    <w:rsid w:val="002D3CEC"/>
    <w:rsid w:val="002D56AB"/>
    <w:rsid w:val="002D5B02"/>
    <w:rsid w:val="002D68AB"/>
    <w:rsid w:val="002D721C"/>
    <w:rsid w:val="002D7662"/>
    <w:rsid w:val="002D7864"/>
    <w:rsid w:val="002D79EA"/>
    <w:rsid w:val="002E0093"/>
    <w:rsid w:val="002E03EA"/>
    <w:rsid w:val="002E0560"/>
    <w:rsid w:val="002E0760"/>
    <w:rsid w:val="002E1F25"/>
    <w:rsid w:val="002E2232"/>
    <w:rsid w:val="002E29A4"/>
    <w:rsid w:val="002E2AC2"/>
    <w:rsid w:val="002E33C4"/>
    <w:rsid w:val="002E389D"/>
    <w:rsid w:val="002E38A7"/>
    <w:rsid w:val="002E3B6E"/>
    <w:rsid w:val="002E3C98"/>
    <w:rsid w:val="002E3E63"/>
    <w:rsid w:val="002E62FF"/>
    <w:rsid w:val="002E6F0A"/>
    <w:rsid w:val="002F01F1"/>
    <w:rsid w:val="002F053C"/>
    <w:rsid w:val="002F064E"/>
    <w:rsid w:val="002F0D42"/>
    <w:rsid w:val="002F175C"/>
    <w:rsid w:val="002F18D3"/>
    <w:rsid w:val="002F19C5"/>
    <w:rsid w:val="002F1A49"/>
    <w:rsid w:val="002F1D17"/>
    <w:rsid w:val="002F380A"/>
    <w:rsid w:val="002F4220"/>
    <w:rsid w:val="002F42BE"/>
    <w:rsid w:val="002F4DB4"/>
    <w:rsid w:val="002F4E1C"/>
    <w:rsid w:val="002F56D4"/>
    <w:rsid w:val="002F66A0"/>
    <w:rsid w:val="002F715F"/>
    <w:rsid w:val="002F76AB"/>
    <w:rsid w:val="002F7CD2"/>
    <w:rsid w:val="002F88D1"/>
    <w:rsid w:val="00300F94"/>
    <w:rsid w:val="003020D5"/>
    <w:rsid w:val="00303A2A"/>
    <w:rsid w:val="00306989"/>
    <w:rsid w:val="0030706B"/>
    <w:rsid w:val="00307111"/>
    <w:rsid w:val="00307322"/>
    <w:rsid w:val="00310F3D"/>
    <w:rsid w:val="003115F0"/>
    <w:rsid w:val="00311A04"/>
    <w:rsid w:val="003128F6"/>
    <w:rsid w:val="003131BD"/>
    <w:rsid w:val="00313E69"/>
    <w:rsid w:val="00314003"/>
    <w:rsid w:val="00314C6D"/>
    <w:rsid w:val="00314DF6"/>
    <w:rsid w:val="00315078"/>
    <w:rsid w:val="003150A9"/>
    <w:rsid w:val="00315622"/>
    <w:rsid w:val="00315648"/>
    <w:rsid w:val="00320251"/>
    <w:rsid w:val="00320DE5"/>
    <w:rsid w:val="00320F9D"/>
    <w:rsid w:val="00320FB4"/>
    <w:rsid w:val="00321043"/>
    <w:rsid w:val="0032110E"/>
    <w:rsid w:val="00321447"/>
    <w:rsid w:val="003218F5"/>
    <w:rsid w:val="00322EC6"/>
    <w:rsid w:val="00322F20"/>
    <w:rsid w:val="00325223"/>
    <w:rsid w:val="00325FD6"/>
    <w:rsid w:val="00327268"/>
    <w:rsid w:val="003305B7"/>
    <w:rsid w:val="00330F24"/>
    <w:rsid w:val="00330F9E"/>
    <w:rsid w:val="0033147D"/>
    <w:rsid w:val="00331539"/>
    <w:rsid w:val="003316CB"/>
    <w:rsid w:val="00331981"/>
    <w:rsid w:val="00331D40"/>
    <w:rsid w:val="00331E39"/>
    <w:rsid w:val="00331F76"/>
    <w:rsid w:val="00332133"/>
    <w:rsid w:val="003322EF"/>
    <w:rsid w:val="003326CA"/>
    <w:rsid w:val="00332A2A"/>
    <w:rsid w:val="0033357C"/>
    <w:rsid w:val="0033401F"/>
    <w:rsid w:val="00334298"/>
    <w:rsid w:val="003346CF"/>
    <w:rsid w:val="003353F3"/>
    <w:rsid w:val="00335634"/>
    <w:rsid w:val="003356CB"/>
    <w:rsid w:val="00335D40"/>
    <w:rsid w:val="0033605C"/>
    <w:rsid w:val="003377F4"/>
    <w:rsid w:val="003378DE"/>
    <w:rsid w:val="003404E4"/>
    <w:rsid w:val="00341231"/>
    <w:rsid w:val="00341412"/>
    <w:rsid w:val="003419D4"/>
    <w:rsid w:val="00341D13"/>
    <w:rsid w:val="00341DB8"/>
    <w:rsid w:val="00341EA8"/>
    <w:rsid w:val="0034290F"/>
    <w:rsid w:val="00342D51"/>
    <w:rsid w:val="003440C9"/>
    <w:rsid w:val="003442D0"/>
    <w:rsid w:val="00344AA5"/>
    <w:rsid w:val="003450AE"/>
    <w:rsid w:val="0034517B"/>
    <w:rsid w:val="00345189"/>
    <w:rsid w:val="0034614F"/>
    <w:rsid w:val="0034637E"/>
    <w:rsid w:val="00346AF2"/>
    <w:rsid w:val="003474C5"/>
    <w:rsid w:val="00347C5C"/>
    <w:rsid w:val="0035080F"/>
    <w:rsid w:val="003508F5"/>
    <w:rsid w:val="00351CA9"/>
    <w:rsid w:val="00352231"/>
    <w:rsid w:val="00352F02"/>
    <w:rsid w:val="00353D00"/>
    <w:rsid w:val="003541AA"/>
    <w:rsid w:val="00354509"/>
    <w:rsid w:val="0035472D"/>
    <w:rsid w:val="00355180"/>
    <w:rsid w:val="003573F3"/>
    <w:rsid w:val="00357634"/>
    <w:rsid w:val="00357F25"/>
    <w:rsid w:val="00360AAA"/>
    <w:rsid w:val="00361895"/>
    <w:rsid w:val="00362798"/>
    <w:rsid w:val="0036295D"/>
    <w:rsid w:val="0036352B"/>
    <w:rsid w:val="00363919"/>
    <w:rsid w:val="003659CC"/>
    <w:rsid w:val="00365D53"/>
    <w:rsid w:val="00367684"/>
    <w:rsid w:val="003678BB"/>
    <w:rsid w:val="00367C57"/>
    <w:rsid w:val="00367CD3"/>
    <w:rsid w:val="00369AB2"/>
    <w:rsid w:val="00370505"/>
    <w:rsid w:val="00371073"/>
    <w:rsid w:val="00371528"/>
    <w:rsid w:val="003718A6"/>
    <w:rsid w:val="00371CD6"/>
    <w:rsid w:val="00371D83"/>
    <w:rsid w:val="0037287C"/>
    <w:rsid w:val="003737FD"/>
    <w:rsid w:val="00373F3B"/>
    <w:rsid w:val="00373F53"/>
    <w:rsid w:val="00373F96"/>
    <w:rsid w:val="0037517C"/>
    <w:rsid w:val="003751C8"/>
    <w:rsid w:val="00375598"/>
    <w:rsid w:val="00375C9D"/>
    <w:rsid w:val="003778BF"/>
    <w:rsid w:val="003811BD"/>
    <w:rsid w:val="00381685"/>
    <w:rsid w:val="003817A8"/>
    <w:rsid w:val="003817EE"/>
    <w:rsid w:val="00382311"/>
    <w:rsid w:val="00382E5C"/>
    <w:rsid w:val="0038306E"/>
    <w:rsid w:val="00384981"/>
    <w:rsid w:val="00385393"/>
    <w:rsid w:val="00385F79"/>
    <w:rsid w:val="00387640"/>
    <w:rsid w:val="003876A0"/>
    <w:rsid w:val="003908EC"/>
    <w:rsid w:val="00390F5F"/>
    <w:rsid w:val="00390F87"/>
    <w:rsid w:val="003921F3"/>
    <w:rsid w:val="00392C96"/>
    <w:rsid w:val="00393325"/>
    <w:rsid w:val="003935AA"/>
    <w:rsid w:val="00393A38"/>
    <w:rsid w:val="00393EB4"/>
    <w:rsid w:val="003942D9"/>
    <w:rsid w:val="003944F9"/>
    <w:rsid w:val="003946D8"/>
    <w:rsid w:val="00395005"/>
    <w:rsid w:val="003953C7"/>
    <w:rsid w:val="003A0AA0"/>
    <w:rsid w:val="003A0DDF"/>
    <w:rsid w:val="003A190F"/>
    <w:rsid w:val="003A2A37"/>
    <w:rsid w:val="003A2F3F"/>
    <w:rsid w:val="003A315E"/>
    <w:rsid w:val="003A45C6"/>
    <w:rsid w:val="003A4D7E"/>
    <w:rsid w:val="003A5160"/>
    <w:rsid w:val="003A530D"/>
    <w:rsid w:val="003A591E"/>
    <w:rsid w:val="003A6413"/>
    <w:rsid w:val="003A68DB"/>
    <w:rsid w:val="003A6B3A"/>
    <w:rsid w:val="003A6C05"/>
    <w:rsid w:val="003A9A99"/>
    <w:rsid w:val="003B078A"/>
    <w:rsid w:val="003B12F1"/>
    <w:rsid w:val="003B2452"/>
    <w:rsid w:val="003B28FF"/>
    <w:rsid w:val="003B2C1D"/>
    <w:rsid w:val="003B2D62"/>
    <w:rsid w:val="003B3399"/>
    <w:rsid w:val="003B3702"/>
    <w:rsid w:val="003B3BBB"/>
    <w:rsid w:val="003B3FEF"/>
    <w:rsid w:val="003B4997"/>
    <w:rsid w:val="003B5068"/>
    <w:rsid w:val="003B52B5"/>
    <w:rsid w:val="003B60A7"/>
    <w:rsid w:val="003B6AA5"/>
    <w:rsid w:val="003B799D"/>
    <w:rsid w:val="003B7D19"/>
    <w:rsid w:val="003BF778"/>
    <w:rsid w:val="003C016B"/>
    <w:rsid w:val="003C0295"/>
    <w:rsid w:val="003C0792"/>
    <w:rsid w:val="003C0B7C"/>
    <w:rsid w:val="003C0CA6"/>
    <w:rsid w:val="003C1A40"/>
    <w:rsid w:val="003C1C5B"/>
    <w:rsid w:val="003C2BBF"/>
    <w:rsid w:val="003C2EEB"/>
    <w:rsid w:val="003C3045"/>
    <w:rsid w:val="003C329A"/>
    <w:rsid w:val="003C37E7"/>
    <w:rsid w:val="003C37EC"/>
    <w:rsid w:val="003C4CDA"/>
    <w:rsid w:val="003C50A9"/>
    <w:rsid w:val="003C6897"/>
    <w:rsid w:val="003C6B19"/>
    <w:rsid w:val="003C77CF"/>
    <w:rsid w:val="003C7ED3"/>
    <w:rsid w:val="003D0782"/>
    <w:rsid w:val="003D0896"/>
    <w:rsid w:val="003D21C3"/>
    <w:rsid w:val="003D3289"/>
    <w:rsid w:val="003D4202"/>
    <w:rsid w:val="003D55F3"/>
    <w:rsid w:val="003D5CFF"/>
    <w:rsid w:val="003D6D8C"/>
    <w:rsid w:val="003D725E"/>
    <w:rsid w:val="003D7473"/>
    <w:rsid w:val="003D8DA6"/>
    <w:rsid w:val="003DB466"/>
    <w:rsid w:val="003E00B7"/>
    <w:rsid w:val="003E1353"/>
    <w:rsid w:val="003E1453"/>
    <w:rsid w:val="003E1A21"/>
    <w:rsid w:val="003E2256"/>
    <w:rsid w:val="003E4C97"/>
    <w:rsid w:val="003E4E5C"/>
    <w:rsid w:val="003E4EFF"/>
    <w:rsid w:val="003E6B8B"/>
    <w:rsid w:val="003E6D5E"/>
    <w:rsid w:val="003E6D83"/>
    <w:rsid w:val="003E77FC"/>
    <w:rsid w:val="003E7B90"/>
    <w:rsid w:val="003EA0FD"/>
    <w:rsid w:val="003ED5AE"/>
    <w:rsid w:val="003F024B"/>
    <w:rsid w:val="003F0A84"/>
    <w:rsid w:val="003F1435"/>
    <w:rsid w:val="003F163C"/>
    <w:rsid w:val="003F19E1"/>
    <w:rsid w:val="003F26CA"/>
    <w:rsid w:val="003F2EA2"/>
    <w:rsid w:val="003F3BC3"/>
    <w:rsid w:val="003F452C"/>
    <w:rsid w:val="003F4A55"/>
    <w:rsid w:val="003F4DEC"/>
    <w:rsid w:val="003F59EC"/>
    <w:rsid w:val="003F5A2D"/>
    <w:rsid w:val="003F5D94"/>
    <w:rsid w:val="003F6C96"/>
    <w:rsid w:val="003F7200"/>
    <w:rsid w:val="003F7A10"/>
    <w:rsid w:val="003F7BBB"/>
    <w:rsid w:val="003F7E88"/>
    <w:rsid w:val="00400633"/>
    <w:rsid w:val="004009D9"/>
    <w:rsid w:val="004017A1"/>
    <w:rsid w:val="00402049"/>
    <w:rsid w:val="00402DEE"/>
    <w:rsid w:val="004030B4"/>
    <w:rsid w:val="00403CB3"/>
    <w:rsid w:val="00403CDD"/>
    <w:rsid w:val="004040B1"/>
    <w:rsid w:val="00404A48"/>
    <w:rsid w:val="0040584D"/>
    <w:rsid w:val="00405F25"/>
    <w:rsid w:val="004063B6"/>
    <w:rsid w:val="00406F2C"/>
    <w:rsid w:val="004075B5"/>
    <w:rsid w:val="00410497"/>
    <w:rsid w:val="00410693"/>
    <w:rsid w:val="004110EE"/>
    <w:rsid w:val="0041193F"/>
    <w:rsid w:val="00412590"/>
    <w:rsid w:val="00412D2B"/>
    <w:rsid w:val="004133D6"/>
    <w:rsid w:val="00414F31"/>
    <w:rsid w:val="0041555F"/>
    <w:rsid w:val="00415618"/>
    <w:rsid w:val="00416D08"/>
    <w:rsid w:val="0041726C"/>
    <w:rsid w:val="00417349"/>
    <w:rsid w:val="00417472"/>
    <w:rsid w:val="00417B8E"/>
    <w:rsid w:val="00417EAD"/>
    <w:rsid w:val="004202C4"/>
    <w:rsid w:val="004202FA"/>
    <w:rsid w:val="00420BD6"/>
    <w:rsid w:val="00422D01"/>
    <w:rsid w:val="0042324D"/>
    <w:rsid w:val="004240D0"/>
    <w:rsid w:val="00424185"/>
    <w:rsid w:val="004242E7"/>
    <w:rsid w:val="00424AA0"/>
    <w:rsid w:val="00424D8A"/>
    <w:rsid w:val="004268A9"/>
    <w:rsid w:val="00427353"/>
    <w:rsid w:val="004278F5"/>
    <w:rsid w:val="00431B61"/>
    <w:rsid w:val="00431BAE"/>
    <w:rsid w:val="004338EC"/>
    <w:rsid w:val="004348E7"/>
    <w:rsid w:val="0043496F"/>
    <w:rsid w:val="00434BD4"/>
    <w:rsid w:val="0043521F"/>
    <w:rsid w:val="00435D73"/>
    <w:rsid w:val="0043676F"/>
    <w:rsid w:val="00436BD0"/>
    <w:rsid w:val="00437A67"/>
    <w:rsid w:val="00437BDE"/>
    <w:rsid w:val="0044118A"/>
    <w:rsid w:val="0044123F"/>
    <w:rsid w:val="00442284"/>
    <w:rsid w:val="00443EE9"/>
    <w:rsid w:val="0044475B"/>
    <w:rsid w:val="004448BF"/>
    <w:rsid w:val="00445214"/>
    <w:rsid w:val="00445258"/>
    <w:rsid w:val="0044541E"/>
    <w:rsid w:val="00445685"/>
    <w:rsid w:val="00445AC5"/>
    <w:rsid w:val="00445CAA"/>
    <w:rsid w:val="00446CF0"/>
    <w:rsid w:val="00447970"/>
    <w:rsid w:val="004502BC"/>
    <w:rsid w:val="004503C0"/>
    <w:rsid w:val="0045052F"/>
    <w:rsid w:val="00451915"/>
    <w:rsid w:val="00452089"/>
    <w:rsid w:val="0045295C"/>
    <w:rsid w:val="00453371"/>
    <w:rsid w:val="0045491D"/>
    <w:rsid w:val="00454A8C"/>
    <w:rsid w:val="00454D85"/>
    <w:rsid w:val="004552CF"/>
    <w:rsid w:val="00455C18"/>
    <w:rsid w:val="00455F26"/>
    <w:rsid w:val="00457A44"/>
    <w:rsid w:val="00460126"/>
    <w:rsid w:val="00460753"/>
    <w:rsid w:val="00460909"/>
    <w:rsid w:val="00460F02"/>
    <w:rsid w:val="00461E0C"/>
    <w:rsid w:val="00462249"/>
    <w:rsid w:val="00462744"/>
    <w:rsid w:val="004636B9"/>
    <w:rsid w:val="00463F8C"/>
    <w:rsid w:val="00464D20"/>
    <w:rsid w:val="004656F0"/>
    <w:rsid w:val="00466232"/>
    <w:rsid w:val="00466289"/>
    <w:rsid w:val="004665D2"/>
    <w:rsid w:val="00466879"/>
    <w:rsid w:val="00466C68"/>
    <w:rsid w:val="00467DF3"/>
    <w:rsid w:val="00470AE8"/>
    <w:rsid w:val="00470C69"/>
    <w:rsid w:val="00470E0D"/>
    <w:rsid w:val="00471C31"/>
    <w:rsid w:val="00472553"/>
    <w:rsid w:val="00474525"/>
    <w:rsid w:val="00474655"/>
    <w:rsid w:val="00474FBD"/>
    <w:rsid w:val="0047708D"/>
    <w:rsid w:val="00479A14"/>
    <w:rsid w:val="0048113D"/>
    <w:rsid w:val="0048124B"/>
    <w:rsid w:val="004818BA"/>
    <w:rsid w:val="00481C54"/>
    <w:rsid w:val="00482620"/>
    <w:rsid w:val="00482E6D"/>
    <w:rsid w:val="004836FD"/>
    <w:rsid w:val="00483D4E"/>
    <w:rsid w:val="00484521"/>
    <w:rsid w:val="00484788"/>
    <w:rsid w:val="00485F4B"/>
    <w:rsid w:val="004863E4"/>
    <w:rsid w:val="00486CFC"/>
    <w:rsid w:val="004873FD"/>
    <w:rsid w:val="0048DDAE"/>
    <w:rsid w:val="0049064F"/>
    <w:rsid w:val="00490D5F"/>
    <w:rsid w:val="00492452"/>
    <w:rsid w:val="00493D59"/>
    <w:rsid w:val="004944B6"/>
    <w:rsid w:val="00494D94"/>
    <w:rsid w:val="004950FA"/>
    <w:rsid w:val="00495C60"/>
    <w:rsid w:val="004962B7"/>
    <w:rsid w:val="00497FAC"/>
    <w:rsid w:val="0049E910"/>
    <w:rsid w:val="004A0121"/>
    <w:rsid w:val="004A0328"/>
    <w:rsid w:val="004A0841"/>
    <w:rsid w:val="004A0AFD"/>
    <w:rsid w:val="004A0F49"/>
    <w:rsid w:val="004A1088"/>
    <w:rsid w:val="004A117D"/>
    <w:rsid w:val="004A2102"/>
    <w:rsid w:val="004A2368"/>
    <w:rsid w:val="004A4363"/>
    <w:rsid w:val="004A448C"/>
    <w:rsid w:val="004A4C01"/>
    <w:rsid w:val="004A4E37"/>
    <w:rsid w:val="004A56E5"/>
    <w:rsid w:val="004A7375"/>
    <w:rsid w:val="004A7718"/>
    <w:rsid w:val="004B4C4A"/>
    <w:rsid w:val="004B4EE1"/>
    <w:rsid w:val="004B4FDB"/>
    <w:rsid w:val="004B52D3"/>
    <w:rsid w:val="004B5B5C"/>
    <w:rsid w:val="004B6D75"/>
    <w:rsid w:val="004B7084"/>
    <w:rsid w:val="004B73DE"/>
    <w:rsid w:val="004B7E8B"/>
    <w:rsid w:val="004C01E0"/>
    <w:rsid w:val="004C0A32"/>
    <w:rsid w:val="004C133C"/>
    <w:rsid w:val="004C18D0"/>
    <w:rsid w:val="004C1AD1"/>
    <w:rsid w:val="004C1F13"/>
    <w:rsid w:val="004C21DF"/>
    <w:rsid w:val="004C24F8"/>
    <w:rsid w:val="004C2C81"/>
    <w:rsid w:val="004C2DAF"/>
    <w:rsid w:val="004C2EB9"/>
    <w:rsid w:val="004C3160"/>
    <w:rsid w:val="004C3404"/>
    <w:rsid w:val="004C47EC"/>
    <w:rsid w:val="004C4D08"/>
    <w:rsid w:val="004C50E7"/>
    <w:rsid w:val="004C5936"/>
    <w:rsid w:val="004C5A59"/>
    <w:rsid w:val="004C607D"/>
    <w:rsid w:val="004C89E4"/>
    <w:rsid w:val="004D01A0"/>
    <w:rsid w:val="004D02D1"/>
    <w:rsid w:val="004D055E"/>
    <w:rsid w:val="004D06BA"/>
    <w:rsid w:val="004D080A"/>
    <w:rsid w:val="004D0C2F"/>
    <w:rsid w:val="004D1645"/>
    <w:rsid w:val="004D1689"/>
    <w:rsid w:val="004D17A1"/>
    <w:rsid w:val="004D26E8"/>
    <w:rsid w:val="004D2901"/>
    <w:rsid w:val="004D2B12"/>
    <w:rsid w:val="004D2C6C"/>
    <w:rsid w:val="004D32BF"/>
    <w:rsid w:val="004D338D"/>
    <w:rsid w:val="004D48D2"/>
    <w:rsid w:val="004D5634"/>
    <w:rsid w:val="004D6397"/>
    <w:rsid w:val="004D6558"/>
    <w:rsid w:val="004D65CF"/>
    <w:rsid w:val="004D697B"/>
    <w:rsid w:val="004D6A65"/>
    <w:rsid w:val="004D7037"/>
    <w:rsid w:val="004D70AB"/>
    <w:rsid w:val="004D729B"/>
    <w:rsid w:val="004E0775"/>
    <w:rsid w:val="004E2309"/>
    <w:rsid w:val="004E2533"/>
    <w:rsid w:val="004E25DD"/>
    <w:rsid w:val="004E270A"/>
    <w:rsid w:val="004E36B9"/>
    <w:rsid w:val="004E4361"/>
    <w:rsid w:val="004E4CB5"/>
    <w:rsid w:val="004E4E85"/>
    <w:rsid w:val="004E508D"/>
    <w:rsid w:val="004E5A55"/>
    <w:rsid w:val="004E6EEC"/>
    <w:rsid w:val="004E72E2"/>
    <w:rsid w:val="004E7832"/>
    <w:rsid w:val="004E7CF8"/>
    <w:rsid w:val="004F0678"/>
    <w:rsid w:val="004F0D4A"/>
    <w:rsid w:val="004F0D94"/>
    <w:rsid w:val="004F0E1E"/>
    <w:rsid w:val="004F0FD1"/>
    <w:rsid w:val="004F1172"/>
    <w:rsid w:val="004F11B1"/>
    <w:rsid w:val="004F1A65"/>
    <w:rsid w:val="004F285B"/>
    <w:rsid w:val="004F2D09"/>
    <w:rsid w:val="004F303A"/>
    <w:rsid w:val="004F36E3"/>
    <w:rsid w:val="004F3920"/>
    <w:rsid w:val="004F3CBC"/>
    <w:rsid w:val="004F3D0D"/>
    <w:rsid w:val="004F40F0"/>
    <w:rsid w:val="004F417D"/>
    <w:rsid w:val="004F5C2D"/>
    <w:rsid w:val="004F5F17"/>
    <w:rsid w:val="004F6E78"/>
    <w:rsid w:val="004F73B2"/>
    <w:rsid w:val="005011BE"/>
    <w:rsid w:val="00501C65"/>
    <w:rsid w:val="00501DC9"/>
    <w:rsid w:val="0050298F"/>
    <w:rsid w:val="00503090"/>
    <w:rsid w:val="005030C8"/>
    <w:rsid w:val="00503259"/>
    <w:rsid w:val="00504128"/>
    <w:rsid w:val="0050565D"/>
    <w:rsid w:val="00505763"/>
    <w:rsid w:val="005057FE"/>
    <w:rsid w:val="00511623"/>
    <w:rsid w:val="00511882"/>
    <w:rsid w:val="0051265C"/>
    <w:rsid w:val="00512C42"/>
    <w:rsid w:val="0051388D"/>
    <w:rsid w:val="0051419C"/>
    <w:rsid w:val="005143DC"/>
    <w:rsid w:val="005143E0"/>
    <w:rsid w:val="00514549"/>
    <w:rsid w:val="005145B3"/>
    <w:rsid w:val="005151BA"/>
    <w:rsid w:val="005157AE"/>
    <w:rsid w:val="0051585D"/>
    <w:rsid w:val="00516D2A"/>
    <w:rsid w:val="0051741C"/>
    <w:rsid w:val="00517992"/>
    <w:rsid w:val="00517BD1"/>
    <w:rsid w:val="00520AF4"/>
    <w:rsid w:val="00521E37"/>
    <w:rsid w:val="0052224A"/>
    <w:rsid w:val="00525797"/>
    <w:rsid w:val="00525B72"/>
    <w:rsid w:val="0052690F"/>
    <w:rsid w:val="005270AE"/>
    <w:rsid w:val="00527283"/>
    <w:rsid w:val="005278E1"/>
    <w:rsid w:val="00527B68"/>
    <w:rsid w:val="005301EE"/>
    <w:rsid w:val="00530575"/>
    <w:rsid w:val="00530DBC"/>
    <w:rsid w:val="0053168B"/>
    <w:rsid w:val="00531FE3"/>
    <w:rsid w:val="00532168"/>
    <w:rsid w:val="00532440"/>
    <w:rsid w:val="0053255D"/>
    <w:rsid w:val="00534CCF"/>
    <w:rsid w:val="005352FE"/>
    <w:rsid w:val="00535DFA"/>
    <w:rsid w:val="00537338"/>
    <w:rsid w:val="00537B8A"/>
    <w:rsid w:val="00540CD2"/>
    <w:rsid w:val="00540EBE"/>
    <w:rsid w:val="00542254"/>
    <w:rsid w:val="0054249F"/>
    <w:rsid w:val="005427DB"/>
    <w:rsid w:val="00543119"/>
    <w:rsid w:val="00543967"/>
    <w:rsid w:val="00543AF1"/>
    <w:rsid w:val="00543DAF"/>
    <w:rsid w:val="00543E79"/>
    <w:rsid w:val="00544AB6"/>
    <w:rsid w:val="005452AF"/>
    <w:rsid w:val="00545D3F"/>
    <w:rsid w:val="00545D82"/>
    <w:rsid w:val="0054608F"/>
    <w:rsid w:val="00546AED"/>
    <w:rsid w:val="00546C6E"/>
    <w:rsid w:val="0054F25B"/>
    <w:rsid w:val="0055020E"/>
    <w:rsid w:val="00550218"/>
    <w:rsid w:val="00550293"/>
    <w:rsid w:val="00550649"/>
    <w:rsid w:val="005507B5"/>
    <w:rsid w:val="005509C8"/>
    <w:rsid w:val="00551219"/>
    <w:rsid w:val="00551264"/>
    <w:rsid w:val="00551C95"/>
    <w:rsid w:val="00552899"/>
    <w:rsid w:val="00553586"/>
    <w:rsid w:val="005538D2"/>
    <w:rsid w:val="00553E59"/>
    <w:rsid w:val="00554A7D"/>
    <w:rsid w:val="005551F1"/>
    <w:rsid w:val="005555D9"/>
    <w:rsid w:val="00555DE1"/>
    <w:rsid w:val="005565D5"/>
    <w:rsid w:val="005567BA"/>
    <w:rsid w:val="0055689E"/>
    <w:rsid w:val="00556F04"/>
    <w:rsid w:val="00556FE6"/>
    <w:rsid w:val="00560D7F"/>
    <w:rsid w:val="00561A85"/>
    <w:rsid w:val="005627B9"/>
    <w:rsid w:val="00563C4B"/>
    <w:rsid w:val="005642AA"/>
    <w:rsid w:val="005642C6"/>
    <w:rsid w:val="00564556"/>
    <w:rsid w:val="005663A2"/>
    <w:rsid w:val="00567E31"/>
    <w:rsid w:val="00567EF9"/>
    <w:rsid w:val="005702B4"/>
    <w:rsid w:val="00570852"/>
    <w:rsid w:val="00570FF1"/>
    <w:rsid w:val="0057110A"/>
    <w:rsid w:val="005722BF"/>
    <w:rsid w:val="0057314A"/>
    <w:rsid w:val="005734E9"/>
    <w:rsid w:val="005744A0"/>
    <w:rsid w:val="0057466E"/>
    <w:rsid w:val="00574E69"/>
    <w:rsid w:val="00575469"/>
    <w:rsid w:val="00575B1E"/>
    <w:rsid w:val="00577A1C"/>
    <w:rsid w:val="00577A6D"/>
    <w:rsid w:val="00580173"/>
    <w:rsid w:val="005807C4"/>
    <w:rsid w:val="00581FB4"/>
    <w:rsid w:val="005822BE"/>
    <w:rsid w:val="005836C7"/>
    <w:rsid w:val="0058385F"/>
    <w:rsid w:val="00583B3C"/>
    <w:rsid w:val="00585052"/>
    <w:rsid w:val="00585245"/>
    <w:rsid w:val="005859B6"/>
    <w:rsid w:val="00586748"/>
    <w:rsid w:val="00586B27"/>
    <w:rsid w:val="0058748C"/>
    <w:rsid w:val="0058754D"/>
    <w:rsid w:val="00587A53"/>
    <w:rsid w:val="00587BD3"/>
    <w:rsid w:val="00590029"/>
    <w:rsid w:val="00590472"/>
    <w:rsid w:val="00590B94"/>
    <w:rsid w:val="005910FC"/>
    <w:rsid w:val="0059186D"/>
    <w:rsid w:val="00591BBA"/>
    <w:rsid w:val="00592793"/>
    <w:rsid w:val="00593A91"/>
    <w:rsid w:val="00594C7A"/>
    <w:rsid w:val="00595468"/>
    <w:rsid w:val="005959EA"/>
    <w:rsid w:val="00595D98"/>
    <w:rsid w:val="005964FB"/>
    <w:rsid w:val="00596541"/>
    <w:rsid w:val="00596B2B"/>
    <w:rsid w:val="00596EF5"/>
    <w:rsid w:val="00597380"/>
    <w:rsid w:val="005974DE"/>
    <w:rsid w:val="005979B1"/>
    <w:rsid w:val="00597A55"/>
    <w:rsid w:val="005A0741"/>
    <w:rsid w:val="005A0AB9"/>
    <w:rsid w:val="005A0F7E"/>
    <w:rsid w:val="005A22AE"/>
    <w:rsid w:val="005A22DC"/>
    <w:rsid w:val="005A2988"/>
    <w:rsid w:val="005A3905"/>
    <w:rsid w:val="005A39F8"/>
    <w:rsid w:val="005A4DF2"/>
    <w:rsid w:val="005A4F8E"/>
    <w:rsid w:val="005A5905"/>
    <w:rsid w:val="005A5F6F"/>
    <w:rsid w:val="005A6004"/>
    <w:rsid w:val="005A68A4"/>
    <w:rsid w:val="005A6C14"/>
    <w:rsid w:val="005A7AE4"/>
    <w:rsid w:val="005ADFE9"/>
    <w:rsid w:val="005B0B09"/>
    <w:rsid w:val="005B12AC"/>
    <w:rsid w:val="005B2521"/>
    <w:rsid w:val="005B258D"/>
    <w:rsid w:val="005B26DF"/>
    <w:rsid w:val="005B4763"/>
    <w:rsid w:val="005B4836"/>
    <w:rsid w:val="005B4C65"/>
    <w:rsid w:val="005B4E5D"/>
    <w:rsid w:val="005B546E"/>
    <w:rsid w:val="005B551D"/>
    <w:rsid w:val="005B5E01"/>
    <w:rsid w:val="005B689F"/>
    <w:rsid w:val="005C045E"/>
    <w:rsid w:val="005C0680"/>
    <w:rsid w:val="005C0EA1"/>
    <w:rsid w:val="005C2AC7"/>
    <w:rsid w:val="005C2CF9"/>
    <w:rsid w:val="005C2E72"/>
    <w:rsid w:val="005C34BE"/>
    <w:rsid w:val="005C3FA9"/>
    <w:rsid w:val="005C42AA"/>
    <w:rsid w:val="005C4400"/>
    <w:rsid w:val="005C4567"/>
    <w:rsid w:val="005C489E"/>
    <w:rsid w:val="005C4B0B"/>
    <w:rsid w:val="005C4CA2"/>
    <w:rsid w:val="005C4DAF"/>
    <w:rsid w:val="005C53C6"/>
    <w:rsid w:val="005C54A0"/>
    <w:rsid w:val="005C58BB"/>
    <w:rsid w:val="005C5929"/>
    <w:rsid w:val="005C5A4A"/>
    <w:rsid w:val="005C5CAA"/>
    <w:rsid w:val="005C62F2"/>
    <w:rsid w:val="005C65AB"/>
    <w:rsid w:val="005C677F"/>
    <w:rsid w:val="005C7369"/>
    <w:rsid w:val="005D00EB"/>
    <w:rsid w:val="005D10F2"/>
    <w:rsid w:val="005D15B2"/>
    <w:rsid w:val="005D17C3"/>
    <w:rsid w:val="005D1E8B"/>
    <w:rsid w:val="005D1F80"/>
    <w:rsid w:val="005D1F9F"/>
    <w:rsid w:val="005D2049"/>
    <w:rsid w:val="005D2DC3"/>
    <w:rsid w:val="005D3007"/>
    <w:rsid w:val="005D43D6"/>
    <w:rsid w:val="005D5939"/>
    <w:rsid w:val="005D6C41"/>
    <w:rsid w:val="005D6E17"/>
    <w:rsid w:val="005DBFD0"/>
    <w:rsid w:val="005E03F2"/>
    <w:rsid w:val="005E1705"/>
    <w:rsid w:val="005E1E68"/>
    <w:rsid w:val="005E244B"/>
    <w:rsid w:val="005E26B9"/>
    <w:rsid w:val="005E2735"/>
    <w:rsid w:val="005E3724"/>
    <w:rsid w:val="005E466D"/>
    <w:rsid w:val="005E4A6B"/>
    <w:rsid w:val="005E6323"/>
    <w:rsid w:val="005E7270"/>
    <w:rsid w:val="005E7550"/>
    <w:rsid w:val="005E779F"/>
    <w:rsid w:val="005E7E6A"/>
    <w:rsid w:val="005E7EA0"/>
    <w:rsid w:val="005E9C20"/>
    <w:rsid w:val="005F16D5"/>
    <w:rsid w:val="005F1BAE"/>
    <w:rsid w:val="005F24A6"/>
    <w:rsid w:val="005F3474"/>
    <w:rsid w:val="005F3E29"/>
    <w:rsid w:val="005F4236"/>
    <w:rsid w:val="005F63C9"/>
    <w:rsid w:val="005F7F8A"/>
    <w:rsid w:val="0060037B"/>
    <w:rsid w:val="00600830"/>
    <w:rsid w:val="0060141F"/>
    <w:rsid w:val="00601ECD"/>
    <w:rsid w:val="00601FD2"/>
    <w:rsid w:val="006033D9"/>
    <w:rsid w:val="00603B24"/>
    <w:rsid w:val="00603B47"/>
    <w:rsid w:val="006051C8"/>
    <w:rsid w:val="00605406"/>
    <w:rsid w:val="00605F87"/>
    <w:rsid w:val="00606B75"/>
    <w:rsid w:val="00606EDE"/>
    <w:rsid w:val="00607283"/>
    <w:rsid w:val="00607B33"/>
    <w:rsid w:val="00610320"/>
    <w:rsid w:val="006105FC"/>
    <w:rsid w:val="00610ECD"/>
    <w:rsid w:val="00610F2D"/>
    <w:rsid w:val="006117A4"/>
    <w:rsid w:val="006118BB"/>
    <w:rsid w:val="00612A9B"/>
    <w:rsid w:val="0061373D"/>
    <w:rsid w:val="00615522"/>
    <w:rsid w:val="0061557F"/>
    <w:rsid w:val="00616643"/>
    <w:rsid w:val="00619D9C"/>
    <w:rsid w:val="0062082B"/>
    <w:rsid w:val="00620942"/>
    <w:rsid w:val="006214F0"/>
    <w:rsid w:val="006233F6"/>
    <w:rsid w:val="00623AAC"/>
    <w:rsid w:val="00623DAA"/>
    <w:rsid w:val="006240AF"/>
    <w:rsid w:val="006256F7"/>
    <w:rsid w:val="0062580F"/>
    <w:rsid w:val="00625F8C"/>
    <w:rsid w:val="0062684D"/>
    <w:rsid w:val="00626E5E"/>
    <w:rsid w:val="0062752F"/>
    <w:rsid w:val="00627E47"/>
    <w:rsid w:val="00627FC6"/>
    <w:rsid w:val="006300CD"/>
    <w:rsid w:val="006304AF"/>
    <w:rsid w:val="00631317"/>
    <w:rsid w:val="006314E1"/>
    <w:rsid w:val="006316D8"/>
    <w:rsid w:val="0063171D"/>
    <w:rsid w:val="006321CA"/>
    <w:rsid w:val="0063244D"/>
    <w:rsid w:val="00632B20"/>
    <w:rsid w:val="00635D6B"/>
    <w:rsid w:val="00636544"/>
    <w:rsid w:val="00637597"/>
    <w:rsid w:val="0063797F"/>
    <w:rsid w:val="006379E1"/>
    <w:rsid w:val="0063EE7C"/>
    <w:rsid w:val="006400C3"/>
    <w:rsid w:val="00640BFB"/>
    <w:rsid w:val="00641A80"/>
    <w:rsid w:val="00642589"/>
    <w:rsid w:val="00643069"/>
    <w:rsid w:val="00643701"/>
    <w:rsid w:val="00644AC1"/>
    <w:rsid w:val="0064555C"/>
    <w:rsid w:val="00645CDB"/>
    <w:rsid w:val="00645FFC"/>
    <w:rsid w:val="006468D6"/>
    <w:rsid w:val="00646AF7"/>
    <w:rsid w:val="006478C7"/>
    <w:rsid w:val="00647F8B"/>
    <w:rsid w:val="00650739"/>
    <w:rsid w:val="006508EE"/>
    <w:rsid w:val="00650930"/>
    <w:rsid w:val="0065106C"/>
    <w:rsid w:val="006512F3"/>
    <w:rsid w:val="00651B36"/>
    <w:rsid w:val="006523E4"/>
    <w:rsid w:val="0065261A"/>
    <w:rsid w:val="00652B60"/>
    <w:rsid w:val="00653C2F"/>
    <w:rsid w:val="0065426C"/>
    <w:rsid w:val="0065457E"/>
    <w:rsid w:val="00654680"/>
    <w:rsid w:val="00654C85"/>
    <w:rsid w:val="00655386"/>
    <w:rsid w:val="006558F8"/>
    <w:rsid w:val="006559F8"/>
    <w:rsid w:val="00655F4D"/>
    <w:rsid w:val="00656524"/>
    <w:rsid w:val="00656713"/>
    <w:rsid w:val="00657230"/>
    <w:rsid w:val="00660741"/>
    <w:rsid w:val="00660D68"/>
    <w:rsid w:val="006615BD"/>
    <w:rsid w:val="00662774"/>
    <w:rsid w:val="00662948"/>
    <w:rsid w:val="006639DE"/>
    <w:rsid w:val="00665DC8"/>
    <w:rsid w:val="00666864"/>
    <w:rsid w:val="0066730B"/>
    <w:rsid w:val="0066774F"/>
    <w:rsid w:val="006679B8"/>
    <w:rsid w:val="00667C36"/>
    <w:rsid w:val="00670120"/>
    <w:rsid w:val="006703B5"/>
    <w:rsid w:val="00670430"/>
    <w:rsid w:val="006709F8"/>
    <w:rsid w:val="00670E25"/>
    <w:rsid w:val="00670F55"/>
    <w:rsid w:val="006712EF"/>
    <w:rsid w:val="00671390"/>
    <w:rsid w:val="00671646"/>
    <w:rsid w:val="006723F3"/>
    <w:rsid w:val="00672B99"/>
    <w:rsid w:val="006735E4"/>
    <w:rsid w:val="00673F50"/>
    <w:rsid w:val="00675085"/>
    <w:rsid w:val="0067571E"/>
    <w:rsid w:val="00676170"/>
    <w:rsid w:val="006762D9"/>
    <w:rsid w:val="00676A5F"/>
    <w:rsid w:val="00676ED2"/>
    <w:rsid w:val="006773E0"/>
    <w:rsid w:val="00677463"/>
    <w:rsid w:val="00677C81"/>
    <w:rsid w:val="00677EC9"/>
    <w:rsid w:val="006804F9"/>
    <w:rsid w:val="00680B27"/>
    <w:rsid w:val="00681713"/>
    <w:rsid w:val="00681BBE"/>
    <w:rsid w:val="00682506"/>
    <w:rsid w:val="00682B4E"/>
    <w:rsid w:val="00683F24"/>
    <w:rsid w:val="00684124"/>
    <w:rsid w:val="006850EA"/>
    <w:rsid w:val="00685417"/>
    <w:rsid w:val="00686442"/>
    <w:rsid w:val="0068754E"/>
    <w:rsid w:val="0069062B"/>
    <w:rsid w:val="00691633"/>
    <w:rsid w:val="00693152"/>
    <w:rsid w:val="00694E78"/>
    <w:rsid w:val="00694EF9"/>
    <w:rsid w:val="00695037"/>
    <w:rsid w:val="00695D47"/>
    <w:rsid w:val="00696D1E"/>
    <w:rsid w:val="006973DB"/>
    <w:rsid w:val="00697C69"/>
    <w:rsid w:val="006996DC"/>
    <w:rsid w:val="006A0532"/>
    <w:rsid w:val="006A1361"/>
    <w:rsid w:val="006A1419"/>
    <w:rsid w:val="006A21BD"/>
    <w:rsid w:val="006A2966"/>
    <w:rsid w:val="006A372E"/>
    <w:rsid w:val="006A4388"/>
    <w:rsid w:val="006A4C8A"/>
    <w:rsid w:val="006A4DE2"/>
    <w:rsid w:val="006A66B2"/>
    <w:rsid w:val="006A6D8C"/>
    <w:rsid w:val="006A6EB8"/>
    <w:rsid w:val="006A7860"/>
    <w:rsid w:val="006A7EFF"/>
    <w:rsid w:val="006B08D6"/>
    <w:rsid w:val="006B1060"/>
    <w:rsid w:val="006B1DB7"/>
    <w:rsid w:val="006B24B4"/>
    <w:rsid w:val="006B271F"/>
    <w:rsid w:val="006B3B7F"/>
    <w:rsid w:val="006B46EF"/>
    <w:rsid w:val="006B69F9"/>
    <w:rsid w:val="006B6BAC"/>
    <w:rsid w:val="006B6EBF"/>
    <w:rsid w:val="006B70AD"/>
    <w:rsid w:val="006B7182"/>
    <w:rsid w:val="006B7CAB"/>
    <w:rsid w:val="006C004B"/>
    <w:rsid w:val="006C055C"/>
    <w:rsid w:val="006C0A5F"/>
    <w:rsid w:val="006C108F"/>
    <w:rsid w:val="006C228D"/>
    <w:rsid w:val="006C25ED"/>
    <w:rsid w:val="006C2647"/>
    <w:rsid w:val="006C297A"/>
    <w:rsid w:val="006C395B"/>
    <w:rsid w:val="006C3D2C"/>
    <w:rsid w:val="006C3FB9"/>
    <w:rsid w:val="006C44F7"/>
    <w:rsid w:val="006C4BC8"/>
    <w:rsid w:val="006C5342"/>
    <w:rsid w:val="006C5B69"/>
    <w:rsid w:val="006C69B2"/>
    <w:rsid w:val="006C6C76"/>
    <w:rsid w:val="006C6EF7"/>
    <w:rsid w:val="006C715B"/>
    <w:rsid w:val="006D0D9B"/>
    <w:rsid w:val="006D0DF6"/>
    <w:rsid w:val="006D0DF8"/>
    <w:rsid w:val="006D0F08"/>
    <w:rsid w:val="006D3440"/>
    <w:rsid w:val="006D3559"/>
    <w:rsid w:val="006D365F"/>
    <w:rsid w:val="006D3F6F"/>
    <w:rsid w:val="006D4E41"/>
    <w:rsid w:val="006D53AB"/>
    <w:rsid w:val="006D5C2E"/>
    <w:rsid w:val="006D65BC"/>
    <w:rsid w:val="006D7157"/>
    <w:rsid w:val="006D75D6"/>
    <w:rsid w:val="006D7DCE"/>
    <w:rsid w:val="006E0DA1"/>
    <w:rsid w:val="006E39F5"/>
    <w:rsid w:val="006E3D96"/>
    <w:rsid w:val="006E4F27"/>
    <w:rsid w:val="006E4FC1"/>
    <w:rsid w:val="006E50D7"/>
    <w:rsid w:val="006E5B0A"/>
    <w:rsid w:val="006E5C51"/>
    <w:rsid w:val="006E6107"/>
    <w:rsid w:val="006F06D2"/>
    <w:rsid w:val="006F2DF6"/>
    <w:rsid w:val="006F36B6"/>
    <w:rsid w:val="006F3A99"/>
    <w:rsid w:val="006F3D38"/>
    <w:rsid w:val="006F3E46"/>
    <w:rsid w:val="006F3F57"/>
    <w:rsid w:val="006F4A62"/>
    <w:rsid w:val="006F4B45"/>
    <w:rsid w:val="006F54A5"/>
    <w:rsid w:val="006F6E99"/>
    <w:rsid w:val="006F6F62"/>
    <w:rsid w:val="0070005D"/>
    <w:rsid w:val="00700CD0"/>
    <w:rsid w:val="007016BB"/>
    <w:rsid w:val="007017DE"/>
    <w:rsid w:val="0070302D"/>
    <w:rsid w:val="00703246"/>
    <w:rsid w:val="0070354E"/>
    <w:rsid w:val="007036BB"/>
    <w:rsid w:val="0070383A"/>
    <w:rsid w:val="0070456C"/>
    <w:rsid w:val="00705356"/>
    <w:rsid w:val="00705DB5"/>
    <w:rsid w:val="007061D7"/>
    <w:rsid w:val="007068DB"/>
    <w:rsid w:val="0071128C"/>
    <w:rsid w:val="00712D97"/>
    <w:rsid w:val="0071315B"/>
    <w:rsid w:val="00713AF3"/>
    <w:rsid w:val="007141DC"/>
    <w:rsid w:val="007144F7"/>
    <w:rsid w:val="00715879"/>
    <w:rsid w:val="00715938"/>
    <w:rsid w:val="007160E1"/>
    <w:rsid w:val="00716579"/>
    <w:rsid w:val="00716C03"/>
    <w:rsid w:val="00717395"/>
    <w:rsid w:val="00717712"/>
    <w:rsid w:val="0072071C"/>
    <w:rsid w:val="00720B8F"/>
    <w:rsid w:val="007214E6"/>
    <w:rsid w:val="0072152E"/>
    <w:rsid w:val="00721BAB"/>
    <w:rsid w:val="00721CE7"/>
    <w:rsid w:val="007234C5"/>
    <w:rsid w:val="0072364B"/>
    <w:rsid w:val="007237F9"/>
    <w:rsid w:val="007245DA"/>
    <w:rsid w:val="00724B06"/>
    <w:rsid w:val="00724DFB"/>
    <w:rsid w:val="00725AF0"/>
    <w:rsid w:val="00725BB4"/>
    <w:rsid w:val="007267AF"/>
    <w:rsid w:val="007306F5"/>
    <w:rsid w:val="0073235A"/>
    <w:rsid w:val="00733552"/>
    <w:rsid w:val="0073419D"/>
    <w:rsid w:val="00735D06"/>
    <w:rsid w:val="00735D61"/>
    <w:rsid w:val="00735F68"/>
    <w:rsid w:val="007370D6"/>
    <w:rsid w:val="0073734F"/>
    <w:rsid w:val="00740282"/>
    <w:rsid w:val="00740304"/>
    <w:rsid w:val="00740821"/>
    <w:rsid w:val="00740F7E"/>
    <w:rsid w:val="007417D5"/>
    <w:rsid w:val="00741864"/>
    <w:rsid w:val="00742025"/>
    <w:rsid w:val="00743498"/>
    <w:rsid w:val="00744423"/>
    <w:rsid w:val="00744E45"/>
    <w:rsid w:val="0074577D"/>
    <w:rsid w:val="00746403"/>
    <w:rsid w:val="0074649C"/>
    <w:rsid w:val="00746B78"/>
    <w:rsid w:val="00746EEB"/>
    <w:rsid w:val="00747048"/>
    <w:rsid w:val="007478D4"/>
    <w:rsid w:val="00747B5D"/>
    <w:rsid w:val="00750039"/>
    <w:rsid w:val="0075016D"/>
    <w:rsid w:val="00750FCF"/>
    <w:rsid w:val="00751C1A"/>
    <w:rsid w:val="00751C79"/>
    <w:rsid w:val="00752029"/>
    <w:rsid w:val="00752132"/>
    <w:rsid w:val="0075257B"/>
    <w:rsid w:val="00752A31"/>
    <w:rsid w:val="007535E3"/>
    <w:rsid w:val="007538E7"/>
    <w:rsid w:val="00755322"/>
    <w:rsid w:val="0075699E"/>
    <w:rsid w:val="00756B49"/>
    <w:rsid w:val="00756EC4"/>
    <w:rsid w:val="007571CA"/>
    <w:rsid w:val="007572DA"/>
    <w:rsid w:val="00757650"/>
    <w:rsid w:val="007579C1"/>
    <w:rsid w:val="00757CC8"/>
    <w:rsid w:val="0076004B"/>
    <w:rsid w:val="007617AC"/>
    <w:rsid w:val="00761EE1"/>
    <w:rsid w:val="00762015"/>
    <w:rsid w:val="00762D45"/>
    <w:rsid w:val="00763D7A"/>
    <w:rsid w:val="00764437"/>
    <w:rsid w:val="007646C4"/>
    <w:rsid w:val="0076747F"/>
    <w:rsid w:val="0076771D"/>
    <w:rsid w:val="00767853"/>
    <w:rsid w:val="007701D0"/>
    <w:rsid w:val="007704E8"/>
    <w:rsid w:val="00770A29"/>
    <w:rsid w:val="00771641"/>
    <w:rsid w:val="00772542"/>
    <w:rsid w:val="00772CE6"/>
    <w:rsid w:val="00772D06"/>
    <w:rsid w:val="00772FF4"/>
    <w:rsid w:val="0077322D"/>
    <w:rsid w:val="00773D8C"/>
    <w:rsid w:val="007740BD"/>
    <w:rsid w:val="00775D99"/>
    <w:rsid w:val="0077655C"/>
    <w:rsid w:val="00777487"/>
    <w:rsid w:val="0077763E"/>
    <w:rsid w:val="00777715"/>
    <w:rsid w:val="00777E7A"/>
    <w:rsid w:val="00777FE6"/>
    <w:rsid w:val="0078077B"/>
    <w:rsid w:val="007807C5"/>
    <w:rsid w:val="00780A38"/>
    <w:rsid w:val="00782613"/>
    <w:rsid w:val="00782713"/>
    <w:rsid w:val="00783F34"/>
    <w:rsid w:val="007843EE"/>
    <w:rsid w:val="00784C23"/>
    <w:rsid w:val="00785C8D"/>
    <w:rsid w:val="0078625C"/>
    <w:rsid w:val="00786510"/>
    <w:rsid w:val="0078663A"/>
    <w:rsid w:val="007877A7"/>
    <w:rsid w:val="007879DB"/>
    <w:rsid w:val="00788731"/>
    <w:rsid w:val="007928C4"/>
    <w:rsid w:val="00792AF8"/>
    <w:rsid w:val="0079382D"/>
    <w:rsid w:val="00794192"/>
    <w:rsid w:val="0079440B"/>
    <w:rsid w:val="00794DB8"/>
    <w:rsid w:val="007953A5"/>
    <w:rsid w:val="00795F8F"/>
    <w:rsid w:val="00796E25"/>
    <w:rsid w:val="0079713D"/>
    <w:rsid w:val="00797260"/>
    <w:rsid w:val="00797352"/>
    <w:rsid w:val="0079737E"/>
    <w:rsid w:val="00797E4B"/>
    <w:rsid w:val="00799AF3"/>
    <w:rsid w:val="007A0DD3"/>
    <w:rsid w:val="007A107E"/>
    <w:rsid w:val="007A1622"/>
    <w:rsid w:val="007A1C4B"/>
    <w:rsid w:val="007A1E7F"/>
    <w:rsid w:val="007A2750"/>
    <w:rsid w:val="007A3718"/>
    <w:rsid w:val="007A3DDA"/>
    <w:rsid w:val="007A4BA9"/>
    <w:rsid w:val="007A5383"/>
    <w:rsid w:val="007A54EE"/>
    <w:rsid w:val="007A5F18"/>
    <w:rsid w:val="007A604E"/>
    <w:rsid w:val="007A609B"/>
    <w:rsid w:val="007A6303"/>
    <w:rsid w:val="007A69AF"/>
    <w:rsid w:val="007A6D6E"/>
    <w:rsid w:val="007B0B5B"/>
    <w:rsid w:val="007B103E"/>
    <w:rsid w:val="007B177C"/>
    <w:rsid w:val="007B2FB7"/>
    <w:rsid w:val="007B3326"/>
    <w:rsid w:val="007B37C6"/>
    <w:rsid w:val="007B4F6C"/>
    <w:rsid w:val="007B4FE9"/>
    <w:rsid w:val="007B6005"/>
    <w:rsid w:val="007B65BD"/>
    <w:rsid w:val="007B6FD8"/>
    <w:rsid w:val="007B7733"/>
    <w:rsid w:val="007B7AC5"/>
    <w:rsid w:val="007B7FAB"/>
    <w:rsid w:val="007B8735"/>
    <w:rsid w:val="007B94FA"/>
    <w:rsid w:val="007BA7B4"/>
    <w:rsid w:val="007C01D9"/>
    <w:rsid w:val="007C157F"/>
    <w:rsid w:val="007C1C5B"/>
    <w:rsid w:val="007C2354"/>
    <w:rsid w:val="007C2C73"/>
    <w:rsid w:val="007C2E7C"/>
    <w:rsid w:val="007C339A"/>
    <w:rsid w:val="007C37A3"/>
    <w:rsid w:val="007C3F47"/>
    <w:rsid w:val="007C49BD"/>
    <w:rsid w:val="007C4B82"/>
    <w:rsid w:val="007C54F3"/>
    <w:rsid w:val="007C5753"/>
    <w:rsid w:val="007C5909"/>
    <w:rsid w:val="007C647D"/>
    <w:rsid w:val="007C6728"/>
    <w:rsid w:val="007C6C76"/>
    <w:rsid w:val="007C77B7"/>
    <w:rsid w:val="007C7AA5"/>
    <w:rsid w:val="007D0315"/>
    <w:rsid w:val="007D0A0F"/>
    <w:rsid w:val="007D110C"/>
    <w:rsid w:val="007D11CD"/>
    <w:rsid w:val="007D1593"/>
    <w:rsid w:val="007D171B"/>
    <w:rsid w:val="007D1D0C"/>
    <w:rsid w:val="007D1E62"/>
    <w:rsid w:val="007D527F"/>
    <w:rsid w:val="007D5822"/>
    <w:rsid w:val="007D5974"/>
    <w:rsid w:val="007D67C5"/>
    <w:rsid w:val="007D6AA2"/>
    <w:rsid w:val="007D79DC"/>
    <w:rsid w:val="007D7A8F"/>
    <w:rsid w:val="007E0F19"/>
    <w:rsid w:val="007E2247"/>
    <w:rsid w:val="007E25DA"/>
    <w:rsid w:val="007E33C3"/>
    <w:rsid w:val="007E4A90"/>
    <w:rsid w:val="007E4F88"/>
    <w:rsid w:val="007E65C7"/>
    <w:rsid w:val="007E69F8"/>
    <w:rsid w:val="007E7B69"/>
    <w:rsid w:val="007E7E1C"/>
    <w:rsid w:val="007F04DE"/>
    <w:rsid w:val="007F04E2"/>
    <w:rsid w:val="007F117B"/>
    <w:rsid w:val="007F2F5A"/>
    <w:rsid w:val="007F3290"/>
    <w:rsid w:val="007F4FE4"/>
    <w:rsid w:val="007F5409"/>
    <w:rsid w:val="007F6DC6"/>
    <w:rsid w:val="007F782D"/>
    <w:rsid w:val="007F7CAF"/>
    <w:rsid w:val="0080136D"/>
    <w:rsid w:val="00801FC8"/>
    <w:rsid w:val="00802C3B"/>
    <w:rsid w:val="0080368B"/>
    <w:rsid w:val="0080509F"/>
    <w:rsid w:val="0080517D"/>
    <w:rsid w:val="00805220"/>
    <w:rsid w:val="00806327"/>
    <w:rsid w:val="00806413"/>
    <w:rsid w:val="00807D9C"/>
    <w:rsid w:val="008105DE"/>
    <w:rsid w:val="00810889"/>
    <w:rsid w:val="00810DA8"/>
    <w:rsid w:val="008124CC"/>
    <w:rsid w:val="00812DE6"/>
    <w:rsid w:val="00813AA0"/>
    <w:rsid w:val="00814482"/>
    <w:rsid w:val="00814DA5"/>
    <w:rsid w:val="008153CE"/>
    <w:rsid w:val="0081597A"/>
    <w:rsid w:val="00815A91"/>
    <w:rsid w:val="00815A92"/>
    <w:rsid w:val="00815D4C"/>
    <w:rsid w:val="00816158"/>
    <w:rsid w:val="0081716C"/>
    <w:rsid w:val="0081723D"/>
    <w:rsid w:val="00817654"/>
    <w:rsid w:val="008176D6"/>
    <w:rsid w:val="008202F0"/>
    <w:rsid w:val="00820430"/>
    <w:rsid w:val="00820DD3"/>
    <w:rsid w:val="008214AE"/>
    <w:rsid w:val="008225CE"/>
    <w:rsid w:val="008230FB"/>
    <w:rsid w:val="008235F9"/>
    <w:rsid w:val="008247E4"/>
    <w:rsid w:val="00824856"/>
    <w:rsid w:val="00825695"/>
    <w:rsid w:val="008259A1"/>
    <w:rsid w:val="0082626F"/>
    <w:rsid w:val="00826492"/>
    <w:rsid w:val="008269E2"/>
    <w:rsid w:val="00826A1F"/>
    <w:rsid w:val="00827395"/>
    <w:rsid w:val="00827AC5"/>
    <w:rsid w:val="008291CA"/>
    <w:rsid w:val="00829C94"/>
    <w:rsid w:val="0082D3E2"/>
    <w:rsid w:val="008315E8"/>
    <w:rsid w:val="00832BBB"/>
    <w:rsid w:val="00833EAF"/>
    <w:rsid w:val="00833F31"/>
    <w:rsid w:val="00834899"/>
    <w:rsid w:val="0083495D"/>
    <w:rsid w:val="0083549E"/>
    <w:rsid w:val="008358FB"/>
    <w:rsid w:val="00835CBA"/>
    <w:rsid w:val="00835F4C"/>
    <w:rsid w:val="00837445"/>
    <w:rsid w:val="008374EF"/>
    <w:rsid w:val="00837C21"/>
    <w:rsid w:val="0084202A"/>
    <w:rsid w:val="00842469"/>
    <w:rsid w:val="008425F7"/>
    <w:rsid w:val="008428DC"/>
    <w:rsid w:val="00842942"/>
    <w:rsid w:val="00842E98"/>
    <w:rsid w:val="0084309E"/>
    <w:rsid w:val="008431CD"/>
    <w:rsid w:val="00843BB5"/>
    <w:rsid w:val="00843E97"/>
    <w:rsid w:val="00843F58"/>
    <w:rsid w:val="00843F96"/>
    <w:rsid w:val="0084417A"/>
    <w:rsid w:val="00844EAA"/>
    <w:rsid w:val="00845FDB"/>
    <w:rsid w:val="008464FD"/>
    <w:rsid w:val="00846D00"/>
    <w:rsid w:val="00846EF6"/>
    <w:rsid w:val="008478D1"/>
    <w:rsid w:val="00847A78"/>
    <w:rsid w:val="0084C6D1"/>
    <w:rsid w:val="008503E7"/>
    <w:rsid w:val="008515DB"/>
    <w:rsid w:val="0085205A"/>
    <w:rsid w:val="00853008"/>
    <w:rsid w:val="008537B4"/>
    <w:rsid w:val="00853A35"/>
    <w:rsid w:val="00853F69"/>
    <w:rsid w:val="00854143"/>
    <w:rsid w:val="008566E7"/>
    <w:rsid w:val="00856AB6"/>
    <w:rsid w:val="008571F1"/>
    <w:rsid w:val="00857ECE"/>
    <w:rsid w:val="0085B0AD"/>
    <w:rsid w:val="0085F9F3"/>
    <w:rsid w:val="00860BA1"/>
    <w:rsid w:val="00860C30"/>
    <w:rsid w:val="00860EE2"/>
    <w:rsid w:val="00861BE6"/>
    <w:rsid w:val="00863D60"/>
    <w:rsid w:val="00864105"/>
    <w:rsid w:val="0086487A"/>
    <w:rsid w:val="00865567"/>
    <w:rsid w:val="008656B3"/>
    <w:rsid w:val="008657A0"/>
    <w:rsid w:val="00865D47"/>
    <w:rsid w:val="008666DE"/>
    <w:rsid w:val="00866FC8"/>
    <w:rsid w:val="00867C4B"/>
    <w:rsid w:val="0086F726"/>
    <w:rsid w:val="008710FA"/>
    <w:rsid w:val="00871C0E"/>
    <w:rsid w:val="00872414"/>
    <w:rsid w:val="0087359F"/>
    <w:rsid w:val="008735E3"/>
    <w:rsid w:val="0087392F"/>
    <w:rsid w:val="00873B19"/>
    <w:rsid w:val="00873B9F"/>
    <w:rsid w:val="00873CC1"/>
    <w:rsid w:val="0087404C"/>
    <w:rsid w:val="0087419F"/>
    <w:rsid w:val="00874833"/>
    <w:rsid w:val="0087516E"/>
    <w:rsid w:val="00875553"/>
    <w:rsid w:val="008757E3"/>
    <w:rsid w:val="00875C27"/>
    <w:rsid w:val="00875DBB"/>
    <w:rsid w:val="00875FAD"/>
    <w:rsid w:val="00876A9F"/>
    <w:rsid w:val="00876D72"/>
    <w:rsid w:val="00877BCD"/>
    <w:rsid w:val="00877FC3"/>
    <w:rsid w:val="00880DED"/>
    <w:rsid w:val="008815A2"/>
    <w:rsid w:val="008819CA"/>
    <w:rsid w:val="00881AC6"/>
    <w:rsid w:val="00881BFF"/>
    <w:rsid w:val="00883325"/>
    <w:rsid w:val="008834BD"/>
    <w:rsid w:val="00884745"/>
    <w:rsid w:val="0088585A"/>
    <w:rsid w:val="00886D5D"/>
    <w:rsid w:val="008909D6"/>
    <w:rsid w:val="00890BED"/>
    <w:rsid w:val="00891581"/>
    <w:rsid w:val="00891C32"/>
    <w:rsid w:val="008934EA"/>
    <w:rsid w:val="00894342"/>
    <w:rsid w:val="008944C0"/>
    <w:rsid w:val="00895A32"/>
    <w:rsid w:val="0089626F"/>
    <w:rsid w:val="00897521"/>
    <w:rsid w:val="00897CFD"/>
    <w:rsid w:val="008980F0"/>
    <w:rsid w:val="0089BEF3"/>
    <w:rsid w:val="008A0134"/>
    <w:rsid w:val="008A1377"/>
    <w:rsid w:val="008A1C35"/>
    <w:rsid w:val="008A1F5C"/>
    <w:rsid w:val="008A2ECD"/>
    <w:rsid w:val="008A357A"/>
    <w:rsid w:val="008A384F"/>
    <w:rsid w:val="008A3CE4"/>
    <w:rsid w:val="008A4B59"/>
    <w:rsid w:val="008A58A0"/>
    <w:rsid w:val="008A6584"/>
    <w:rsid w:val="008A73F2"/>
    <w:rsid w:val="008A8A04"/>
    <w:rsid w:val="008B003E"/>
    <w:rsid w:val="008B0471"/>
    <w:rsid w:val="008B0F29"/>
    <w:rsid w:val="008B144E"/>
    <w:rsid w:val="008B1513"/>
    <w:rsid w:val="008B1C60"/>
    <w:rsid w:val="008B22BB"/>
    <w:rsid w:val="008B2B37"/>
    <w:rsid w:val="008B2F9F"/>
    <w:rsid w:val="008B30E1"/>
    <w:rsid w:val="008B32AF"/>
    <w:rsid w:val="008B3566"/>
    <w:rsid w:val="008B366D"/>
    <w:rsid w:val="008B405C"/>
    <w:rsid w:val="008B4293"/>
    <w:rsid w:val="008B4410"/>
    <w:rsid w:val="008B4543"/>
    <w:rsid w:val="008B4A7C"/>
    <w:rsid w:val="008B4AA9"/>
    <w:rsid w:val="008B5234"/>
    <w:rsid w:val="008B5A00"/>
    <w:rsid w:val="008B5EE2"/>
    <w:rsid w:val="008B689A"/>
    <w:rsid w:val="008B6F9F"/>
    <w:rsid w:val="008B77FC"/>
    <w:rsid w:val="008B7EAB"/>
    <w:rsid w:val="008C0739"/>
    <w:rsid w:val="008C0C57"/>
    <w:rsid w:val="008C0D93"/>
    <w:rsid w:val="008C19B7"/>
    <w:rsid w:val="008C1D74"/>
    <w:rsid w:val="008C2DAD"/>
    <w:rsid w:val="008C465D"/>
    <w:rsid w:val="008C4E79"/>
    <w:rsid w:val="008C5149"/>
    <w:rsid w:val="008C5918"/>
    <w:rsid w:val="008C61A6"/>
    <w:rsid w:val="008C63EE"/>
    <w:rsid w:val="008C772E"/>
    <w:rsid w:val="008D032F"/>
    <w:rsid w:val="008D0D18"/>
    <w:rsid w:val="008D158B"/>
    <w:rsid w:val="008D3719"/>
    <w:rsid w:val="008D3A52"/>
    <w:rsid w:val="008D48B0"/>
    <w:rsid w:val="008D4B45"/>
    <w:rsid w:val="008D5646"/>
    <w:rsid w:val="008E01DC"/>
    <w:rsid w:val="008E067C"/>
    <w:rsid w:val="008E08DF"/>
    <w:rsid w:val="008E0AB9"/>
    <w:rsid w:val="008E181B"/>
    <w:rsid w:val="008E22E8"/>
    <w:rsid w:val="008E24E0"/>
    <w:rsid w:val="008E310F"/>
    <w:rsid w:val="008E4C47"/>
    <w:rsid w:val="008E5344"/>
    <w:rsid w:val="008E5528"/>
    <w:rsid w:val="008E5A79"/>
    <w:rsid w:val="008E6D8F"/>
    <w:rsid w:val="008F12FA"/>
    <w:rsid w:val="008F155B"/>
    <w:rsid w:val="008F19C0"/>
    <w:rsid w:val="008F4D73"/>
    <w:rsid w:val="008F617F"/>
    <w:rsid w:val="008F6734"/>
    <w:rsid w:val="008F6D38"/>
    <w:rsid w:val="009013DD"/>
    <w:rsid w:val="009022CA"/>
    <w:rsid w:val="009023C1"/>
    <w:rsid w:val="00902D58"/>
    <w:rsid w:val="0090333A"/>
    <w:rsid w:val="009035CC"/>
    <w:rsid w:val="009036E1"/>
    <w:rsid w:val="00903D4C"/>
    <w:rsid w:val="00904375"/>
    <w:rsid w:val="0090482B"/>
    <w:rsid w:val="00904D9D"/>
    <w:rsid w:val="00904DD3"/>
    <w:rsid w:val="00904EE7"/>
    <w:rsid w:val="00905170"/>
    <w:rsid w:val="009068BD"/>
    <w:rsid w:val="00910C1A"/>
    <w:rsid w:val="009116C7"/>
    <w:rsid w:val="00912696"/>
    <w:rsid w:val="00913072"/>
    <w:rsid w:val="009146E0"/>
    <w:rsid w:val="0091498B"/>
    <w:rsid w:val="009157A1"/>
    <w:rsid w:val="0091625C"/>
    <w:rsid w:val="00916BF2"/>
    <w:rsid w:val="00916E83"/>
    <w:rsid w:val="00917901"/>
    <w:rsid w:val="00917D3D"/>
    <w:rsid w:val="00917EF0"/>
    <w:rsid w:val="00922185"/>
    <w:rsid w:val="009223D2"/>
    <w:rsid w:val="00922644"/>
    <w:rsid w:val="00923014"/>
    <w:rsid w:val="0092335C"/>
    <w:rsid w:val="0092398D"/>
    <w:rsid w:val="00923DED"/>
    <w:rsid w:val="00924732"/>
    <w:rsid w:val="00924939"/>
    <w:rsid w:val="00924CBB"/>
    <w:rsid w:val="00924D15"/>
    <w:rsid w:val="00925599"/>
    <w:rsid w:val="0092566C"/>
    <w:rsid w:val="00925722"/>
    <w:rsid w:val="00925FAC"/>
    <w:rsid w:val="00927BF5"/>
    <w:rsid w:val="009302F2"/>
    <w:rsid w:val="00930BE1"/>
    <w:rsid w:val="0093133C"/>
    <w:rsid w:val="0093270D"/>
    <w:rsid w:val="00932953"/>
    <w:rsid w:val="00933BBA"/>
    <w:rsid w:val="00934889"/>
    <w:rsid w:val="00934A19"/>
    <w:rsid w:val="009353AD"/>
    <w:rsid w:val="00935CE7"/>
    <w:rsid w:val="00935F69"/>
    <w:rsid w:val="009361D6"/>
    <w:rsid w:val="009366F2"/>
    <w:rsid w:val="009367F5"/>
    <w:rsid w:val="00937A0E"/>
    <w:rsid w:val="00937D66"/>
    <w:rsid w:val="009401DD"/>
    <w:rsid w:val="00940986"/>
    <w:rsid w:val="009410A7"/>
    <w:rsid w:val="009412A7"/>
    <w:rsid w:val="009417E5"/>
    <w:rsid w:val="00941BD0"/>
    <w:rsid w:val="00941F1F"/>
    <w:rsid w:val="0094376B"/>
    <w:rsid w:val="00943E6B"/>
    <w:rsid w:val="00944036"/>
    <w:rsid w:val="009458A3"/>
    <w:rsid w:val="009458CD"/>
    <w:rsid w:val="00945987"/>
    <w:rsid w:val="00947F21"/>
    <w:rsid w:val="00951320"/>
    <w:rsid w:val="00951C95"/>
    <w:rsid w:val="0095281B"/>
    <w:rsid w:val="00952AA0"/>
    <w:rsid w:val="00953190"/>
    <w:rsid w:val="00953DEF"/>
    <w:rsid w:val="00954877"/>
    <w:rsid w:val="00954E8B"/>
    <w:rsid w:val="00954EA6"/>
    <w:rsid w:val="009557A8"/>
    <w:rsid w:val="009558A7"/>
    <w:rsid w:val="00955F6B"/>
    <w:rsid w:val="00956044"/>
    <w:rsid w:val="00956394"/>
    <w:rsid w:val="00957D8A"/>
    <w:rsid w:val="00960405"/>
    <w:rsid w:val="0096055C"/>
    <w:rsid w:val="009607FF"/>
    <w:rsid w:val="00963175"/>
    <w:rsid w:val="009639D1"/>
    <w:rsid w:val="00964105"/>
    <w:rsid w:val="00964503"/>
    <w:rsid w:val="009650F3"/>
    <w:rsid w:val="00965131"/>
    <w:rsid w:val="00966324"/>
    <w:rsid w:val="00966354"/>
    <w:rsid w:val="00967C55"/>
    <w:rsid w:val="00969B48"/>
    <w:rsid w:val="00970AC6"/>
    <w:rsid w:val="00970FAD"/>
    <w:rsid w:val="009711FD"/>
    <w:rsid w:val="0097137C"/>
    <w:rsid w:val="0097200D"/>
    <w:rsid w:val="00972B7F"/>
    <w:rsid w:val="009748C7"/>
    <w:rsid w:val="00974962"/>
    <w:rsid w:val="00974C97"/>
    <w:rsid w:val="009752B6"/>
    <w:rsid w:val="00975504"/>
    <w:rsid w:val="009764A2"/>
    <w:rsid w:val="009764F8"/>
    <w:rsid w:val="009769FA"/>
    <w:rsid w:val="00976D9E"/>
    <w:rsid w:val="00976FD5"/>
    <w:rsid w:val="00980221"/>
    <w:rsid w:val="009803D3"/>
    <w:rsid w:val="00980DA3"/>
    <w:rsid w:val="00982137"/>
    <w:rsid w:val="0098234B"/>
    <w:rsid w:val="00985130"/>
    <w:rsid w:val="009854D2"/>
    <w:rsid w:val="009856F5"/>
    <w:rsid w:val="00985A2D"/>
    <w:rsid w:val="00985AE8"/>
    <w:rsid w:val="0098609A"/>
    <w:rsid w:val="00986609"/>
    <w:rsid w:val="00986990"/>
    <w:rsid w:val="00987B94"/>
    <w:rsid w:val="00990859"/>
    <w:rsid w:val="00990DEE"/>
    <w:rsid w:val="00992B92"/>
    <w:rsid w:val="009933F5"/>
    <w:rsid w:val="00993638"/>
    <w:rsid w:val="00993A02"/>
    <w:rsid w:val="00995065"/>
    <w:rsid w:val="0099550A"/>
    <w:rsid w:val="0099596C"/>
    <w:rsid w:val="00995BA7"/>
    <w:rsid w:val="0099619C"/>
    <w:rsid w:val="00996391"/>
    <w:rsid w:val="009967A6"/>
    <w:rsid w:val="00996DD7"/>
    <w:rsid w:val="009A0008"/>
    <w:rsid w:val="009A007B"/>
    <w:rsid w:val="009A06EF"/>
    <w:rsid w:val="009A10AE"/>
    <w:rsid w:val="009A284F"/>
    <w:rsid w:val="009A298C"/>
    <w:rsid w:val="009A2C52"/>
    <w:rsid w:val="009A3E04"/>
    <w:rsid w:val="009A40A5"/>
    <w:rsid w:val="009A41C6"/>
    <w:rsid w:val="009A478B"/>
    <w:rsid w:val="009A47EE"/>
    <w:rsid w:val="009A4961"/>
    <w:rsid w:val="009A4B86"/>
    <w:rsid w:val="009A51AA"/>
    <w:rsid w:val="009A5724"/>
    <w:rsid w:val="009A75E7"/>
    <w:rsid w:val="009A7F1F"/>
    <w:rsid w:val="009B0283"/>
    <w:rsid w:val="009B1CBC"/>
    <w:rsid w:val="009B1D6B"/>
    <w:rsid w:val="009B2E29"/>
    <w:rsid w:val="009B2F45"/>
    <w:rsid w:val="009B33A9"/>
    <w:rsid w:val="009B33BE"/>
    <w:rsid w:val="009B3AAB"/>
    <w:rsid w:val="009B4406"/>
    <w:rsid w:val="009B444A"/>
    <w:rsid w:val="009B54D5"/>
    <w:rsid w:val="009B573D"/>
    <w:rsid w:val="009B5978"/>
    <w:rsid w:val="009B5D48"/>
    <w:rsid w:val="009B6354"/>
    <w:rsid w:val="009B6CCC"/>
    <w:rsid w:val="009B7334"/>
    <w:rsid w:val="009C111D"/>
    <w:rsid w:val="009C17A3"/>
    <w:rsid w:val="009C1C6B"/>
    <w:rsid w:val="009C1E40"/>
    <w:rsid w:val="009C37FA"/>
    <w:rsid w:val="009C4A22"/>
    <w:rsid w:val="009C5EF8"/>
    <w:rsid w:val="009C6C53"/>
    <w:rsid w:val="009C782C"/>
    <w:rsid w:val="009C7A34"/>
    <w:rsid w:val="009D06BE"/>
    <w:rsid w:val="009D082F"/>
    <w:rsid w:val="009D0C25"/>
    <w:rsid w:val="009D14B3"/>
    <w:rsid w:val="009D2300"/>
    <w:rsid w:val="009D2609"/>
    <w:rsid w:val="009D36D6"/>
    <w:rsid w:val="009D3D40"/>
    <w:rsid w:val="009D4E61"/>
    <w:rsid w:val="009D6230"/>
    <w:rsid w:val="009D7ACE"/>
    <w:rsid w:val="009D7D35"/>
    <w:rsid w:val="009E0E62"/>
    <w:rsid w:val="009E1FC0"/>
    <w:rsid w:val="009E20A6"/>
    <w:rsid w:val="009E31FF"/>
    <w:rsid w:val="009E3250"/>
    <w:rsid w:val="009E3462"/>
    <w:rsid w:val="009E4AC0"/>
    <w:rsid w:val="009E57D1"/>
    <w:rsid w:val="009E5F5C"/>
    <w:rsid w:val="009E5FA0"/>
    <w:rsid w:val="009E6492"/>
    <w:rsid w:val="009E6E89"/>
    <w:rsid w:val="009E6FDC"/>
    <w:rsid w:val="009E7928"/>
    <w:rsid w:val="009E7FCC"/>
    <w:rsid w:val="009F0CCE"/>
    <w:rsid w:val="009F1432"/>
    <w:rsid w:val="009F1804"/>
    <w:rsid w:val="009F344E"/>
    <w:rsid w:val="009F3608"/>
    <w:rsid w:val="009F3B23"/>
    <w:rsid w:val="009F3B2A"/>
    <w:rsid w:val="009F4B73"/>
    <w:rsid w:val="009F4EC5"/>
    <w:rsid w:val="009F51B1"/>
    <w:rsid w:val="009F5E0C"/>
    <w:rsid w:val="009F68FE"/>
    <w:rsid w:val="009F719C"/>
    <w:rsid w:val="009F7AD1"/>
    <w:rsid w:val="00A00228"/>
    <w:rsid w:val="00A00965"/>
    <w:rsid w:val="00A01D45"/>
    <w:rsid w:val="00A02B44"/>
    <w:rsid w:val="00A030C8"/>
    <w:rsid w:val="00A03306"/>
    <w:rsid w:val="00A03C63"/>
    <w:rsid w:val="00A03CF2"/>
    <w:rsid w:val="00A03D32"/>
    <w:rsid w:val="00A0479A"/>
    <w:rsid w:val="00A061FB"/>
    <w:rsid w:val="00A0632D"/>
    <w:rsid w:val="00A0686F"/>
    <w:rsid w:val="00A075F7"/>
    <w:rsid w:val="00A0760A"/>
    <w:rsid w:val="00A07CE4"/>
    <w:rsid w:val="00A107C2"/>
    <w:rsid w:val="00A10D0E"/>
    <w:rsid w:val="00A1118D"/>
    <w:rsid w:val="00A11417"/>
    <w:rsid w:val="00A11424"/>
    <w:rsid w:val="00A11844"/>
    <w:rsid w:val="00A11ABA"/>
    <w:rsid w:val="00A11E20"/>
    <w:rsid w:val="00A124D1"/>
    <w:rsid w:val="00A127B3"/>
    <w:rsid w:val="00A12C1C"/>
    <w:rsid w:val="00A12C98"/>
    <w:rsid w:val="00A12F76"/>
    <w:rsid w:val="00A14E3A"/>
    <w:rsid w:val="00A16909"/>
    <w:rsid w:val="00A1771E"/>
    <w:rsid w:val="00A17CC1"/>
    <w:rsid w:val="00A20427"/>
    <w:rsid w:val="00A2047B"/>
    <w:rsid w:val="00A21BEB"/>
    <w:rsid w:val="00A23BD7"/>
    <w:rsid w:val="00A241B2"/>
    <w:rsid w:val="00A243D9"/>
    <w:rsid w:val="00A245C4"/>
    <w:rsid w:val="00A24AC2"/>
    <w:rsid w:val="00A265E2"/>
    <w:rsid w:val="00A26D00"/>
    <w:rsid w:val="00A270A6"/>
    <w:rsid w:val="00A27661"/>
    <w:rsid w:val="00A278BF"/>
    <w:rsid w:val="00A27E98"/>
    <w:rsid w:val="00A307B7"/>
    <w:rsid w:val="00A346A8"/>
    <w:rsid w:val="00A34748"/>
    <w:rsid w:val="00A34D99"/>
    <w:rsid w:val="00A34EC3"/>
    <w:rsid w:val="00A35844"/>
    <w:rsid w:val="00A35A62"/>
    <w:rsid w:val="00A36AFA"/>
    <w:rsid w:val="00A374A3"/>
    <w:rsid w:val="00A37C73"/>
    <w:rsid w:val="00A37F99"/>
    <w:rsid w:val="00A3A881"/>
    <w:rsid w:val="00A402A0"/>
    <w:rsid w:val="00A40363"/>
    <w:rsid w:val="00A40579"/>
    <w:rsid w:val="00A40E2A"/>
    <w:rsid w:val="00A410CE"/>
    <w:rsid w:val="00A410E3"/>
    <w:rsid w:val="00A415E0"/>
    <w:rsid w:val="00A41C62"/>
    <w:rsid w:val="00A41E81"/>
    <w:rsid w:val="00A41ED0"/>
    <w:rsid w:val="00A42A76"/>
    <w:rsid w:val="00A43579"/>
    <w:rsid w:val="00A437C1"/>
    <w:rsid w:val="00A43B95"/>
    <w:rsid w:val="00A45293"/>
    <w:rsid w:val="00A45317"/>
    <w:rsid w:val="00A45542"/>
    <w:rsid w:val="00A460C8"/>
    <w:rsid w:val="00A46782"/>
    <w:rsid w:val="00A46C35"/>
    <w:rsid w:val="00A471B8"/>
    <w:rsid w:val="00A5041F"/>
    <w:rsid w:val="00A50E43"/>
    <w:rsid w:val="00A50F71"/>
    <w:rsid w:val="00A51076"/>
    <w:rsid w:val="00A51139"/>
    <w:rsid w:val="00A51435"/>
    <w:rsid w:val="00A52100"/>
    <w:rsid w:val="00A52E4B"/>
    <w:rsid w:val="00A53190"/>
    <w:rsid w:val="00A53768"/>
    <w:rsid w:val="00A5378C"/>
    <w:rsid w:val="00A537F9"/>
    <w:rsid w:val="00A53AF2"/>
    <w:rsid w:val="00A53D7C"/>
    <w:rsid w:val="00A54C26"/>
    <w:rsid w:val="00A56F00"/>
    <w:rsid w:val="00A57382"/>
    <w:rsid w:val="00A57484"/>
    <w:rsid w:val="00A604B5"/>
    <w:rsid w:val="00A6206B"/>
    <w:rsid w:val="00A62198"/>
    <w:rsid w:val="00A6248A"/>
    <w:rsid w:val="00A63613"/>
    <w:rsid w:val="00A63642"/>
    <w:rsid w:val="00A63E7E"/>
    <w:rsid w:val="00A64301"/>
    <w:rsid w:val="00A64907"/>
    <w:rsid w:val="00A649B6"/>
    <w:rsid w:val="00A659A0"/>
    <w:rsid w:val="00A65B69"/>
    <w:rsid w:val="00A65C9C"/>
    <w:rsid w:val="00A65D35"/>
    <w:rsid w:val="00A65EE7"/>
    <w:rsid w:val="00A665AC"/>
    <w:rsid w:val="00A66E1D"/>
    <w:rsid w:val="00A66F1E"/>
    <w:rsid w:val="00A6784C"/>
    <w:rsid w:val="00A67C86"/>
    <w:rsid w:val="00A70972"/>
    <w:rsid w:val="00A70C50"/>
    <w:rsid w:val="00A71C1C"/>
    <w:rsid w:val="00A72AB1"/>
    <w:rsid w:val="00A72AFF"/>
    <w:rsid w:val="00A72B7C"/>
    <w:rsid w:val="00A7352C"/>
    <w:rsid w:val="00A7357F"/>
    <w:rsid w:val="00A73F23"/>
    <w:rsid w:val="00A74693"/>
    <w:rsid w:val="00A74732"/>
    <w:rsid w:val="00A74CE3"/>
    <w:rsid w:val="00A75777"/>
    <w:rsid w:val="00A76894"/>
    <w:rsid w:val="00A77A64"/>
    <w:rsid w:val="00A77DFB"/>
    <w:rsid w:val="00A80132"/>
    <w:rsid w:val="00A803D0"/>
    <w:rsid w:val="00A81A21"/>
    <w:rsid w:val="00A81A51"/>
    <w:rsid w:val="00A81EB0"/>
    <w:rsid w:val="00A82220"/>
    <w:rsid w:val="00A82F60"/>
    <w:rsid w:val="00A83FC2"/>
    <w:rsid w:val="00A8456F"/>
    <w:rsid w:val="00A859EB"/>
    <w:rsid w:val="00A85D80"/>
    <w:rsid w:val="00A85FDC"/>
    <w:rsid w:val="00A870B9"/>
    <w:rsid w:val="00A87C7F"/>
    <w:rsid w:val="00A90FAB"/>
    <w:rsid w:val="00A9122F"/>
    <w:rsid w:val="00A916CB"/>
    <w:rsid w:val="00A91BF4"/>
    <w:rsid w:val="00A92378"/>
    <w:rsid w:val="00A9310B"/>
    <w:rsid w:val="00A936CF"/>
    <w:rsid w:val="00A9530E"/>
    <w:rsid w:val="00A9551A"/>
    <w:rsid w:val="00A95538"/>
    <w:rsid w:val="00A95598"/>
    <w:rsid w:val="00A966A2"/>
    <w:rsid w:val="00A969CD"/>
    <w:rsid w:val="00A96C07"/>
    <w:rsid w:val="00A9704E"/>
    <w:rsid w:val="00A973F9"/>
    <w:rsid w:val="00A97CB1"/>
    <w:rsid w:val="00AA0D92"/>
    <w:rsid w:val="00AA3332"/>
    <w:rsid w:val="00AA3F1F"/>
    <w:rsid w:val="00AA3FBB"/>
    <w:rsid w:val="00AA45DB"/>
    <w:rsid w:val="00AA46F0"/>
    <w:rsid w:val="00AA4725"/>
    <w:rsid w:val="00AA4ACA"/>
    <w:rsid w:val="00AA4D87"/>
    <w:rsid w:val="00AA5868"/>
    <w:rsid w:val="00AA672B"/>
    <w:rsid w:val="00AA69AD"/>
    <w:rsid w:val="00AB0A8F"/>
    <w:rsid w:val="00AB24B8"/>
    <w:rsid w:val="00AB2646"/>
    <w:rsid w:val="00AB2D23"/>
    <w:rsid w:val="00AB34E4"/>
    <w:rsid w:val="00AB3805"/>
    <w:rsid w:val="00AB4AA1"/>
    <w:rsid w:val="00AB4CF0"/>
    <w:rsid w:val="00AB4F35"/>
    <w:rsid w:val="00AB5805"/>
    <w:rsid w:val="00AB5F0C"/>
    <w:rsid w:val="00AB61B8"/>
    <w:rsid w:val="00AB72F1"/>
    <w:rsid w:val="00AB76E6"/>
    <w:rsid w:val="00AB7808"/>
    <w:rsid w:val="00AB7D2E"/>
    <w:rsid w:val="00AB7DB3"/>
    <w:rsid w:val="00ABDF14"/>
    <w:rsid w:val="00AC06DB"/>
    <w:rsid w:val="00AC08B1"/>
    <w:rsid w:val="00AC23A8"/>
    <w:rsid w:val="00AC2546"/>
    <w:rsid w:val="00AC2A64"/>
    <w:rsid w:val="00AC30A4"/>
    <w:rsid w:val="00AC3D40"/>
    <w:rsid w:val="00AC455B"/>
    <w:rsid w:val="00AC531E"/>
    <w:rsid w:val="00AC7452"/>
    <w:rsid w:val="00AD055B"/>
    <w:rsid w:val="00AD264C"/>
    <w:rsid w:val="00AD2743"/>
    <w:rsid w:val="00AD359E"/>
    <w:rsid w:val="00AD4A3F"/>
    <w:rsid w:val="00AD4C1B"/>
    <w:rsid w:val="00AD60F7"/>
    <w:rsid w:val="00AD621E"/>
    <w:rsid w:val="00AD6C20"/>
    <w:rsid w:val="00AD7F97"/>
    <w:rsid w:val="00ADD803"/>
    <w:rsid w:val="00AE18A9"/>
    <w:rsid w:val="00AE1BB9"/>
    <w:rsid w:val="00AE250C"/>
    <w:rsid w:val="00AE3370"/>
    <w:rsid w:val="00AE43D8"/>
    <w:rsid w:val="00AE46FB"/>
    <w:rsid w:val="00AE5EAD"/>
    <w:rsid w:val="00AE67BC"/>
    <w:rsid w:val="00AE73C9"/>
    <w:rsid w:val="00AE756D"/>
    <w:rsid w:val="00AEBFC4"/>
    <w:rsid w:val="00AF01CD"/>
    <w:rsid w:val="00AF0434"/>
    <w:rsid w:val="00AF078F"/>
    <w:rsid w:val="00AF082E"/>
    <w:rsid w:val="00AF09EB"/>
    <w:rsid w:val="00AF0ADA"/>
    <w:rsid w:val="00AF23EE"/>
    <w:rsid w:val="00AF28BF"/>
    <w:rsid w:val="00AF453E"/>
    <w:rsid w:val="00AF47C6"/>
    <w:rsid w:val="00AF56A4"/>
    <w:rsid w:val="00AF66A2"/>
    <w:rsid w:val="00AF6CBA"/>
    <w:rsid w:val="00B00AA2"/>
    <w:rsid w:val="00B00BD9"/>
    <w:rsid w:val="00B01676"/>
    <w:rsid w:val="00B01B09"/>
    <w:rsid w:val="00B02A77"/>
    <w:rsid w:val="00B02DFA"/>
    <w:rsid w:val="00B0312D"/>
    <w:rsid w:val="00B03365"/>
    <w:rsid w:val="00B03594"/>
    <w:rsid w:val="00B042DD"/>
    <w:rsid w:val="00B045E2"/>
    <w:rsid w:val="00B068D9"/>
    <w:rsid w:val="00B06D9A"/>
    <w:rsid w:val="00B06E81"/>
    <w:rsid w:val="00B07B38"/>
    <w:rsid w:val="00B07BDE"/>
    <w:rsid w:val="00B0F013"/>
    <w:rsid w:val="00B105D6"/>
    <w:rsid w:val="00B106C2"/>
    <w:rsid w:val="00B1182A"/>
    <w:rsid w:val="00B118EE"/>
    <w:rsid w:val="00B123A6"/>
    <w:rsid w:val="00B134D2"/>
    <w:rsid w:val="00B13552"/>
    <w:rsid w:val="00B1397A"/>
    <w:rsid w:val="00B13BEF"/>
    <w:rsid w:val="00B1541E"/>
    <w:rsid w:val="00B15F6E"/>
    <w:rsid w:val="00B168FC"/>
    <w:rsid w:val="00B17D2A"/>
    <w:rsid w:val="00B17D7B"/>
    <w:rsid w:val="00B21131"/>
    <w:rsid w:val="00B22941"/>
    <w:rsid w:val="00B22EDB"/>
    <w:rsid w:val="00B237A9"/>
    <w:rsid w:val="00B238DF"/>
    <w:rsid w:val="00B2397B"/>
    <w:rsid w:val="00B23D93"/>
    <w:rsid w:val="00B23F81"/>
    <w:rsid w:val="00B25CEE"/>
    <w:rsid w:val="00B2733B"/>
    <w:rsid w:val="00B27F24"/>
    <w:rsid w:val="00B2DA8F"/>
    <w:rsid w:val="00B308C4"/>
    <w:rsid w:val="00B30B6C"/>
    <w:rsid w:val="00B30C5B"/>
    <w:rsid w:val="00B30CF6"/>
    <w:rsid w:val="00B30F44"/>
    <w:rsid w:val="00B3157C"/>
    <w:rsid w:val="00B31620"/>
    <w:rsid w:val="00B31E1A"/>
    <w:rsid w:val="00B32808"/>
    <w:rsid w:val="00B33F56"/>
    <w:rsid w:val="00B34589"/>
    <w:rsid w:val="00B34747"/>
    <w:rsid w:val="00B362C2"/>
    <w:rsid w:val="00B3771E"/>
    <w:rsid w:val="00B40AB8"/>
    <w:rsid w:val="00B41086"/>
    <w:rsid w:val="00B41350"/>
    <w:rsid w:val="00B41AB4"/>
    <w:rsid w:val="00B43005"/>
    <w:rsid w:val="00B430B8"/>
    <w:rsid w:val="00B4313A"/>
    <w:rsid w:val="00B441E4"/>
    <w:rsid w:val="00B44493"/>
    <w:rsid w:val="00B4521F"/>
    <w:rsid w:val="00B452AA"/>
    <w:rsid w:val="00B458CD"/>
    <w:rsid w:val="00B47452"/>
    <w:rsid w:val="00B4771A"/>
    <w:rsid w:val="00B47962"/>
    <w:rsid w:val="00B5025B"/>
    <w:rsid w:val="00B5167B"/>
    <w:rsid w:val="00B51692"/>
    <w:rsid w:val="00B52742"/>
    <w:rsid w:val="00B5288B"/>
    <w:rsid w:val="00B53C06"/>
    <w:rsid w:val="00B53FCA"/>
    <w:rsid w:val="00B547B0"/>
    <w:rsid w:val="00B54D08"/>
    <w:rsid w:val="00B55C89"/>
    <w:rsid w:val="00B55F67"/>
    <w:rsid w:val="00B56F8C"/>
    <w:rsid w:val="00B570EA"/>
    <w:rsid w:val="00B600FC"/>
    <w:rsid w:val="00B601EF"/>
    <w:rsid w:val="00B603CE"/>
    <w:rsid w:val="00B6173A"/>
    <w:rsid w:val="00B61914"/>
    <w:rsid w:val="00B61CA5"/>
    <w:rsid w:val="00B61F15"/>
    <w:rsid w:val="00B630F2"/>
    <w:rsid w:val="00B6315F"/>
    <w:rsid w:val="00B631C5"/>
    <w:rsid w:val="00B6338A"/>
    <w:rsid w:val="00B63D61"/>
    <w:rsid w:val="00B64253"/>
    <w:rsid w:val="00B6430E"/>
    <w:rsid w:val="00B64363"/>
    <w:rsid w:val="00B65DD4"/>
    <w:rsid w:val="00B6618B"/>
    <w:rsid w:val="00B66518"/>
    <w:rsid w:val="00B67B2C"/>
    <w:rsid w:val="00B701F5"/>
    <w:rsid w:val="00B708E9"/>
    <w:rsid w:val="00B70A2D"/>
    <w:rsid w:val="00B70D82"/>
    <w:rsid w:val="00B71110"/>
    <w:rsid w:val="00B71BF7"/>
    <w:rsid w:val="00B71C35"/>
    <w:rsid w:val="00B72E70"/>
    <w:rsid w:val="00B731E8"/>
    <w:rsid w:val="00B7340A"/>
    <w:rsid w:val="00B73C36"/>
    <w:rsid w:val="00B7459C"/>
    <w:rsid w:val="00B74773"/>
    <w:rsid w:val="00B74F8B"/>
    <w:rsid w:val="00B7577C"/>
    <w:rsid w:val="00B757A2"/>
    <w:rsid w:val="00B75FCE"/>
    <w:rsid w:val="00B768FD"/>
    <w:rsid w:val="00B76BB7"/>
    <w:rsid w:val="00B77793"/>
    <w:rsid w:val="00B77870"/>
    <w:rsid w:val="00B779F8"/>
    <w:rsid w:val="00B77BE1"/>
    <w:rsid w:val="00B813B7"/>
    <w:rsid w:val="00B82DC3"/>
    <w:rsid w:val="00B83A44"/>
    <w:rsid w:val="00B83FB4"/>
    <w:rsid w:val="00B86D87"/>
    <w:rsid w:val="00B86E11"/>
    <w:rsid w:val="00B86ED1"/>
    <w:rsid w:val="00B86FD1"/>
    <w:rsid w:val="00B875BB"/>
    <w:rsid w:val="00B87D0D"/>
    <w:rsid w:val="00B8CCC2"/>
    <w:rsid w:val="00B902C7"/>
    <w:rsid w:val="00B9060E"/>
    <w:rsid w:val="00B9070E"/>
    <w:rsid w:val="00B9078B"/>
    <w:rsid w:val="00B914F2"/>
    <w:rsid w:val="00B91659"/>
    <w:rsid w:val="00B91A46"/>
    <w:rsid w:val="00B91B02"/>
    <w:rsid w:val="00B91C3C"/>
    <w:rsid w:val="00B94E3A"/>
    <w:rsid w:val="00B95865"/>
    <w:rsid w:val="00B95973"/>
    <w:rsid w:val="00B95E96"/>
    <w:rsid w:val="00B9630B"/>
    <w:rsid w:val="00B9679B"/>
    <w:rsid w:val="00B96853"/>
    <w:rsid w:val="00B969E7"/>
    <w:rsid w:val="00B97B69"/>
    <w:rsid w:val="00BA03C3"/>
    <w:rsid w:val="00BA0902"/>
    <w:rsid w:val="00BA12F7"/>
    <w:rsid w:val="00BA19F9"/>
    <w:rsid w:val="00BA224C"/>
    <w:rsid w:val="00BA22B9"/>
    <w:rsid w:val="00BA2E45"/>
    <w:rsid w:val="00BA36C6"/>
    <w:rsid w:val="00BA37E8"/>
    <w:rsid w:val="00BA3ABA"/>
    <w:rsid w:val="00BA3B71"/>
    <w:rsid w:val="00BA4198"/>
    <w:rsid w:val="00BA42CD"/>
    <w:rsid w:val="00BA45DF"/>
    <w:rsid w:val="00BA53F8"/>
    <w:rsid w:val="00BA552E"/>
    <w:rsid w:val="00BA6470"/>
    <w:rsid w:val="00BA6CFF"/>
    <w:rsid w:val="00BA72FE"/>
    <w:rsid w:val="00BA74D5"/>
    <w:rsid w:val="00BA78FF"/>
    <w:rsid w:val="00BA7C1C"/>
    <w:rsid w:val="00BA7F01"/>
    <w:rsid w:val="00BB0828"/>
    <w:rsid w:val="00BB0E79"/>
    <w:rsid w:val="00BB23BA"/>
    <w:rsid w:val="00BB252E"/>
    <w:rsid w:val="00BB3A3A"/>
    <w:rsid w:val="00BB3A78"/>
    <w:rsid w:val="00BB3FB8"/>
    <w:rsid w:val="00BB4178"/>
    <w:rsid w:val="00BB41E6"/>
    <w:rsid w:val="00BB4532"/>
    <w:rsid w:val="00BB4793"/>
    <w:rsid w:val="00BB49F3"/>
    <w:rsid w:val="00BB4EF1"/>
    <w:rsid w:val="00BB533A"/>
    <w:rsid w:val="00BB6024"/>
    <w:rsid w:val="00BB6933"/>
    <w:rsid w:val="00BB7E3B"/>
    <w:rsid w:val="00BC0063"/>
    <w:rsid w:val="00BC0137"/>
    <w:rsid w:val="00BC0395"/>
    <w:rsid w:val="00BC18D4"/>
    <w:rsid w:val="00BC1E46"/>
    <w:rsid w:val="00BC2B6C"/>
    <w:rsid w:val="00BC3CBF"/>
    <w:rsid w:val="00BC3E30"/>
    <w:rsid w:val="00BC3E7A"/>
    <w:rsid w:val="00BC48E6"/>
    <w:rsid w:val="00BC5515"/>
    <w:rsid w:val="00BC5B9B"/>
    <w:rsid w:val="00BC7674"/>
    <w:rsid w:val="00BC7816"/>
    <w:rsid w:val="00BD03A7"/>
    <w:rsid w:val="00BD05D7"/>
    <w:rsid w:val="00BD16F8"/>
    <w:rsid w:val="00BD1D84"/>
    <w:rsid w:val="00BD1E56"/>
    <w:rsid w:val="00BD2D96"/>
    <w:rsid w:val="00BD2E24"/>
    <w:rsid w:val="00BD34B8"/>
    <w:rsid w:val="00BD3618"/>
    <w:rsid w:val="00BD365D"/>
    <w:rsid w:val="00BD3868"/>
    <w:rsid w:val="00BD44E1"/>
    <w:rsid w:val="00BD471F"/>
    <w:rsid w:val="00BD49C3"/>
    <w:rsid w:val="00BD5434"/>
    <w:rsid w:val="00BD551B"/>
    <w:rsid w:val="00BD5776"/>
    <w:rsid w:val="00BD5944"/>
    <w:rsid w:val="00BD5AC3"/>
    <w:rsid w:val="00BD687F"/>
    <w:rsid w:val="00BD7337"/>
    <w:rsid w:val="00BD7366"/>
    <w:rsid w:val="00BE0212"/>
    <w:rsid w:val="00BE0C0C"/>
    <w:rsid w:val="00BE166E"/>
    <w:rsid w:val="00BE1954"/>
    <w:rsid w:val="00BE20EB"/>
    <w:rsid w:val="00BE2136"/>
    <w:rsid w:val="00BE28B0"/>
    <w:rsid w:val="00BE2C9E"/>
    <w:rsid w:val="00BE2E53"/>
    <w:rsid w:val="00BE3336"/>
    <w:rsid w:val="00BE3B4C"/>
    <w:rsid w:val="00BE484A"/>
    <w:rsid w:val="00BE4AC2"/>
    <w:rsid w:val="00BE53BD"/>
    <w:rsid w:val="00BE5EDB"/>
    <w:rsid w:val="00BE61FA"/>
    <w:rsid w:val="00BE6549"/>
    <w:rsid w:val="00BE6811"/>
    <w:rsid w:val="00BE6AAB"/>
    <w:rsid w:val="00BE7061"/>
    <w:rsid w:val="00BE735E"/>
    <w:rsid w:val="00BE76F5"/>
    <w:rsid w:val="00BE7A2C"/>
    <w:rsid w:val="00BF1365"/>
    <w:rsid w:val="00BF186D"/>
    <w:rsid w:val="00BF24B6"/>
    <w:rsid w:val="00BF339C"/>
    <w:rsid w:val="00BF36B9"/>
    <w:rsid w:val="00BF38BD"/>
    <w:rsid w:val="00BF40E6"/>
    <w:rsid w:val="00BF4128"/>
    <w:rsid w:val="00BF575D"/>
    <w:rsid w:val="00BF6687"/>
    <w:rsid w:val="00BF6A05"/>
    <w:rsid w:val="00BF6A78"/>
    <w:rsid w:val="00BF7F1E"/>
    <w:rsid w:val="00C001FB"/>
    <w:rsid w:val="00C0042E"/>
    <w:rsid w:val="00C00523"/>
    <w:rsid w:val="00C00B70"/>
    <w:rsid w:val="00C01343"/>
    <w:rsid w:val="00C02257"/>
    <w:rsid w:val="00C023D4"/>
    <w:rsid w:val="00C0318D"/>
    <w:rsid w:val="00C0349E"/>
    <w:rsid w:val="00C03622"/>
    <w:rsid w:val="00C05973"/>
    <w:rsid w:val="00C05B26"/>
    <w:rsid w:val="00C0632B"/>
    <w:rsid w:val="00C07110"/>
    <w:rsid w:val="00C07390"/>
    <w:rsid w:val="00C0D4F6"/>
    <w:rsid w:val="00C10BC9"/>
    <w:rsid w:val="00C10BFD"/>
    <w:rsid w:val="00C1103F"/>
    <w:rsid w:val="00C11690"/>
    <w:rsid w:val="00C11F2F"/>
    <w:rsid w:val="00C11F7A"/>
    <w:rsid w:val="00C12230"/>
    <w:rsid w:val="00C1262D"/>
    <w:rsid w:val="00C12B04"/>
    <w:rsid w:val="00C12CE7"/>
    <w:rsid w:val="00C13972"/>
    <w:rsid w:val="00C140F9"/>
    <w:rsid w:val="00C14177"/>
    <w:rsid w:val="00C14C7A"/>
    <w:rsid w:val="00C15848"/>
    <w:rsid w:val="00C16319"/>
    <w:rsid w:val="00C1651D"/>
    <w:rsid w:val="00C17023"/>
    <w:rsid w:val="00C20E33"/>
    <w:rsid w:val="00C21013"/>
    <w:rsid w:val="00C2123A"/>
    <w:rsid w:val="00C222E7"/>
    <w:rsid w:val="00C2236D"/>
    <w:rsid w:val="00C23DA0"/>
    <w:rsid w:val="00C25771"/>
    <w:rsid w:val="00C25773"/>
    <w:rsid w:val="00C2579C"/>
    <w:rsid w:val="00C25A67"/>
    <w:rsid w:val="00C25E05"/>
    <w:rsid w:val="00C27AD2"/>
    <w:rsid w:val="00C2BEC0"/>
    <w:rsid w:val="00C300A1"/>
    <w:rsid w:val="00C311B8"/>
    <w:rsid w:val="00C313C5"/>
    <w:rsid w:val="00C319A7"/>
    <w:rsid w:val="00C31B88"/>
    <w:rsid w:val="00C32450"/>
    <w:rsid w:val="00C328E1"/>
    <w:rsid w:val="00C32F84"/>
    <w:rsid w:val="00C3456C"/>
    <w:rsid w:val="00C36FDC"/>
    <w:rsid w:val="00C374C3"/>
    <w:rsid w:val="00C377E5"/>
    <w:rsid w:val="00C3782A"/>
    <w:rsid w:val="00C37F09"/>
    <w:rsid w:val="00C3D0CC"/>
    <w:rsid w:val="00C40123"/>
    <w:rsid w:val="00C40958"/>
    <w:rsid w:val="00C410E9"/>
    <w:rsid w:val="00C4132B"/>
    <w:rsid w:val="00C4268F"/>
    <w:rsid w:val="00C42CEA"/>
    <w:rsid w:val="00C438A2"/>
    <w:rsid w:val="00C439B1"/>
    <w:rsid w:val="00C442F4"/>
    <w:rsid w:val="00C4457F"/>
    <w:rsid w:val="00C45CA7"/>
    <w:rsid w:val="00C462C9"/>
    <w:rsid w:val="00C4685B"/>
    <w:rsid w:val="00C505F6"/>
    <w:rsid w:val="00C508A0"/>
    <w:rsid w:val="00C50E86"/>
    <w:rsid w:val="00C5170B"/>
    <w:rsid w:val="00C5188D"/>
    <w:rsid w:val="00C51AB6"/>
    <w:rsid w:val="00C5201D"/>
    <w:rsid w:val="00C522D6"/>
    <w:rsid w:val="00C52EEC"/>
    <w:rsid w:val="00C53D4C"/>
    <w:rsid w:val="00C5406E"/>
    <w:rsid w:val="00C54514"/>
    <w:rsid w:val="00C560FE"/>
    <w:rsid w:val="00C56B1D"/>
    <w:rsid w:val="00C5741F"/>
    <w:rsid w:val="00C60009"/>
    <w:rsid w:val="00C60DA0"/>
    <w:rsid w:val="00C61965"/>
    <w:rsid w:val="00C61A5F"/>
    <w:rsid w:val="00C625DF"/>
    <w:rsid w:val="00C62C4D"/>
    <w:rsid w:val="00C62EB1"/>
    <w:rsid w:val="00C63818"/>
    <w:rsid w:val="00C63DFB"/>
    <w:rsid w:val="00C64B68"/>
    <w:rsid w:val="00C64E51"/>
    <w:rsid w:val="00C65E3C"/>
    <w:rsid w:val="00C6626C"/>
    <w:rsid w:val="00C6723A"/>
    <w:rsid w:val="00C708F3"/>
    <w:rsid w:val="00C70985"/>
    <w:rsid w:val="00C70FF8"/>
    <w:rsid w:val="00C71353"/>
    <w:rsid w:val="00C71539"/>
    <w:rsid w:val="00C71A67"/>
    <w:rsid w:val="00C72B9E"/>
    <w:rsid w:val="00C72C6B"/>
    <w:rsid w:val="00C74A68"/>
    <w:rsid w:val="00C7575C"/>
    <w:rsid w:val="00C76C65"/>
    <w:rsid w:val="00C7716B"/>
    <w:rsid w:val="00C80544"/>
    <w:rsid w:val="00C80669"/>
    <w:rsid w:val="00C80F5A"/>
    <w:rsid w:val="00C81BC0"/>
    <w:rsid w:val="00C81F6C"/>
    <w:rsid w:val="00C83A9E"/>
    <w:rsid w:val="00C83DD1"/>
    <w:rsid w:val="00C83F3D"/>
    <w:rsid w:val="00C845CA"/>
    <w:rsid w:val="00C85391"/>
    <w:rsid w:val="00C85C45"/>
    <w:rsid w:val="00C86317"/>
    <w:rsid w:val="00C86CBD"/>
    <w:rsid w:val="00C87977"/>
    <w:rsid w:val="00C87AB3"/>
    <w:rsid w:val="00C87FA1"/>
    <w:rsid w:val="00C904AB"/>
    <w:rsid w:val="00C90E91"/>
    <w:rsid w:val="00C91F6A"/>
    <w:rsid w:val="00C924A9"/>
    <w:rsid w:val="00C927C7"/>
    <w:rsid w:val="00C928CB"/>
    <w:rsid w:val="00C93A25"/>
    <w:rsid w:val="00C9506A"/>
    <w:rsid w:val="00C950FD"/>
    <w:rsid w:val="00C95F29"/>
    <w:rsid w:val="00C96BB5"/>
    <w:rsid w:val="00C9FF86"/>
    <w:rsid w:val="00CA0AFD"/>
    <w:rsid w:val="00CA1148"/>
    <w:rsid w:val="00CA1944"/>
    <w:rsid w:val="00CA292E"/>
    <w:rsid w:val="00CA337D"/>
    <w:rsid w:val="00CA391A"/>
    <w:rsid w:val="00CA3C09"/>
    <w:rsid w:val="00CA4324"/>
    <w:rsid w:val="00CA4B3B"/>
    <w:rsid w:val="00CA6092"/>
    <w:rsid w:val="00CA6B91"/>
    <w:rsid w:val="00CA6E0E"/>
    <w:rsid w:val="00CA6EBD"/>
    <w:rsid w:val="00CA7328"/>
    <w:rsid w:val="00CB0C67"/>
    <w:rsid w:val="00CB130D"/>
    <w:rsid w:val="00CB1AA8"/>
    <w:rsid w:val="00CB1FC0"/>
    <w:rsid w:val="00CB2753"/>
    <w:rsid w:val="00CB2B84"/>
    <w:rsid w:val="00CB38D2"/>
    <w:rsid w:val="00CB38EE"/>
    <w:rsid w:val="00CB5F66"/>
    <w:rsid w:val="00CB6FCA"/>
    <w:rsid w:val="00CB7010"/>
    <w:rsid w:val="00CC0870"/>
    <w:rsid w:val="00CC0D1E"/>
    <w:rsid w:val="00CC128B"/>
    <w:rsid w:val="00CC26C4"/>
    <w:rsid w:val="00CC2A4D"/>
    <w:rsid w:val="00CC2EF9"/>
    <w:rsid w:val="00CC5017"/>
    <w:rsid w:val="00CC57C5"/>
    <w:rsid w:val="00CC6CC7"/>
    <w:rsid w:val="00CC7E39"/>
    <w:rsid w:val="00CD1FBF"/>
    <w:rsid w:val="00CD248D"/>
    <w:rsid w:val="00CD33A5"/>
    <w:rsid w:val="00CD34F5"/>
    <w:rsid w:val="00CD36BD"/>
    <w:rsid w:val="00CD3871"/>
    <w:rsid w:val="00CD3DCE"/>
    <w:rsid w:val="00CD42B7"/>
    <w:rsid w:val="00CD46F2"/>
    <w:rsid w:val="00CD55F0"/>
    <w:rsid w:val="00CD73AA"/>
    <w:rsid w:val="00CD7F36"/>
    <w:rsid w:val="00CE0827"/>
    <w:rsid w:val="00CE098F"/>
    <w:rsid w:val="00CE0D3F"/>
    <w:rsid w:val="00CE10A0"/>
    <w:rsid w:val="00CE15AD"/>
    <w:rsid w:val="00CE1839"/>
    <w:rsid w:val="00CE1FE9"/>
    <w:rsid w:val="00CE222C"/>
    <w:rsid w:val="00CE25FA"/>
    <w:rsid w:val="00CE28B7"/>
    <w:rsid w:val="00CE29CC"/>
    <w:rsid w:val="00CE4C0A"/>
    <w:rsid w:val="00CE4F83"/>
    <w:rsid w:val="00CE5A1D"/>
    <w:rsid w:val="00CE5D65"/>
    <w:rsid w:val="00CE5DB6"/>
    <w:rsid w:val="00CE64CA"/>
    <w:rsid w:val="00CE7714"/>
    <w:rsid w:val="00CE790E"/>
    <w:rsid w:val="00CF0A9A"/>
    <w:rsid w:val="00CF2462"/>
    <w:rsid w:val="00CF2DA5"/>
    <w:rsid w:val="00CF3D24"/>
    <w:rsid w:val="00CF40F0"/>
    <w:rsid w:val="00CF45BA"/>
    <w:rsid w:val="00CF4DC9"/>
    <w:rsid w:val="00CF5C91"/>
    <w:rsid w:val="00CF6115"/>
    <w:rsid w:val="00CF652B"/>
    <w:rsid w:val="00CF7642"/>
    <w:rsid w:val="00CF7A0B"/>
    <w:rsid w:val="00CF7D3D"/>
    <w:rsid w:val="00CF7F51"/>
    <w:rsid w:val="00CFB787"/>
    <w:rsid w:val="00CFC52D"/>
    <w:rsid w:val="00D00B82"/>
    <w:rsid w:val="00D00DC5"/>
    <w:rsid w:val="00D01AC1"/>
    <w:rsid w:val="00D02152"/>
    <w:rsid w:val="00D0244D"/>
    <w:rsid w:val="00D02831"/>
    <w:rsid w:val="00D035ED"/>
    <w:rsid w:val="00D04F64"/>
    <w:rsid w:val="00D06066"/>
    <w:rsid w:val="00D0679D"/>
    <w:rsid w:val="00D10183"/>
    <w:rsid w:val="00D10309"/>
    <w:rsid w:val="00D10671"/>
    <w:rsid w:val="00D11687"/>
    <w:rsid w:val="00D11FB0"/>
    <w:rsid w:val="00D12843"/>
    <w:rsid w:val="00D1344D"/>
    <w:rsid w:val="00D13524"/>
    <w:rsid w:val="00D13683"/>
    <w:rsid w:val="00D13B08"/>
    <w:rsid w:val="00D14376"/>
    <w:rsid w:val="00D15383"/>
    <w:rsid w:val="00D162E4"/>
    <w:rsid w:val="00D165F9"/>
    <w:rsid w:val="00D1745B"/>
    <w:rsid w:val="00D177A4"/>
    <w:rsid w:val="00D18DA4"/>
    <w:rsid w:val="00D2091A"/>
    <w:rsid w:val="00D21D32"/>
    <w:rsid w:val="00D22171"/>
    <w:rsid w:val="00D22247"/>
    <w:rsid w:val="00D229CA"/>
    <w:rsid w:val="00D231C8"/>
    <w:rsid w:val="00D2397B"/>
    <w:rsid w:val="00D23FE4"/>
    <w:rsid w:val="00D24603"/>
    <w:rsid w:val="00D24919"/>
    <w:rsid w:val="00D24AFA"/>
    <w:rsid w:val="00D24CB2"/>
    <w:rsid w:val="00D26A10"/>
    <w:rsid w:val="00D27EFC"/>
    <w:rsid w:val="00D2F42C"/>
    <w:rsid w:val="00D308C4"/>
    <w:rsid w:val="00D30C9A"/>
    <w:rsid w:val="00D31364"/>
    <w:rsid w:val="00D31D61"/>
    <w:rsid w:val="00D32258"/>
    <w:rsid w:val="00D3251D"/>
    <w:rsid w:val="00D325EE"/>
    <w:rsid w:val="00D32723"/>
    <w:rsid w:val="00D327AF"/>
    <w:rsid w:val="00D32CB0"/>
    <w:rsid w:val="00D34783"/>
    <w:rsid w:val="00D35C92"/>
    <w:rsid w:val="00D35CC8"/>
    <w:rsid w:val="00D3644C"/>
    <w:rsid w:val="00D364D1"/>
    <w:rsid w:val="00D36A76"/>
    <w:rsid w:val="00D40151"/>
    <w:rsid w:val="00D409CC"/>
    <w:rsid w:val="00D41225"/>
    <w:rsid w:val="00D415D8"/>
    <w:rsid w:val="00D424BF"/>
    <w:rsid w:val="00D4254D"/>
    <w:rsid w:val="00D426BB"/>
    <w:rsid w:val="00D42840"/>
    <w:rsid w:val="00D42F94"/>
    <w:rsid w:val="00D430B9"/>
    <w:rsid w:val="00D4319A"/>
    <w:rsid w:val="00D4329E"/>
    <w:rsid w:val="00D43CB3"/>
    <w:rsid w:val="00D4400C"/>
    <w:rsid w:val="00D44577"/>
    <w:rsid w:val="00D44666"/>
    <w:rsid w:val="00D44DF8"/>
    <w:rsid w:val="00D45223"/>
    <w:rsid w:val="00D45304"/>
    <w:rsid w:val="00D4582C"/>
    <w:rsid w:val="00D45BED"/>
    <w:rsid w:val="00D45C06"/>
    <w:rsid w:val="00D45D4B"/>
    <w:rsid w:val="00D47A1D"/>
    <w:rsid w:val="00D47C90"/>
    <w:rsid w:val="00D507FD"/>
    <w:rsid w:val="00D50AC7"/>
    <w:rsid w:val="00D50CBD"/>
    <w:rsid w:val="00D51B6A"/>
    <w:rsid w:val="00D52190"/>
    <w:rsid w:val="00D524A8"/>
    <w:rsid w:val="00D5286E"/>
    <w:rsid w:val="00D528CA"/>
    <w:rsid w:val="00D5377E"/>
    <w:rsid w:val="00D53B95"/>
    <w:rsid w:val="00D5420B"/>
    <w:rsid w:val="00D55089"/>
    <w:rsid w:val="00D5530C"/>
    <w:rsid w:val="00D5544B"/>
    <w:rsid w:val="00D558CC"/>
    <w:rsid w:val="00D55AFE"/>
    <w:rsid w:val="00D55EED"/>
    <w:rsid w:val="00D5663E"/>
    <w:rsid w:val="00D57286"/>
    <w:rsid w:val="00D57E0A"/>
    <w:rsid w:val="00D57E3B"/>
    <w:rsid w:val="00D60FDF"/>
    <w:rsid w:val="00D61125"/>
    <w:rsid w:val="00D61A66"/>
    <w:rsid w:val="00D62213"/>
    <w:rsid w:val="00D63E89"/>
    <w:rsid w:val="00D64782"/>
    <w:rsid w:val="00D65C95"/>
    <w:rsid w:val="00D65CEB"/>
    <w:rsid w:val="00D662AE"/>
    <w:rsid w:val="00D66398"/>
    <w:rsid w:val="00D664B6"/>
    <w:rsid w:val="00D666BC"/>
    <w:rsid w:val="00D70E05"/>
    <w:rsid w:val="00D71DF3"/>
    <w:rsid w:val="00D71FC3"/>
    <w:rsid w:val="00D73AD0"/>
    <w:rsid w:val="00D73D9B"/>
    <w:rsid w:val="00D741CE"/>
    <w:rsid w:val="00D7456D"/>
    <w:rsid w:val="00D75290"/>
    <w:rsid w:val="00D76B30"/>
    <w:rsid w:val="00D7730B"/>
    <w:rsid w:val="00D7ADBC"/>
    <w:rsid w:val="00D8079C"/>
    <w:rsid w:val="00D807DB"/>
    <w:rsid w:val="00D809BF"/>
    <w:rsid w:val="00D80C20"/>
    <w:rsid w:val="00D82605"/>
    <w:rsid w:val="00D82B12"/>
    <w:rsid w:val="00D82E28"/>
    <w:rsid w:val="00D83472"/>
    <w:rsid w:val="00D859E1"/>
    <w:rsid w:val="00D85FBB"/>
    <w:rsid w:val="00D87785"/>
    <w:rsid w:val="00D908C7"/>
    <w:rsid w:val="00D9136C"/>
    <w:rsid w:val="00D92187"/>
    <w:rsid w:val="00D92DE8"/>
    <w:rsid w:val="00D93337"/>
    <w:rsid w:val="00D934CC"/>
    <w:rsid w:val="00D93F81"/>
    <w:rsid w:val="00D940E0"/>
    <w:rsid w:val="00D94317"/>
    <w:rsid w:val="00D96082"/>
    <w:rsid w:val="00D96F00"/>
    <w:rsid w:val="00DA0D9C"/>
    <w:rsid w:val="00DA209C"/>
    <w:rsid w:val="00DA2A71"/>
    <w:rsid w:val="00DA2B8D"/>
    <w:rsid w:val="00DA30E8"/>
    <w:rsid w:val="00DA3277"/>
    <w:rsid w:val="00DA3B97"/>
    <w:rsid w:val="00DA3EDD"/>
    <w:rsid w:val="00DA4380"/>
    <w:rsid w:val="00DA4548"/>
    <w:rsid w:val="00DA4A3C"/>
    <w:rsid w:val="00DA4BE8"/>
    <w:rsid w:val="00DA603D"/>
    <w:rsid w:val="00DA630C"/>
    <w:rsid w:val="00DA6A7D"/>
    <w:rsid w:val="00DAABEA"/>
    <w:rsid w:val="00DB0995"/>
    <w:rsid w:val="00DB0B56"/>
    <w:rsid w:val="00DB1950"/>
    <w:rsid w:val="00DB27B6"/>
    <w:rsid w:val="00DB2AAD"/>
    <w:rsid w:val="00DB413E"/>
    <w:rsid w:val="00DB45C6"/>
    <w:rsid w:val="00DB4FF1"/>
    <w:rsid w:val="00DB523D"/>
    <w:rsid w:val="00DB573D"/>
    <w:rsid w:val="00DB653F"/>
    <w:rsid w:val="00DB695F"/>
    <w:rsid w:val="00DB7B38"/>
    <w:rsid w:val="00DB7DBA"/>
    <w:rsid w:val="00DC0AE2"/>
    <w:rsid w:val="00DC0E9F"/>
    <w:rsid w:val="00DC21EF"/>
    <w:rsid w:val="00DC2893"/>
    <w:rsid w:val="00DC2E3A"/>
    <w:rsid w:val="00DC3820"/>
    <w:rsid w:val="00DC400A"/>
    <w:rsid w:val="00DC4D52"/>
    <w:rsid w:val="00DC5079"/>
    <w:rsid w:val="00DC59FC"/>
    <w:rsid w:val="00DC60DD"/>
    <w:rsid w:val="00DC6B8C"/>
    <w:rsid w:val="00DC75EC"/>
    <w:rsid w:val="00DC7698"/>
    <w:rsid w:val="00DD059D"/>
    <w:rsid w:val="00DD0DE7"/>
    <w:rsid w:val="00DD1AA1"/>
    <w:rsid w:val="00DD1DD9"/>
    <w:rsid w:val="00DD2673"/>
    <w:rsid w:val="00DD28EB"/>
    <w:rsid w:val="00DD3086"/>
    <w:rsid w:val="00DD35E8"/>
    <w:rsid w:val="00DD477E"/>
    <w:rsid w:val="00DD588B"/>
    <w:rsid w:val="00DD5D76"/>
    <w:rsid w:val="00DD5F95"/>
    <w:rsid w:val="00DD61E6"/>
    <w:rsid w:val="00DD66F9"/>
    <w:rsid w:val="00DD6DCC"/>
    <w:rsid w:val="00DD6E8F"/>
    <w:rsid w:val="00DD7384"/>
    <w:rsid w:val="00DD7399"/>
    <w:rsid w:val="00DD7A1D"/>
    <w:rsid w:val="00DD95DE"/>
    <w:rsid w:val="00DE00D3"/>
    <w:rsid w:val="00DE00D8"/>
    <w:rsid w:val="00DE01E7"/>
    <w:rsid w:val="00DE02F4"/>
    <w:rsid w:val="00DE0898"/>
    <w:rsid w:val="00DE0AC0"/>
    <w:rsid w:val="00DE136E"/>
    <w:rsid w:val="00DE1B04"/>
    <w:rsid w:val="00DE1F4D"/>
    <w:rsid w:val="00DE242F"/>
    <w:rsid w:val="00DE2F98"/>
    <w:rsid w:val="00DE2F9F"/>
    <w:rsid w:val="00DE3F6A"/>
    <w:rsid w:val="00DE494D"/>
    <w:rsid w:val="00DE4ED5"/>
    <w:rsid w:val="00DE5E57"/>
    <w:rsid w:val="00DE63F1"/>
    <w:rsid w:val="00DE6CA7"/>
    <w:rsid w:val="00DE6FC2"/>
    <w:rsid w:val="00DE7B2F"/>
    <w:rsid w:val="00DE7B6B"/>
    <w:rsid w:val="00DE7B8E"/>
    <w:rsid w:val="00DEFC67"/>
    <w:rsid w:val="00DF00DF"/>
    <w:rsid w:val="00DF0BB6"/>
    <w:rsid w:val="00DF0D9D"/>
    <w:rsid w:val="00DF11DE"/>
    <w:rsid w:val="00DF11F0"/>
    <w:rsid w:val="00DF1426"/>
    <w:rsid w:val="00DF20D9"/>
    <w:rsid w:val="00DF26AB"/>
    <w:rsid w:val="00DF2A8F"/>
    <w:rsid w:val="00DF2B61"/>
    <w:rsid w:val="00DF4118"/>
    <w:rsid w:val="00DF46C5"/>
    <w:rsid w:val="00DF58F5"/>
    <w:rsid w:val="00DF5D94"/>
    <w:rsid w:val="00DF6050"/>
    <w:rsid w:val="00DF6DC8"/>
    <w:rsid w:val="00DF7AF7"/>
    <w:rsid w:val="00DF7ECD"/>
    <w:rsid w:val="00DF95A6"/>
    <w:rsid w:val="00E0098C"/>
    <w:rsid w:val="00E010A8"/>
    <w:rsid w:val="00E017F0"/>
    <w:rsid w:val="00E01CE2"/>
    <w:rsid w:val="00E022FD"/>
    <w:rsid w:val="00E02A99"/>
    <w:rsid w:val="00E02EE5"/>
    <w:rsid w:val="00E02F6E"/>
    <w:rsid w:val="00E03BDA"/>
    <w:rsid w:val="00E03F28"/>
    <w:rsid w:val="00E051CA"/>
    <w:rsid w:val="00E052A6"/>
    <w:rsid w:val="00E054F5"/>
    <w:rsid w:val="00E05BC8"/>
    <w:rsid w:val="00E065CF"/>
    <w:rsid w:val="00E06B20"/>
    <w:rsid w:val="00E07C8F"/>
    <w:rsid w:val="00E10C68"/>
    <w:rsid w:val="00E11110"/>
    <w:rsid w:val="00E11414"/>
    <w:rsid w:val="00E12587"/>
    <w:rsid w:val="00E12B94"/>
    <w:rsid w:val="00E137FD"/>
    <w:rsid w:val="00E14679"/>
    <w:rsid w:val="00E160E1"/>
    <w:rsid w:val="00E164A5"/>
    <w:rsid w:val="00E1677E"/>
    <w:rsid w:val="00E1717C"/>
    <w:rsid w:val="00E17FD3"/>
    <w:rsid w:val="00E20EBF"/>
    <w:rsid w:val="00E21F96"/>
    <w:rsid w:val="00E227E3"/>
    <w:rsid w:val="00E22C6A"/>
    <w:rsid w:val="00E2355A"/>
    <w:rsid w:val="00E241D0"/>
    <w:rsid w:val="00E24683"/>
    <w:rsid w:val="00E24A35"/>
    <w:rsid w:val="00E24B7F"/>
    <w:rsid w:val="00E2534A"/>
    <w:rsid w:val="00E2678A"/>
    <w:rsid w:val="00E26B98"/>
    <w:rsid w:val="00E26C9F"/>
    <w:rsid w:val="00E278A9"/>
    <w:rsid w:val="00E2791A"/>
    <w:rsid w:val="00E27F31"/>
    <w:rsid w:val="00E305AA"/>
    <w:rsid w:val="00E309A5"/>
    <w:rsid w:val="00E30FBE"/>
    <w:rsid w:val="00E317CC"/>
    <w:rsid w:val="00E31C7C"/>
    <w:rsid w:val="00E31E07"/>
    <w:rsid w:val="00E3225F"/>
    <w:rsid w:val="00E324C1"/>
    <w:rsid w:val="00E329EF"/>
    <w:rsid w:val="00E33783"/>
    <w:rsid w:val="00E338A3"/>
    <w:rsid w:val="00E33995"/>
    <w:rsid w:val="00E33AA0"/>
    <w:rsid w:val="00E3420A"/>
    <w:rsid w:val="00E343FA"/>
    <w:rsid w:val="00E344D2"/>
    <w:rsid w:val="00E34E00"/>
    <w:rsid w:val="00E35BF3"/>
    <w:rsid w:val="00E35D6B"/>
    <w:rsid w:val="00E3617F"/>
    <w:rsid w:val="00E3663C"/>
    <w:rsid w:val="00E372B9"/>
    <w:rsid w:val="00E3744D"/>
    <w:rsid w:val="00E374E0"/>
    <w:rsid w:val="00E4019E"/>
    <w:rsid w:val="00E40527"/>
    <w:rsid w:val="00E40D39"/>
    <w:rsid w:val="00E4118E"/>
    <w:rsid w:val="00E415B5"/>
    <w:rsid w:val="00E424F9"/>
    <w:rsid w:val="00E43553"/>
    <w:rsid w:val="00E4358E"/>
    <w:rsid w:val="00E4466F"/>
    <w:rsid w:val="00E46B7D"/>
    <w:rsid w:val="00E471AE"/>
    <w:rsid w:val="00E47A84"/>
    <w:rsid w:val="00E5052D"/>
    <w:rsid w:val="00E50BF6"/>
    <w:rsid w:val="00E51243"/>
    <w:rsid w:val="00E51D2D"/>
    <w:rsid w:val="00E5225C"/>
    <w:rsid w:val="00E52AD1"/>
    <w:rsid w:val="00E52F33"/>
    <w:rsid w:val="00E5310C"/>
    <w:rsid w:val="00E5350F"/>
    <w:rsid w:val="00E539E7"/>
    <w:rsid w:val="00E54708"/>
    <w:rsid w:val="00E54F59"/>
    <w:rsid w:val="00E54F80"/>
    <w:rsid w:val="00E552BA"/>
    <w:rsid w:val="00E5597D"/>
    <w:rsid w:val="00E55DF8"/>
    <w:rsid w:val="00E55EBA"/>
    <w:rsid w:val="00E5630D"/>
    <w:rsid w:val="00E5656E"/>
    <w:rsid w:val="00E56773"/>
    <w:rsid w:val="00E56782"/>
    <w:rsid w:val="00E574BF"/>
    <w:rsid w:val="00E57C51"/>
    <w:rsid w:val="00E5F738"/>
    <w:rsid w:val="00E603A6"/>
    <w:rsid w:val="00E61E67"/>
    <w:rsid w:val="00E62E2A"/>
    <w:rsid w:val="00E62F6B"/>
    <w:rsid w:val="00E630C0"/>
    <w:rsid w:val="00E63894"/>
    <w:rsid w:val="00E63A48"/>
    <w:rsid w:val="00E64112"/>
    <w:rsid w:val="00E643B6"/>
    <w:rsid w:val="00E6463F"/>
    <w:rsid w:val="00E6475D"/>
    <w:rsid w:val="00E64AE2"/>
    <w:rsid w:val="00E65792"/>
    <w:rsid w:val="00E6592F"/>
    <w:rsid w:val="00E66DD1"/>
    <w:rsid w:val="00E67858"/>
    <w:rsid w:val="00E700A1"/>
    <w:rsid w:val="00E7067B"/>
    <w:rsid w:val="00E70B2D"/>
    <w:rsid w:val="00E70F27"/>
    <w:rsid w:val="00E71231"/>
    <w:rsid w:val="00E716EE"/>
    <w:rsid w:val="00E71D81"/>
    <w:rsid w:val="00E727B8"/>
    <w:rsid w:val="00E75AE2"/>
    <w:rsid w:val="00E75CA5"/>
    <w:rsid w:val="00E770DC"/>
    <w:rsid w:val="00E774EE"/>
    <w:rsid w:val="00E7B01D"/>
    <w:rsid w:val="00E808C8"/>
    <w:rsid w:val="00E80BB3"/>
    <w:rsid w:val="00E813D8"/>
    <w:rsid w:val="00E8255F"/>
    <w:rsid w:val="00E82FCA"/>
    <w:rsid w:val="00E83171"/>
    <w:rsid w:val="00E83F88"/>
    <w:rsid w:val="00E845AC"/>
    <w:rsid w:val="00E86691"/>
    <w:rsid w:val="00E86B49"/>
    <w:rsid w:val="00E86BF2"/>
    <w:rsid w:val="00E86DFE"/>
    <w:rsid w:val="00E874C3"/>
    <w:rsid w:val="00E90BB2"/>
    <w:rsid w:val="00E9100C"/>
    <w:rsid w:val="00E91208"/>
    <w:rsid w:val="00E91B3C"/>
    <w:rsid w:val="00E91FE9"/>
    <w:rsid w:val="00E92533"/>
    <w:rsid w:val="00E930E0"/>
    <w:rsid w:val="00E9362F"/>
    <w:rsid w:val="00E93878"/>
    <w:rsid w:val="00E94110"/>
    <w:rsid w:val="00E94233"/>
    <w:rsid w:val="00E94250"/>
    <w:rsid w:val="00E9529E"/>
    <w:rsid w:val="00E96442"/>
    <w:rsid w:val="00E964C4"/>
    <w:rsid w:val="00E9684D"/>
    <w:rsid w:val="00E976C7"/>
    <w:rsid w:val="00EA0D6E"/>
    <w:rsid w:val="00EA1304"/>
    <w:rsid w:val="00EA20A3"/>
    <w:rsid w:val="00EA38C8"/>
    <w:rsid w:val="00EA3B6C"/>
    <w:rsid w:val="00EA3B94"/>
    <w:rsid w:val="00EA3D1A"/>
    <w:rsid w:val="00EA3DBC"/>
    <w:rsid w:val="00EA422F"/>
    <w:rsid w:val="00EA4867"/>
    <w:rsid w:val="00EA49CA"/>
    <w:rsid w:val="00EA4AA0"/>
    <w:rsid w:val="00EA5460"/>
    <w:rsid w:val="00EA57DB"/>
    <w:rsid w:val="00EA77AD"/>
    <w:rsid w:val="00EA8323"/>
    <w:rsid w:val="00EAD1E9"/>
    <w:rsid w:val="00EB1299"/>
    <w:rsid w:val="00EB1997"/>
    <w:rsid w:val="00EB23BB"/>
    <w:rsid w:val="00EB2485"/>
    <w:rsid w:val="00EB2843"/>
    <w:rsid w:val="00EB3176"/>
    <w:rsid w:val="00EB347B"/>
    <w:rsid w:val="00EB3BFD"/>
    <w:rsid w:val="00EB3F33"/>
    <w:rsid w:val="00EB4A7B"/>
    <w:rsid w:val="00EB50E4"/>
    <w:rsid w:val="00EB5BD8"/>
    <w:rsid w:val="00EB5D47"/>
    <w:rsid w:val="00EB6672"/>
    <w:rsid w:val="00EB6952"/>
    <w:rsid w:val="00EB6FD6"/>
    <w:rsid w:val="00EB71A9"/>
    <w:rsid w:val="00EB721E"/>
    <w:rsid w:val="00EBF376"/>
    <w:rsid w:val="00EC0A46"/>
    <w:rsid w:val="00EC0DC5"/>
    <w:rsid w:val="00EC0DE7"/>
    <w:rsid w:val="00EC1790"/>
    <w:rsid w:val="00EC1EA8"/>
    <w:rsid w:val="00EC35B4"/>
    <w:rsid w:val="00EC3D5E"/>
    <w:rsid w:val="00EC430E"/>
    <w:rsid w:val="00EC4536"/>
    <w:rsid w:val="00EC4860"/>
    <w:rsid w:val="00EC4C42"/>
    <w:rsid w:val="00EC4DC6"/>
    <w:rsid w:val="00EC5244"/>
    <w:rsid w:val="00EC5358"/>
    <w:rsid w:val="00EC5CAC"/>
    <w:rsid w:val="00EC653A"/>
    <w:rsid w:val="00EC69B5"/>
    <w:rsid w:val="00EC7113"/>
    <w:rsid w:val="00EC7909"/>
    <w:rsid w:val="00EC7A09"/>
    <w:rsid w:val="00ECFF93"/>
    <w:rsid w:val="00ED01C4"/>
    <w:rsid w:val="00ED03EB"/>
    <w:rsid w:val="00ED05B3"/>
    <w:rsid w:val="00ED0B56"/>
    <w:rsid w:val="00ED0C42"/>
    <w:rsid w:val="00ED1229"/>
    <w:rsid w:val="00ED2130"/>
    <w:rsid w:val="00ED2363"/>
    <w:rsid w:val="00ED27E6"/>
    <w:rsid w:val="00ED3B40"/>
    <w:rsid w:val="00ED5D7C"/>
    <w:rsid w:val="00ED6236"/>
    <w:rsid w:val="00ED6561"/>
    <w:rsid w:val="00ED691D"/>
    <w:rsid w:val="00ED6ACD"/>
    <w:rsid w:val="00EDB706"/>
    <w:rsid w:val="00EE17A2"/>
    <w:rsid w:val="00EE1EB3"/>
    <w:rsid w:val="00EE2CE7"/>
    <w:rsid w:val="00EE316D"/>
    <w:rsid w:val="00EE3429"/>
    <w:rsid w:val="00EE3726"/>
    <w:rsid w:val="00EE3AA6"/>
    <w:rsid w:val="00EE3C96"/>
    <w:rsid w:val="00EE4097"/>
    <w:rsid w:val="00EE4F8E"/>
    <w:rsid w:val="00EE5536"/>
    <w:rsid w:val="00EE5F2A"/>
    <w:rsid w:val="00EE6011"/>
    <w:rsid w:val="00EE6081"/>
    <w:rsid w:val="00EE638C"/>
    <w:rsid w:val="00EE686B"/>
    <w:rsid w:val="00EE69A5"/>
    <w:rsid w:val="00EE7A22"/>
    <w:rsid w:val="00EF051B"/>
    <w:rsid w:val="00EF093C"/>
    <w:rsid w:val="00EF1587"/>
    <w:rsid w:val="00EF15D7"/>
    <w:rsid w:val="00EF1F18"/>
    <w:rsid w:val="00EF21D4"/>
    <w:rsid w:val="00EF2339"/>
    <w:rsid w:val="00EF27F5"/>
    <w:rsid w:val="00EF2859"/>
    <w:rsid w:val="00EF29A5"/>
    <w:rsid w:val="00EF415B"/>
    <w:rsid w:val="00EF5FE7"/>
    <w:rsid w:val="00EF6251"/>
    <w:rsid w:val="00EF7E15"/>
    <w:rsid w:val="00EF7E73"/>
    <w:rsid w:val="00F00703"/>
    <w:rsid w:val="00F00F96"/>
    <w:rsid w:val="00F012AD"/>
    <w:rsid w:val="00F01567"/>
    <w:rsid w:val="00F0195F"/>
    <w:rsid w:val="00F01EF1"/>
    <w:rsid w:val="00F02D59"/>
    <w:rsid w:val="00F03582"/>
    <w:rsid w:val="00F0382C"/>
    <w:rsid w:val="00F0401E"/>
    <w:rsid w:val="00F05264"/>
    <w:rsid w:val="00F052F9"/>
    <w:rsid w:val="00F05EDD"/>
    <w:rsid w:val="00F06261"/>
    <w:rsid w:val="00F07636"/>
    <w:rsid w:val="00F07765"/>
    <w:rsid w:val="00F07EBF"/>
    <w:rsid w:val="00F111F3"/>
    <w:rsid w:val="00F1138F"/>
    <w:rsid w:val="00F116F5"/>
    <w:rsid w:val="00F124B6"/>
    <w:rsid w:val="00F1278E"/>
    <w:rsid w:val="00F13093"/>
    <w:rsid w:val="00F134FC"/>
    <w:rsid w:val="00F150A2"/>
    <w:rsid w:val="00F1543C"/>
    <w:rsid w:val="00F154ED"/>
    <w:rsid w:val="00F15918"/>
    <w:rsid w:val="00F16F14"/>
    <w:rsid w:val="00F20614"/>
    <w:rsid w:val="00F20D61"/>
    <w:rsid w:val="00F21423"/>
    <w:rsid w:val="00F2162A"/>
    <w:rsid w:val="00F21EBD"/>
    <w:rsid w:val="00F2247D"/>
    <w:rsid w:val="00F22FE7"/>
    <w:rsid w:val="00F234F9"/>
    <w:rsid w:val="00F24128"/>
    <w:rsid w:val="00F2414C"/>
    <w:rsid w:val="00F24B50"/>
    <w:rsid w:val="00F257B7"/>
    <w:rsid w:val="00F25BC2"/>
    <w:rsid w:val="00F26333"/>
    <w:rsid w:val="00F26641"/>
    <w:rsid w:val="00F26D21"/>
    <w:rsid w:val="00F27256"/>
    <w:rsid w:val="00F27B20"/>
    <w:rsid w:val="00F2951B"/>
    <w:rsid w:val="00F2A31D"/>
    <w:rsid w:val="00F30386"/>
    <w:rsid w:val="00F31286"/>
    <w:rsid w:val="00F31CA4"/>
    <w:rsid w:val="00F32062"/>
    <w:rsid w:val="00F32302"/>
    <w:rsid w:val="00F324A0"/>
    <w:rsid w:val="00F333DB"/>
    <w:rsid w:val="00F342E8"/>
    <w:rsid w:val="00F34307"/>
    <w:rsid w:val="00F34BCB"/>
    <w:rsid w:val="00F3710A"/>
    <w:rsid w:val="00F3755E"/>
    <w:rsid w:val="00F37FBE"/>
    <w:rsid w:val="00F40598"/>
    <w:rsid w:val="00F40F71"/>
    <w:rsid w:val="00F4144A"/>
    <w:rsid w:val="00F4178B"/>
    <w:rsid w:val="00F41A20"/>
    <w:rsid w:val="00F41F53"/>
    <w:rsid w:val="00F42AA6"/>
    <w:rsid w:val="00F43580"/>
    <w:rsid w:val="00F43837"/>
    <w:rsid w:val="00F44447"/>
    <w:rsid w:val="00F44480"/>
    <w:rsid w:val="00F44744"/>
    <w:rsid w:val="00F44D61"/>
    <w:rsid w:val="00F457EC"/>
    <w:rsid w:val="00F45DB2"/>
    <w:rsid w:val="00F46225"/>
    <w:rsid w:val="00F462F7"/>
    <w:rsid w:val="00F4732E"/>
    <w:rsid w:val="00F50086"/>
    <w:rsid w:val="00F50A14"/>
    <w:rsid w:val="00F52B5F"/>
    <w:rsid w:val="00F52BBF"/>
    <w:rsid w:val="00F52CCC"/>
    <w:rsid w:val="00F5338B"/>
    <w:rsid w:val="00F53FA7"/>
    <w:rsid w:val="00F5428F"/>
    <w:rsid w:val="00F57D83"/>
    <w:rsid w:val="00F58765"/>
    <w:rsid w:val="00F60098"/>
    <w:rsid w:val="00F6021B"/>
    <w:rsid w:val="00F6026C"/>
    <w:rsid w:val="00F6043E"/>
    <w:rsid w:val="00F60E83"/>
    <w:rsid w:val="00F61369"/>
    <w:rsid w:val="00F614B2"/>
    <w:rsid w:val="00F61AF5"/>
    <w:rsid w:val="00F61D80"/>
    <w:rsid w:val="00F63510"/>
    <w:rsid w:val="00F63C27"/>
    <w:rsid w:val="00F63EFA"/>
    <w:rsid w:val="00F6491A"/>
    <w:rsid w:val="00F64F81"/>
    <w:rsid w:val="00F65A17"/>
    <w:rsid w:val="00F66517"/>
    <w:rsid w:val="00F66F41"/>
    <w:rsid w:val="00F67CE3"/>
    <w:rsid w:val="00F706B2"/>
    <w:rsid w:val="00F712F2"/>
    <w:rsid w:val="00F723C9"/>
    <w:rsid w:val="00F72B89"/>
    <w:rsid w:val="00F72CA9"/>
    <w:rsid w:val="00F73872"/>
    <w:rsid w:val="00F73AA1"/>
    <w:rsid w:val="00F753E4"/>
    <w:rsid w:val="00F75B6F"/>
    <w:rsid w:val="00F75F4A"/>
    <w:rsid w:val="00F768FB"/>
    <w:rsid w:val="00F76C57"/>
    <w:rsid w:val="00F77228"/>
    <w:rsid w:val="00F774DD"/>
    <w:rsid w:val="00F801B1"/>
    <w:rsid w:val="00F80995"/>
    <w:rsid w:val="00F819F2"/>
    <w:rsid w:val="00F81DB5"/>
    <w:rsid w:val="00F82E0E"/>
    <w:rsid w:val="00F82F4D"/>
    <w:rsid w:val="00F83429"/>
    <w:rsid w:val="00F837E1"/>
    <w:rsid w:val="00F8487C"/>
    <w:rsid w:val="00F84B11"/>
    <w:rsid w:val="00F86763"/>
    <w:rsid w:val="00F8686B"/>
    <w:rsid w:val="00F87E45"/>
    <w:rsid w:val="00F905C1"/>
    <w:rsid w:val="00F90695"/>
    <w:rsid w:val="00F90E93"/>
    <w:rsid w:val="00F90FBC"/>
    <w:rsid w:val="00F91CA3"/>
    <w:rsid w:val="00F92519"/>
    <w:rsid w:val="00F9275D"/>
    <w:rsid w:val="00F93C51"/>
    <w:rsid w:val="00F9441F"/>
    <w:rsid w:val="00F94485"/>
    <w:rsid w:val="00F94CD4"/>
    <w:rsid w:val="00F94CE4"/>
    <w:rsid w:val="00F95135"/>
    <w:rsid w:val="00F952DF"/>
    <w:rsid w:val="00F9583A"/>
    <w:rsid w:val="00F95FB2"/>
    <w:rsid w:val="00F96331"/>
    <w:rsid w:val="00F96DFA"/>
    <w:rsid w:val="00FA0587"/>
    <w:rsid w:val="00FA09A6"/>
    <w:rsid w:val="00FA14A9"/>
    <w:rsid w:val="00FA17A3"/>
    <w:rsid w:val="00FA2503"/>
    <w:rsid w:val="00FA2DC1"/>
    <w:rsid w:val="00FA31A3"/>
    <w:rsid w:val="00FA39B3"/>
    <w:rsid w:val="00FA4142"/>
    <w:rsid w:val="00FA6493"/>
    <w:rsid w:val="00FA7B06"/>
    <w:rsid w:val="00FA7DF0"/>
    <w:rsid w:val="00FB09FC"/>
    <w:rsid w:val="00FB15BC"/>
    <w:rsid w:val="00FB1634"/>
    <w:rsid w:val="00FB1C05"/>
    <w:rsid w:val="00FB1D12"/>
    <w:rsid w:val="00FB1E46"/>
    <w:rsid w:val="00FB236E"/>
    <w:rsid w:val="00FB2406"/>
    <w:rsid w:val="00FB3388"/>
    <w:rsid w:val="00FB33F6"/>
    <w:rsid w:val="00FB474E"/>
    <w:rsid w:val="00FB47C6"/>
    <w:rsid w:val="00FB48DA"/>
    <w:rsid w:val="00FB4CF2"/>
    <w:rsid w:val="00FB65C4"/>
    <w:rsid w:val="00FC0890"/>
    <w:rsid w:val="00FC1ED8"/>
    <w:rsid w:val="00FC2332"/>
    <w:rsid w:val="00FC2339"/>
    <w:rsid w:val="00FC3FB7"/>
    <w:rsid w:val="00FC4088"/>
    <w:rsid w:val="00FC4BC8"/>
    <w:rsid w:val="00FC4C13"/>
    <w:rsid w:val="00FC4C29"/>
    <w:rsid w:val="00FC4D15"/>
    <w:rsid w:val="00FC5938"/>
    <w:rsid w:val="00FC5E60"/>
    <w:rsid w:val="00FC6635"/>
    <w:rsid w:val="00FC6A1A"/>
    <w:rsid w:val="00FC75AD"/>
    <w:rsid w:val="00FC7AB5"/>
    <w:rsid w:val="00FC7B1B"/>
    <w:rsid w:val="00FD0019"/>
    <w:rsid w:val="00FD0123"/>
    <w:rsid w:val="00FD0FDF"/>
    <w:rsid w:val="00FD0FED"/>
    <w:rsid w:val="00FD130D"/>
    <w:rsid w:val="00FD1BAA"/>
    <w:rsid w:val="00FD24AF"/>
    <w:rsid w:val="00FD27A2"/>
    <w:rsid w:val="00FD29E9"/>
    <w:rsid w:val="00FD2BFC"/>
    <w:rsid w:val="00FD2CC2"/>
    <w:rsid w:val="00FD32CF"/>
    <w:rsid w:val="00FD3943"/>
    <w:rsid w:val="00FD45D4"/>
    <w:rsid w:val="00FD57D5"/>
    <w:rsid w:val="00FD697D"/>
    <w:rsid w:val="00FD6E12"/>
    <w:rsid w:val="00FD702F"/>
    <w:rsid w:val="00FD7B22"/>
    <w:rsid w:val="00FE024F"/>
    <w:rsid w:val="00FE034A"/>
    <w:rsid w:val="00FE14FD"/>
    <w:rsid w:val="00FE188B"/>
    <w:rsid w:val="00FE1F54"/>
    <w:rsid w:val="00FE2940"/>
    <w:rsid w:val="00FE2A2D"/>
    <w:rsid w:val="00FE2C24"/>
    <w:rsid w:val="00FE34BA"/>
    <w:rsid w:val="00FE450D"/>
    <w:rsid w:val="00FE4D06"/>
    <w:rsid w:val="00FE5823"/>
    <w:rsid w:val="00FE5E33"/>
    <w:rsid w:val="00FE6052"/>
    <w:rsid w:val="00FE6C9E"/>
    <w:rsid w:val="00FE74D7"/>
    <w:rsid w:val="00FE7D81"/>
    <w:rsid w:val="00FE7E56"/>
    <w:rsid w:val="00FF0FA7"/>
    <w:rsid w:val="00FF1516"/>
    <w:rsid w:val="00FF1C74"/>
    <w:rsid w:val="00FF33C5"/>
    <w:rsid w:val="00FF3B8A"/>
    <w:rsid w:val="00FF43BE"/>
    <w:rsid w:val="00FF469E"/>
    <w:rsid w:val="00FF46B4"/>
    <w:rsid w:val="00FF4BE4"/>
    <w:rsid w:val="00FF9FD9"/>
    <w:rsid w:val="0101078E"/>
    <w:rsid w:val="010202D8"/>
    <w:rsid w:val="01064F02"/>
    <w:rsid w:val="010C069F"/>
    <w:rsid w:val="010C8130"/>
    <w:rsid w:val="010EE64D"/>
    <w:rsid w:val="01120406"/>
    <w:rsid w:val="01128CAB"/>
    <w:rsid w:val="011317FF"/>
    <w:rsid w:val="0116006D"/>
    <w:rsid w:val="01163D0B"/>
    <w:rsid w:val="011682F4"/>
    <w:rsid w:val="01188FD2"/>
    <w:rsid w:val="0118C300"/>
    <w:rsid w:val="011948D9"/>
    <w:rsid w:val="011BCA8B"/>
    <w:rsid w:val="011BE8A2"/>
    <w:rsid w:val="011C0E75"/>
    <w:rsid w:val="011C27D4"/>
    <w:rsid w:val="011E8F4F"/>
    <w:rsid w:val="011FBC08"/>
    <w:rsid w:val="01215749"/>
    <w:rsid w:val="0122F4B8"/>
    <w:rsid w:val="0123EE5C"/>
    <w:rsid w:val="012474BF"/>
    <w:rsid w:val="012789D0"/>
    <w:rsid w:val="0127ADE2"/>
    <w:rsid w:val="012CC387"/>
    <w:rsid w:val="012D05E2"/>
    <w:rsid w:val="012E108F"/>
    <w:rsid w:val="012F46AF"/>
    <w:rsid w:val="012F9E02"/>
    <w:rsid w:val="012FAA21"/>
    <w:rsid w:val="01307D9A"/>
    <w:rsid w:val="0132DF95"/>
    <w:rsid w:val="0133F7E5"/>
    <w:rsid w:val="0134F79E"/>
    <w:rsid w:val="0136D350"/>
    <w:rsid w:val="013939D3"/>
    <w:rsid w:val="013A3567"/>
    <w:rsid w:val="013C1F09"/>
    <w:rsid w:val="013D0F44"/>
    <w:rsid w:val="013DBE80"/>
    <w:rsid w:val="013FC5CD"/>
    <w:rsid w:val="014050FD"/>
    <w:rsid w:val="014E12AD"/>
    <w:rsid w:val="0155CB86"/>
    <w:rsid w:val="01589A77"/>
    <w:rsid w:val="01599944"/>
    <w:rsid w:val="015A2531"/>
    <w:rsid w:val="015C5937"/>
    <w:rsid w:val="015DA925"/>
    <w:rsid w:val="0160740F"/>
    <w:rsid w:val="016141E4"/>
    <w:rsid w:val="0162185A"/>
    <w:rsid w:val="0168A5C3"/>
    <w:rsid w:val="016A0093"/>
    <w:rsid w:val="016D02A5"/>
    <w:rsid w:val="016DD30B"/>
    <w:rsid w:val="016E3833"/>
    <w:rsid w:val="0172F53F"/>
    <w:rsid w:val="0173A3B1"/>
    <w:rsid w:val="0173DAD2"/>
    <w:rsid w:val="017876B8"/>
    <w:rsid w:val="0178ADBB"/>
    <w:rsid w:val="0179D2B8"/>
    <w:rsid w:val="01806684"/>
    <w:rsid w:val="01833751"/>
    <w:rsid w:val="0188E88D"/>
    <w:rsid w:val="018A6016"/>
    <w:rsid w:val="018A8C1A"/>
    <w:rsid w:val="018ED5FD"/>
    <w:rsid w:val="018FB667"/>
    <w:rsid w:val="0190FEC6"/>
    <w:rsid w:val="0191C950"/>
    <w:rsid w:val="0192E86D"/>
    <w:rsid w:val="01945F02"/>
    <w:rsid w:val="019597CB"/>
    <w:rsid w:val="01974CD0"/>
    <w:rsid w:val="0197F6FE"/>
    <w:rsid w:val="01984814"/>
    <w:rsid w:val="019BC2BC"/>
    <w:rsid w:val="019CD230"/>
    <w:rsid w:val="019E7A6A"/>
    <w:rsid w:val="019EDD03"/>
    <w:rsid w:val="01A1727C"/>
    <w:rsid w:val="01A24A59"/>
    <w:rsid w:val="01A32626"/>
    <w:rsid w:val="01A355CE"/>
    <w:rsid w:val="01A477A8"/>
    <w:rsid w:val="01A8E6CD"/>
    <w:rsid w:val="01A92499"/>
    <w:rsid w:val="01B4D877"/>
    <w:rsid w:val="01B4DC88"/>
    <w:rsid w:val="01B843BB"/>
    <w:rsid w:val="01BCDCA9"/>
    <w:rsid w:val="01BD6A6C"/>
    <w:rsid w:val="01C00092"/>
    <w:rsid w:val="01C0827A"/>
    <w:rsid w:val="01C78006"/>
    <w:rsid w:val="01C7E322"/>
    <w:rsid w:val="01C7F1B1"/>
    <w:rsid w:val="01C86673"/>
    <w:rsid w:val="01C95B23"/>
    <w:rsid w:val="01CBAC37"/>
    <w:rsid w:val="01CE48BD"/>
    <w:rsid w:val="01CEAF42"/>
    <w:rsid w:val="01CEB2AA"/>
    <w:rsid w:val="01D3E072"/>
    <w:rsid w:val="01D3E74C"/>
    <w:rsid w:val="01D8B1A1"/>
    <w:rsid w:val="01D8E18E"/>
    <w:rsid w:val="01D9A24F"/>
    <w:rsid w:val="01D9A71C"/>
    <w:rsid w:val="01DA94E3"/>
    <w:rsid w:val="01DB9822"/>
    <w:rsid w:val="01DF8FD5"/>
    <w:rsid w:val="01E02E99"/>
    <w:rsid w:val="01E6B836"/>
    <w:rsid w:val="01E6D046"/>
    <w:rsid w:val="01E962D6"/>
    <w:rsid w:val="01E9A5DF"/>
    <w:rsid w:val="01ECE095"/>
    <w:rsid w:val="01ECFC2C"/>
    <w:rsid w:val="01F23437"/>
    <w:rsid w:val="01F52E1D"/>
    <w:rsid w:val="01F669D9"/>
    <w:rsid w:val="01F86A00"/>
    <w:rsid w:val="01F88A72"/>
    <w:rsid w:val="01FCCB8A"/>
    <w:rsid w:val="01FE2DF4"/>
    <w:rsid w:val="01FE42E1"/>
    <w:rsid w:val="01FE5468"/>
    <w:rsid w:val="02006FB2"/>
    <w:rsid w:val="02008ABF"/>
    <w:rsid w:val="0203DBB2"/>
    <w:rsid w:val="0204D5F0"/>
    <w:rsid w:val="0209979B"/>
    <w:rsid w:val="020C291B"/>
    <w:rsid w:val="020C818D"/>
    <w:rsid w:val="020EE801"/>
    <w:rsid w:val="021012B4"/>
    <w:rsid w:val="021290AB"/>
    <w:rsid w:val="0215CEB1"/>
    <w:rsid w:val="021613F3"/>
    <w:rsid w:val="021C2388"/>
    <w:rsid w:val="021D1BE6"/>
    <w:rsid w:val="021D7AB0"/>
    <w:rsid w:val="021FF9F3"/>
    <w:rsid w:val="02213A88"/>
    <w:rsid w:val="02232AEB"/>
    <w:rsid w:val="02234C92"/>
    <w:rsid w:val="02255151"/>
    <w:rsid w:val="0225D6BF"/>
    <w:rsid w:val="022643EA"/>
    <w:rsid w:val="02268A83"/>
    <w:rsid w:val="0228F7A1"/>
    <w:rsid w:val="022A0F9B"/>
    <w:rsid w:val="022CDA44"/>
    <w:rsid w:val="022D2C0F"/>
    <w:rsid w:val="02301332"/>
    <w:rsid w:val="0230AEEC"/>
    <w:rsid w:val="02380A87"/>
    <w:rsid w:val="023A6222"/>
    <w:rsid w:val="02431229"/>
    <w:rsid w:val="02446B35"/>
    <w:rsid w:val="02454A4E"/>
    <w:rsid w:val="02498C76"/>
    <w:rsid w:val="0249FB47"/>
    <w:rsid w:val="024F4D0F"/>
    <w:rsid w:val="025524DB"/>
    <w:rsid w:val="0255EA88"/>
    <w:rsid w:val="025AAEAA"/>
    <w:rsid w:val="025CA961"/>
    <w:rsid w:val="025CE70D"/>
    <w:rsid w:val="025E18BE"/>
    <w:rsid w:val="025E2443"/>
    <w:rsid w:val="025E7452"/>
    <w:rsid w:val="025F4E34"/>
    <w:rsid w:val="02611465"/>
    <w:rsid w:val="02614B44"/>
    <w:rsid w:val="026230C6"/>
    <w:rsid w:val="0263E45E"/>
    <w:rsid w:val="0265ACE1"/>
    <w:rsid w:val="0267D1DC"/>
    <w:rsid w:val="026C4729"/>
    <w:rsid w:val="026E3634"/>
    <w:rsid w:val="027146B7"/>
    <w:rsid w:val="0271DE89"/>
    <w:rsid w:val="027592FD"/>
    <w:rsid w:val="0275FF35"/>
    <w:rsid w:val="027715F1"/>
    <w:rsid w:val="0277B943"/>
    <w:rsid w:val="027A508E"/>
    <w:rsid w:val="027A5DCB"/>
    <w:rsid w:val="027D7075"/>
    <w:rsid w:val="0282027B"/>
    <w:rsid w:val="02834094"/>
    <w:rsid w:val="0284F3AA"/>
    <w:rsid w:val="0284FB33"/>
    <w:rsid w:val="028FD67E"/>
    <w:rsid w:val="02926F48"/>
    <w:rsid w:val="0297672A"/>
    <w:rsid w:val="0297A0E3"/>
    <w:rsid w:val="029C2EAD"/>
    <w:rsid w:val="029E7B0D"/>
    <w:rsid w:val="029F92A9"/>
    <w:rsid w:val="02A00654"/>
    <w:rsid w:val="02A07E69"/>
    <w:rsid w:val="02A34631"/>
    <w:rsid w:val="02A41E8C"/>
    <w:rsid w:val="02A6ECE1"/>
    <w:rsid w:val="02A6F39B"/>
    <w:rsid w:val="02A8BE0D"/>
    <w:rsid w:val="02A9BE5E"/>
    <w:rsid w:val="02ACE554"/>
    <w:rsid w:val="02AD1554"/>
    <w:rsid w:val="02ADFAFC"/>
    <w:rsid w:val="02AEE784"/>
    <w:rsid w:val="02B2AB27"/>
    <w:rsid w:val="02BA7D93"/>
    <w:rsid w:val="02C0E435"/>
    <w:rsid w:val="02C31571"/>
    <w:rsid w:val="02C3A9EA"/>
    <w:rsid w:val="02C48D93"/>
    <w:rsid w:val="02C5A04C"/>
    <w:rsid w:val="02CB1710"/>
    <w:rsid w:val="02CF9DE9"/>
    <w:rsid w:val="02D092EB"/>
    <w:rsid w:val="02D17284"/>
    <w:rsid w:val="02D1D560"/>
    <w:rsid w:val="02D24B65"/>
    <w:rsid w:val="02D3BA46"/>
    <w:rsid w:val="02D54C45"/>
    <w:rsid w:val="02D66AB1"/>
    <w:rsid w:val="02D85B0B"/>
    <w:rsid w:val="02E02045"/>
    <w:rsid w:val="02E0C6EC"/>
    <w:rsid w:val="02E1406D"/>
    <w:rsid w:val="02E1B894"/>
    <w:rsid w:val="02E22676"/>
    <w:rsid w:val="02E4B53E"/>
    <w:rsid w:val="02ED0F28"/>
    <w:rsid w:val="02EE0B3B"/>
    <w:rsid w:val="02EF5570"/>
    <w:rsid w:val="02EFF058"/>
    <w:rsid w:val="02F17E64"/>
    <w:rsid w:val="02F2A8AC"/>
    <w:rsid w:val="02F56AB1"/>
    <w:rsid w:val="02F6842F"/>
    <w:rsid w:val="02F70978"/>
    <w:rsid w:val="02F9BB43"/>
    <w:rsid w:val="02FD392A"/>
    <w:rsid w:val="02FEFAD3"/>
    <w:rsid w:val="02FF323C"/>
    <w:rsid w:val="0300DE75"/>
    <w:rsid w:val="0301AB05"/>
    <w:rsid w:val="0305DF55"/>
    <w:rsid w:val="0307DC94"/>
    <w:rsid w:val="030B3FF5"/>
    <w:rsid w:val="030CB2CB"/>
    <w:rsid w:val="031141C0"/>
    <w:rsid w:val="0313C947"/>
    <w:rsid w:val="0314F50B"/>
    <w:rsid w:val="03168379"/>
    <w:rsid w:val="0317C221"/>
    <w:rsid w:val="031BF4EB"/>
    <w:rsid w:val="031EEAEE"/>
    <w:rsid w:val="031F3650"/>
    <w:rsid w:val="031F5DA3"/>
    <w:rsid w:val="031FADB2"/>
    <w:rsid w:val="03202E74"/>
    <w:rsid w:val="03220BFA"/>
    <w:rsid w:val="03234D32"/>
    <w:rsid w:val="03264FA3"/>
    <w:rsid w:val="032767BA"/>
    <w:rsid w:val="032B9D72"/>
    <w:rsid w:val="032CC322"/>
    <w:rsid w:val="032E245F"/>
    <w:rsid w:val="032FD8F6"/>
    <w:rsid w:val="03322D1F"/>
    <w:rsid w:val="0332B888"/>
    <w:rsid w:val="0333E183"/>
    <w:rsid w:val="033A1B4C"/>
    <w:rsid w:val="033B0ACE"/>
    <w:rsid w:val="033B7DC6"/>
    <w:rsid w:val="033C8CDA"/>
    <w:rsid w:val="033D2CC3"/>
    <w:rsid w:val="033D40E0"/>
    <w:rsid w:val="033ECE0C"/>
    <w:rsid w:val="033F7FB4"/>
    <w:rsid w:val="0340789A"/>
    <w:rsid w:val="034298A3"/>
    <w:rsid w:val="03438DC0"/>
    <w:rsid w:val="0349AD8A"/>
    <w:rsid w:val="034AAA60"/>
    <w:rsid w:val="034B024A"/>
    <w:rsid w:val="034F0BF5"/>
    <w:rsid w:val="034FD9CC"/>
    <w:rsid w:val="034FFC33"/>
    <w:rsid w:val="03500FA9"/>
    <w:rsid w:val="035091A6"/>
    <w:rsid w:val="03516A92"/>
    <w:rsid w:val="0353D7A9"/>
    <w:rsid w:val="0353FA80"/>
    <w:rsid w:val="03553226"/>
    <w:rsid w:val="0357C9D3"/>
    <w:rsid w:val="0359500A"/>
    <w:rsid w:val="0359FE9A"/>
    <w:rsid w:val="035A0911"/>
    <w:rsid w:val="035C15C3"/>
    <w:rsid w:val="035F6755"/>
    <w:rsid w:val="036224FE"/>
    <w:rsid w:val="03652916"/>
    <w:rsid w:val="0366CFAE"/>
    <w:rsid w:val="0368D7C8"/>
    <w:rsid w:val="036B89DF"/>
    <w:rsid w:val="036EB140"/>
    <w:rsid w:val="0375386C"/>
    <w:rsid w:val="0375E8E1"/>
    <w:rsid w:val="03787B2E"/>
    <w:rsid w:val="0379A6D9"/>
    <w:rsid w:val="037B2732"/>
    <w:rsid w:val="037B9A5B"/>
    <w:rsid w:val="037DA3F6"/>
    <w:rsid w:val="037E9B6C"/>
    <w:rsid w:val="0380A832"/>
    <w:rsid w:val="038361E6"/>
    <w:rsid w:val="03849A05"/>
    <w:rsid w:val="03862B0C"/>
    <w:rsid w:val="03886BF6"/>
    <w:rsid w:val="038C931D"/>
    <w:rsid w:val="038F663E"/>
    <w:rsid w:val="038FF7B3"/>
    <w:rsid w:val="0393B802"/>
    <w:rsid w:val="0393FBEB"/>
    <w:rsid w:val="0396C0BF"/>
    <w:rsid w:val="0398A21D"/>
    <w:rsid w:val="0398F92F"/>
    <w:rsid w:val="039C5A61"/>
    <w:rsid w:val="039C8E23"/>
    <w:rsid w:val="039CFA5E"/>
    <w:rsid w:val="039D6512"/>
    <w:rsid w:val="039D8C78"/>
    <w:rsid w:val="039E0CB7"/>
    <w:rsid w:val="03A0F965"/>
    <w:rsid w:val="03A91F61"/>
    <w:rsid w:val="03ACB0C8"/>
    <w:rsid w:val="03AECE31"/>
    <w:rsid w:val="03AF306E"/>
    <w:rsid w:val="03AF43E4"/>
    <w:rsid w:val="03B1BA89"/>
    <w:rsid w:val="03B1BD3C"/>
    <w:rsid w:val="03B28714"/>
    <w:rsid w:val="03B333FA"/>
    <w:rsid w:val="03B3FB60"/>
    <w:rsid w:val="03B44476"/>
    <w:rsid w:val="03B5837D"/>
    <w:rsid w:val="03B61520"/>
    <w:rsid w:val="03B7D88E"/>
    <w:rsid w:val="03BA4033"/>
    <w:rsid w:val="03BAF50D"/>
    <w:rsid w:val="03BB82CC"/>
    <w:rsid w:val="03BD0062"/>
    <w:rsid w:val="03BD47CB"/>
    <w:rsid w:val="03C2EA00"/>
    <w:rsid w:val="03C5E124"/>
    <w:rsid w:val="03C7BE3D"/>
    <w:rsid w:val="03C8AF21"/>
    <w:rsid w:val="03C8E400"/>
    <w:rsid w:val="03CD1D02"/>
    <w:rsid w:val="03CFAB60"/>
    <w:rsid w:val="03D02EC2"/>
    <w:rsid w:val="03D117D0"/>
    <w:rsid w:val="03D2BD00"/>
    <w:rsid w:val="03D50858"/>
    <w:rsid w:val="03D63B54"/>
    <w:rsid w:val="03D73247"/>
    <w:rsid w:val="03D86F84"/>
    <w:rsid w:val="03DA4A0F"/>
    <w:rsid w:val="03DB543C"/>
    <w:rsid w:val="03E73A33"/>
    <w:rsid w:val="03E7A9A0"/>
    <w:rsid w:val="03E96D91"/>
    <w:rsid w:val="03EC6C20"/>
    <w:rsid w:val="03F106F7"/>
    <w:rsid w:val="03F3340E"/>
    <w:rsid w:val="03F4B7F5"/>
    <w:rsid w:val="03FA7119"/>
    <w:rsid w:val="03FBDE4D"/>
    <w:rsid w:val="0400A3CC"/>
    <w:rsid w:val="04018C7F"/>
    <w:rsid w:val="0403649B"/>
    <w:rsid w:val="0406B2F6"/>
    <w:rsid w:val="0409D458"/>
    <w:rsid w:val="040A0695"/>
    <w:rsid w:val="040A4777"/>
    <w:rsid w:val="040CB4BA"/>
    <w:rsid w:val="040D076D"/>
    <w:rsid w:val="040D2B81"/>
    <w:rsid w:val="0410122D"/>
    <w:rsid w:val="041193CE"/>
    <w:rsid w:val="0414BF2F"/>
    <w:rsid w:val="041E117B"/>
    <w:rsid w:val="041EC590"/>
    <w:rsid w:val="0420BDBA"/>
    <w:rsid w:val="0421FDB1"/>
    <w:rsid w:val="0424BF93"/>
    <w:rsid w:val="0429317E"/>
    <w:rsid w:val="04295963"/>
    <w:rsid w:val="042BD464"/>
    <w:rsid w:val="042F5EFD"/>
    <w:rsid w:val="0430D4F5"/>
    <w:rsid w:val="0435994C"/>
    <w:rsid w:val="04363474"/>
    <w:rsid w:val="043809B2"/>
    <w:rsid w:val="0439663B"/>
    <w:rsid w:val="0439C151"/>
    <w:rsid w:val="043CD8EF"/>
    <w:rsid w:val="043DB745"/>
    <w:rsid w:val="0440B183"/>
    <w:rsid w:val="0440B94B"/>
    <w:rsid w:val="0441C45E"/>
    <w:rsid w:val="0442332A"/>
    <w:rsid w:val="044440EF"/>
    <w:rsid w:val="0446CF21"/>
    <w:rsid w:val="0449CB5D"/>
    <w:rsid w:val="044BA313"/>
    <w:rsid w:val="044C778F"/>
    <w:rsid w:val="044D8B96"/>
    <w:rsid w:val="0450D621"/>
    <w:rsid w:val="045643F0"/>
    <w:rsid w:val="04567BA4"/>
    <w:rsid w:val="04571D7F"/>
    <w:rsid w:val="0457568B"/>
    <w:rsid w:val="0457CA6A"/>
    <w:rsid w:val="045D5EF8"/>
    <w:rsid w:val="045E087A"/>
    <w:rsid w:val="045EA85E"/>
    <w:rsid w:val="0460C2BB"/>
    <w:rsid w:val="0461BAF6"/>
    <w:rsid w:val="0462E0C7"/>
    <w:rsid w:val="0466B59B"/>
    <w:rsid w:val="0466E299"/>
    <w:rsid w:val="0467A35E"/>
    <w:rsid w:val="0467FB9B"/>
    <w:rsid w:val="04711F34"/>
    <w:rsid w:val="04718A34"/>
    <w:rsid w:val="04752472"/>
    <w:rsid w:val="0476A776"/>
    <w:rsid w:val="04782422"/>
    <w:rsid w:val="0478919D"/>
    <w:rsid w:val="04792D8E"/>
    <w:rsid w:val="04794143"/>
    <w:rsid w:val="04798F4A"/>
    <w:rsid w:val="0479BD58"/>
    <w:rsid w:val="047A2540"/>
    <w:rsid w:val="047D636D"/>
    <w:rsid w:val="047DB715"/>
    <w:rsid w:val="047DC079"/>
    <w:rsid w:val="047FDC7C"/>
    <w:rsid w:val="04820E9E"/>
    <w:rsid w:val="048230D2"/>
    <w:rsid w:val="04836BBB"/>
    <w:rsid w:val="0488577C"/>
    <w:rsid w:val="0489A2B7"/>
    <w:rsid w:val="048AD8A4"/>
    <w:rsid w:val="048D9910"/>
    <w:rsid w:val="048E31EB"/>
    <w:rsid w:val="04938D8A"/>
    <w:rsid w:val="049728D1"/>
    <w:rsid w:val="049809EC"/>
    <w:rsid w:val="049C4A61"/>
    <w:rsid w:val="049C97BF"/>
    <w:rsid w:val="049F8EA8"/>
    <w:rsid w:val="04A05871"/>
    <w:rsid w:val="04A1AFB6"/>
    <w:rsid w:val="04A308F8"/>
    <w:rsid w:val="04A44255"/>
    <w:rsid w:val="04A4EDF4"/>
    <w:rsid w:val="04A56DC3"/>
    <w:rsid w:val="04A73F72"/>
    <w:rsid w:val="04A7861B"/>
    <w:rsid w:val="04A8F9DD"/>
    <w:rsid w:val="04A95003"/>
    <w:rsid w:val="04A967FC"/>
    <w:rsid w:val="04A97AAD"/>
    <w:rsid w:val="04AAD158"/>
    <w:rsid w:val="04AAD71A"/>
    <w:rsid w:val="04ACEB1F"/>
    <w:rsid w:val="04ACF5A9"/>
    <w:rsid w:val="04ADB079"/>
    <w:rsid w:val="04B05CF0"/>
    <w:rsid w:val="04B140EB"/>
    <w:rsid w:val="04B1AA37"/>
    <w:rsid w:val="04B3321E"/>
    <w:rsid w:val="04B5F06E"/>
    <w:rsid w:val="04B703AB"/>
    <w:rsid w:val="04B7FE29"/>
    <w:rsid w:val="04B91B48"/>
    <w:rsid w:val="04BA8679"/>
    <w:rsid w:val="04BB68B9"/>
    <w:rsid w:val="04BC58EC"/>
    <w:rsid w:val="04BFC99A"/>
    <w:rsid w:val="04C3408A"/>
    <w:rsid w:val="04C5165F"/>
    <w:rsid w:val="04C5EF0F"/>
    <w:rsid w:val="04C65349"/>
    <w:rsid w:val="04CAFB0A"/>
    <w:rsid w:val="04D35F56"/>
    <w:rsid w:val="04D5876A"/>
    <w:rsid w:val="04D7D56F"/>
    <w:rsid w:val="04D8BDB7"/>
    <w:rsid w:val="04D9B1B6"/>
    <w:rsid w:val="04DBAA2B"/>
    <w:rsid w:val="04DE8AFA"/>
    <w:rsid w:val="04E383EC"/>
    <w:rsid w:val="04E5044F"/>
    <w:rsid w:val="04E513BC"/>
    <w:rsid w:val="04E5C6B9"/>
    <w:rsid w:val="04E69497"/>
    <w:rsid w:val="04E8B965"/>
    <w:rsid w:val="04E9BCA1"/>
    <w:rsid w:val="04EA346B"/>
    <w:rsid w:val="04EDC177"/>
    <w:rsid w:val="04F3F294"/>
    <w:rsid w:val="04F4504C"/>
    <w:rsid w:val="04FB3D59"/>
    <w:rsid w:val="05004AC8"/>
    <w:rsid w:val="0501DACA"/>
    <w:rsid w:val="050241FB"/>
    <w:rsid w:val="050243D9"/>
    <w:rsid w:val="0505D0F4"/>
    <w:rsid w:val="05077BF5"/>
    <w:rsid w:val="0508CA0E"/>
    <w:rsid w:val="050AB1F7"/>
    <w:rsid w:val="050ABA89"/>
    <w:rsid w:val="050B3DF8"/>
    <w:rsid w:val="050CF8A5"/>
    <w:rsid w:val="0516D072"/>
    <w:rsid w:val="051741F2"/>
    <w:rsid w:val="05188DAB"/>
    <w:rsid w:val="05194C35"/>
    <w:rsid w:val="05194E5A"/>
    <w:rsid w:val="051B8E43"/>
    <w:rsid w:val="051E695D"/>
    <w:rsid w:val="05230FE9"/>
    <w:rsid w:val="0524DEFE"/>
    <w:rsid w:val="05291906"/>
    <w:rsid w:val="052A367F"/>
    <w:rsid w:val="052F8863"/>
    <w:rsid w:val="052F9A88"/>
    <w:rsid w:val="0531046A"/>
    <w:rsid w:val="05319C97"/>
    <w:rsid w:val="05325BBF"/>
    <w:rsid w:val="0535FF61"/>
    <w:rsid w:val="05368721"/>
    <w:rsid w:val="0538CB4E"/>
    <w:rsid w:val="053F200F"/>
    <w:rsid w:val="05411E20"/>
    <w:rsid w:val="0546A2CE"/>
    <w:rsid w:val="054902BB"/>
    <w:rsid w:val="0552991D"/>
    <w:rsid w:val="0555F8D7"/>
    <w:rsid w:val="0559BA5B"/>
    <w:rsid w:val="055C5BEC"/>
    <w:rsid w:val="055CF213"/>
    <w:rsid w:val="055FF6BB"/>
    <w:rsid w:val="05608279"/>
    <w:rsid w:val="05647F82"/>
    <w:rsid w:val="0566D566"/>
    <w:rsid w:val="0567E147"/>
    <w:rsid w:val="056C2D25"/>
    <w:rsid w:val="056D1534"/>
    <w:rsid w:val="057535D5"/>
    <w:rsid w:val="05764D47"/>
    <w:rsid w:val="0579E9A3"/>
    <w:rsid w:val="057AF3F5"/>
    <w:rsid w:val="057CF221"/>
    <w:rsid w:val="057E7C0E"/>
    <w:rsid w:val="057EDBD3"/>
    <w:rsid w:val="0581D2AD"/>
    <w:rsid w:val="05837A01"/>
    <w:rsid w:val="05873B6B"/>
    <w:rsid w:val="05883655"/>
    <w:rsid w:val="058A270F"/>
    <w:rsid w:val="058A4B7A"/>
    <w:rsid w:val="058B399D"/>
    <w:rsid w:val="058DE3A6"/>
    <w:rsid w:val="058DF2F5"/>
    <w:rsid w:val="058E8D71"/>
    <w:rsid w:val="058F9C31"/>
    <w:rsid w:val="05906EB7"/>
    <w:rsid w:val="0592C118"/>
    <w:rsid w:val="059333CF"/>
    <w:rsid w:val="0593ED14"/>
    <w:rsid w:val="05959909"/>
    <w:rsid w:val="05962886"/>
    <w:rsid w:val="05976A3C"/>
    <w:rsid w:val="059A8ABC"/>
    <w:rsid w:val="059ADFDE"/>
    <w:rsid w:val="059B4392"/>
    <w:rsid w:val="059B64A4"/>
    <w:rsid w:val="05A0C6D3"/>
    <w:rsid w:val="05A5FE08"/>
    <w:rsid w:val="05A6F78B"/>
    <w:rsid w:val="05A91481"/>
    <w:rsid w:val="05AA81D5"/>
    <w:rsid w:val="05AB37DF"/>
    <w:rsid w:val="05AD1B25"/>
    <w:rsid w:val="05AEAD60"/>
    <w:rsid w:val="05B1D8E8"/>
    <w:rsid w:val="05B3057A"/>
    <w:rsid w:val="05B39A2D"/>
    <w:rsid w:val="05B406C9"/>
    <w:rsid w:val="05BB8302"/>
    <w:rsid w:val="05BC7392"/>
    <w:rsid w:val="05BDE327"/>
    <w:rsid w:val="05BE66D1"/>
    <w:rsid w:val="05C60E92"/>
    <w:rsid w:val="05C82678"/>
    <w:rsid w:val="05CC4FBE"/>
    <w:rsid w:val="05CD74BB"/>
    <w:rsid w:val="05CF75E5"/>
    <w:rsid w:val="05D07A98"/>
    <w:rsid w:val="05D1BA97"/>
    <w:rsid w:val="05D49B03"/>
    <w:rsid w:val="05D667FB"/>
    <w:rsid w:val="05D7E8C0"/>
    <w:rsid w:val="05DAD00E"/>
    <w:rsid w:val="05DE038B"/>
    <w:rsid w:val="05DE2B29"/>
    <w:rsid w:val="05DE592C"/>
    <w:rsid w:val="05E29666"/>
    <w:rsid w:val="05E3CAF7"/>
    <w:rsid w:val="05E736CA"/>
    <w:rsid w:val="05EAAB47"/>
    <w:rsid w:val="05EBC807"/>
    <w:rsid w:val="05EFF092"/>
    <w:rsid w:val="05F05231"/>
    <w:rsid w:val="05F08880"/>
    <w:rsid w:val="05F2F08D"/>
    <w:rsid w:val="05F6C4E2"/>
    <w:rsid w:val="05F9046D"/>
    <w:rsid w:val="05FC49A9"/>
    <w:rsid w:val="05FC8DAB"/>
    <w:rsid w:val="05FCC85D"/>
    <w:rsid w:val="05FCCAA8"/>
    <w:rsid w:val="05FE025D"/>
    <w:rsid w:val="06000A10"/>
    <w:rsid w:val="060178E1"/>
    <w:rsid w:val="06032D9F"/>
    <w:rsid w:val="0605D520"/>
    <w:rsid w:val="06099417"/>
    <w:rsid w:val="060DA4E5"/>
    <w:rsid w:val="0611E957"/>
    <w:rsid w:val="0612D6D3"/>
    <w:rsid w:val="0616E54E"/>
    <w:rsid w:val="06189D11"/>
    <w:rsid w:val="061A7015"/>
    <w:rsid w:val="061BB1DA"/>
    <w:rsid w:val="061DAEA5"/>
    <w:rsid w:val="061DDC88"/>
    <w:rsid w:val="06226C6D"/>
    <w:rsid w:val="0624FA28"/>
    <w:rsid w:val="062581D0"/>
    <w:rsid w:val="0628E631"/>
    <w:rsid w:val="062A496E"/>
    <w:rsid w:val="062C73EC"/>
    <w:rsid w:val="06307B73"/>
    <w:rsid w:val="0631B2F4"/>
    <w:rsid w:val="06358174"/>
    <w:rsid w:val="06386B95"/>
    <w:rsid w:val="063B826A"/>
    <w:rsid w:val="063CE2E0"/>
    <w:rsid w:val="063F987B"/>
    <w:rsid w:val="06405A21"/>
    <w:rsid w:val="06431975"/>
    <w:rsid w:val="0648F0B4"/>
    <w:rsid w:val="064AAE03"/>
    <w:rsid w:val="064B3D32"/>
    <w:rsid w:val="06511E6B"/>
    <w:rsid w:val="065178E1"/>
    <w:rsid w:val="06519242"/>
    <w:rsid w:val="0652CA6F"/>
    <w:rsid w:val="06536703"/>
    <w:rsid w:val="065464EE"/>
    <w:rsid w:val="0654EFFF"/>
    <w:rsid w:val="06555FA2"/>
    <w:rsid w:val="0656A874"/>
    <w:rsid w:val="06582199"/>
    <w:rsid w:val="065B990A"/>
    <w:rsid w:val="065BB6E5"/>
    <w:rsid w:val="065E0328"/>
    <w:rsid w:val="06621BE6"/>
    <w:rsid w:val="06625094"/>
    <w:rsid w:val="066AD22E"/>
    <w:rsid w:val="066BEF0E"/>
    <w:rsid w:val="066DC63A"/>
    <w:rsid w:val="06705AC4"/>
    <w:rsid w:val="06739C00"/>
    <w:rsid w:val="0674340D"/>
    <w:rsid w:val="067524AC"/>
    <w:rsid w:val="0679275B"/>
    <w:rsid w:val="0679B7D2"/>
    <w:rsid w:val="067C343A"/>
    <w:rsid w:val="0680ABE5"/>
    <w:rsid w:val="0681CA8E"/>
    <w:rsid w:val="0681E40E"/>
    <w:rsid w:val="06827D24"/>
    <w:rsid w:val="0683547C"/>
    <w:rsid w:val="068B1236"/>
    <w:rsid w:val="068CF1D1"/>
    <w:rsid w:val="068D1369"/>
    <w:rsid w:val="068FA140"/>
    <w:rsid w:val="069003DD"/>
    <w:rsid w:val="0693B685"/>
    <w:rsid w:val="069B5066"/>
    <w:rsid w:val="069C9FEA"/>
    <w:rsid w:val="069EE006"/>
    <w:rsid w:val="069F4990"/>
    <w:rsid w:val="06A2297A"/>
    <w:rsid w:val="06A899C9"/>
    <w:rsid w:val="06A95F42"/>
    <w:rsid w:val="06ABAFFF"/>
    <w:rsid w:val="06ACF5EA"/>
    <w:rsid w:val="06B45977"/>
    <w:rsid w:val="06B467F6"/>
    <w:rsid w:val="06B4F91E"/>
    <w:rsid w:val="06BAFF78"/>
    <w:rsid w:val="06BD3BFA"/>
    <w:rsid w:val="06C10556"/>
    <w:rsid w:val="06C18C01"/>
    <w:rsid w:val="06C79FE4"/>
    <w:rsid w:val="06C9B1D0"/>
    <w:rsid w:val="06CEB37A"/>
    <w:rsid w:val="06CF6FB5"/>
    <w:rsid w:val="06CFF750"/>
    <w:rsid w:val="06D2B79D"/>
    <w:rsid w:val="06D4B0F7"/>
    <w:rsid w:val="06D82147"/>
    <w:rsid w:val="06D92B4D"/>
    <w:rsid w:val="06DB4C0B"/>
    <w:rsid w:val="06DCE90B"/>
    <w:rsid w:val="06DF7B00"/>
    <w:rsid w:val="06E09DF4"/>
    <w:rsid w:val="06E191A7"/>
    <w:rsid w:val="06E3CA06"/>
    <w:rsid w:val="06E3FBDF"/>
    <w:rsid w:val="06E86313"/>
    <w:rsid w:val="06EB9D07"/>
    <w:rsid w:val="06EC3A26"/>
    <w:rsid w:val="06EC7FEE"/>
    <w:rsid w:val="06ECF457"/>
    <w:rsid w:val="06ED7BEC"/>
    <w:rsid w:val="06EEE778"/>
    <w:rsid w:val="06F2DB95"/>
    <w:rsid w:val="06F470FF"/>
    <w:rsid w:val="06F5DB13"/>
    <w:rsid w:val="06F6069A"/>
    <w:rsid w:val="06F74923"/>
    <w:rsid w:val="06F90891"/>
    <w:rsid w:val="06FBF55E"/>
    <w:rsid w:val="06FE89FE"/>
    <w:rsid w:val="06FEC4A7"/>
    <w:rsid w:val="06FF646F"/>
    <w:rsid w:val="07054FA2"/>
    <w:rsid w:val="0706B283"/>
    <w:rsid w:val="0707161F"/>
    <w:rsid w:val="07074C22"/>
    <w:rsid w:val="0707BB80"/>
    <w:rsid w:val="070914AB"/>
    <w:rsid w:val="070AF7A1"/>
    <w:rsid w:val="070BA44C"/>
    <w:rsid w:val="070BE833"/>
    <w:rsid w:val="070E2977"/>
    <w:rsid w:val="070EF8CD"/>
    <w:rsid w:val="0715FC6F"/>
    <w:rsid w:val="07163165"/>
    <w:rsid w:val="07182626"/>
    <w:rsid w:val="07195350"/>
    <w:rsid w:val="071BC89F"/>
    <w:rsid w:val="071D4302"/>
    <w:rsid w:val="071F00CD"/>
    <w:rsid w:val="07207B6D"/>
    <w:rsid w:val="07211818"/>
    <w:rsid w:val="07211891"/>
    <w:rsid w:val="07226F09"/>
    <w:rsid w:val="07242F7F"/>
    <w:rsid w:val="07255E42"/>
    <w:rsid w:val="07269F0C"/>
    <w:rsid w:val="0729C00A"/>
    <w:rsid w:val="072A01CF"/>
    <w:rsid w:val="072A5DD2"/>
    <w:rsid w:val="072CD0D1"/>
    <w:rsid w:val="072D77FB"/>
    <w:rsid w:val="07321031"/>
    <w:rsid w:val="07344C40"/>
    <w:rsid w:val="07373CD6"/>
    <w:rsid w:val="073AD637"/>
    <w:rsid w:val="073B0480"/>
    <w:rsid w:val="073B87B1"/>
    <w:rsid w:val="073D2B29"/>
    <w:rsid w:val="0740E09D"/>
    <w:rsid w:val="074304B6"/>
    <w:rsid w:val="0746C2CE"/>
    <w:rsid w:val="0748158A"/>
    <w:rsid w:val="074FEAE2"/>
    <w:rsid w:val="07570255"/>
    <w:rsid w:val="0757C3BA"/>
    <w:rsid w:val="075B04FE"/>
    <w:rsid w:val="075B0C95"/>
    <w:rsid w:val="075B34FA"/>
    <w:rsid w:val="075B7BF8"/>
    <w:rsid w:val="075BE033"/>
    <w:rsid w:val="07610C6E"/>
    <w:rsid w:val="0765B55E"/>
    <w:rsid w:val="076AD84D"/>
    <w:rsid w:val="076D014E"/>
    <w:rsid w:val="0770ED1C"/>
    <w:rsid w:val="0772D26D"/>
    <w:rsid w:val="0774820C"/>
    <w:rsid w:val="0777AE42"/>
    <w:rsid w:val="077832FB"/>
    <w:rsid w:val="0778C69A"/>
    <w:rsid w:val="077D3C57"/>
    <w:rsid w:val="077E49AA"/>
    <w:rsid w:val="077FAF83"/>
    <w:rsid w:val="07816C1F"/>
    <w:rsid w:val="078451D2"/>
    <w:rsid w:val="078958D0"/>
    <w:rsid w:val="078C4BB9"/>
    <w:rsid w:val="078DB0B3"/>
    <w:rsid w:val="078DBF98"/>
    <w:rsid w:val="078DEF69"/>
    <w:rsid w:val="0791C26A"/>
    <w:rsid w:val="0796AB61"/>
    <w:rsid w:val="07983845"/>
    <w:rsid w:val="07988F80"/>
    <w:rsid w:val="07992D52"/>
    <w:rsid w:val="079AEA51"/>
    <w:rsid w:val="079E8833"/>
    <w:rsid w:val="07A09EBE"/>
    <w:rsid w:val="07A2B4DB"/>
    <w:rsid w:val="07A30FF6"/>
    <w:rsid w:val="07A5654E"/>
    <w:rsid w:val="07A72E4F"/>
    <w:rsid w:val="07A73EDF"/>
    <w:rsid w:val="07A9EDC1"/>
    <w:rsid w:val="07B07CC6"/>
    <w:rsid w:val="07B14D22"/>
    <w:rsid w:val="07B17C74"/>
    <w:rsid w:val="07B27A6C"/>
    <w:rsid w:val="07B46C3D"/>
    <w:rsid w:val="07B573AD"/>
    <w:rsid w:val="07B90F03"/>
    <w:rsid w:val="07B9836F"/>
    <w:rsid w:val="07BAB6A7"/>
    <w:rsid w:val="07BCA49E"/>
    <w:rsid w:val="07BCD4ED"/>
    <w:rsid w:val="07BF701C"/>
    <w:rsid w:val="07BFAA9B"/>
    <w:rsid w:val="07C20672"/>
    <w:rsid w:val="07C2E74E"/>
    <w:rsid w:val="07C2F02B"/>
    <w:rsid w:val="07C8B4CF"/>
    <w:rsid w:val="07C8DDD4"/>
    <w:rsid w:val="07CC8834"/>
    <w:rsid w:val="07CF8CFB"/>
    <w:rsid w:val="07D189D6"/>
    <w:rsid w:val="07D2E966"/>
    <w:rsid w:val="07D40B45"/>
    <w:rsid w:val="07D6B5F7"/>
    <w:rsid w:val="07D7BF27"/>
    <w:rsid w:val="07D87A71"/>
    <w:rsid w:val="07DE8793"/>
    <w:rsid w:val="07DFE01A"/>
    <w:rsid w:val="07DFFF82"/>
    <w:rsid w:val="07E2721A"/>
    <w:rsid w:val="07ED6EFA"/>
    <w:rsid w:val="07EEC9E4"/>
    <w:rsid w:val="07F022C4"/>
    <w:rsid w:val="07F278D5"/>
    <w:rsid w:val="07F322F3"/>
    <w:rsid w:val="07F5D8DF"/>
    <w:rsid w:val="07F5EFAF"/>
    <w:rsid w:val="07FA33FE"/>
    <w:rsid w:val="08029BCC"/>
    <w:rsid w:val="08033D29"/>
    <w:rsid w:val="0805DA58"/>
    <w:rsid w:val="08069538"/>
    <w:rsid w:val="0807C66F"/>
    <w:rsid w:val="080D3BE3"/>
    <w:rsid w:val="080E6400"/>
    <w:rsid w:val="0810844F"/>
    <w:rsid w:val="0812A163"/>
    <w:rsid w:val="08149C2D"/>
    <w:rsid w:val="08165ABD"/>
    <w:rsid w:val="0817EE59"/>
    <w:rsid w:val="0819E2E1"/>
    <w:rsid w:val="081A6E26"/>
    <w:rsid w:val="081CC664"/>
    <w:rsid w:val="081D0E21"/>
    <w:rsid w:val="081EB5CC"/>
    <w:rsid w:val="082434AC"/>
    <w:rsid w:val="0824FBE2"/>
    <w:rsid w:val="08266EBF"/>
    <w:rsid w:val="0828546A"/>
    <w:rsid w:val="082ABE50"/>
    <w:rsid w:val="082B1551"/>
    <w:rsid w:val="082B3DDA"/>
    <w:rsid w:val="082BA876"/>
    <w:rsid w:val="082ED44F"/>
    <w:rsid w:val="0830568B"/>
    <w:rsid w:val="0830C22D"/>
    <w:rsid w:val="0830CB4A"/>
    <w:rsid w:val="08310851"/>
    <w:rsid w:val="0831FF99"/>
    <w:rsid w:val="08320D02"/>
    <w:rsid w:val="08329167"/>
    <w:rsid w:val="08353DCB"/>
    <w:rsid w:val="083558CF"/>
    <w:rsid w:val="08359E74"/>
    <w:rsid w:val="0838306B"/>
    <w:rsid w:val="0839FB25"/>
    <w:rsid w:val="083C576F"/>
    <w:rsid w:val="083F089B"/>
    <w:rsid w:val="0845D1C6"/>
    <w:rsid w:val="0849FDE7"/>
    <w:rsid w:val="0850A8E0"/>
    <w:rsid w:val="08515C17"/>
    <w:rsid w:val="0852156D"/>
    <w:rsid w:val="0853FF02"/>
    <w:rsid w:val="0854EF34"/>
    <w:rsid w:val="0855A8F1"/>
    <w:rsid w:val="085608C3"/>
    <w:rsid w:val="08568EAA"/>
    <w:rsid w:val="0857317B"/>
    <w:rsid w:val="08576484"/>
    <w:rsid w:val="0857EBFE"/>
    <w:rsid w:val="08584623"/>
    <w:rsid w:val="0859BBFB"/>
    <w:rsid w:val="085F240D"/>
    <w:rsid w:val="08608891"/>
    <w:rsid w:val="0861A17F"/>
    <w:rsid w:val="08648198"/>
    <w:rsid w:val="0869EB5D"/>
    <w:rsid w:val="086A06ED"/>
    <w:rsid w:val="086E6D34"/>
    <w:rsid w:val="08702751"/>
    <w:rsid w:val="08707B60"/>
    <w:rsid w:val="08720A25"/>
    <w:rsid w:val="08733F94"/>
    <w:rsid w:val="08756C4C"/>
    <w:rsid w:val="0877FF78"/>
    <w:rsid w:val="0878117A"/>
    <w:rsid w:val="087A9E9B"/>
    <w:rsid w:val="087B2CD9"/>
    <w:rsid w:val="087BDBE1"/>
    <w:rsid w:val="087BEAB2"/>
    <w:rsid w:val="087C34DD"/>
    <w:rsid w:val="087DBB5D"/>
    <w:rsid w:val="0882E2AB"/>
    <w:rsid w:val="0882EDAC"/>
    <w:rsid w:val="08851847"/>
    <w:rsid w:val="08862648"/>
    <w:rsid w:val="08893A7D"/>
    <w:rsid w:val="089231F7"/>
    <w:rsid w:val="08928E16"/>
    <w:rsid w:val="08938A35"/>
    <w:rsid w:val="089658E1"/>
    <w:rsid w:val="08975F66"/>
    <w:rsid w:val="0898E10A"/>
    <w:rsid w:val="089A17FA"/>
    <w:rsid w:val="089DB449"/>
    <w:rsid w:val="08A1D2AF"/>
    <w:rsid w:val="08A5F24F"/>
    <w:rsid w:val="08A9572E"/>
    <w:rsid w:val="08A98D64"/>
    <w:rsid w:val="08AA43DD"/>
    <w:rsid w:val="08AEE76A"/>
    <w:rsid w:val="08B652E0"/>
    <w:rsid w:val="08B8C86A"/>
    <w:rsid w:val="08BBF622"/>
    <w:rsid w:val="08BC6B42"/>
    <w:rsid w:val="08BE0FBB"/>
    <w:rsid w:val="08BE9E02"/>
    <w:rsid w:val="08BFE1C1"/>
    <w:rsid w:val="08C1CF63"/>
    <w:rsid w:val="08C3A9D2"/>
    <w:rsid w:val="08C86C51"/>
    <w:rsid w:val="08CAC203"/>
    <w:rsid w:val="08CC8B91"/>
    <w:rsid w:val="08CEF7DB"/>
    <w:rsid w:val="08CF8763"/>
    <w:rsid w:val="08D294CC"/>
    <w:rsid w:val="08D50DD9"/>
    <w:rsid w:val="08D8C720"/>
    <w:rsid w:val="08D8D87F"/>
    <w:rsid w:val="08DB0CD1"/>
    <w:rsid w:val="08DDD518"/>
    <w:rsid w:val="08DDF71E"/>
    <w:rsid w:val="08E672BB"/>
    <w:rsid w:val="08E723AA"/>
    <w:rsid w:val="08E803C0"/>
    <w:rsid w:val="08E8B149"/>
    <w:rsid w:val="08F31410"/>
    <w:rsid w:val="08F9A31A"/>
    <w:rsid w:val="08F9DB0C"/>
    <w:rsid w:val="08FE3A50"/>
    <w:rsid w:val="08FFE75D"/>
    <w:rsid w:val="09009E28"/>
    <w:rsid w:val="09015951"/>
    <w:rsid w:val="0902E4CA"/>
    <w:rsid w:val="09044BA5"/>
    <w:rsid w:val="09051171"/>
    <w:rsid w:val="090587D9"/>
    <w:rsid w:val="0907E1A7"/>
    <w:rsid w:val="090B3527"/>
    <w:rsid w:val="090B956A"/>
    <w:rsid w:val="09102011"/>
    <w:rsid w:val="0910598B"/>
    <w:rsid w:val="09110D89"/>
    <w:rsid w:val="09146E82"/>
    <w:rsid w:val="091A2880"/>
    <w:rsid w:val="091ADB0E"/>
    <w:rsid w:val="09212C3D"/>
    <w:rsid w:val="0921FB51"/>
    <w:rsid w:val="09233228"/>
    <w:rsid w:val="09236B00"/>
    <w:rsid w:val="0924B651"/>
    <w:rsid w:val="0926F180"/>
    <w:rsid w:val="092706CD"/>
    <w:rsid w:val="093064D4"/>
    <w:rsid w:val="09347C8A"/>
    <w:rsid w:val="093C3B72"/>
    <w:rsid w:val="093CD89F"/>
    <w:rsid w:val="09435EDE"/>
    <w:rsid w:val="0945DFD7"/>
    <w:rsid w:val="0947D66D"/>
    <w:rsid w:val="09487C1B"/>
    <w:rsid w:val="094D2892"/>
    <w:rsid w:val="094DCE35"/>
    <w:rsid w:val="094EB356"/>
    <w:rsid w:val="094F0295"/>
    <w:rsid w:val="09565847"/>
    <w:rsid w:val="0956F1ED"/>
    <w:rsid w:val="095874FF"/>
    <w:rsid w:val="095BB13A"/>
    <w:rsid w:val="095E9B57"/>
    <w:rsid w:val="095FFC8A"/>
    <w:rsid w:val="0960FF80"/>
    <w:rsid w:val="0961B31D"/>
    <w:rsid w:val="09629DAF"/>
    <w:rsid w:val="09641025"/>
    <w:rsid w:val="0968188C"/>
    <w:rsid w:val="0968EAB2"/>
    <w:rsid w:val="0968EDDD"/>
    <w:rsid w:val="096D9DE8"/>
    <w:rsid w:val="096EC99F"/>
    <w:rsid w:val="097285DB"/>
    <w:rsid w:val="09752EC9"/>
    <w:rsid w:val="0977AF76"/>
    <w:rsid w:val="0979EA0E"/>
    <w:rsid w:val="097A57F4"/>
    <w:rsid w:val="097B66D0"/>
    <w:rsid w:val="097DF453"/>
    <w:rsid w:val="097E48BE"/>
    <w:rsid w:val="098188A7"/>
    <w:rsid w:val="0984E327"/>
    <w:rsid w:val="098707BC"/>
    <w:rsid w:val="0987A464"/>
    <w:rsid w:val="098C1423"/>
    <w:rsid w:val="098E35CA"/>
    <w:rsid w:val="098E4082"/>
    <w:rsid w:val="099030EA"/>
    <w:rsid w:val="09908A81"/>
    <w:rsid w:val="0995DCF6"/>
    <w:rsid w:val="0996EAC0"/>
    <w:rsid w:val="0997ADEC"/>
    <w:rsid w:val="099C8257"/>
    <w:rsid w:val="099E1CBC"/>
    <w:rsid w:val="09A15A13"/>
    <w:rsid w:val="09A195EE"/>
    <w:rsid w:val="09A4B958"/>
    <w:rsid w:val="09A90C44"/>
    <w:rsid w:val="09AD5271"/>
    <w:rsid w:val="09AD8B29"/>
    <w:rsid w:val="09AEBE95"/>
    <w:rsid w:val="09B49BC3"/>
    <w:rsid w:val="09B4BC0D"/>
    <w:rsid w:val="09B555F1"/>
    <w:rsid w:val="09BCF658"/>
    <w:rsid w:val="09BFD9B2"/>
    <w:rsid w:val="09C0FDEA"/>
    <w:rsid w:val="09C3B10E"/>
    <w:rsid w:val="09C457B7"/>
    <w:rsid w:val="09C59F41"/>
    <w:rsid w:val="09C71415"/>
    <w:rsid w:val="09C7BC9B"/>
    <w:rsid w:val="09C85FD6"/>
    <w:rsid w:val="09CCEDC8"/>
    <w:rsid w:val="09CFB396"/>
    <w:rsid w:val="09D0EFC6"/>
    <w:rsid w:val="09D4F356"/>
    <w:rsid w:val="09D8BBFA"/>
    <w:rsid w:val="09D9BB77"/>
    <w:rsid w:val="09DDBDBF"/>
    <w:rsid w:val="09E171F0"/>
    <w:rsid w:val="09E22B41"/>
    <w:rsid w:val="09E3F96E"/>
    <w:rsid w:val="09E3FAA4"/>
    <w:rsid w:val="09E528B5"/>
    <w:rsid w:val="09E8CD6D"/>
    <w:rsid w:val="09E95866"/>
    <w:rsid w:val="09ECD787"/>
    <w:rsid w:val="09EE05FB"/>
    <w:rsid w:val="09F09A14"/>
    <w:rsid w:val="09F13781"/>
    <w:rsid w:val="09F1D924"/>
    <w:rsid w:val="09F1F951"/>
    <w:rsid w:val="09F4A38A"/>
    <w:rsid w:val="09F51D41"/>
    <w:rsid w:val="09F53BDB"/>
    <w:rsid w:val="09F71485"/>
    <w:rsid w:val="09F78C91"/>
    <w:rsid w:val="09F7C027"/>
    <w:rsid w:val="09F7F396"/>
    <w:rsid w:val="09F859B7"/>
    <w:rsid w:val="09FBD4A1"/>
    <w:rsid w:val="0A03C657"/>
    <w:rsid w:val="0A06FBBB"/>
    <w:rsid w:val="0A08EA73"/>
    <w:rsid w:val="0A0F15DC"/>
    <w:rsid w:val="0A0FFD8B"/>
    <w:rsid w:val="0A10940F"/>
    <w:rsid w:val="0A10AF62"/>
    <w:rsid w:val="0A13EBBB"/>
    <w:rsid w:val="0A161CEF"/>
    <w:rsid w:val="0A18137B"/>
    <w:rsid w:val="0A18252C"/>
    <w:rsid w:val="0A18B9FC"/>
    <w:rsid w:val="0A1B63CE"/>
    <w:rsid w:val="0A1C034A"/>
    <w:rsid w:val="0A1F3A10"/>
    <w:rsid w:val="0A20269F"/>
    <w:rsid w:val="0A2482B8"/>
    <w:rsid w:val="0A26D4F9"/>
    <w:rsid w:val="0A2736EE"/>
    <w:rsid w:val="0A2759F6"/>
    <w:rsid w:val="0A2CB9B7"/>
    <w:rsid w:val="0A2DF505"/>
    <w:rsid w:val="0A2E04E7"/>
    <w:rsid w:val="0A2F5A96"/>
    <w:rsid w:val="0A2FEFC6"/>
    <w:rsid w:val="0A308038"/>
    <w:rsid w:val="0A32C8D1"/>
    <w:rsid w:val="0A32E0FC"/>
    <w:rsid w:val="0A33F966"/>
    <w:rsid w:val="0A362A56"/>
    <w:rsid w:val="0A391D40"/>
    <w:rsid w:val="0A394886"/>
    <w:rsid w:val="0A43DD88"/>
    <w:rsid w:val="0A447DD6"/>
    <w:rsid w:val="0A461D7C"/>
    <w:rsid w:val="0A492EDA"/>
    <w:rsid w:val="0A4A541C"/>
    <w:rsid w:val="0A4BC4CF"/>
    <w:rsid w:val="0A4D6639"/>
    <w:rsid w:val="0A4DABC3"/>
    <w:rsid w:val="0A50CE3B"/>
    <w:rsid w:val="0A51EE56"/>
    <w:rsid w:val="0A534237"/>
    <w:rsid w:val="0A548FFD"/>
    <w:rsid w:val="0A55329C"/>
    <w:rsid w:val="0A5C6AB9"/>
    <w:rsid w:val="0A5D364C"/>
    <w:rsid w:val="0A5E856C"/>
    <w:rsid w:val="0A5E9392"/>
    <w:rsid w:val="0A6075A8"/>
    <w:rsid w:val="0A609044"/>
    <w:rsid w:val="0A60B0AA"/>
    <w:rsid w:val="0A60B998"/>
    <w:rsid w:val="0A62920E"/>
    <w:rsid w:val="0A65B6AC"/>
    <w:rsid w:val="0A68C683"/>
    <w:rsid w:val="0A6D95EA"/>
    <w:rsid w:val="0A7249DC"/>
    <w:rsid w:val="0A731680"/>
    <w:rsid w:val="0A76DD32"/>
    <w:rsid w:val="0A77E723"/>
    <w:rsid w:val="0A780FD2"/>
    <w:rsid w:val="0A793BD7"/>
    <w:rsid w:val="0A7A38DB"/>
    <w:rsid w:val="0A7A7526"/>
    <w:rsid w:val="0A7B49CE"/>
    <w:rsid w:val="0A7E5900"/>
    <w:rsid w:val="0A7FAB93"/>
    <w:rsid w:val="0A82464B"/>
    <w:rsid w:val="0A82AD8A"/>
    <w:rsid w:val="0A85D811"/>
    <w:rsid w:val="0A865108"/>
    <w:rsid w:val="0A8C0547"/>
    <w:rsid w:val="0A8E2EC5"/>
    <w:rsid w:val="0A91E403"/>
    <w:rsid w:val="0A931F98"/>
    <w:rsid w:val="0A933755"/>
    <w:rsid w:val="0A93DA45"/>
    <w:rsid w:val="0A965868"/>
    <w:rsid w:val="0A98ECA7"/>
    <w:rsid w:val="0A997B63"/>
    <w:rsid w:val="0A9CA8A3"/>
    <w:rsid w:val="0A9FC50B"/>
    <w:rsid w:val="0AA01874"/>
    <w:rsid w:val="0AA2D6E5"/>
    <w:rsid w:val="0AA4B41F"/>
    <w:rsid w:val="0AA55361"/>
    <w:rsid w:val="0AA8A41B"/>
    <w:rsid w:val="0AAA074C"/>
    <w:rsid w:val="0AAA3026"/>
    <w:rsid w:val="0AAA7964"/>
    <w:rsid w:val="0AAC939C"/>
    <w:rsid w:val="0AAD26A0"/>
    <w:rsid w:val="0AAF506B"/>
    <w:rsid w:val="0AB33432"/>
    <w:rsid w:val="0AB5D1BE"/>
    <w:rsid w:val="0AB75045"/>
    <w:rsid w:val="0AB9F2D5"/>
    <w:rsid w:val="0ABBBF5A"/>
    <w:rsid w:val="0ABD14C0"/>
    <w:rsid w:val="0AC06DB1"/>
    <w:rsid w:val="0AC68CEC"/>
    <w:rsid w:val="0AC70447"/>
    <w:rsid w:val="0AC7B8AA"/>
    <w:rsid w:val="0AC9804C"/>
    <w:rsid w:val="0ACAD3C1"/>
    <w:rsid w:val="0AD5F71F"/>
    <w:rsid w:val="0AD77282"/>
    <w:rsid w:val="0AD7B598"/>
    <w:rsid w:val="0ADBB6E7"/>
    <w:rsid w:val="0ADCB224"/>
    <w:rsid w:val="0ADE167B"/>
    <w:rsid w:val="0ADFDA59"/>
    <w:rsid w:val="0AE20802"/>
    <w:rsid w:val="0AE3A4CD"/>
    <w:rsid w:val="0AE60229"/>
    <w:rsid w:val="0AE72A36"/>
    <w:rsid w:val="0AE7F0AC"/>
    <w:rsid w:val="0AE7F67D"/>
    <w:rsid w:val="0AECC6F0"/>
    <w:rsid w:val="0AEDDF80"/>
    <w:rsid w:val="0AEDE7B9"/>
    <w:rsid w:val="0AF3A795"/>
    <w:rsid w:val="0AF67CCB"/>
    <w:rsid w:val="0AFB5FB1"/>
    <w:rsid w:val="0AFCC681"/>
    <w:rsid w:val="0AFDF771"/>
    <w:rsid w:val="0B005591"/>
    <w:rsid w:val="0B00AD35"/>
    <w:rsid w:val="0B010B87"/>
    <w:rsid w:val="0B020578"/>
    <w:rsid w:val="0B04EEAE"/>
    <w:rsid w:val="0B0F161A"/>
    <w:rsid w:val="0B0F1B43"/>
    <w:rsid w:val="0B1234DC"/>
    <w:rsid w:val="0B126EC2"/>
    <w:rsid w:val="0B13C6B4"/>
    <w:rsid w:val="0B19165C"/>
    <w:rsid w:val="0B1B0F89"/>
    <w:rsid w:val="0B1FA9CB"/>
    <w:rsid w:val="0B1FF3C7"/>
    <w:rsid w:val="0B2231CF"/>
    <w:rsid w:val="0B26488F"/>
    <w:rsid w:val="0B2677B3"/>
    <w:rsid w:val="0B277312"/>
    <w:rsid w:val="0B2C014B"/>
    <w:rsid w:val="0B2C651B"/>
    <w:rsid w:val="0B2DF285"/>
    <w:rsid w:val="0B2E097C"/>
    <w:rsid w:val="0B30A727"/>
    <w:rsid w:val="0B3121E1"/>
    <w:rsid w:val="0B33792F"/>
    <w:rsid w:val="0B36119F"/>
    <w:rsid w:val="0B413D2B"/>
    <w:rsid w:val="0B43BF0F"/>
    <w:rsid w:val="0B49E454"/>
    <w:rsid w:val="0B4C0EDD"/>
    <w:rsid w:val="0B4E2896"/>
    <w:rsid w:val="0B4FB658"/>
    <w:rsid w:val="0B5BA7D5"/>
    <w:rsid w:val="0B62F389"/>
    <w:rsid w:val="0B65FD8A"/>
    <w:rsid w:val="0B6620AA"/>
    <w:rsid w:val="0B663380"/>
    <w:rsid w:val="0B67B205"/>
    <w:rsid w:val="0B6C0043"/>
    <w:rsid w:val="0B6E0905"/>
    <w:rsid w:val="0B70B66F"/>
    <w:rsid w:val="0B72A3DF"/>
    <w:rsid w:val="0B774576"/>
    <w:rsid w:val="0B78683B"/>
    <w:rsid w:val="0B7F03A9"/>
    <w:rsid w:val="0B8012F2"/>
    <w:rsid w:val="0B80BEC9"/>
    <w:rsid w:val="0B88A330"/>
    <w:rsid w:val="0B8951AA"/>
    <w:rsid w:val="0B89F30C"/>
    <w:rsid w:val="0B901DED"/>
    <w:rsid w:val="0B923EC8"/>
    <w:rsid w:val="0B937DDB"/>
    <w:rsid w:val="0B95D21F"/>
    <w:rsid w:val="0B98F65D"/>
    <w:rsid w:val="0B9A06AE"/>
    <w:rsid w:val="0B9A91DC"/>
    <w:rsid w:val="0B9D128E"/>
    <w:rsid w:val="0B9F9288"/>
    <w:rsid w:val="0BA06E9C"/>
    <w:rsid w:val="0BA09164"/>
    <w:rsid w:val="0BA0C16D"/>
    <w:rsid w:val="0BA2C44E"/>
    <w:rsid w:val="0BA3C380"/>
    <w:rsid w:val="0BA5691A"/>
    <w:rsid w:val="0BA7AEEC"/>
    <w:rsid w:val="0BABF1DC"/>
    <w:rsid w:val="0BB028A2"/>
    <w:rsid w:val="0BB0C295"/>
    <w:rsid w:val="0BB2C3C2"/>
    <w:rsid w:val="0BB4E9B0"/>
    <w:rsid w:val="0BB7B747"/>
    <w:rsid w:val="0BB7C5FE"/>
    <w:rsid w:val="0BB8EB3C"/>
    <w:rsid w:val="0BB96556"/>
    <w:rsid w:val="0BBC88AD"/>
    <w:rsid w:val="0BBF5F0F"/>
    <w:rsid w:val="0BC04769"/>
    <w:rsid w:val="0BC3BC87"/>
    <w:rsid w:val="0BC4689D"/>
    <w:rsid w:val="0BC9F735"/>
    <w:rsid w:val="0BCADDB7"/>
    <w:rsid w:val="0BCB7ED9"/>
    <w:rsid w:val="0BCBE7F8"/>
    <w:rsid w:val="0BCC5099"/>
    <w:rsid w:val="0BD210AD"/>
    <w:rsid w:val="0BD3171B"/>
    <w:rsid w:val="0BD679B4"/>
    <w:rsid w:val="0BD74001"/>
    <w:rsid w:val="0BD8C9CF"/>
    <w:rsid w:val="0BD94198"/>
    <w:rsid w:val="0BD9D818"/>
    <w:rsid w:val="0BDADD1D"/>
    <w:rsid w:val="0BDAFADF"/>
    <w:rsid w:val="0BDBADE9"/>
    <w:rsid w:val="0BDEF953"/>
    <w:rsid w:val="0BE0DC77"/>
    <w:rsid w:val="0BE316DF"/>
    <w:rsid w:val="0BE5BC2B"/>
    <w:rsid w:val="0BE5E1E1"/>
    <w:rsid w:val="0BE8DD7F"/>
    <w:rsid w:val="0BEB87FE"/>
    <w:rsid w:val="0BEC0238"/>
    <w:rsid w:val="0BEC20D9"/>
    <w:rsid w:val="0BEC6559"/>
    <w:rsid w:val="0BEEE74A"/>
    <w:rsid w:val="0BF37B7F"/>
    <w:rsid w:val="0BF6693E"/>
    <w:rsid w:val="0BF790A0"/>
    <w:rsid w:val="0BFAF762"/>
    <w:rsid w:val="0BFC05E1"/>
    <w:rsid w:val="0BFC09D1"/>
    <w:rsid w:val="0BFC3B4F"/>
    <w:rsid w:val="0C02336A"/>
    <w:rsid w:val="0C03649C"/>
    <w:rsid w:val="0C07A22A"/>
    <w:rsid w:val="0C081877"/>
    <w:rsid w:val="0C09416C"/>
    <w:rsid w:val="0C0FA934"/>
    <w:rsid w:val="0C10A7C1"/>
    <w:rsid w:val="0C119260"/>
    <w:rsid w:val="0C12E3DE"/>
    <w:rsid w:val="0C1339D8"/>
    <w:rsid w:val="0C1510B5"/>
    <w:rsid w:val="0C165406"/>
    <w:rsid w:val="0C17DE2F"/>
    <w:rsid w:val="0C18E13B"/>
    <w:rsid w:val="0C1969CB"/>
    <w:rsid w:val="0C1CEE2B"/>
    <w:rsid w:val="0C1D33A9"/>
    <w:rsid w:val="0C2106F7"/>
    <w:rsid w:val="0C24F203"/>
    <w:rsid w:val="0C2ACBBB"/>
    <w:rsid w:val="0C2EDE46"/>
    <w:rsid w:val="0C32D4CF"/>
    <w:rsid w:val="0C33498C"/>
    <w:rsid w:val="0C361663"/>
    <w:rsid w:val="0C388AC2"/>
    <w:rsid w:val="0C3CC7AD"/>
    <w:rsid w:val="0C3CE878"/>
    <w:rsid w:val="0C41B33C"/>
    <w:rsid w:val="0C42CAFC"/>
    <w:rsid w:val="0C44D617"/>
    <w:rsid w:val="0C4A5D09"/>
    <w:rsid w:val="0C4ADAA2"/>
    <w:rsid w:val="0C4FED9E"/>
    <w:rsid w:val="0C540FC5"/>
    <w:rsid w:val="0C546F18"/>
    <w:rsid w:val="0C562337"/>
    <w:rsid w:val="0C59A2B8"/>
    <w:rsid w:val="0C5BDC56"/>
    <w:rsid w:val="0C5D0E75"/>
    <w:rsid w:val="0C5EE90F"/>
    <w:rsid w:val="0C606057"/>
    <w:rsid w:val="0C614BA5"/>
    <w:rsid w:val="0C62735F"/>
    <w:rsid w:val="0C6395DE"/>
    <w:rsid w:val="0C648326"/>
    <w:rsid w:val="0C656A44"/>
    <w:rsid w:val="0C660BD6"/>
    <w:rsid w:val="0C6DDB1D"/>
    <w:rsid w:val="0C6EB11C"/>
    <w:rsid w:val="0C724D70"/>
    <w:rsid w:val="0C732346"/>
    <w:rsid w:val="0C753338"/>
    <w:rsid w:val="0C76EED6"/>
    <w:rsid w:val="0C794C72"/>
    <w:rsid w:val="0C829E44"/>
    <w:rsid w:val="0C8402A1"/>
    <w:rsid w:val="0C88559D"/>
    <w:rsid w:val="0C89210C"/>
    <w:rsid w:val="0C8AF35C"/>
    <w:rsid w:val="0C8B0789"/>
    <w:rsid w:val="0C8E8323"/>
    <w:rsid w:val="0C92EB29"/>
    <w:rsid w:val="0C9455A5"/>
    <w:rsid w:val="0CA10A3F"/>
    <w:rsid w:val="0CA16F90"/>
    <w:rsid w:val="0CA2907B"/>
    <w:rsid w:val="0CA46A48"/>
    <w:rsid w:val="0CA8567C"/>
    <w:rsid w:val="0CA926E8"/>
    <w:rsid w:val="0CA94294"/>
    <w:rsid w:val="0CAA720F"/>
    <w:rsid w:val="0CAB5CDC"/>
    <w:rsid w:val="0CABD5FF"/>
    <w:rsid w:val="0CB1F827"/>
    <w:rsid w:val="0CB20ADC"/>
    <w:rsid w:val="0CB4FA92"/>
    <w:rsid w:val="0CB551B4"/>
    <w:rsid w:val="0CB751C7"/>
    <w:rsid w:val="0CB8324F"/>
    <w:rsid w:val="0CB9D521"/>
    <w:rsid w:val="0CBBCD95"/>
    <w:rsid w:val="0CBC0BC8"/>
    <w:rsid w:val="0CBE7AD6"/>
    <w:rsid w:val="0CC1EFBF"/>
    <w:rsid w:val="0CC44438"/>
    <w:rsid w:val="0CCBE9BC"/>
    <w:rsid w:val="0CCFEA26"/>
    <w:rsid w:val="0CD56F26"/>
    <w:rsid w:val="0CDA474E"/>
    <w:rsid w:val="0CDCAA0C"/>
    <w:rsid w:val="0CDEA40C"/>
    <w:rsid w:val="0CDFCD5C"/>
    <w:rsid w:val="0CE3C34E"/>
    <w:rsid w:val="0CE4B456"/>
    <w:rsid w:val="0CE63BCE"/>
    <w:rsid w:val="0CE75C0F"/>
    <w:rsid w:val="0CE9FF4B"/>
    <w:rsid w:val="0CEC7DFC"/>
    <w:rsid w:val="0CF16083"/>
    <w:rsid w:val="0CF3A67B"/>
    <w:rsid w:val="0CF599BC"/>
    <w:rsid w:val="0CF6663C"/>
    <w:rsid w:val="0CFA62B8"/>
    <w:rsid w:val="0D0121D3"/>
    <w:rsid w:val="0D097035"/>
    <w:rsid w:val="0D0A4EF7"/>
    <w:rsid w:val="0D0CC206"/>
    <w:rsid w:val="0D10A88A"/>
    <w:rsid w:val="0D10BA10"/>
    <w:rsid w:val="0D10CC21"/>
    <w:rsid w:val="0D11C226"/>
    <w:rsid w:val="0D126C0E"/>
    <w:rsid w:val="0D14BF0C"/>
    <w:rsid w:val="0D166860"/>
    <w:rsid w:val="0D1925F8"/>
    <w:rsid w:val="0D1ADAF0"/>
    <w:rsid w:val="0D1B5BF9"/>
    <w:rsid w:val="0D1B6A5D"/>
    <w:rsid w:val="0D1BF382"/>
    <w:rsid w:val="0D1C376E"/>
    <w:rsid w:val="0D1D3A01"/>
    <w:rsid w:val="0D1E21D7"/>
    <w:rsid w:val="0D1EC3B3"/>
    <w:rsid w:val="0D1F18EE"/>
    <w:rsid w:val="0D218410"/>
    <w:rsid w:val="0D257368"/>
    <w:rsid w:val="0D26170A"/>
    <w:rsid w:val="0D2A1FA3"/>
    <w:rsid w:val="0D2C7040"/>
    <w:rsid w:val="0D2CFE84"/>
    <w:rsid w:val="0D2F4E3C"/>
    <w:rsid w:val="0D371C09"/>
    <w:rsid w:val="0D38B0FC"/>
    <w:rsid w:val="0D3B4481"/>
    <w:rsid w:val="0D3B89E6"/>
    <w:rsid w:val="0D3B9D1D"/>
    <w:rsid w:val="0D3C2DFC"/>
    <w:rsid w:val="0D3C9671"/>
    <w:rsid w:val="0D3D3E70"/>
    <w:rsid w:val="0D405975"/>
    <w:rsid w:val="0D41435A"/>
    <w:rsid w:val="0D422C87"/>
    <w:rsid w:val="0D470C32"/>
    <w:rsid w:val="0D478473"/>
    <w:rsid w:val="0D4867D9"/>
    <w:rsid w:val="0D49D29D"/>
    <w:rsid w:val="0D4C9DD0"/>
    <w:rsid w:val="0D5017B7"/>
    <w:rsid w:val="0D522B1E"/>
    <w:rsid w:val="0D5EB93B"/>
    <w:rsid w:val="0D5F69EF"/>
    <w:rsid w:val="0D606D3A"/>
    <w:rsid w:val="0D61410A"/>
    <w:rsid w:val="0D61AA22"/>
    <w:rsid w:val="0D6300D3"/>
    <w:rsid w:val="0D6520D0"/>
    <w:rsid w:val="0D65C796"/>
    <w:rsid w:val="0D66F80E"/>
    <w:rsid w:val="0D6803F8"/>
    <w:rsid w:val="0D6820FA"/>
    <w:rsid w:val="0D697DC2"/>
    <w:rsid w:val="0D6C5394"/>
    <w:rsid w:val="0D6DCB82"/>
    <w:rsid w:val="0D6DD9D9"/>
    <w:rsid w:val="0D71CAD9"/>
    <w:rsid w:val="0D724C21"/>
    <w:rsid w:val="0D729B19"/>
    <w:rsid w:val="0D73FEB4"/>
    <w:rsid w:val="0D78784F"/>
    <w:rsid w:val="0D79D4D1"/>
    <w:rsid w:val="0D7D219C"/>
    <w:rsid w:val="0D802D61"/>
    <w:rsid w:val="0D80DA4D"/>
    <w:rsid w:val="0D8355BF"/>
    <w:rsid w:val="0D8576DC"/>
    <w:rsid w:val="0D8703A6"/>
    <w:rsid w:val="0D8D0F81"/>
    <w:rsid w:val="0D8DA81F"/>
    <w:rsid w:val="0D91190F"/>
    <w:rsid w:val="0D91A379"/>
    <w:rsid w:val="0D91EF2D"/>
    <w:rsid w:val="0D9570FD"/>
    <w:rsid w:val="0D965B4B"/>
    <w:rsid w:val="0D96E04F"/>
    <w:rsid w:val="0D972B8A"/>
    <w:rsid w:val="0D97E8C7"/>
    <w:rsid w:val="0D9F6E4E"/>
    <w:rsid w:val="0D9FCD6D"/>
    <w:rsid w:val="0DA0DF9C"/>
    <w:rsid w:val="0DA1922D"/>
    <w:rsid w:val="0DA27A47"/>
    <w:rsid w:val="0DA2E7B5"/>
    <w:rsid w:val="0DA45582"/>
    <w:rsid w:val="0DA65F6B"/>
    <w:rsid w:val="0DA92FAD"/>
    <w:rsid w:val="0DA93113"/>
    <w:rsid w:val="0DA9C3D1"/>
    <w:rsid w:val="0DAB2CDB"/>
    <w:rsid w:val="0DAD4FFF"/>
    <w:rsid w:val="0DB575F3"/>
    <w:rsid w:val="0DB7179B"/>
    <w:rsid w:val="0DB7F309"/>
    <w:rsid w:val="0DB900AC"/>
    <w:rsid w:val="0DBB8BDA"/>
    <w:rsid w:val="0DBDC833"/>
    <w:rsid w:val="0DC203AC"/>
    <w:rsid w:val="0DC239E5"/>
    <w:rsid w:val="0DC6C186"/>
    <w:rsid w:val="0DC73CCD"/>
    <w:rsid w:val="0DC92F1F"/>
    <w:rsid w:val="0DCA16D1"/>
    <w:rsid w:val="0DCA767E"/>
    <w:rsid w:val="0DCD4621"/>
    <w:rsid w:val="0DCFA4F8"/>
    <w:rsid w:val="0DD07DF2"/>
    <w:rsid w:val="0DD08F34"/>
    <w:rsid w:val="0DD39B78"/>
    <w:rsid w:val="0DD4E1ED"/>
    <w:rsid w:val="0DD55485"/>
    <w:rsid w:val="0DD66171"/>
    <w:rsid w:val="0DD8EF92"/>
    <w:rsid w:val="0DD90C38"/>
    <w:rsid w:val="0DDBC7D3"/>
    <w:rsid w:val="0DDD340E"/>
    <w:rsid w:val="0DE116E5"/>
    <w:rsid w:val="0DE35B7E"/>
    <w:rsid w:val="0DEB87FA"/>
    <w:rsid w:val="0DF2AC58"/>
    <w:rsid w:val="0DF3D149"/>
    <w:rsid w:val="0DF49999"/>
    <w:rsid w:val="0DF53C46"/>
    <w:rsid w:val="0DF73D17"/>
    <w:rsid w:val="0DF7A0C6"/>
    <w:rsid w:val="0DF846A3"/>
    <w:rsid w:val="0DF9AA75"/>
    <w:rsid w:val="0DFA1273"/>
    <w:rsid w:val="0DFCEBA3"/>
    <w:rsid w:val="0DFD7D3B"/>
    <w:rsid w:val="0E0006D3"/>
    <w:rsid w:val="0E03D796"/>
    <w:rsid w:val="0E04A3D4"/>
    <w:rsid w:val="0E05315C"/>
    <w:rsid w:val="0E054181"/>
    <w:rsid w:val="0E077B0F"/>
    <w:rsid w:val="0E080CDB"/>
    <w:rsid w:val="0E0BE5E5"/>
    <w:rsid w:val="0E102F3E"/>
    <w:rsid w:val="0E131DAA"/>
    <w:rsid w:val="0E14080F"/>
    <w:rsid w:val="0E154B6A"/>
    <w:rsid w:val="0E179830"/>
    <w:rsid w:val="0E196328"/>
    <w:rsid w:val="0E210D68"/>
    <w:rsid w:val="0E22DDA4"/>
    <w:rsid w:val="0E265872"/>
    <w:rsid w:val="0E2843FE"/>
    <w:rsid w:val="0E2D3EB1"/>
    <w:rsid w:val="0E2E6F60"/>
    <w:rsid w:val="0E3006B6"/>
    <w:rsid w:val="0E332E6C"/>
    <w:rsid w:val="0E335F88"/>
    <w:rsid w:val="0E3636A7"/>
    <w:rsid w:val="0E3721E5"/>
    <w:rsid w:val="0E372F71"/>
    <w:rsid w:val="0E3801EC"/>
    <w:rsid w:val="0E390E15"/>
    <w:rsid w:val="0E3F9B0A"/>
    <w:rsid w:val="0E40764F"/>
    <w:rsid w:val="0E43E253"/>
    <w:rsid w:val="0E43ED75"/>
    <w:rsid w:val="0E4970CE"/>
    <w:rsid w:val="0E4FEBDE"/>
    <w:rsid w:val="0E554BDD"/>
    <w:rsid w:val="0E5A7994"/>
    <w:rsid w:val="0E5AC440"/>
    <w:rsid w:val="0E61860D"/>
    <w:rsid w:val="0E618CFB"/>
    <w:rsid w:val="0E62982E"/>
    <w:rsid w:val="0E66766F"/>
    <w:rsid w:val="0E69A3B6"/>
    <w:rsid w:val="0E6A2EA6"/>
    <w:rsid w:val="0E6A813A"/>
    <w:rsid w:val="0E6D657A"/>
    <w:rsid w:val="0E6D84EA"/>
    <w:rsid w:val="0E6E255B"/>
    <w:rsid w:val="0E713EB8"/>
    <w:rsid w:val="0E776ABE"/>
    <w:rsid w:val="0E7A186D"/>
    <w:rsid w:val="0E7B4F86"/>
    <w:rsid w:val="0E7EAF3A"/>
    <w:rsid w:val="0E853245"/>
    <w:rsid w:val="0E869610"/>
    <w:rsid w:val="0E88D049"/>
    <w:rsid w:val="0E8BD1ED"/>
    <w:rsid w:val="0E918C7B"/>
    <w:rsid w:val="0E962EA3"/>
    <w:rsid w:val="0E9AE88D"/>
    <w:rsid w:val="0E9BE2C2"/>
    <w:rsid w:val="0E9BE464"/>
    <w:rsid w:val="0E9C25C9"/>
    <w:rsid w:val="0E9C89EC"/>
    <w:rsid w:val="0E9F9DB9"/>
    <w:rsid w:val="0EA04F9A"/>
    <w:rsid w:val="0EA4ED39"/>
    <w:rsid w:val="0EA86809"/>
    <w:rsid w:val="0EA9F2A9"/>
    <w:rsid w:val="0EAAF603"/>
    <w:rsid w:val="0EAB44E8"/>
    <w:rsid w:val="0EABFEAD"/>
    <w:rsid w:val="0EAC43DE"/>
    <w:rsid w:val="0EAC7D29"/>
    <w:rsid w:val="0EB05A13"/>
    <w:rsid w:val="0EB083C8"/>
    <w:rsid w:val="0EB15CB6"/>
    <w:rsid w:val="0EB72BEF"/>
    <w:rsid w:val="0EB7E8A1"/>
    <w:rsid w:val="0EB85809"/>
    <w:rsid w:val="0EB9C464"/>
    <w:rsid w:val="0EBA57DA"/>
    <w:rsid w:val="0EBD7223"/>
    <w:rsid w:val="0EBFF4F1"/>
    <w:rsid w:val="0EC335EC"/>
    <w:rsid w:val="0EC46090"/>
    <w:rsid w:val="0EC5138A"/>
    <w:rsid w:val="0EC54A47"/>
    <w:rsid w:val="0EC57F7D"/>
    <w:rsid w:val="0EC66ED1"/>
    <w:rsid w:val="0ECB1E9D"/>
    <w:rsid w:val="0ECDD54D"/>
    <w:rsid w:val="0ED63258"/>
    <w:rsid w:val="0ED7334A"/>
    <w:rsid w:val="0EDEBF61"/>
    <w:rsid w:val="0EE18D7B"/>
    <w:rsid w:val="0EE3F94E"/>
    <w:rsid w:val="0EE90888"/>
    <w:rsid w:val="0EE91CB0"/>
    <w:rsid w:val="0EEC40C1"/>
    <w:rsid w:val="0EED2EE5"/>
    <w:rsid w:val="0EEE9A8C"/>
    <w:rsid w:val="0EEEA85D"/>
    <w:rsid w:val="0EF0D7B1"/>
    <w:rsid w:val="0EF4A828"/>
    <w:rsid w:val="0EF8858D"/>
    <w:rsid w:val="0EFDFE42"/>
    <w:rsid w:val="0EFE92B1"/>
    <w:rsid w:val="0EFF0946"/>
    <w:rsid w:val="0EFF93FE"/>
    <w:rsid w:val="0F0092E9"/>
    <w:rsid w:val="0F05FB70"/>
    <w:rsid w:val="0F06A8B2"/>
    <w:rsid w:val="0F099BE3"/>
    <w:rsid w:val="0F0BE3CB"/>
    <w:rsid w:val="0F13A8AE"/>
    <w:rsid w:val="0F15F77F"/>
    <w:rsid w:val="0F1A83BE"/>
    <w:rsid w:val="0F1ACD63"/>
    <w:rsid w:val="0F1F0435"/>
    <w:rsid w:val="0F21D3C1"/>
    <w:rsid w:val="0F277763"/>
    <w:rsid w:val="0F2A5C47"/>
    <w:rsid w:val="0F2C1BD1"/>
    <w:rsid w:val="0F2DC172"/>
    <w:rsid w:val="0F2EAD5A"/>
    <w:rsid w:val="0F2FF272"/>
    <w:rsid w:val="0F2FF803"/>
    <w:rsid w:val="0F383364"/>
    <w:rsid w:val="0F39D2F1"/>
    <w:rsid w:val="0F3A164C"/>
    <w:rsid w:val="0F3C308C"/>
    <w:rsid w:val="0F3CCA64"/>
    <w:rsid w:val="0F3EA734"/>
    <w:rsid w:val="0F3EB184"/>
    <w:rsid w:val="0F4025E3"/>
    <w:rsid w:val="0F410DD7"/>
    <w:rsid w:val="0F420633"/>
    <w:rsid w:val="0F430C32"/>
    <w:rsid w:val="0F4AA0B2"/>
    <w:rsid w:val="0F4B2DF2"/>
    <w:rsid w:val="0F511EA5"/>
    <w:rsid w:val="0F52A96F"/>
    <w:rsid w:val="0F52F6A8"/>
    <w:rsid w:val="0F55FC3D"/>
    <w:rsid w:val="0F588B96"/>
    <w:rsid w:val="0F5BDCC5"/>
    <w:rsid w:val="0F61F486"/>
    <w:rsid w:val="0F6300D7"/>
    <w:rsid w:val="0F65DD36"/>
    <w:rsid w:val="0F65E6DE"/>
    <w:rsid w:val="0F65ED7C"/>
    <w:rsid w:val="0F6829C0"/>
    <w:rsid w:val="0F6B7D24"/>
    <w:rsid w:val="0F6DFCB9"/>
    <w:rsid w:val="0F6F5364"/>
    <w:rsid w:val="0F7104E9"/>
    <w:rsid w:val="0F73B04C"/>
    <w:rsid w:val="0F77A1DD"/>
    <w:rsid w:val="0F79126C"/>
    <w:rsid w:val="0F7AB6F8"/>
    <w:rsid w:val="0F7B4EB2"/>
    <w:rsid w:val="0F7B6A8A"/>
    <w:rsid w:val="0F7E0905"/>
    <w:rsid w:val="0F812680"/>
    <w:rsid w:val="0F8126E7"/>
    <w:rsid w:val="0F82B963"/>
    <w:rsid w:val="0F83414D"/>
    <w:rsid w:val="0F88CFC1"/>
    <w:rsid w:val="0F893344"/>
    <w:rsid w:val="0F8A0601"/>
    <w:rsid w:val="0F8C117C"/>
    <w:rsid w:val="0F8FCAB4"/>
    <w:rsid w:val="0F8FD63F"/>
    <w:rsid w:val="0F93BCC4"/>
    <w:rsid w:val="0F942072"/>
    <w:rsid w:val="0F9498CB"/>
    <w:rsid w:val="0F97A6F8"/>
    <w:rsid w:val="0F98870E"/>
    <w:rsid w:val="0F9B2034"/>
    <w:rsid w:val="0F9BEC61"/>
    <w:rsid w:val="0FA1DF1B"/>
    <w:rsid w:val="0FA841FD"/>
    <w:rsid w:val="0FA8C0A7"/>
    <w:rsid w:val="0FAD7E1E"/>
    <w:rsid w:val="0FAEC79A"/>
    <w:rsid w:val="0FB0858C"/>
    <w:rsid w:val="0FB21D50"/>
    <w:rsid w:val="0FB6044D"/>
    <w:rsid w:val="0FB79447"/>
    <w:rsid w:val="0FB893A7"/>
    <w:rsid w:val="0FBB08E8"/>
    <w:rsid w:val="0FBE6A1A"/>
    <w:rsid w:val="0FC25B3C"/>
    <w:rsid w:val="0FC4DE03"/>
    <w:rsid w:val="0FC55D62"/>
    <w:rsid w:val="0FC5F228"/>
    <w:rsid w:val="0FC6C1B3"/>
    <w:rsid w:val="0FC6C9EE"/>
    <w:rsid w:val="0FC7CCC2"/>
    <w:rsid w:val="0FCA7AB7"/>
    <w:rsid w:val="0FD0F4BD"/>
    <w:rsid w:val="0FD5F8A0"/>
    <w:rsid w:val="0FD6B4FE"/>
    <w:rsid w:val="0FD811B6"/>
    <w:rsid w:val="0FD85432"/>
    <w:rsid w:val="0FD8CB82"/>
    <w:rsid w:val="0FD91B6B"/>
    <w:rsid w:val="0FDD32CB"/>
    <w:rsid w:val="0FDDA09F"/>
    <w:rsid w:val="0FE0DFDB"/>
    <w:rsid w:val="0FE1C4B1"/>
    <w:rsid w:val="0FE382BD"/>
    <w:rsid w:val="0FE8434A"/>
    <w:rsid w:val="0FEBF917"/>
    <w:rsid w:val="0FEC445E"/>
    <w:rsid w:val="0FEDED38"/>
    <w:rsid w:val="0FEE9EF8"/>
    <w:rsid w:val="0FF0F059"/>
    <w:rsid w:val="0FF551FB"/>
    <w:rsid w:val="0FF63CBB"/>
    <w:rsid w:val="0FF87517"/>
    <w:rsid w:val="0FFB2DEE"/>
    <w:rsid w:val="10003111"/>
    <w:rsid w:val="100051BA"/>
    <w:rsid w:val="100990F5"/>
    <w:rsid w:val="100D2DC2"/>
    <w:rsid w:val="1010A93F"/>
    <w:rsid w:val="10145BC4"/>
    <w:rsid w:val="10198D42"/>
    <w:rsid w:val="10199DBF"/>
    <w:rsid w:val="101A44C7"/>
    <w:rsid w:val="101AB016"/>
    <w:rsid w:val="101BC061"/>
    <w:rsid w:val="101EF214"/>
    <w:rsid w:val="1020E53C"/>
    <w:rsid w:val="102186FA"/>
    <w:rsid w:val="1021C577"/>
    <w:rsid w:val="1022C481"/>
    <w:rsid w:val="1027C625"/>
    <w:rsid w:val="1028FA2D"/>
    <w:rsid w:val="102BCD16"/>
    <w:rsid w:val="102FB6CA"/>
    <w:rsid w:val="10311AEE"/>
    <w:rsid w:val="10349E2D"/>
    <w:rsid w:val="10358186"/>
    <w:rsid w:val="1035A679"/>
    <w:rsid w:val="103674C6"/>
    <w:rsid w:val="1036B8A0"/>
    <w:rsid w:val="1037921A"/>
    <w:rsid w:val="103B696D"/>
    <w:rsid w:val="103CF07D"/>
    <w:rsid w:val="103D625F"/>
    <w:rsid w:val="1041356B"/>
    <w:rsid w:val="1042ED6A"/>
    <w:rsid w:val="1044732F"/>
    <w:rsid w:val="1046131F"/>
    <w:rsid w:val="1049AF23"/>
    <w:rsid w:val="104A4DA0"/>
    <w:rsid w:val="104A55AE"/>
    <w:rsid w:val="104B5120"/>
    <w:rsid w:val="104D43F5"/>
    <w:rsid w:val="104D79AF"/>
    <w:rsid w:val="104DD8B1"/>
    <w:rsid w:val="105020C1"/>
    <w:rsid w:val="1050F22D"/>
    <w:rsid w:val="1052D882"/>
    <w:rsid w:val="1053348F"/>
    <w:rsid w:val="105389AF"/>
    <w:rsid w:val="10561D2C"/>
    <w:rsid w:val="1056605D"/>
    <w:rsid w:val="10578C87"/>
    <w:rsid w:val="10588531"/>
    <w:rsid w:val="10595C72"/>
    <w:rsid w:val="105B8BE0"/>
    <w:rsid w:val="105B95A1"/>
    <w:rsid w:val="105BF8C2"/>
    <w:rsid w:val="105E38EE"/>
    <w:rsid w:val="1064B025"/>
    <w:rsid w:val="10668D20"/>
    <w:rsid w:val="1066EEFE"/>
    <w:rsid w:val="106737AF"/>
    <w:rsid w:val="10687AE7"/>
    <w:rsid w:val="106B1625"/>
    <w:rsid w:val="106CBF87"/>
    <w:rsid w:val="106E493B"/>
    <w:rsid w:val="106E9D77"/>
    <w:rsid w:val="10703349"/>
    <w:rsid w:val="10728DCA"/>
    <w:rsid w:val="1073BD1E"/>
    <w:rsid w:val="1074DD5C"/>
    <w:rsid w:val="10771B6C"/>
    <w:rsid w:val="107DCA2D"/>
    <w:rsid w:val="107DDA45"/>
    <w:rsid w:val="1082671B"/>
    <w:rsid w:val="108729B3"/>
    <w:rsid w:val="108825A3"/>
    <w:rsid w:val="1088AF0A"/>
    <w:rsid w:val="10896939"/>
    <w:rsid w:val="108E4D07"/>
    <w:rsid w:val="108F6CCB"/>
    <w:rsid w:val="108FF055"/>
    <w:rsid w:val="10919C4F"/>
    <w:rsid w:val="1098221E"/>
    <w:rsid w:val="109A1317"/>
    <w:rsid w:val="109D6858"/>
    <w:rsid w:val="109FA4BA"/>
    <w:rsid w:val="10A5BF9C"/>
    <w:rsid w:val="10A653FC"/>
    <w:rsid w:val="10A7BC31"/>
    <w:rsid w:val="10A9328B"/>
    <w:rsid w:val="10AB2701"/>
    <w:rsid w:val="10ADF9F1"/>
    <w:rsid w:val="10B36AD4"/>
    <w:rsid w:val="10B3D0DD"/>
    <w:rsid w:val="10B58872"/>
    <w:rsid w:val="10B7F519"/>
    <w:rsid w:val="10BA15C5"/>
    <w:rsid w:val="10BAC4D6"/>
    <w:rsid w:val="10BBD98F"/>
    <w:rsid w:val="10BBF45C"/>
    <w:rsid w:val="10BFE7B0"/>
    <w:rsid w:val="10C299EA"/>
    <w:rsid w:val="10C38B50"/>
    <w:rsid w:val="10C64961"/>
    <w:rsid w:val="10C749C5"/>
    <w:rsid w:val="10C7FBE3"/>
    <w:rsid w:val="10CC7F22"/>
    <w:rsid w:val="10CD0539"/>
    <w:rsid w:val="10CEC0D2"/>
    <w:rsid w:val="10D2041B"/>
    <w:rsid w:val="10D27C22"/>
    <w:rsid w:val="10D511B8"/>
    <w:rsid w:val="10D5686C"/>
    <w:rsid w:val="10D7F085"/>
    <w:rsid w:val="10D82AD8"/>
    <w:rsid w:val="10DA7C1E"/>
    <w:rsid w:val="10DA88B8"/>
    <w:rsid w:val="10DBE0C7"/>
    <w:rsid w:val="10DC7E11"/>
    <w:rsid w:val="10DE1A29"/>
    <w:rsid w:val="10DF2D21"/>
    <w:rsid w:val="10E038DE"/>
    <w:rsid w:val="10E0B132"/>
    <w:rsid w:val="10E489B8"/>
    <w:rsid w:val="10E5893F"/>
    <w:rsid w:val="10E88865"/>
    <w:rsid w:val="10EA62C9"/>
    <w:rsid w:val="10F16F4A"/>
    <w:rsid w:val="10F3541D"/>
    <w:rsid w:val="10F42BEA"/>
    <w:rsid w:val="10F482F6"/>
    <w:rsid w:val="10F7C851"/>
    <w:rsid w:val="10F97AE4"/>
    <w:rsid w:val="11031BC9"/>
    <w:rsid w:val="110365E0"/>
    <w:rsid w:val="11047314"/>
    <w:rsid w:val="11047D10"/>
    <w:rsid w:val="110AE40D"/>
    <w:rsid w:val="110B544D"/>
    <w:rsid w:val="110C9584"/>
    <w:rsid w:val="110ED305"/>
    <w:rsid w:val="1110037F"/>
    <w:rsid w:val="1116E313"/>
    <w:rsid w:val="1118AFDD"/>
    <w:rsid w:val="1119CD76"/>
    <w:rsid w:val="111D710B"/>
    <w:rsid w:val="111F20AD"/>
    <w:rsid w:val="11206ECD"/>
    <w:rsid w:val="11277CE1"/>
    <w:rsid w:val="1128064A"/>
    <w:rsid w:val="112D6F87"/>
    <w:rsid w:val="112DDFF5"/>
    <w:rsid w:val="112FCB5A"/>
    <w:rsid w:val="112FF210"/>
    <w:rsid w:val="113333BD"/>
    <w:rsid w:val="11344211"/>
    <w:rsid w:val="11345E9B"/>
    <w:rsid w:val="113B6DA1"/>
    <w:rsid w:val="113C8F64"/>
    <w:rsid w:val="113E3AC8"/>
    <w:rsid w:val="11412E24"/>
    <w:rsid w:val="11413CD8"/>
    <w:rsid w:val="11414A04"/>
    <w:rsid w:val="114386A7"/>
    <w:rsid w:val="1144B7D4"/>
    <w:rsid w:val="1145777A"/>
    <w:rsid w:val="1145B0BB"/>
    <w:rsid w:val="1146015C"/>
    <w:rsid w:val="1147425D"/>
    <w:rsid w:val="1149C572"/>
    <w:rsid w:val="114ACE32"/>
    <w:rsid w:val="114B73D7"/>
    <w:rsid w:val="114DE279"/>
    <w:rsid w:val="115428B4"/>
    <w:rsid w:val="11571A7B"/>
    <w:rsid w:val="115B4554"/>
    <w:rsid w:val="115BA346"/>
    <w:rsid w:val="115CDF88"/>
    <w:rsid w:val="1162974F"/>
    <w:rsid w:val="116318D4"/>
    <w:rsid w:val="116779C1"/>
    <w:rsid w:val="1169B755"/>
    <w:rsid w:val="116A9C3E"/>
    <w:rsid w:val="116EA11B"/>
    <w:rsid w:val="117091FA"/>
    <w:rsid w:val="1172FEF2"/>
    <w:rsid w:val="11744176"/>
    <w:rsid w:val="11766F41"/>
    <w:rsid w:val="1178A3BE"/>
    <w:rsid w:val="117E5CC7"/>
    <w:rsid w:val="118197C2"/>
    <w:rsid w:val="11824177"/>
    <w:rsid w:val="1183566E"/>
    <w:rsid w:val="11839A98"/>
    <w:rsid w:val="1184147E"/>
    <w:rsid w:val="11843F64"/>
    <w:rsid w:val="1186CA2A"/>
    <w:rsid w:val="118B0EC7"/>
    <w:rsid w:val="118BCEEC"/>
    <w:rsid w:val="118C381F"/>
    <w:rsid w:val="118EDB17"/>
    <w:rsid w:val="119264EC"/>
    <w:rsid w:val="11935CE6"/>
    <w:rsid w:val="11965D4B"/>
    <w:rsid w:val="1198A7CE"/>
    <w:rsid w:val="11A06E18"/>
    <w:rsid w:val="11A2F8E2"/>
    <w:rsid w:val="11A617FF"/>
    <w:rsid w:val="11A7B46F"/>
    <w:rsid w:val="11A86EF2"/>
    <w:rsid w:val="11AE422D"/>
    <w:rsid w:val="11AFC677"/>
    <w:rsid w:val="11B2026F"/>
    <w:rsid w:val="11B496F4"/>
    <w:rsid w:val="11B99480"/>
    <w:rsid w:val="11BC3B9C"/>
    <w:rsid w:val="11BD499A"/>
    <w:rsid w:val="11BD7504"/>
    <w:rsid w:val="11C16686"/>
    <w:rsid w:val="11C241EE"/>
    <w:rsid w:val="11C41A1C"/>
    <w:rsid w:val="11C54034"/>
    <w:rsid w:val="11C5AD43"/>
    <w:rsid w:val="11C8388E"/>
    <w:rsid w:val="11C850F3"/>
    <w:rsid w:val="11C8C3D4"/>
    <w:rsid w:val="11C9E75D"/>
    <w:rsid w:val="11CA93E4"/>
    <w:rsid w:val="11CAE847"/>
    <w:rsid w:val="11CBE91A"/>
    <w:rsid w:val="11D0B566"/>
    <w:rsid w:val="11D10AF9"/>
    <w:rsid w:val="11D41C48"/>
    <w:rsid w:val="11D5A3AE"/>
    <w:rsid w:val="11D66106"/>
    <w:rsid w:val="11D66A79"/>
    <w:rsid w:val="11D815FF"/>
    <w:rsid w:val="11D818AF"/>
    <w:rsid w:val="11D8E8EE"/>
    <w:rsid w:val="11DA14F3"/>
    <w:rsid w:val="11DA3EEA"/>
    <w:rsid w:val="11DBB224"/>
    <w:rsid w:val="11DDFE23"/>
    <w:rsid w:val="11E01454"/>
    <w:rsid w:val="11E16D94"/>
    <w:rsid w:val="11E204D5"/>
    <w:rsid w:val="11E5DD31"/>
    <w:rsid w:val="11E61E01"/>
    <w:rsid w:val="11E94863"/>
    <w:rsid w:val="11EAF7EA"/>
    <w:rsid w:val="11EB550B"/>
    <w:rsid w:val="11EB65FC"/>
    <w:rsid w:val="11ECB128"/>
    <w:rsid w:val="11ECEEA1"/>
    <w:rsid w:val="11ED3C65"/>
    <w:rsid w:val="11EDDB88"/>
    <w:rsid w:val="11EE4D7D"/>
    <w:rsid w:val="11EE98E2"/>
    <w:rsid w:val="11F0338C"/>
    <w:rsid w:val="11F08D7F"/>
    <w:rsid w:val="11F1FF11"/>
    <w:rsid w:val="11F23C54"/>
    <w:rsid w:val="11F3C836"/>
    <w:rsid w:val="11F7A4E2"/>
    <w:rsid w:val="11F819EF"/>
    <w:rsid w:val="11F849B2"/>
    <w:rsid w:val="11F91594"/>
    <w:rsid w:val="11F9A251"/>
    <w:rsid w:val="11FA1A60"/>
    <w:rsid w:val="1205A35F"/>
    <w:rsid w:val="120B402D"/>
    <w:rsid w:val="120CC66B"/>
    <w:rsid w:val="1213B46B"/>
    <w:rsid w:val="1214E902"/>
    <w:rsid w:val="1215A7B4"/>
    <w:rsid w:val="121768BF"/>
    <w:rsid w:val="1219078C"/>
    <w:rsid w:val="121C5664"/>
    <w:rsid w:val="121E0224"/>
    <w:rsid w:val="121E8847"/>
    <w:rsid w:val="121EA956"/>
    <w:rsid w:val="1220EE5C"/>
    <w:rsid w:val="1221A03F"/>
    <w:rsid w:val="12270075"/>
    <w:rsid w:val="12272D77"/>
    <w:rsid w:val="122A246F"/>
    <w:rsid w:val="122DC92C"/>
    <w:rsid w:val="1233F79F"/>
    <w:rsid w:val="12362732"/>
    <w:rsid w:val="123938B9"/>
    <w:rsid w:val="1239DCA4"/>
    <w:rsid w:val="123A9133"/>
    <w:rsid w:val="123D06E8"/>
    <w:rsid w:val="1240B026"/>
    <w:rsid w:val="12416DA2"/>
    <w:rsid w:val="12418FC3"/>
    <w:rsid w:val="12429775"/>
    <w:rsid w:val="1242E4EF"/>
    <w:rsid w:val="1249623D"/>
    <w:rsid w:val="124AB94B"/>
    <w:rsid w:val="124C2D05"/>
    <w:rsid w:val="12512D23"/>
    <w:rsid w:val="125280BE"/>
    <w:rsid w:val="1256C504"/>
    <w:rsid w:val="125B5603"/>
    <w:rsid w:val="125C6F1D"/>
    <w:rsid w:val="12612EA3"/>
    <w:rsid w:val="1263D13D"/>
    <w:rsid w:val="12658048"/>
    <w:rsid w:val="1265EFCC"/>
    <w:rsid w:val="126765BC"/>
    <w:rsid w:val="12687B8E"/>
    <w:rsid w:val="12690157"/>
    <w:rsid w:val="126C1EDC"/>
    <w:rsid w:val="126DEB31"/>
    <w:rsid w:val="12701F0F"/>
    <w:rsid w:val="12749E6B"/>
    <w:rsid w:val="127721B3"/>
    <w:rsid w:val="127AC229"/>
    <w:rsid w:val="127B8CE0"/>
    <w:rsid w:val="1280BC7F"/>
    <w:rsid w:val="1280DDAD"/>
    <w:rsid w:val="12837DD9"/>
    <w:rsid w:val="1285A55D"/>
    <w:rsid w:val="12862EED"/>
    <w:rsid w:val="1287C40B"/>
    <w:rsid w:val="12883A02"/>
    <w:rsid w:val="128D82AC"/>
    <w:rsid w:val="128F77F5"/>
    <w:rsid w:val="129116B3"/>
    <w:rsid w:val="129528C8"/>
    <w:rsid w:val="12967F77"/>
    <w:rsid w:val="129844D1"/>
    <w:rsid w:val="129980B5"/>
    <w:rsid w:val="129DC3EF"/>
    <w:rsid w:val="12A4B489"/>
    <w:rsid w:val="12A4C426"/>
    <w:rsid w:val="12A6900E"/>
    <w:rsid w:val="12AA903E"/>
    <w:rsid w:val="12AC3EDA"/>
    <w:rsid w:val="12AE283B"/>
    <w:rsid w:val="12B044A7"/>
    <w:rsid w:val="12B0B32E"/>
    <w:rsid w:val="12B0B773"/>
    <w:rsid w:val="12B55D40"/>
    <w:rsid w:val="12B64FC8"/>
    <w:rsid w:val="12B8C969"/>
    <w:rsid w:val="12BDD91A"/>
    <w:rsid w:val="12BEF50D"/>
    <w:rsid w:val="12BF4072"/>
    <w:rsid w:val="12BFDB87"/>
    <w:rsid w:val="12C043D9"/>
    <w:rsid w:val="12C3BC63"/>
    <w:rsid w:val="12C445A7"/>
    <w:rsid w:val="12C5DE53"/>
    <w:rsid w:val="12C77CE0"/>
    <w:rsid w:val="12C8726D"/>
    <w:rsid w:val="12D40DC9"/>
    <w:rsid w:val="12D49FBB"/>
    <w:rsid w:val="12D5C412"/>
    <w:rsid w:val="12D85FC5"/>
    <w:rsid w:val="12DB0924"/>
    <w:rsid w:val="12DCC98F"/>
    <w:rsid w:val="12DD030C"/>
    <w:rsid w:val="12DEE3BA"/>
    <w:rsid w:val="12E082B2"/>
    <w:rsid w:val="12E10628"/>
    <w:rsid w:val="12E11C0E"/>
    <w:rsid w:val="12E442A9"/>
    <w:rsid w:val="12E5A6C7"/>
    <w:rsid w:val="12E91AFA"/>
    <w:rsid w:val="12E99787"/>
    <w:rsid w:val="12EA0F60"/>
    <w:rsid w:val="12EB6EB6"/>
    <w:rsid w:val="12EBD477"/>
    <w:rsid w:val="12EC0BC4"/>
    <w:rsid w:val="12ED80C8"/>
    <w:rsid w:val="12EF70C7"/>
    <w:rsid w:val="12F3DA1E"/>
    <w:rsid w:val="12F4A725"/>
    <w:rsid w:val="12F651EC"/>
    <w:rsid w:val="12F6968A"/>
    <w:rsid w:val="12F751DC"/>
    <w:rsid w:val="12F79E2D"/>
    <w:rsid w:val="12F8F32E"/>
    <w:rsid w:val="12FA21F3"/>
    <w:rsid w:val="12FAB889"/>
    <w:rsid w:val="12FAF011"/>
    <w:rsid w:val="12FCDD59"/>
    <w:rsid w:val="12FD5816"/>
    <w:rsid w:val="12FE9F99"/>
    <w:rsid w:val="1300ED81"/>
    <w:rsid w:val="130249D7"/>
    <w:rsid w:val="1302C685"/>
    <w:rsid w:val="1302D0A6"/>
    <w:rsid w:val="1303DA15"/>
    <w:rsid w:val="13049F64"/>
    <w:rsid w:val="1305FEA5"/>
    <w:rsid w:val="13086653"/>
    <w:rsid w:val="1308CD5C"/>
    <w:rsid w:val="130C746B"/>
    <w:rsid w:val="130E3F2D"/>
    <w:rsid w:val="131231F6"/>
    <w:rsid w:val="13129B16"/>
    <w:rsid w:val="131568CD"/>
    <w:rsid w:val="13159DE1"/>
    <w:rsid w:val="1316F811"/>
    <w:rsid w:val="131872FA"/>
    <w:rsid w:val="131D6823"/>
    <w:rsid w:val="131E53E3"/>
    <w:rsid w:val="131E8D7D"/>
    <w:rsid w:val="1321D40C"/>
    <w:rsid w:val="132223F4"/>
    <w:rsid w:val="1323041C"/>
    <w:rsid w:val="132556D0"/>
    <w:rsid w:val="13268D23"/>
    <w:rsid w:val="1329069E"/>
    <w:rsid w:val="13290927"/>
    <w:rsid w:val="13337F5B"/>
    <w:rsid w:val="1335B683"/>
    <w:rsid w:val="1335F101"/>
    <w:rsid w:val="133711E3"/>
    <w:rsid w:val="133AE072"/>
    <w:rsid w:val="133CB8E8"/>
    <w:rsid w:val="133DF865"/>
    <w:rsid w:val="1340C17D"/>
    <w:rsid w:val="13436C71"/>
    <w:rsid w:val="134A1E18"/>
    <w:rsid w:val="134EA9CD"/>
    <w:rsid w:val="1351969F"/>
    <w:rsid w:val="1351A9D5"/>
    <w:rsid w:val="135464C1"/>
    <w:rsid w:val="1355BD85"/>
    <w:rsid w:val="1357986A"/>
    <w:rsid w:val="13580E13"/>
    <w:rsid w:val="1358A09F"/>
    <w:rsid w:val="13593D1F"/>
    <w:rsid w:val="135B8E29"/>
    <w:rsid w:val="135BF6BC"/>
    <w:rsid w:val="135EECC3"/>
    <w:rsid w:val="13618551"/>
    <w:rsid w:val="1362B8BC"/>
    <w:rsid w:val="13631300"/>
    <w:rsid w:val="1365E5E9"/>
    <w:rsid w:val="1366AA69"/>
    <w:rsid w:val="1368032C"/>
    <w:rsid w:val="1369261B"/>
    <w:rsid w:val="1369B4DB"/>
    <w:rsid w:val="1369B847"/>
    <w:rsid w:val="1369C8C3"/>
    <w:rsid w:val="1369EF5A"/>
    <w:rsid w:val="136A98EB"/>
    <w:rsid w:val="13701407"/>
    <w:rsid w:val="1371163F"/>
    <w:rsid w:val="13725095"/>
    <w:rsid w:val="13784E77"/>
    <w:rsid w:val="1379DFEA"/>
    <w:rsid w:val="137AFAED"/>
    <w:rsid w:val="137B5315"/>
    <w:rsid w:val="137D94B8"/>
    <w:rsid w:val="1380830C"/>
    <w:rsid w:val="138286C4"/>
    <w:rsid w:val="1385278A"/>
    <w:rsid w:val="1389D0C5"/>
    <w:rsid w:val="138B66AD"/>
    <w:rsid w:val="138B99B8"/>
    <w:rsid w:val="138BF324"/>
    <w:rsid w:val="138EAB1E"/>
    <w:rsid w:val="13927A00"/>
    <w:rsid w:val="13941A29"/>
    <w:rsid w:val="13947DC9"/>
    <w:rsid w:val="13976A9B"/>
    <w:rsid w:val="13978D5A"/>
    <w:rsid w:val="139813E2"/>
    <w:rsid w:val="13987A54"/>
    <w:rsid w:val="139A186C"/>
    <w:rsid w:val="139B3DB9"/>
    <w:rsid w:val="139B821B"/>
    <w:rsid w:val="139C4A43"/>
    <w:rsid w:val="13A18C16"/>
    <w:rsid w:val="13A4B9F3"/>
    <w:rsid w:val="13A666FA"/>
    <w:rsid w:val="13A8C91E"/>
    <w:rsid w:val="13AAA46D"/>
    <w:rsid w:val="13AB28BA"/>
    <w:rsid w:val="13AC6E7E"/>
    <w:rsid w:val="13B09233"/>
    <w:rsid w:val="13B0B566"/>
    <w:rsid w:val="13B1CE4E"/>
    <w:rsid w:val="13B21C9A"/>
    <w:rsid w:val="13B956A9"/>
    <w:rsid w:val="13BABE42"/>
    <w:rsid w:val="13BC5DC0"/>
    <w:rsid w:val="13BCBEBD"/>
    <w:rsid w:val="13C11885"/>
    <w:rsid w:val="13C310EA"/>
    <w:rsid w:val="13C485C9"/>
    <w:rsid w:val="13C53FB6"/>
    <w:rsid w:val="13C6B675"/>
    <w:rsid w:val="13C8B07D"/>
    <w:rsid w:val="13CD2D5A"/>
    <w:rsid w:val="13CF683E"/>
    <w:rsid w:val="13D12991"/>
    <w:rsid w:val="13D4040C"/>
    <w:rsid w:val="13D42FD5"/>
    <w:rsid w:val="13D46552"/>
    <w:rsid w:val="13D5091A"/>
    <w:rsid w:val="13D7D038"/>
    <w:rsid w:val="13D90AD9"/>
    <w:rsid w:val="13DD77A3"/>
    <w:rsid w:val="13E14BAD"/>
    <w:rsid w:val="13E6B025"/>
    <w:rsid w:val="13E6DB23"/>
    <w:rsid w:val="13E8571E"/>
    <w:rsid w:val="13E8BE4D"/>
    <w:rsid w:val="13EA28D7"/>
    <w:rsid w:val="13EA6DC0"/>
    <w:rsid w:val="13ED485E"/>
    <w:rsid w:val="13EE4FC6"/>
    <w:rsid w:val="13EFDAAA"/>
    <w:rsid w:val="13F5305B"/>
    <w:rsid w:val="13F5C25A"/>
    <w:rsid w:val="13F78FAE"/>
    <w:rsid w:val="13F89DA8"/>
    <w:rsid w:val="13F9E415"/>
    <w:rsid w:val="13FF24D6"/>
    <w:rsid w:val="14002571"/>
    <w:rsid w:val="140077D1"/>
    <w:rsid w:val="1400DA50"/>
    <w:rsid w:val="1403F503"/>
    <w:rsid w:val="14042384"/>
    <w:rsid w:val="14049BD4"/>
    <w:rsid w:val="140573BD"/>
    <w:rsid w:val="140C117C"/>
    <w:rsid w:val="140D7001"/>
    <w:rsid w:val="140EB365"/>
    <w:rsid w:val="14123452"/>
    <w:rsid w:val="1413F162"/>
    <w:rsid w:val="14151B3E"/>
    <w:rsid w:val="14169520"/>
    <w:rsid w:val="141726B7"/>
    <w:rsid w:val="1417D7A1"/>
    <w:rsid w:val="1417ECFC"/>
    <w:rsid w:val="14181EBD"/>
    <w:rsid w:val="14191580"/>
    <w:rsid w:val="1419BC69"/>
    <w:rsid w:val="142225E4"/>
    <w:rsid w:val="14256AAE"/>
    <w:rsid w:val="1426B89E"/>
    <w:rsid w:val="14284D2D"/>
    <w:rsid w:val="142B2604"/>
    <w:rsid w:val="142BB17A"/>
    <w:rsid w:val="142CB92A"/>
    <w:rsid w:val="142CDBF8"/>
    <w:rsid w:val="142D76B9"/>
    <w:rsid w:val="142E0B2A"/>
    <w:rsid w:val="14329FD0"/>
    <w:rsid w:val="14364DA2"/>
    <w:rsid w:val="143977CA"/>
    <w:rsid w:val="143B9791"/>
    <w:rsid w:val="143DDFC1"/>
    <w:rsid w:val="143E3C10"/>
    <w:rsid w:val="1449E606"/>
    <w:rsid w:val="144EA30D"/>
    <w:rsid w:val="144F4577"/>
    <w:rsid w:val="144F71A7"/>
    <w:rsid w:val="144FFD2C"/>
    <w:rsid w:val="14516105"/>
    <w:rsid w:val="1452DD85"/>
    <w:rsid w:val="145856F4"/>
    <w:rsid w:val="145A7762"/>
    <w:rsid w:val="145C6B25"/>
    <w:rsid w:val="145F6EF5"/>
    <w:rsid w:val="1460760D"/>
    <w:rsid w:val="14611443"/>
    <w:rsid w:val="1461EC88"/>
    <w:rsid w:val="1462367D"/>
    <w:rsid w:val="1463579E"/>
    <w:rsid w:val="1463F172"/>
    <w:rsid w:val="14648E56"/>
    <w:rsid w:val="14673B34"/>
    <w:rsid w:val="14683057"/>
    <w:rsid w:val="1469469B"/>
    <w:rsid w:val="146AAF19"/>
    <w:rsid w:val="146B0927"/>
    <w:rsid w:val="146C4200"/>
    <w:rsid w:val="146E9389"/>
    <w:rsid w:val="146F8BA0"/>
    <w:rsid w:val="14751FDF"/>
    <w:rsid w:val="14786345"/>
    <w:rsid w:val="1478F7B2"/>
    <w:rsid w:val="14798A58"/>
    <w:rsid w:val="1479EB19"/>
    <w:rsid w:val="147B5EEE"/>
    <w:rsid w:val="147DEC56"/>
    <w:rsid w:val="147E5A73"/>
    <w:rsid w:val="147FCBFD"/>
    <w:rsid w:val="14866CA1"/>
    <w:rsid w:val="14869E33"/>
    <w:rsid w:val="14880948"/>
    <w:rsid w:val="148E1D81"/>
    <w:rsid w:val="14915BB9"/>
    <w:rsid w:val="14919667"/>
    <w:rsid w:val="1492F55A"/>
    <w:rsid w:val="149389D1"/>
    <w:rsid w:val="1495A2CD"/>
    <w:rsid w:val="14973C2F"/>
    <w:rsid w:val="149944A1"/>
    <w:rsid w:val="149F2787"/>
    <w:rsid w:val="149FB0B6"/>
    <w:rsid w:val="14A163F7"/>
    <w:rsid w:val="14A25316"/>
    <w:rsid w:val="14A42E78"/>
    <w:rsid w:val="14A4FA64"/>
    <w:rsid w:val="14A65E49"/>
    <w:rsid w:val="14A8D88C"/>
    <w:rsid w:val="14A99532"/>
    <w:rsid w:val="14AD1214"/>
    <w:rsid w:val="14AF3FDD"/>
    <w:rsid w:val="14B25E21"/>
    <w:rsid w:val="14B2E93A"/>
    <w:rsid w:val="14B57100"/>
    <w:rsid w:val="14B844F4"/>
    <w:rsid w:val="14B8D8F6"/>
    <w:rsid w:val="14BD0DB4"/>
    <w:rsid w:val="14C15E5B"/>
    <w:rsid w:val="14C1E617"/>
    <w:rsid w:val="14C27B2C"/>
    <w:rsid w:val="14C2D3A2"/>
    <w:rsid w:val="14C49A4E"/>
    <w:rsid w:val="14C77D7D"/>
    <w:rsid w:val="14CA383B"/>
    <w:rsid w:val="14CACC18"/>
    <w:rsid w:val="14CD2BB6"/>
    <w:rsid w:val="14CEF78B"/>
    <w:rsid w:val="14D0DBD6"/>
    <w:rsid w:val="14D285B9"/>
    <w:rsid w:val="14D38A30"/>
    <w:rsid w:val="14D513D6"/>
    <w:rsid w:val="14DB2B90"/>
    <w:rsid w:val="14DDCE0C"/>
    <w:rsid w:val="14DF145D"/>
    <w:rsid w:val="14E00001"/>
    <w:rsid w:val="14E4D4FA"/>
    <w:rsid w:val="14E6B5F6"/>
    <w:rsid w:val="14E975CE"/>
    <w:rsid w:val="14EE8832"/>
    <w:rsid w:val="14EF5F22"/>
    <w:rsid w:val="14F3041A"/>
    <w:rsid w:val="14F31660"/>
    <w:rsid w:val="14F38063"/>
    <w:rsid w:val="14F42C0E"/>
    <w:rsid w:val="14F8E99C"/>
    <w:rsid w:val="14F99C54"/>
    <w:rsid w:val="14FA6431"/>
    <w:rsid w:val="14FB00D8"/>
    <w:rsid w:val="14FCC2DA"/>
    <w:rsid w:val="14FCFB09"/>
    <w:rsid w:val="14FE52ED"/>
    <w:rsid w:val="1504CDF6"/>
    <w:rsid w:val="150616D8"/>
    <w:rsid w:val="150A8A89"/>
    <w:rsid w:val="150AC7FF"/>
    <w:rsid w:val="150B5FEE"/>
    <w:rsid w:val="150BB046"/>
    <w:rsid w:val="150D2FE0"/>
    <w:rsid w:val="150F25A3"/>
    <w:rsid w:val="1515DA71"/>
    <w:rsid w:val="1516C18B"/>
    <w:rsid w:val="151B520B"/>
    <w:rsid w:val="152137C4"/>
    <w:rsid w:val="1521BC7C"/>
    <w:rsid w:val="1523EAC4"/>
    <w:rsid w:val="1525D04F"/>
    <w:rsid w:val="1529EEFA"/>
    <w:rsid w:val="152F19D8"/>
    <w:rsid w:val="152FDCC3"/>
    <w:rsid w:val="153040E7"/>
    <w:rsid w:val="15389A3F"/>
    <w:rsid w:val="153AE73B"/>
    <w:rsid w:val="153B3CCB"/>
    <w:rsid w:val="153B9569"/>
    <w:rsid w:val="153BEE73"/>
    <w:rsid w:val="153FC191"/>
    <w:rsid w:val="15402DD3"/>
    <w:rsid w:val="154134B3"/>
    <w:rsid w:val="1541E954"/>
    <w:rsid w:val="1542CF4A"/>
    <w:rsid w:val="1543FCE9"/>
    <w:rsid w:val="1547955D"/>
    <w:rsid w:val="15488630"/>
    <w:rsid w:val="1548C7FB"/>
    <w:rsid w:val="15498FE0"/>
    <w:rsid w:val="154ABF4A"/>
    <w:rsid w:val="154C3B2E"/>
    <w:rsid w:val="154CD419"/>
    <w:rsid w:val="154D5033"/>
    <w:rsid w:val="154D515F"/>
    <w:rsid w:val="154EE420"/>
    <w:rsid w:val="155077D1"/>
    <w:rsid w:val="1551CCA4"/>
    <w:rsid w:val="1553A375"/>
    <w:rsid w:val="15577E4F"/>
    <w:rsid w:val="155C1113"/>
    <w:rsid w:val="155C6626"/>
    <w:rsid w:val="155CD3FA"/>
    <w:rsid w:val="155F88BF"/>
    <w:rsid w:val="155FA0A4"/>
    <w:rsid w:val="155FCA37"/>
    <w:rsid w:val="15602877"/>
    <w:rsid w:val="15607C24"/>
    <w:rsid w:val="1561945F"/>
    <w:rsid w:val="1561C991"/>
    <w:rsid w:val="1561DB06"/>
    <w:rsid w:val="1564329A"/>
    <w:rsid w:val="1565553B"/>
    <w:rsid w:val="156E8AE1"/>
    <w:rsid w:val="156F326B"/>
    <w:rsid w:val="156FC3BB"/>
    <w:rsid w:val="157004B6"/>
    <w:rsid w:val="1571E5C5"/>
    <w:rsid w:val="15722767"/>
    <w:rsid w:val="1575B235"/>
    <w:rsid w:val="15761B61"/>
    <w:rsid w:val="157BDE2C"/>
    <w:rsid w:val="157D5FBA"/>
    <w:rsid w:val="157D85E3"/>
    <w:rsid w:val="157E9594"/>
    <w:rsid w:val="157F6C33"/>
    <w:rsid w:val="1584E6B6"/>
    <w:rsid w:val="15896559"/>
    <w:rsid w:val="15914BA3"/>
    <w:rsid w:val="15919C89"/>
    <w:rsid w:val="1592E03E"/>
    <w:rsid w:val="15943CE2"/>
    <w:rsid w:val="1595E1D9"/>
    <w:rsid w:val="15973894"/>
    <w:rsid w:val="159B0878"/>
    <w:rsid w:val="159B1684"/>
    <w:rsid w:val="159BADCB"/>
    <w:rsid w:val="159CCCA9"/>
    <w:rsid w:val="15A1051E"/>
    <w:rsid w:val="15A2A983"/>
    <w:rsid w:val="15AA7CDA"/>
    <w:rsid w:val="15ABFDDB"/>
    <w:rsid w:val="15AD2651"/>
    <w:rsid w:val="15AEAED6"/>
    <w:rsid w:val="15B0DA84"/>
    <w:rsid w:val="15B1D359"/>
    <w:rsid w:val="15B92238"/>
    <w:rsid w:val="15B97B7A"/>
    <w:rsid w:val="15BE1BEA"/>
    <w:rsid w:val="15C071F2"/>
    <w:rsid w:val="15C389F0"/>
    <w:rsid w:val="15C6E4E8"/>
    <w:rsid w:val="15C7A2A3"/>
    <w:rsid w:val="15CA2088"/>
    <w:rsid w:val="15D00BD9"/>
    <w:rsid w:val="15D486B4"/>
    <w:rsid w:val="15D5C39E"/>
    <w:rsid w:val="15DD8393"/>
    <w:rsid w:val="15DFDC42"/>
    <w:rsid w:val="15E1B115"/>
    <w:rsid w:val="15E1B7A2"/>
    <w:rsid w:val="15E322EE"/>
    <w:rsid w:val="15E365EB"/>
    <w:rsid w:val="15E36AA9"/>
    <w:rsid w:val="15E3C7E6"/>
    <w:rsid w:val="15E3F5DD"/>
    <w:rsid w:val="15E70250"/>
    <w:rsid w:val="15E853F0"/>
    <w:rsid w:val="15EBE9B6"/>
    <w:rsid w:val="15EF6BBA"/>
    <w:rsid w:val="15F06D1F"/>
    <w:rsid w:val="15F3211A"/>
    <w:rsid w:val="15F5EAE6"/>
    <w:rsid w:val="15F603A5"/>
    <w:rsid w:val="15FB1129"/>
    <w:rsid w:val="15FE1C85"/>
    <w:rsid w:val="15FF8851"/>
    <w:rsid w:val="1601FAB7"/>
    <w:rsid w:val="1602F2EB"/>
    <w:rsid w:val="16032D62"/>
    <w:rsid w:val="160459D9"/>
    <w:rsid w:val="16070A2E"/>
    <w:rsid w:val="1608DE14"/>
    <w:rsid w:val="160C7CEC"/>
    <w:rsid w:val="160E09D8"/>
    <w:rsid w:val="16101892"/>
    <w:rsid w:val="16115457"/>
    <w:rsid w:val="16120781"/>
    <w:rsid w:val="161F3942"/>
    <w:rsid w:val="161F4307"/>
    <w:rsid w:val="1625763B"/>
    <w:rsid w:val="1625C370"/>
    <w:rsid w:val="162A8C2C"/>
    <w:rsid w:val="162ABDAB"/>
    <w:rsid w:val="162C7C25"/>
    <w:rsid w:val="162CA653"/>
    <w:rsid w:val="1630D79B"/>
    <w:rsid w:val="163232ED"/>
    <w:rsid w:val="16339E59"/>
    <w:rsid w:val="16349F04"/>
    <w:rsid w:val="163732B2"/>
    <w:rsid w:val="163BCF05"/>
    <w:rsid w:val="16419416"/>
    <w:rsid w:val="1643D0C1"/>
    <w:rsid w:val="1644065F"/>
    <w:rsid w:val="1648AA26"/>
    <w:rsid w:val="164A4DFF"/>
    <w:rsid w:val="164C591D"/>
    <w:rsid w:val="164CC1E1"/>
    <w:rsid w:val="164D9234"/>
    <w:rsid w:val="164FCDA2"/>
    <w:rsid w:val="16528B06"/>
    <w:rsid w:val="1652C5D5"/>
    <w:rsid w:val="165A45B8"/>
    <w:rsid w:val="165C930E"/>
    <w:rsid w:val="165EC6FA"/>
    <w:rsid w:val="1660CBB0"/>
    <w:rsid w:val="1660FDE9"/>
    <w:rsid w:val="16624090"/>
    <w:rsid w:val="16640EC2"/>
    <w:rsid w:val="1666A0D6"/>
    <w:rsid w:val="166CCF2D"/>
    <w:rsid w:val="1673A45E"/>
    <w:rsid w:val="16771904"/>
    <w:rsid w:val="1678AB99"/>
    <w:rsid w:val="167BD062"/>
    <w:rsid w:val="167C3088"/>
    <w:rsid w:val="167C54E8"/>
    <w:rsid w:val="167DFEC9"/>
    <w:rsid w:val="167EDAD6"/>
    <w:rsid w:val="167F2784"/>
    <w:rsid w:val="1680800F"/>
    <w:rsid w:val="1682F6C3"/>
    <w:rsid w:val="168659F9"/>
    <w:rsid w:val="16877045"/>
    <w:rsid w:val="16881580"/>
    <w:rsid w:val="168D3E95"/>
    <w:rsid w:val="16918F71"/>
    <w:rsid w:val="16934CC1"/>
    <w:rsid w:val="1695D9B5"/>
    <w:rsid w:val="16967566"/>
    <w:rsid w:val="16984CD2"/>
    <w:rsid w:val="1699FAFF"/>
    <w:rsid w:val="169A1B46"/>
    <w:rsid w:val="169C86CE"/>
    <w:rsid w:val="169E5BD4"/>
    <w:rsid w:val="16A05C72"/>
    <w:rsid w:val="16A1D06F"/>
    <w:rsid w:val="16A59875"/>
    <w:rsid w:val="16A6A91D"/>
    <w:rsid w:val="16AABF08"/>
    <w:rsid w:val="16B02403"/>
    <w:rsid w:val="16B16663"/>
    <w:rsid w:val="16B344BD"/>
    <w:rsid w:val="16B54939"/>
    <w:rsid w:val="16B70EFA"/>
    <w:rsid w:val="16B733CF"/>
    <w:rsid w:val="16BA770C"/>
    <w:rsid w:val="16BB2630"/>
    <w:rsid w:val="16BCA825"/>
    <w:rsid w:val="16BDF6C6"/>
    <w:rsid w:val="16BF688D"/>
    <w:rsid w:val="16C06E22"/>
    <w:rsid w:val="16C5B5FA"/>
    <w:rsid w:val="16C662CF"/>
    <w:rsid w:val="16C69DB4"/>
    <w:rsid w:val="16C720EA"/>
    <w:rsid w:val="16C977B3"/>
    <w:rsid w:val="16CBA582"/>
    <w:rsid w:val="16CC0410"/>
    <w:rsid w:val="16CEC4D1"/>
    <w:rsid w:val="16D1E2DF"/>
    <w:rsid w:val="16D47CFA"/>
    <w:rsid w:val="16D4B64F"/>
    <w:rsid w:val="16D88E15"/>
    <w:rsid w:val="16D8C288"/>
    <w:rsid w:val="16D9DAF4"/>
    <w:rsid w:val="16D9EEC9"/>
    <w:rsid w:val="16DA2867"/>
    <w:rsid w:val="16DB1728"/>
    <w:rsid w:val="16DE8486"/>
    <w:rsid w:val="16DEB25A"/>
    <w:rsid w:val="16E0B6D9"/>
    <w:rsid w:val="16E0F249"/>
    <w:rsid w:val="16E8FF76"/>
    <w:rsid w:val="16EA8CF6"/>
    <w:rsid w:val="16ECBE4A"/>
    <w:rsid w:val="16ED0597"/>
    <w:rsid w:val="16EED63A"/>
    <w:rsid w:val="16EF8F12"/>
    <w:rsid w:val="16F0E6B6"/>
    <w:rsid w:val="16F491F7"/>
    <w:rsid w:val="16F62A00"/>
    <w:rsid w:val="16F63570"/>
    <w:rsid w:val="16F70F18"/>
    <w:rsid w:val="16F8F2E3"/>
    <w:rsid w:val="16FD4A41"/>
    <w:rsid w:val="16FD9D0C"/>
    <w:rsid w:val="16FE0BD5"/>
    <w:rsid w:val="17063BB9"/>
    <w:rsid w:val="170AC17E"/>
    <w:rsid w:val="170B758B"/>
    <w:rsid w:val="170C8A7F"/>
    <w:rsid w:val="170E200C"/>
    <w:rsid w:val="1714A1C5"/>
    <w:rsid w:val="1715BB99"/>
    <w:rsid w:val="1718050E"/>
    <w:rsid w:val="1718EDF0"/>
    <w:rsid w:val="17198E44"/>
    <w:rsid w:val="171A2116"/>
    <w:rsid w:val="171F689A"/>
    <w:rsid w:val="1720B717"/>
    <w:rsid w:val="1724246E"/>
    <w:rsid w:val="17258BA0"/>
    <w:rsid w:val="17259710"/>
    <w:rsid w:val="17299C64"/>
    <w:rsid w:val="172A487D"/>
    <w:rsid w:val="172BF8F2"/>
    <w:rsid w:val="172F4BB1"/>
    <w:rsid w:val="17333BA5"/>
    <w:rsid w:val="173A8D98"/>
    <w:rsid w:val="173B004A"/>
    <w:rsid w:val="173DE7B1"/>
    <w:rsid w:val="17402007"/>
    <w:rsid w:val="1747559F"/>
    <w:rsid w:val="174A87BA"/>
    <w:rsid w:val="174E6A89"/>
    <w:rsid w:val="174E6B3F"/>
    <w:rsid w:val="174E90DB"/>
    <w:rsid w:val="175217D4"/>
    <w:rsid w:val="1755D2D1"/>
    <w:rsid w:val="175F7F86"/>
    <w:rsid w:val="1761C484"/>
    <w:rsid w:val="17627452"/>
    <w:rsid w:val="1764450D"/>
    <w:rsid w:val="1764A04B"/>
    <w:rsid w:val="176584E1"/>
    <w:rsid w:val="1767AC9D"/>
    <w:rsid w:val="176867BB"/>
    <w:rsid w:val="1768AA18"/>
    <w:rsid w:val="176AF827"/>
    <w:rsid w:val="176BC747"/>
    <w:rsid w:val="176DA1AC"/>
    <w:rsid w:val="176DA2B4"/>
    <w:rsid w:val="176E486F"/>
    <w:rsid w:val="17754740"/>
    <w:rsid w:val="1777C5E1"/>
    <w:rsid w:val="177808C3"/>
    <w:rsid w:val="177C0888"/>
    <w:rsid w:val="177C649D"/>
    <w:rsid w:val="177CB96A"/>
    <w:rsid w:val="1783D2B0"/>
    <w:rsid w:val="1783DB76"/>
    <w:rsid w:val="17871720"/>
    <w:rsid w:val="17877163"/>
    <w:rsid w:val="1789BF5C"/>
    <w:rsid w:val="178C4D66"/>
    <w:rsid w:val="178D889E"/>
    <w:rsid w:val="178DE0C0"/>
    <w:rsid w:val="17930200"/>
    <w:rsid w:val="17936CDA"/>
    <w:rsid w:val="179408A9"/>
    <w:rsid w:val="1795A73C"/>
    <w:rsid w:val="179898B5"/>
    <w:rsid w:val="179D008B"/>
    <w:rsid w:val="179E38DA"/>
    <w:rsid w:val="179F4AC3"/>
    <w:rsid w:val="17A2B280"/>
    <w:rsid w:val="17A609F8"/>
    <w:rsid w:val="17A75944"/>
    <w:rsid w:val="17A9110F"/>
    <w:rsid w:val="17B14EDA"/>
    <w:rsid w:val="17B1FE53"/>
    <w:rsid w:val="17B31078"/>
    <w:rsid w:val="17B776FC"/>
    <w:rsid w:val="17B7C31C"/>
    <w:rsid w:val="17BA31B5"/>
    <w:rsid w:val="17BB7A86"/>
    <w:rsid w:val="17BC1724"/>
    <w:rsid w:val="17BE4521"/>
    <w:rsid w:val="17BF350F"/>
    <w:rsid w:val="17C14AB9"/>
    <w:rsid w:val="17C15173"/>
    <w:rsid w:val="17C21D0E"/>
    <w:rsid w:val="17C4D21A"/>
    <w:rsid w:val="17C6BBD0"/>
    <w:rsid w:val="17C7D2BA"/>
    <w:rsid w:val="17C807EF"/>
    <w:rsid w:val="17C9864A"/>
    <w:rsid w:val="17CAAD2C"/>
    <w:rsid w:val="17CBE183"/>
    <w:rsid w:val="17CD3AB8"/>
    <w:rsid w:val="17CDBCD4"/>
    <w:rsid w:val="17CDE69A"/>
    <w:rsid w:val="17D189C8"/>
    <w:rsid w:val="17D2534B"/>
    <w:rsid w:val="17D386A9"/>
    <w:rsid w:val="17D3F290"/>
    <w:rsid w:val="17D4DB33"/>
    <w:rsid w:val="17D6602B"/>
    <w:rsid w:val="17D71FC7"/>
    <w:rsid w:val="17D9B174"/>
    <w:rsid w:val="17DE42D6"/>
    <w:rsid w:val="17DEA32D"/>
    <w:rsid w:val="17DEB5FD"/>
    <w:rsid w:val="17DFB0FE"/>
    <w:rsid w:val="17E50EF4"/>
    <w:rsid w:val="17E7A274"/>
    <w:rsid w:val="17E93801"/>
    <w:rsid w:val="17EB855E"/>
    <w:rsid w:val="17ED9E4B"/>
    <w:rsid w:val="17EE6EF1"/>
    <w:rsid w:val="17F0F7B9"/>
    <w:rsid w:val="17F1D7AA"/>
    <w:rsid w:val="17F42787"/>
    <w:rsid w:val="17F46C45"/>
    <w:rsid w:val="17F4F8F6"/>
    <w:rsid w:val="17F51EA0"/>
    <w:rsid w:val="17F81DCE"/>
    <w:rsid w:val="17F9FF04"/>
    <w:rsid w:val="17FB3CBA"/>
    <w:rsid w:val="17FB3ED3"/>
    <w:rsid w:val="17FC5887"/>
    <w:rsid w:val="17FFC1D0"/>
    <w:rsid w:val="180013CD"/>
    <w:rsid w:val="18034D23"/>
    <w:rsid w:val="18047B44"/>
    <w:rsid w:val="180E00E5"/>
    <w:rsid w:val="1811CA0F"/>
    <w:rsid w:val="1811D1A7"/>
    <w:rsid w:val="18135152"/>
    <w:rsid w:val="1816261A"/>
    <w:rsid w:val="1817CA39"/>
    <w:rsid w:val="18183C32"/>
    <w:rsid w:val="181AD6C8"/>
    <w:rsid w:val="181D485B"/>
    <w:rsid w:val="181EC21F"/>
    <w:rsid w:val="181FA7CD"/>
    <w:rsid w:val="18202AE4"/>
    <w:rsid w:val="182287EF"/>
    <w:rsid w:val="18248CCB"/>
    <w:rsid w:val="1824DE7E"/>
    <w:rsid w:val="1827AA75"/>
    <w:rsid w:val="1828B106"/>
    <w:rsid w:val="1828EEF1"/>
    <w:rsid w:val="182A65D8"/>
    <w:rsid w:val="182C50FE"/>
    <w:rsid w:val="182DD571"/>
    <w:rsid w:val="182E01B3"/>
    <w:rsid w:val="182F8682"/>
    <w:rsid w:val="18365AC0"/>
    <w:rsid w:val="18366D2F"/>
    <w:rsid w:val="183B2B0C"/>
    <w:rsid w:val="183DD32D"/>
    <w:rsid w:val="183EEE84"/>
    <w:rsid w:val="1842C795"/>
    <w:rsid w:val="18430924"/>
    <w:rsid w:val="184327FE"/>
    <w:rsid w:val="18441655"/>
    <w:rsid w:val="18487D44"/>
    <w:rsid w:val="184E37CE"/>
    <w:rsid w:val="1852C833"/>
    <w:rsid w:val="1852E939"/>
    <w:rsid w:val="1854022F"/>
    <w:rsid w:val="18546F49"/>
    <w:rsid w:val="185885FE"/>
    <w:rsid w:val="185ADFC3"/>
    <w:rsid w:val="185B95BB"/>
    <w:rsid w:val="185BA91D"/>
    <w:rsid w:val="185C19A0"/>
    <w:rsid w:val="185D0E90"/>
    <w:rsid w:val="185E3B73"/>
    <w:rsid w:val="185FE755"/>
    <w:rsid w:val="1860FF04"/>
    <w:rsid w:val="1862DD67"/>
    <w:rsid w:val="18634CCD"/>
    <w:rsid w:val="186E4875"/>
    <w:rsid w:val="186FD3E6"/>
    <w:rsid w:val="18738F35"/>
    <w:rsid w:val="1875D909"/>
    <w:rsid w:val="187602EC"/>
    <w:rsid w:val="1876A686"/>
    <w:rsid w:val="187AE0FA"/>
    <w:rsid w:val="187CAA0D"/>
    <w:rsid w:val="187F1E71"/>
    <w:rsid w:val="187F9F00"/>
    <w:rsid w:val="1881980F"/>
    <w:rsid w:val="18821AC1"/>
    <w:rsid w:val="188997CD"/>
    <w:rsid w:val="188A6EA8"/>
    <w:rsid w:val="188DE5AF"/>
    <w:rsid w:val="188E70E1"/>
    <w:rsid w:val="188EF91D"/>
    <w:rsid w:val="189216D8"/>
    <w:rsid w:val="1892DF79"/>
    <w:rsid w:val="189662A3"/>
    <w:rsid w:val="189B5858"/>
    <w:rsid w:val="189C611A"/>
    <w:rsid w:val="189C9AD0"/>
    <w:rsid w:val="189EC517"/>
    <w:rsid w:val="189F3664"/>
    <w:rsid w:val="189FAEBA"/>
    <w:rsid w:val="18A209F7"/>
    <w:rsid w:val="18A47B9B"/>
    <w:rsid w:val="18A5690B"/>
    <w:rsid w:val="18A8B783"/>
    <w:rsid w:val="18AD4440"/>
    <w:rsid w:val="18AED915"/>
    <w:rsid w:val="18B38EDC"/>
    <w:rsid w:val="18B441E9"/>
    <w:rsid w:val="18B7A580"/>
    <w:rsid w:val="18B81630"/>
    <w:rsid w:val="18BAFBB3"/>
    <w:rsid w:val="18BBBA68"/>
    <w:rsid w:val="18BC0B1A"/>
    <w:rsid w:val="18BC8778"/>
    <w:rsid w:val="18BD6CD8"/>
    <w:rsid w:val="18BE4E10"/>
    <w:rsid w:val="18BF8B42"/>
    <w:rsid w:val="18BFCEF2"/>
    <w:rsid w:val="18C1C0E9"/>
    <w:rsid w:val="18C2F93F"/>
    <w:rsid w:val="18C387FA"/>
    <w:rsid w:val="18C3EAEF"/>
    <w:rsid w:val="18C7F360"/>
    <w:rsid w:val="18C7FB45"/>
    <w:rsid w:val="18C8357E"/>
    <w:rsid w:val="18CF15DC"/>
    <w:rsid w:val="18D091E0"/>
    <w:rsid w:val="18D148D4"/>
    <w:rsid w:val="18D279E2"/>
    <w:rsid w:val="18D3D20D"/>
    <w:rsid w:val="18D46D87"/>
    <w:rsid w:val="18D50B1E"/>
    <w:rsid w:val="18D764C6"/>
    <w:rsid w:val="18D9CA23"/>
    <w:rsid w:val="18D9FE20"/>
    <w:rsid w:val="18DC0CAD"/>
    <w:rsid w:val="18DD7051"/>
    <w:rsid w:val="18DF6CF4"/>
    <w:rsid w:val="18E2A0E7"/>
    <w:rsid w:val="18E40706"/>
    <w:rsid w:val="18E69A55"/>
    <w:rsid w:val="18E6A0B3"/>
    <w:rsid w:val="18E71534"/>
    <w:rsid w:val="18EB8D7F"/>
    <w:rsid w:val="18EC1E8A"/>
    <w:rsid w:val="18EF977F"/>
    <w:rsid w:val="18F46182"/>
    <w:rsid w:val="18F769BD"/>
    <w:rsid w:val="18FA7FBF"/>
    <w:rsid w:val="18FA8261"/>
    <w:rsid w:val="18FC2D8C"/>
    <w:rsid w:val="18FF8032"/>
    <w:rsid w:val="1900C0E7"/>
    <w:rsid w:val="1901E3C5"/>
    <w:rsid w:val="19022070"/>
    <w:rsid w:val="19024636"/>
    <w:rsid w:val="1905EB5A"/>
    <w:rsid w:val="1906361C"/>
    <w:rsid w:val="19073CA0"/>
    <w:rsid w:val="1907C9CB"/>
    <w:rsid w:val="1909BFC6"/>
    <w:rsid w:val="190E5AF7"/>
    <w:rsid w:val="190F7C3A"/>
    <w:rsid w:val="191114EA"/>
    <w:rsid w:val="1912654E"/>
    <w:rsid w:val="1915064F"/>
    <w:rsid w:val="1915AEF2"/>
    <w:rsid w:val="19195D47"/>
    <w:rsid w:val="191B3FB6"/>
    <w:rsid w:val="191BD843"/>
    <w:rsid w:val="191BF956"/>
    <w:rsid w:val="191D25E8"/>
    <w:rsid w:val="191E3F02"/>
    <w:rsid w:val="191E5125"/>
    <w:rsid w:val="191F100A"/>
    <w:rsid w:val="192282D3"/>
    <w:rsid w:val="1922D4BF"/>
    <w:rsid w:val="192341B1"/>
    <w:rsid w:val="192461B4"/>
    <w:rsid w:val="1924764C"/>
    <w:rsid w:val="1929EE85"/>
    <w:rsid w:val="192A7057"/>
    <w:rsid w:val="192B6E12"/>
    <w:rsid w:val="192D54B4"/>
    <w:rsid w:val="192D87D6"/>
    <w:rsid w:val="192EA5E0"/>
    <w:rsid w:val="19309352"/>
    <w:rsid w:val="1931008B"/>
    <w:rsid w:val="193151AA"/>
    <w:rsid w:val="193439A6"/>
    <w:rsid w:val="193476CA"/>
    <w:rsid w:val="1939620E"/>
    <w:rsid w:val="193A48D8"/>
    <w:rsid w:val="193A7C2A"/>
    <w:rsid w:val="193AB47D"/>
    <w:rsid w:val="193BF3A8"/>
    <w:rsid w:val="193CEB58"/>
    <w:rsid w:val="1943A2EB"/>
    <w:rsid w:val="19485890"/>
    <w:rsid w:val="19485D2C"/>
    <w:rsid w:val="19496D48"/>
    <w:rsid w:val="194D93A0"/>
    <w:rsid w:val="194E0B1F"/>
    <w:rsid w:val="194EA65F"/>
    <w:rsid w:val="1951BD27"/>
    <w:rsid w:val="1954EC85"/>
    <w:rsid w:val="1955C313"/>
    <w:rsid w:val="19586823"/>
    <w:rsid w:val="195869E4"/>
    <w:rsid w:val="1958E7C9"/>
    <w:rsid w:val="1960AFE5"/>
    <w:rsid w:val="1963EC3D"/>
    <w:rsid w:val="1967CDF8"/>
    <w:rsid w:val="19686C98"/>
    <w:rsid w:val="196A63B5"/>
    <w:rsid w:val="196AD030"/>
    <w:rsid w:val="196BE7A3"/>
    <w:rsid w:val="196E77AD"/>
    <w:rsid w:val="196FD0B9"/>
    <w:rsid w:val="1975FF77"/>
    <w:rsid w:val="19766FC6"/>
    <w:rsid w:val="19767AB5"/>
    <w:rsid w:val="19779041"/>
    <w:rsid w:val="197A4248"/>
    <w:rsid w:val="197B692A"/>
    <w:rsid w:val="197C7222"/>
    <w:rsid w:val="197C851D"/>
    <w:rsid w:val="197E6493"/>
    <w:rsid w:val="197F16F8"/>
    <w:rsid w:val="1982E979"/>
    <w:rsid w:val="198489C4"/>
    <w:rsid w:val="19859575"/>
    <w:rsid w:val="1985EE48"/>
    <w:rsid w:val="198627C7"/>
    <w:rsid w:val="19872008"/>
    <w:rsid w:val="19889525"/>
    <w:rsid w:val="198A4D5D"/>
    <w:rsid w:val="198DB0B3"/>
    <w:rsid w:val="198F67DD"/>
    <w:rsid w:val="19901D09"/>
    <w:rsid w:val="19902D9E"/>
    <w:rsid w:val="19931183"/>
    <w:rsid w:val="19959C1A"/>
    <w:rsid w:val="199723B9"/>
    <w:rsid w:val="1999E73D"/>
    <w:rsid w:val="1999EA82"/>
    <w:rsid w:val="199A3F51"/>
    <w:rsid w:val="199E7992"/>
    <w:rsid w:val="19A1384D"/>
    <w:rsid w:val="19A1F40A"/>
    <w:rsid w:val="19A344DD"/>
    <w:rsid w:val="19A7630C"/>
    <w:rsid w:val="19A95EAD"/>
    <w:rsid w:val="19A9D096"/>
    <w:rsid w:val="19AD2550"/>
    <w:rsid w:val="19AE4A58"/>
    <w:rsid w:val="19AEA5BA"/>
    <w:rsid w:val="19B2B874"/>
    <w:rsid w:val="19B472BD"/>
    <w:rsid w:val="19B49E97"/>
    <w:rsid w:val="19B572A2"/>
    <w:rsid w:val="19B57F14"/>
    <w:rsid w:val="19B7C62C"/>
    <w:rsid w:val="19B80AAE"/>
    <w:rsid w:val="19B89E25"/>
    <w:rsid w:val="19BCE6F1"/>
    <w:rsid w:val="19BCE7FA"/>
    <w:rsid w:val="19BCF057"/>
    <w:rsid w:val="19BE1B88"/>
    <w:rsid w:val="19BEA40B"/>
    <w:rsid w:val="19C195E0"/>
    <w:rsid w:val="19C1D4E2"/>
    <w:rsid w:val="19C3D534"/>
    <w:rsid w:val="19C50B78"/>
    <w:rsid w:val="19C5136B"/>
    <w:rsid w:val="19C9CBDC"/>
    <w:rsid w:val="19CAD396"/>
    <w:rsid w:val="19CB0A94"/>
    <w:rsid w:val="19CB970F"/>
    <w:rsid w:val="19CD41BD"/>
    <w:rsid w:val="19CEA30F"/>
    <w:rsid w:val="19CF7AAD"/>
    <w:rsid w:val="19D3C736"/>
    <w:rsid w:val="19D4DA96"/>
    <w:rsid w:val="19D55C4B"/>
    <w:rsid w:val="19DD2C27"/>
    <w:rsid w:val="19DD6EE8"/>
    <w:rsid w:val="19E7516E"/>
    <w:rsid w:val="19E8C097"/>
    <w:rsid w:val="19F018F0"/>
    <w:rsid w:val="19F16267"/>
    <w:rsid w:val="19F1D45E"/>
    <w:rsid w:val="19F944D9"/>
    <w:rsid w:val="19F977FF"/>
    <w:rsid w:val="19F9D66E"/>
    <w:rsid w:val="19FAA175"/>
    <w:rsid w:val="19FDF14F"/>
    <w:rsid w:val="19FEC562"/>
    <w:rsid w:val="19FFAD78"/>
    <w:rsid w:val="1A020370"/>
    <w:rsid w:val="1A042AE9"/>
    <w:rsid w:val="1A04C2D2"/>
    <w:rsid w:val="1A0D1C16"/>
    <w:rsid w:val="1A0DA82E"/>
    <w:rsid w:val="1A173F0E"/>
    <w:rsid w:val="1A1A9CF9"/>
    <w:rsid w:val="1A1DED3B"/>
    <w:rsid w:val="1A1FB824"/>
    <w:rsid w:val="1A204074"/>
    <w:rsid w:val="1A224E7C"/>
    <w:rsid w:val="1A22869A"/>
    <w:rsid w:val="1A239F49"/>
    <w:rsid w:val="1A287B2A"/>
    <w:rsid w:val="1A29FEE9"/>
    <w:rsid w:val="1A32CBB3"/>
    <w:rsid w:val="1A354C29"/>
    <w:rsid w:val="1A36C9E4"/>
    <w:rsid w:val="1A373629"/>
    <w:rsid w:val="1A3C8A27"/>
    <w:rsid w:val="1A3F356C"/>
    <w:rsid w:val="1A3F3B14"/>
    <w:rsid w:val="1A4254DF"/>
    <w:rsid w:val="1A44D9D0"/>
    <w:rsid w:val="1A495095"/>
    <w:rsid w:val="1A4F30B0"/>
    <w:rsid w:val="1A4FBEAC"/>
    <w:rsid w:val="1A52B7C6"/>
    <w:rsid w:val="1A539368"/>
    <w:rsid w:val="1A5B0ECC"/>
    <w:rsid w:val="1A5C95B3"/>
    <w:rsid w:val="1A5D5C59"/>
    <w:rsid w:val="1A617E57"/>
    <w:rsid w:val="1A618FF6"/>
    <w:rsid w:val="1A6367E9"/>
    <w:rsid w:val="1A67DA9D"/>
    <w:rsid w:val="1A6B26CD"/>
    <w:rsid w:val="1A6BB50D"/>
    <w:rsid w:val="1A6E3F41"/>
    <w:rsid w:val="1A6F7FFE"/>
    <w:rsid w:val="1A708FC1"/>
    <w:rsid w:val="1A714130"/>
    <w:rsid w:val="1A72C60B"/>
    <w:rsid w:val="1A733E89"/>
    <w:rsid w:val="1A766707"/>
    <w:rsid w:val="1A78A418"/>
    <w:rsid w:val="1A7964CC"/>
    <w:rsid w:val="1A7B8514"/>
    <w:rsid w:val="1A7CB185"/>
    <w:rsid w:val="1A7EC4E5"/>
    <w:rsid w:val="1A80554C"/>
    <w:rsid w:val="1A83065E"/>
    <w:rsid w:val="1A868081"/>
    <w:rsid w:val="1A86F5B4"/>
    <w:rsid w:val="1A8BAC80"/>
    <w:rsid w:val="1A8BCAB1"/>
    <w:rsid w:val="1A8CF36A"/>
    <w:rsid w:val="1A8EB022"/>
    <w:rsid w:val="1A9013B4"/>
    <w:rsid w:val="1A92E2C6"/>
    <w:rsid w:val="1A93CB54"/>
    <w:rsid w:val="1A952123"/>
    <w:rsid w:val="1A95E080"/>
    <w:rsid w:val="1A965ECB"/>
    <w:rsid w:val="1A9727F9"/>
    <w:rsid w:val="1A9A4815"/>
    <w:rsid w:val="1A9B71C1"/>
    <w:rsid w:val="1AA0CFA7"/>
    <w:rsid w:val="1AA53CCF"/>
    <w:rsid w:val="1AA78A3A"/>
    <w:rsid w:val="1AAA065D"/>
    <w:rsid w:val="1AADD000"/>
    <w:rsid w:val="1AADF5AF"/>
    <w:rsid w:val="1AAE1CF2"/>
    <w:rsid w:val="1AAF7C73"/>
    <w:rsid w:val="1AB0E70C"/>
    <w:rsid w:val="1AB129F1"/>
    <w:rsid w:val="1AB13371"/>
    <w:rsid w:val="1AB30C4E"/>
    <w:rsid w:val="1AB44742"/>
    <w:rsid w:val="1ABA013D"/>
    <w:rsid w:val="1AC212E9"/>
    <w:rsid w:val="1AC31D14"/>
    <w:rsid w:val="1AC327A6"/>
    <w:rsid w:val="1AC49A77"/>
    <w:rsid w:val="1AC6BC9B"/>
    <w:rsid w:val="1AC8C4C7"/>
    <w:rsid w:val="1ACC478E"/>
    <w:rsid w:val="1ACF559E"/>
    <w:rsid w:val="1AD352D9"/>
    <w:rsid w:val="1AD4FFC8"/>
    <w:rsid w:val="1AD848CD"/>
    <w:rsid w:val="1ADB2168"/>
    <w:rsid w:val="1ADC67D4"/>
    <w:rsid w:val="1ADEEE7F"/>
    <w:rsid w:val="1AE06A8B"/>
    <w:rsid w:val="1AE7315D"/>
    <w:rsid w:val="1AE805E9"/>
    <w:rsid w:val="1AE8991D"/>
    <w:rsid w:val="1AEAA0BE"/>
    <w:rsid w:val="1AECD8C4"/>
    <w:rsid w:val="1AF161AE"/>
    <w:rsid w:val="1AF23CF0"/>
    <w:rsid w:val="1AF2C7F7"/>
    <w:rsid w:val="1AF2D3E6"/>
    <w:rsid w:val="1AF5069E"/>
    <w:rsid w:val="1AF5B317"/>
    <w:rsid w:val="1AF6187D"/>
    <w:rsid w:val="1AF8A8EA"/>
    <w:rsid w:val="1AF8EB7B"/>
    <w:rsid w:val="1B00561E"/>
    <w:rsid w:val="1B02F0E6"/>
    <w:rsid w:val="1B07653E"/>
    <w:rsid w:val="1B08D146"/>
    <w:rsid w:val="1B0AC7B3"/>
    <w:rsid w:val="1B0F80B4"/>
    <w:rsid w:val="1B11A983"/>
    <w:rsid w:val="1B11FBA4"/>
    <w:rsid w:val="1B13F4C9"/>
    <w:rsid w:val="1B1626E7"/>
    <w:rsid w:val="1B18ECA1"/>
    <w:rsid w:val="1B1C4E49"/>
    <w:rsid w:val="1B1C8962"/>
    <w:rsid w:val="1B1CEA12"/>
    <w:rsid w:val="1B1DAFAF"/>
    <w:rsid w:val="1B2146B9"/>
    <w:rsid w:val="1B253F0D"/>
    <w:rsid w:val="1B2739A9"/>
    <w:rsid w:val="1B297D4D"/>
    <w:rsid w:val="1B2B611D"/>
    <w:rsid w:val="1B2D02C0"/>
    <w:rsid w:val="1B2F2734"/>
    <w:rsid w:val="1B2FB32A"/>
    <w:rsid w:val="1B334E81"/>
    <w:rsid w:val="1B3A4FD1"/>
    <w:rsid w:val="1B3AF51A"/>
    <w:rsid w:val="1B3B7093"/>
    <w:rsid w:val="1B3D7E1F"/>
    <w:rsid w:val="1B3F60A1"/>
    <w:rsid w:val="1B402DB6"/>
    <w:rsid w:val="1B41842A"/>
    <w:rsid w:val="1B425076"/>
    <w:rsid w:val="1B42552C"/>
    <w:rsid w:val="1B42FCEC"/>
    <w:rsid w:val="1B45B93F"/>
    <w:rsid w:val="1B45C3DB"/>
    <w:rsid w:val="1B45ED40"/>
    <w:rsid w:val="1B45F28A"/>
    <w:rsid w:val="1B45FBD8"/>
    <w:rsid w:val="1B46F070"/>
    <w:rsid w:val="1B4718D6"/>
    <w:rsid w:val="1B4878B0"/>
    <w:rsid w:val="1B4DA719"/>
    <w:rsid w:val="1B4E1D13"/>
    <w:rsid w:val="1B501B44"/>
    <w:rsid w:val="1B5464FF"/>
    <w:rsid w:val="1B552271"/>
    <w:rsid w:val="1B56315F"/>
    <w:rsid w:val="1B5AB265"/>
    <w:rsid w:val="1B5F833A"/>
    <w:rsid w:val="1B64A454"/>
    <w:rsid w:val="1B67F205"/>
    <w:rsid w:val="1B685E9D"/>
    <w:rsid w:val="1B689129"/>
    <w:rsid w:val="1B6C3D27"/>
    <w:rsid w:val="1B6D9471"/>
    <w:rsid w:val="1B724868"/>
    <w:rsid w:val="1B72715F"/>
    <w:rsid w:val="1B7448E8"/>
    <w:rsid w:val="1B76DFC9"/>
    <w:rsid w:val="1B7D1F57"/>
    <w:rsid w:val="1B7FE7CC"/>
    <w:rsid w:val="1B837D33"/>
    <w:rsid w:val="1B855000"/>
    <w:rsid w:val="1B88665F"/>
    <w:rsid w:val="1B897698"/>
    <w:rsid w:val="1B8D40F7"/>
    <w:rsid w:val="1B8D6D95"/>
    <w:rsid w:val="1B8DBF16"/>
    <w:rsid w:val="1B8F0B74"/>
    <w:rsid w:val="1B8F9054"/>
    <w:rsid w:val="1B8FD01E"/>
    <w:rsid w:val="1B940794"/>
    <w:rsid w:val="1B95E8C5"/>
    <w:rsid w:val="1B97FF6A"/>
    <w:rsid w:val="1B98D0DC"/>
    <w:rsid w:val="1B993F40"/>
    <w:rsid w:val="1B9E75D8"/>
    <w:rsid w:val="1B9FD845"/>
    <w:rsid w:val="1BA02538"/>
    <w:rsid w:val="1BA483E9"/>
    <w:rsid w:val="1BA70067"/>
    <w:rsid w:val="1BAA6D7A"/>
    <w:rsid w:val="1BAA8444"/>
    <w:rsid w:val="1BAA846A"/>
    <w:rsid w:val="1BABF02B"/>
    <w:rsid w:val="1BB1C389"/>
    <w:rsid w:val="1BB1F16E"/>
    <w:rsid w:val="1BB2A206"/>
    <w:rsid w:val="1BB382E9"/>
    <w:rsid w:val="1BB93AD5"/>
    <w:rsid w:val="1BBAB6A6"/>
    <w:rsid w:val="1BBE20D1"/>
    <w:rsid w:val="1BC0C90C"/>
    <w:rsid w:val="1BC3AD43"/>
    <w:rsid w:val="1BC76DBD"/>
    <w:rsid w:val="1BC88420"/>
    <w:rsid w:val="1BC94C06"/>
    <w:rsid w:val="1BC9F7DB"/>
    <w:rsid w:val="1BCF2EB5"/>
    <w:rsid w:val="1BD06234"/>
    <w:rsid w:val="1BD1F3EA"/>
    <w:rsid w:val="1BD4CA81"/>
    <w:rsid w:val="1BD54A00"/>
    <w:rsid w:val="1BD68BCC"/>
    <w:rsid w:val="1BDA8DB6"/>
    <w:rsid w:val="1BDAFA3D"/>
    <w:rsid w:val="1BDD31C3"/>
    <w:rsid w:val="1BE33CC0"/>
    <w:rsid w:val="1BE35DC3"/>
    <w:rsid w:val="1BE9A2E2"/>
    <w:rsid w:val="1BEDBB63"/>
    <w:rsid w:val="1BF2EEAE"/>
    <w:rsid w:val="1BF33C3D"/>
    <w:rsid w:val="1BF3F3FB"/>
    <w:rsid w:val="1BF5B158"/>
    <w:rsid w:val="1BF7749C"/>
    <w:rsid w:val="1BF896C9"/>
    <w:rsid w:val="1BFBFA0B"/>
    <w:rsid w:val="1BFCBA78"/>
    <w:rsid w:val="1BFE1B65"/>
    <w:rsid w:val="1C020671"/>
    <w:rsid w:val="1C02CB20"/>
    <w:rsid w:val="1C07B2E5"/>
    <w:rsid w:val="1C09CA8D"/>
    <w:rsid w:val="1C0C192F"/>
    <w:rsid w:val="1C127BD8"/>
    <w:rsid w:val="1C167B7A"/>
    <w:rsid w:val="1C1947F3"/>
    <w:rsid w:val="1C1A2417"/>
    <w:rsid w:val="1C1B4EB0"/>
    <w:rsid w:val="1C1C4037"/>
    <w:rsid w:val="1C1D2E85"/>
    <w:rsid w:val="1C20243E"/>
    <w:rsid w:val="1C27907C"/>
    <w:rsid w:val="1C2B63E6"/>
    <w:rsid w:val="1C2CB408"/>
    <w:rsid w:val="1C2EB3F8"/>
    <w:rsid w:val="1C2ED452"/>
    <w:rsid w:val="1C2EE01A"/>
    <w:rsid w:val="1C3333FE"/>
    <w:rsid w:val="1C359B05"/>
    <w:rsid w:val="1C368FA2"/>
    <w:rsid w:val="1C39F8C3"/>
    <w:rsid w:val="1C3A7CD6"/>
    <w:rsid w:val="1C3BA135"/>
    <w:rsid w:val="1C3EB328"/>
    <w:rsid w:val="1C438962"/>
    <w:rsid w:val="1C4450FF"/>
    <w:rsid w:val="1C4910D7"/>
    <w:rsid w:val="1C4B633F"/>
    <w:rsid w:val="1C4B76B0"/>
    <w:rsid w:val="1C558E7C"/>
    <w:rsid w:val="1C55DF04"/>
    <w:rsid w:val="1C55F9E3"/>
    <w:rsid w:val="1C568DB9"/>
    <w:rsid w:val="1C592CB8"/>
    <w:rsid w:val="1C59E2F1"/>
    <w:rsid w:val="1C59FEFE"/>
    <w:rsid w:val="1C5D221F"/>
    <w:rsid w:val="1C601849"/>
    <w:rsid w:val="1C627158"/>
    <w:rsid w:val="1C6538B4"/>
    <w:rsid w:val="1C69D398"/>
    <w:rsid w:val="1C6A3079"/>
    <w:rsid w:val="1C6FAA0D"/>
    <w:rsid w:val="1C76B46D"/>
    <w:rsid w:val="1C79E6CE"/>
    <w:rsid w:val="1C7C90F3"/>
    <w:rsid w:val="1C7F9845"/>
    <w:rsid w:val="1C802E84"/>
    <w:rsid w:val="1C827CC2"/>
    <w:rsid w:val="1C84DEE2"/>
    <w:rsid w:val="1C861885"/>
    <w:rsid w:val="1C86D206"/>
    <w:rsid w:val="1C89E291"/>
    <w:rsid w:val="1C8AA8F7"/>
    <w:rsid w:val="1C8AC177"/>
    <w:rsid w:val="1C8F4789"/>
    <w:rsid w:val="1C924436"/>
    <w:rsid w:val="1C96925A"/>
    <w:rsid w:val="1C96F90A"/>
    <w:rsid w:val="1C98048D"/>
    <w:rsid w:val="1C9820F9"/>
    <w:rsid w:val="1C9B1D38"/>
    <w:rsid w:val="1C9EEF87"/>
    <w:rsid w:val="1CA01737"/>
    <w:rsid w:val="1CA063EE"/>
    <w:rsid w:val="1CA0A119"/>
    <w:rsid w:val="1CA2451E"/>
    <w:rsid w:val="1CA73EA7"/>
    <w:rsid w:val="1CA9BE69"/>
    <w:rsid w:val="1CAA7036"/>
    <w:rsid w:val="1CAB467C"/>
    <w:rsid w:val="1CAEA062"/>
    <w:rsid w:val="1CB41047"/>
    <w:rsid w:val="1CB655AD"/>
    <w:rsid w:val="1CB79D67"/>
    <w:rsid w:val="1CB88BF3"/>
    <w:rsid w:val="1CBBE957"/>
    <w:rsid w:val="1CBCA444"/>
    <w:rsid w:val="1CC18697"/>
    <w:rsid w:val="1CC2F85E"/>
    <w:rsid w:val="1CC457F4"/>
    <w:rsid w:val="1CC5C582"/>
    <w:rsid w:val="1CC683BC"/>
    <w:rsid w:val="1CC88445"/>
    <w:rsid w:val="1CCC4636"/>
    <w:rsid w:val="1CCD408D"/>
    <w:rsid w:val="1CCEA04D"/>
    <w:rsid w:val="1CCEF01C"/>
    <w:rsid w:val="1CCF39EA"/>
    <w:rsid w:val="1CD21CA8"/>
    <w:rsid w:val="1CD694C2"/>
    <w:rsid w:val="1CD6C2E8"/>
    <w:rsid w:val="1CD85220"/>
    <w:rsid w:val="1CDC7BDA"/>
    <w:rsid w:val="1CDD3D82"/>
    <w:rsid w:val="1CDEDD70"/>
    <w:rsid w:val="1CE11BAC"/>
    <w:rsid w:val="1CE18826"/>
    <w:rsid w:val="1CE3275D"/>
    <w:rsid w:val="1CEB1249"/>
    <w:rsid w:val="1CEC08AF"/>
    <w:rsid w:val="1CEDAD55"/>
    <w:rsid w:val="1CEE21B6"/>
    <w:rsid w:val="1CEF11A2"/>
    <w:rsid w:val="1CEFC76A"/>
    <w:rsid w:val="1CF1659A"/>
    <w:rsid w:val="1CF996E3"/>
    <w:rsid w:val="1CFE3B2A"/>
    <w:rsid w:val="1CFFA77A"/>
    <w:rsid w:val="1D0241A7"/>
    <w:rsid w:val="1D02A520"/>
    <w:rsid w:val="1D02D223"/>
    <w:rsid w:val="1D039C1F"/>
    <w:rsid w:val="1D05C853"/>
    <w:rsid w:val="1D090E06"/>
    <w:rsid w:val="1D09A80B"/>
    <w:rsid w:val="1D0E1E28"/>
    <w:rsid w:val="1D0E41C0"/>
    <w:rsid w:val="1D1178AD"/>
    <w:rsid w:val="1D1196DE"/>
    <w:rsid w:val="1D14033E"/>
    <w:rsid w:val="1D17961D"/>
    <w:rsid w:val="1D17E00A"/>
    <w:rsid w:val="1D1C55A8"/>
    <w:rsid w:val="1D1CFDDB"/>
    <w:rsid w:val="1D203362"/>
    <w:rsid w:val="1D204C02"/>
    <w:rsid w:val="1D266611"/>
    <w:rsid w:val="1D2971D4"/>
    <w:rsid w:val="1D29840C"/>
    <w:rsid w:val="1D2A4284"/>
    <w:rsid w:val="1D2AE335"/>
    <w:rsid w:val="1D2BC901"/>
    <w:rsid w:val="1D2BEEC4"/>
    <w:rsid w:val="1D2C94D9"/>
    <w:rsid w:val="1D2DD314"/>
    <w:rsid w:val="1D302310"/>
    <w:rsid w:val="1D3132DF"/>
    <w:rsid w:val="1D313413"/>
    <w:rsid w:val="1D3211A9"/>
    <w:rsid w:val="1D32B597"/>
    <w:rsid w:val="1D353940"/>
    <w:rsid w:val="1D35C064"/>
    <w:rsid w:val="1D35C432"/>
    <w:rsid w:val="1D38F14B"/>
    <w:rsid w:val="1D39FC1C"/>
    <w:rsid w:val="1D44660A"/>
    <w:rsid w:val="1D464C26"/>
    <w:rsid w:val="1D4D3684"/>
    <w:rsid w:val="1D5121FB"/>
    <w:rsid w:val="1D545B25"/>
    <w:rsid w:val="1D54AF7A"/>
    <w:rsid w:val="1D570AC6"/>
    <w:rsid w:val="1D58BFCD"/>
    <w:rsid w:val="1D58C3E6"/>
    <w:rsid w:val="1D5D1EFE"/>
    <w:rsid w:val="1D5D7CC9"/>
    <w:rsid w:val="1D5D9E08"/>
    <w:rsid w:val="1D5EB924"/>
    <w:rsid w:val="1D609606"/>
    <w:rsid w:val="1D6410EF"/>
    <w:rsid w:val="1D66DA74"/>
    <w:rsid w:val="1D6AE00F"/>
    <w:rsid w:val="1D6CEA23"/>
    <w:rsid w:val="1D7033B8"/>
    <w:rsid w:val="1D73DCAD"/>
    <w:rsid w:val="1D749C3B"/>
    <w:rsid w:val="1D7C8977"/>
    <w:rsid w:val="1D82E554"/>
    <w:rsid w:val="1D84F43E"/>
    <w:rsid w:val="1D8B1985"/>
    <w:rsid w:val="1D904651"/>
    <w:rsid w:val="1D93DF49"/>
    <w:rsid w:val="1D953799"/>
    <w:rsid w:val="1D99F18F"/>
    <w:rsid w:val="1D9B9B39"/>
    <w:rsid w:val="1D9C5BC3"/>
    <w:rsid w:val="1DA15682"/>
    <w:rsid w:val="1DA43EDB"/>
    <w:rsid w:val="1DA4ADB4"/>
    <w:rsid w:val="1DA4BDEA"/>
    <w:rsid w:val="1DA714B8"/>
    <w:rsid w:val="1DAC2174"/>
    <w:rsid w:val="1DADE6EC"/>
    <w:rsid w:val="1DB47523"/>
    <w:rsid w:val="1DB62E74"/>
    <w:rsid w:val="1DB67191"/>
    <w:rsid w:val="1DB7B0A6"/>
    <w:rsid w:val="1DBBA52A"/>
    <w:rsid w:val="1DBFB9B0"/>
    <w:rsid w:val="1DC152FA"/>
    <w:rsid w:val="1DC5D0D8"/>
    <w:rsid w:val="1DC618AE"/>
    <w:rsid w:val="1DCA9191"/>
    <w:rsid w:val="1DCBD0F7"/>
    <w:rsid w:val="1DCD8F49"/>
    <w:rsid w:val="1DCDD42E"/>
    <w:rsid w:val="1DCDFBA3"/>
    <w:rsid w:val="1DD0B4E7"/>
    <w:rsid w:val="1DD3853A"/>
    <w:rsid w:val="1DD5CCF8"/>
    <w:rsid w:val="1DD66790"/>
    <w:rsid w:val="1DD77837"/>
    <w:rsid w:val="1DD9A01F"/>
    <w:rsid w:val="1DDBD572"/>
    <w:rsid w:val="1DE1A096"/>
    <w:rsid w:val="1DE37109"/>
    <w:rsid w:val="1DE51DD5"/>
    <w:rsid w:val="1DE887CE"/>
    <w:rsid w:val="1DEBA057"/>
    <w:rsid w:val="1DEBACCB"/>
    <w:rsid w:val="1DEFE7B0"/>
    <w:rsid w:val="1DF40D62"/>
    <w:rsid w:val="1DF78D3F"/>
    <w:rsid w:val="1DF810C4"/>
    <w:rsid w:val="1DF85B12"/>
    <w:rsid w:val="1DF90224"/>
    <w:rsid w:val="1DFCA19C"/>
    <w:rsid w:val="1DFE15E0"/>
    <w:rsid w:val="1DFF39D7"/>
    <w:rsid w:val="1E005E38"/>
    <w:rsid w:val="1E07E0BA"/>
    <w:rsid w:val="1E086972"/>
    <w:rsid w:val="1E087F1E"/>
    <w:rsid w:val="1E095F26"/>
    <w:rsid w:val="1E098C93"/>
    <w:rsid w:val="1E0A27D1"/>
    <w:rsid w:val="1E105259"/>
    <w:rsid w:val="1E1080B0"/>
    <w:rsid w:val="1E10F80F"/>
    <w:rsid w:val="1E11517A"/>
    <w:rsid w:val="1E144657"/>
    <w:rsid w:val="1E16DF23"/>
    <w:rsid w:val="1E187BB1"/>
    <w:rsid w:val="1E1B126C"/>
    <w:rsid w:val="1E1B4F83"/>
    <w:rsid w:val="1E1E3065"/>
    <w:rsid w:val="1E1ECB7E"/>
    <w:rsid w:val="1E22CE36"/>
    <w:rsid w:val="1E23D742"/>
    <w:rsid w:val="1E2433C3"/>
    <w:rsid w:val="1E271789"/>
    <w:rsid w:val="1E283100"/>
    <w:rsid w:val="1E292540"/>
    <w:rsid w:val="1E2A1109"/>
    <w:rsid w:val="1E2A6BF9"/>
    <w:rsid w:val="1E2C10C3"/>
    <w:rsid w:val="1E2D5A44"/>
    <w:rsid w:val="1E2D876C"/>
    <w:rsid w:val="1E2ECF23"/>
    <w:rsid w:val="1E308C3D"/>
    <w:rsid w:val="1E31EA88"/>
    <w:rsid w:val="1E3271CB"/>
    <w:rsid w:val="1E35933B"/>
    <w:rsid w:val="1E3A4CCF"/>
    <w:rsid w:val="1E3C6A05"/>
    <w:rsid w:val="1E3FF294"/>
    <w:rsid w:val="1E406042"/>
    <w:rsid w:val="1E4345A3"/>
    <w:rsid w:val="1E4BCBA5"/>
    <w:rsid w:val="1E4CC4CA"/>
    <w:rsid w:val="1E4F6997"/>
    <w:rsid w:val="1E51C5B8"/>
    <w:rsid w:val="1E55BA2C"/>
    <w:rsid w:val="1E56BD99"/>
    <w:rsid w:val="1E571049"/>
    <w:rsid w:val="1E5AA741"/>
    <w:rsid w:val="1E5AB986"/>
    <w:rsid w:val="1E5E86CA"/>
    <w:rsid w:val="1E5F4343"/>
    <w:rsid w:val="1E5FDD2A"/>
    <w:rsid w:val="1E60665A"/>
    <w:rsid w:val="1E65198E"/>
    <w:rsid w:val="1E66AA27"/>
    <w:rsid w:val="1E67404C"/>
    <w:rsid w:val="1E674C06"/>
    <w:rsid w:val="1E67AEAD"/>
    <w:rsid w:val="1E694AEC"/>
    <w:rsid w:val="1E6AFBFA"/>
    <w:rsid w:val="1E6C3CAA"/>
    <w:rsid w:val="1E6D9DB1"/>
    <w:rsid w:val="1E6DBCE7"/>
    <w:rsid w:val="1E6EE0E0"/>
    <w:rsid w:val="1E702C1D"/>
    <w:rsid w:val="1E71EBEF"/>
    <w:rsid w:val="1E752180"/>
    <w:rsid w:val="1E76FB4B"/>
    <w:rsid w:val="1E7C0A13"/>
    <w:rsid w:val="1E7D2DA0"/>
    <w:rsid w:val="1E80E5FB"/>
    <w:rsid w:val="1E81077B"/>
    <w:rsid w:val="1E833BD6"/>
    <w:rsid w:val="1E8380CC"/>
    <w:rsid w:val="1E85233C"/>
    <w:rsid w:val="1E8CDFB7"/>
    <w:rsid w:val="1E8CE426"/>
    <w:rsid w:val="1E8D7F38"/>
    <w:rsid w:val="1E8E39E5"/>
    <w:rsid w:val="1E8E505A"/>
    <w:rsid w:val="1E8F4D1E"/>
    <w:rsid w:val="1E904D7A"/>
    <w:rsid w:val="1E90EA33"/>
    <w:rsid w:val="1E91C533"/>
    <w:rsid w:val="1E93B4AE"/>
    <w:rsid w:val="1E942C70"/>
    <w:rsid w:val="1E950D6C"/>
    <w:rsid w:val="1E977E87"/>
    <w:rsid w:val="1E9D76AE"/>
    <w:rsid w:val="1E9D9E36"/>
    <w:rsid w:val="1E9F07F7"/>
    <w:rsid w:val="1EA158CF"/>
    <w:rsid w:val="1EA5134A"/>
    <w:rsid w:val="1EA850CF"/>
    <w:rsid w:val="1EA9730A"/>
    <w:rsid w:val="1EAA814A"/>
    <w:rsid w:val="1EAAB03D"/>
    <w:rsid w:val="1EAE5B8C"/>
    <w:rsid w:val="1EB38C4E"/>
    <w:rsid w:val="1EBAB742"/>
    <w:rsid w:val="1EC03F05"/>
    <w:rsid w:val="1EC2B37F"/>
    <w:rsid w:val="1EC49EA1"/>
    <w:rsid w:val="1EC5CC9A"/>
    <w:rsid w:val="1ECAD831"/>
    <w:rsid w:val="1ECC667D"/>
    <w:rsid w:val="1ECD2346"/>
    <w:rsid w:val="1ECDDD18"/>
    <w:rsid w:val="1ED16272"/>
    <w:rsid w:val="1ED445DC"/>
    <w:rsid w:val="1ED6FAB9"/>
    <w:rsid w:val="1ED854F1"/>
    <w:rsid w:val="1ED8C019"/>
    <w:rsid w:val="1ED9532E"/>
    <w:rsid w:val="1EDAD9C9"/>
    <w:rsid w:val="1EDB65C1"/>
    <w:rsid w:val="1EDCBE7D"/>
    <w:rsid w:val="1EDCD303"/>
    <w:rsid w:val="1EDF07E7"/>
    <w:rsid w:val="1EE2197F"/>
    <w:rsid w:val="1EE24F77"/>
    <w:rsid w:val="1EE504AD"/>
    <w:rsid w:val="1EE8F04F"/>
    <w:rsid w:val="1EEDD8FC"/>
    <w:rsid w:val="1EF280F4"/>
    <w:rsid w:val="1EF3C417"/>
    <w:rsid w:val="1EF5A0AF"/>
    <w:rsid w:val="1EF676C4"/>
    <w:rsid w:val="1EF7AE1C"/>
    <w:rsid w:val="1EF8F0EE"/>
    <w:rsid w:val="1EFA8825"/>
    <w:rsid w:val="1EFA9879"/>
    <w:rsid w:val="1EFCC098"/>
    <w:rsid w:val="1EFE29AE"/>
    <w:rsid w:val="1EFE69F8"/>
    <w:rsid w:val="1F00D644"/>
    <w:rsid w:val="1F0821D8"/>
    <w:rsid w:val="1F087B70"/>
    <w:rsid w:val="1F09018C"/>
    <w:rsid w:val="1F0A819F"/>
    <w:rsid w:val="1F0C11F7"/>
    <w:rsid w:val="1F0CD9C8"/>
    <w:rsid w:val="1F0DBCFF"/>
    <w:rsid w:val="1F101D57"/>
    <w:rsid w:val="1F13B27C"/>
    <w:rsid w:val="1F15A94F"/>
    <w:rsid w:val="1F1602CD"/>
    <w:rsid w:val="1F1A647F"/>
    <w:rsid w:val="1F1E36F8"/>
    <w:rsid w:val="1F1EB3FA"/>
    <w:rsid w:val="1F22E889"/>
    <w:rsid w:val="1F25B8B6"/>
    <w:rsid w:val="1F2B2A0E"/>
    <w:rsid w:val="1F31CB70"/>
    <w:rsid w:val="1F334E54"/>
    <w:rsid w:val="1F3596F5"/>
    <w:rsid w:val="1F376B0E"/>
    <w:rsid w:val="1F397308"/>
    <w:rsid w:val="1F39A39C"/>
    <w:rsid w:val="1F3A509D"/>
    <w:rsid w:val="1F3EE9A2"/>
    <w:rsid w:val="1F411918"/>
    <w:rsid w:val="1F45E04B"/>
    <w:rsid w:val="1F49B74D"/>
    <w:rsid w:val="1F4EE6BD"/>
    <w:rsid w:val="1F4F545F"/>
    <w:rsid w:val="1F52BC79"/>
    <w:rsid w:val="1F538107"/>
    <w:rsid w:val="1F56994F"/>
    <w:rsid w:val="1F56CBE3"/>
    <w:rsid w:val="1F584CF3"/>
    <w:rsid w:val="1F585F5D"/>
    <w:rsid w:val="1F59A3A5"/>
    <w:rsid w:val="1F5B0EBF"/>
    <w:rsid w:val="1F5D1FC3"/>
    <w:rsid w:val="1F629BB0"/>
    <w:rsid w:val="1F64FC8F"/>
    <w:rsid w:val="1F692159"/>
    <w:rsid w:val="1F6BB6B9"/>
    <w:rsid w:val="1F6C9DE5"/>
    <w:rsid w:val="1F6FF3B2"/>
    <w:rsid w:val="1F734E14"/>
    <w:rsid w:val="1F736C84"/>
    <w:rsid w:val="1F7B7492"/>
    <w:rsid w:val="1F7EFA43"/>
    <w:rsid w:val="1F83C4FA"/>
    <w:rsid w:val="1F84582F"/>
    <w:rsid w:val="1F85488F"/>
    <w:rsid w:val="1F87E4D7"/>
    <w:rsid w:val="1F8A1B49"/>
    <w:rsid w:val="1F8C933B"/>
    <w:rsid w:val="1F8CE11D"/>
    <w:rsid w:val="1F9051BD"/>
    <w:rsid w:val="1F923C02"/>
    <w:rsid w:val="1F937A89"/>
    <w:rsid w:val="1F939477"/>
    <w:rsid w:val="1F9560D4"/>
    <w:rsid w:val="1F972D48"/>
    <w:rsid w:val="1F98FC10"/>
    <w:rsid w:val="1F998849"/>
    <w:rsid w:val="1F99DA5B"/>
    <w:rsid w:val="1F9A9BFB"/>
    <w:rsid w:val="1FA23079"/>
    <w:rsid w:val="1FA40C4F"/>
    <w:rsid w:val="1FA5635A"/>
    <w:rsid w:val="1FA5A1E8"/>
    <w:rsid w:val="1FA8779F"/>
    <w:rsid w:val="1FA8FC15"/>
    <w:rsid w:val="1FA9B04F"/>
    <w:rsid w:val="1FAA7191"/>
    <w:rsid w:val="1FAB7AA8"/>
    <w:rsid w:val="1FAC7D79"/>
    <w:rsid w:val="1FAE1DFD"/>
    <w:rsid w:val="1FAF90DB"/>
    <w:rsid w:val="1FB1A0AA"/>
    <w:rsid w:val="1FB33441"/>
    <w:rsid w:val="1FB431B5"/>
    <w:rsid w:val="1FBAE91D"/>
    <w:rsid w:val="1FBDE682"/>
    <w:rsid w:val="1FBDFE12"/>
    <w:rsid w:val="1FC00424"/>
    <w:rsid w:val="1FC2121F"/>
    <w:rsid w:val="1FC2357F"/>
    <w:rsid w:val="1FC2BA07"/>
    <w:rsid w:val="1FC3F976"/>
    <w:rsid w:val="1FC40F9F"/>
    <w:rsid w:val="1FC635D7"/>
    <w:rsid w:val="1FC7E7F1"/>
    <w:rsid w:val="1FC9633F"/>
    <w:rsid w:val="1FCC1600"/>
    <w:rsid w:val="1FCDCEA4"/>
    <w:rsid w:val="1FCDE58F"/>
    <w:rsid w:val="1FCEE6A2"/>
    <w:rsid w:val="1FD0FD76"/>
    <w:rsid w:val="1FD2ABC2"/>
    <w:rsid w:val="1FD310F6"/>
    <w:rsid w:val="1FD3DAFB"/>
    <w:rsid w:val="1FD4DC72"/>
    <w:rsid w:val="1FD605F7"/>
    <w:rsid w:val="1FD676A0"/>
    <w:rsid w:val="1FD71E4C"/>
    <w:rsid w:val="1FDAC4EE"/>
    <w:rsid w:val="1FDE1816"/>
    <w:rsid w:val="1FE16C78"/>
    <w:rsid w:val="1FE6F427"/>
    <w:rsid w:val="1FE83748"/>
    <w:rsid w:val="1FE901E1"/>
    <w:rsid w:val="1FE93A45"/>
    <w:rsid w:val="1FE98982"/>
    <w:rsid w:val="1FE9D945"/>
    <w:rsid w:val="1FEC062B"/>
    <w:rsid w:val="1FEDE5DB"/>
    <w:rsid w:val="1FEE969C"/>
    <w:rsid w:val="1FEF017A"/>
    <w:rsid w:val="1FF24D68"/>
    <w:rsid w:val="1FF492B9"/>
    <w:rsid w:val="1FF52225"/>
    <w:rsid w:val="1FF5D2ED"/>
    <w:rsid w:val="1FF671F0"/>
    <w:rsid w:val="1FF81985"/>
    <w:rsid w:val="1FFA9DE5"/>
    <w:rsid w:val="1FFAB81E"/>
    <w:rsid w:val="1FFAD982"/>
    <w:rsid w:val="1FFAF9BF"/>
    <w:rsid w:val="1FFC1EFF"/>
    <w:rsid w:val="1FFD1897"/>
    <w:rsid w:val="1FFD498F"/>
    <w:rsid w:val="1FFF78C5"/>
    <w:rsid w:val="2007AD02"/>
    <w:rsid w:val="20091544"/>
    <w:rsid w:val="2009566C"/>
    <w:rsid w:val="200E3E3E"/>
    <w:rsid w:val="20127593"/>
    <w:rsid w:val="20148891"/>
    <w:rsid w:val="201863F3"/>
    <w:rsid w:val="201D42FF"/>
    <w:rsid w:val="201DB4E9"/>
    <w:rsid w:val="20210495"/>
    <w:rsid w:val="202506D0"/>
    <w:rsid w:val="2026F31D"/>
    <w:rsid w:val="20284DB1"/>
    <w:rsid w:val="202A9870"/>
    <w:rsid w:val="202AAACF"/>
    <w:rsid w:val="202AF627"/>
    <w:rsid w:val="202FF27A"/>
    <w:rsid w:val="2031EF31"/>
    <w:rsid w:val="20352133"/>
    <w:rsid w:val="2035408A"/>
    <w:rsid w:val="2036B6A7"/>
    <w:rsid w:val="2038D55C"/>
    <w:rsid w:val="20395136"/>
    <w:rsid w:val="2039DEC0"/>
    <w:rsid w:val="203AF607"/>
    <w:rsid w:val="203D5E2C"/>
    <w:rsid w:val="203D9E9F"/>
    <w:rsid w:val="203FF648"/>
    <w:rsid w:val="2041BAE7"/>
    <w:rsid w:val="20434A41"/>
    <w:rsid w:val="20437BF1"/>
    <w:rsid w:val="20451211"/>
    <w:rsid w:val="20472309"/>
    <w:rsid w:val="204B4628"/>
    <w:rsid w:val="204C659B"/>
    <w:rsid w:val="205501DA"/>
    <w:rsid w:val="205ABAC4"/>
    <w:rsid w:val="205BF867"/>
    <w:rsid w:val="20600488"/>
    <w:rsid w:val="2060C02A"/>
    <w:rsid w:val="2060FEBA"/>
    <w:rsid w:val="206296B4"/>
    <w:rsid w:val="20635BE7"/>
    <w:rsid w:val="2065479A"/>
    <w:rsid w:val="2065ED90"/>
    <w:rsid w:val="2069ACB7"/>
    <w:rsid w:val="206B7C6D"/>
    <w:rsid w:val="206B8487"/>
    <w:rsid w:val="206B8791"/>
    <w:rsid w:val="206E93B9"/>
    <w:rsid w:val="2070045A"/>
    <w:rsid w:val="2070CFBC"/>
    <w:rsid w:val="20743A63"/>
    <w:rsid w:val="2076036B"/>
    <w:rsid w:val="2078B209"/>
    <w:rsid w:val="207CC0A9"/>
    <w:rsid w:val="207F6D3B"/>
    <w:rsid w:val="2082BFF8"/>
    <w:rsid w:val="208750F2"/>
    <w:rsid w:val="2087A0AC"/>
    <w:rsid w:val="20892775"/>
    <w:rsid w:val="208D3089"/>
    <w:rsid w:val="20909195"/>
    <w:rsid w:val="20915119"/>
    <w:rsid w:val="20915300"/>
    <w:rsid w:val="209153FE"/>
    <w:rsid w:val="2094A3B6"/>
    <w:rsid w:val="209606D5"/>
    <w:rsid w:val="20977542"/>
    <w:rsid w:val="2098A2E2"/>
    <w:rsid w:val="2098EBB7"/>
    <w:rsid w:val="209A6A77"/>
    <w:rsid w:val="209A82B7"/>
    <w:rsid w:val="209AB7DE"/>
    <w:rsid w:val="209F09AE"/>
    <w:rsid w:val="20A127B6"/>
    <w:rsid w:val="20A134BD"/>
    <w:rsid w:val="20A1C7E7"/>
    <w:rsid w:val="20A201A6"/>
    <w:rsid w:val="20A34625"/>
    <w:rsid w:val="20A3A774"/>
    <w:rsid w:val="20A3E280"/>
    <w:rsid w:val="20AB4D47"/>
    <w:rsid w:val="20AB7180"/>
    <w:rsid w:val="20AB8476"/>
    <w:rsid w:val="20B04659"/>
    <w:rsid w:val="20B04F00"/>
    <w:rsid w:val="20B0668A"/>
    <w:rsid w:val="20B168FD"/>
    <w:rsid w:val="20B19F62"/>
    <w:rsid w:val="20B936D4"/>
    <w:rsid w:val="20BDFD49"/>
    <w:rsid w:val="20BE8C97"/>
    <w:rsid w:val="20BFB021"/>
    <w:rsid w:val="20C00038"/>
    <w:rsid w:val="20C2A3E0"/>
    <w:rsid w:val="20C546B3"/>
    <w:rsid w:val="20C7EA54"/>
    <w:rsid w:val="20C838FA"/>
    <w:rsid w:val="20CCA1D6"/>
    <w:rsid w:val="20CCD1AF"/>
    <w:rsid w:val="20CD4EC6"/>
    <w:rsid w:val="20CEA0A7"/>
    <w:rsid w:val="20D322C9"/>
    <w:rsid w:val="20D405AE"/>
    <w:rsid w:val="20D5D296"/>
    <w:rsid w:val="20D6FAA5"/>
    <w:rsid w:val="20D87DF1"/>
    <w:rsid w:val="20DA2339"/>
    <w:rsid w:val="20DB4338"/>
    <w:rsid w:val="20DD80C5"/>
    <w:rsid w:val="20DE3DE6"/>
    <w:rsid w:val="20DE9BC4"/>
    <w:rsid w:val="20DF5D58"/>
    <w:rsid w:val="20DF98CA"/>
    <w:rsid w:val="20E41E0D"/>
    <w:rsid w:val="20E86A71"/>
    <w:rsid w:val="20E8FB5D"/>
    <w:rsid w:val="20E9FCBA"/>
    <w:rsid w:val="20EAE254"/>
    <w:rsid w:val="20EC2F7D"/>
    <w:rsid w:val="20EE3DCA"/>
    <w:rsid w:val="20EF31F6"/>
    <w:rsid w:val="20F1B79D"/>
    <w:rsid w:val="20F1D85F"/>
    <w:rsid w:val="20F36D04"/>
    <w:rsid w:val="20F56DA6"/>
    <w:rsid w:val="20F6A922"/>
    <w:rsid w:val="20FBE6A4"/>
    <w:rsid w:val="20FF2E49"/>
    <w:rsid w:val="2101FC11"/>
    <w:rsid w:val="21062D20"/>
    <w:rsid w:val="21066ED4"/>
    <w:rsid w:val="2106F012"/>
    <w:rsid w:val="2106FBDE"/>
    <w:rsid w:val="21092CFB"/>
    <w:rsid w:val="21093F3E"/>
    <w:rsid w:val="2109FF4C"/>
    <w:rsid w:val="210BBB99"/>
    <w:rsid w:val="210C58E7"/>
    <w:rsid w:val="210C913D"/>
    <w:rsid w:val="2111E9C2"/>
    <w:rsid w:val="211339E7"/>
    <w:rsid w:val="211766E6"/>
    <w:rsid w:val="211C1755"/>
    <w:rsid w:val="211D2C4A"/>
    <w:rsid w:val="211ECECE"/>
    <w:rsid w:val="21242F22"/>
    <w:rsid w:val="21265C4A"/>
    <w:rsid w:val="21265EFD"/>
    <w:rsid w:val="2126E9E0"/>
    <w:rsid w:val="2128596E"/>
    <w:rsid w:val="21299362"/>
    <w:rsid w:val="2129CDDA"/>
    <w:rsid w:val="2135D60D"/>
    <w:rsid w:val="2135D9B3"/>
    <w:rsid w:val="2137A793"/>
    <w:rsid w:val="21383DDE"/>
    <w:rsid w:val="213A0202"/>
    <w:rsid w:val="213A27BE"/>
    <w:rsid w:val="213C052B"/>
    <w:rsid w:val="213D1823"/>
    <w:rsid w:val="21405B83"/>
    <w:rsid w:val="2140CF85"/>
    <w:rsid w:val="2140EC28"/>
    <w:rsid w:val="21412320"/>
    <w:rsid w:val="21443F68"/>
    <w:rsid w:val="2147CC94"/>
    <w:rsid w:val="21480A1C"/>
    <w:rsid w:val="21493875"/>
    <w:rsid w:val="21503055"/>
    <w:rsid w:val="21532DC9"/>
    <w:rsid w:val="2158409B"/>
    <w:rsid w:val="215A318F"/>
    <w:rsid w:val="215A35EB"/>
    <w:rsid w:val="215AAAAD"/>
    <w:rsid w:val="215B394C"/>
    <w:rsid w:val="215BAA1B"/>
    <w:rsid w:val="2160B23F"/>
    <w:rsid w:val="21618DC9"/>
    <w:rsid w:val="2162A69F"/>
    <w:rsid w:val="2168131C"/>
    <w:rsid w:val="216888D0"/>
    <w:rsid w:val="216B7D45"/>
    <w:rsid w:val="216D5EE4"/>
    <w:rsid w:val="216E878B"/>
    <w:rsid w:val="217110EC"/>
    <w:rsid w:val="2171B468"/>
    <w:rsid w:val="2171ED0F"/>
    <w:rsid w:val="21735D02"/>
    <w:rsid w:val="2175881F"/>
    <w:rsid w:val="21761338"/>
    <w:rsid w:val="217D1ED2"/>
    <w:rsid w:val="21812A45"/>
    <w:rsid w:val="21820A8C"/>
    <w:rsid w:val="2183BB8E"/>
    <w:rsid w:val="21844BBE"/>
    <w:rsid w:val="21848294"/>
    <w:rsid w:val="21850DB8"/>
    <w:rsid w:val="2186178F"/>
    <w:rsid w:val="21887338"/>
    <w:rsid w:val="2189CDE8"/>
    <w:rsid w:val="218A3358"/>
    <w:rsid w:val="218C258B"/>
    <w:rsid w:val="218C3CA6"/>
    <w:rsid w:val="2190FBA0"/>
    <w:rsid w:val="219246C4"/>
    <w:rsid w:val="219257BE"/>
    <w:rsid w:val="219282EE"/>
    <w:rsid w:val="219747BE"/>
    <w:rsid w:val="2197E203"/>
    <w:rsid w:val="2197EC0D"/>
    <w:rsid w:val="21982B60"/>
    <w:rsid w:val="2198C3A4"/>
    <w:rsid w:val="21997A74"/>
    <w:rsid w:val="219B12AE"/>
    <w:rsid w:val="219C3A66"/>
    <w:rsid w:val="219FB382"/>
    <w:rsid w:val="219FD742"/>
    <w:rsid w:val="21A22259"/>
    <w:rsid w:val="21A2E6BA"/>
    <w:rsid w:val="21A4BE4A"/>
    <w:rsid w:val="21A4F25C"/>
    <w:rsid w:val="21A6A416"/>
    <w:rsid w:val="21A7F70C"/>
    <w:rsid w:val="21AB4472"/>
    <w:rsid w:val="21AB63BC"/>
    <w:rsid w:val="21ACC1E6"/>
    <w:rsid w:val="21B23B43"/>
    <w:rsid w:val="21B37132"/>
    <w:rsid w:val="21B5AB8B"/>
    <w:rsid w:val="21B8C89E"/>
    <w:rsid w:val="21BBEF86"/>
    <w:rsid w:val="21BC0C06"/>
    <w:rsid w:val="21BC8719"/>
    <w:rsid w:val="21C0CA18"/>
    <w:rsid w:val="21C296E5"/>
    <w:rsid w:val="21C338E8"/>
    <w:rsid w:val="21C4274C"/>
    <w:rsid w:val="21C484E8"/>
    <w:rsid w:val="21C4F9B9"/>
    <w:rsid w:val="21C577A6"/>
    <w:rsid w:val="21C72FFC"/>
    <w:rsid w:val="21CB2095"/>
    <w:rsid w:val="21CF830B"/>
    <w:rsid w:val="21D83847"/>
    <w:rsid w:val="21D99DF8"/>
    <w:rsid w:val="21DA5EDC"/>
    <w:rsid w:val="21DBA1B7"/>
    <w:rsid w:val="21DC94CD"/>
    <w:rsid w:val="21DF6A62"/>
    <w:rsid w:val="21E3F32A"/>
    <w:rsid w:val="21E4D181"/>
    <w:rsid w:val="21E7E8DE"/>
    <w:rsid w:val="21E84BBC"/>
    <w:rsid w:val="21E86035"/>
    <w:rsid w:val="21EAD233"/>
    <w:rsid w:val="21EB7BA5"/>
    <w:rsid w:val="21EDC62C"/>
    <w:rsid w:val="21EE3D87"/>
    <w:rsid w:val="21EE416C"/>
    <w:rsid w:val="21EF01DA"/>
    <w:rsid w:val="21EF3AD5"/>
    <w:rsid w:val="21EF8AAC"/>
    <w:rsid w:val="21FAB6EC"/>
    <w:rsid w:val="21FD9E3A"/>
    <w:rsid w:val="21FF4F51"/>
    <w:rsid w:val="22003399"/>
    <w:rsid w:val="2200F82A"/>
    <w:rsid w:val="22050D8D"/>
    <w:rsid w:val="22057DDA"/>
    <w:rsid w:val="22066459"/>
    <w:rsid w:val="22084D4F"/>
    <w:rsid w:val="2208E5E6"/>
    <w:rsid w:val="2208EAD5"/>
    <w:rsid w:val="220A7EF9"/>
    <w:rsid w:val="220B2670"/>
    <w:rsid w:val="220C1661"/>
    <w:rsid w:val="220DFBF1"/>
    <w:rsid w:val="220EA9CC"/>
    <w:rsid w:val="2210F7B0"/>
    <w:rsid w:val="2211409B"/>
    <w:rsid w:val="22156B9A"/>
    <w:rsid w:val="22192EAB"/>
    <w:rsid w:val="2219BD49"/>
    <w:rsid w:val="221AE7D0"/>
    <w:rsid w:val="221AF872"/>
    <w:rsid w:val="221EE720"/>
    <w:rsid w:val="221F0D31"/>
    <w:rsid w:val="221FFBE9"/>
    <w:rsid w:val="22233FC6"/>
    <w:rsid w:val="2223CB27"/>
    <w:rsid w:val="2224F7D6"/>
    <w:rsid w:val="22259BEB"/>
    <w:rsid w:val="2228783E"/>
    <w:rsid w:val="222995E1"/>
    <w:rsid w:val="222C4D19"/>
    <w:rsid w:val="222D3C19"/>
    <w:rsid w:val="222DF320"/>
    <w:rsid w:val="22302D08"/>
    <w:rsid w:val="223179AD"/>
    <w:rsid w:val="22350F0F"/>
    <w:rsid w:val="2235872A"/>
    <w:rsid w:val="2238E0D5"/>
    <w:rsid w:val="22395304"/>
    <w:rsid w:val="2239B97D"/>
    <w:rsid w:val="223C1AB1"/>
    <w:rsid w:val="223E0DF3"/>
    <w:rsid w:val="223E9722"/>
    <w:rsid w:val="223EFB37"/>
    <w:rsid w:val="223F4087"/>
    <w:rsid w:val="22409748"/>
    <w:rsid w:val="22418E67"/>
    <w:rsid w:val="2242AEF5"/>
    <w:rsid w:val="2243B21B"/>
    <w:rsid w:val="22440F2B"/>
    <w:rsid w:val="22446A65"/>
    <w:rsid w:val="22471185"/>
    <w:rsid w:val="2247B611"/>
    <w:rsid w:val="2247EB7D"/>
    <w:rsid w:val="22483F63"/>
    <w:rsid w:val="224B112E"/>
    <w:rsid w:val="224DA4D5"/>
    <w:rsid w:val="2255B87A"/>
    <w:rsid w:val="22563F5A"/>
    <w:rsid w:val="22580950"/>
    <w:rsid w:val="225AC99A"/>
    <w:rsid w:val="225B38B4"/>
    <w:rsid w:val="225BCF00"/>
    <w:rsid w:val="225D1055"/>
    <w:rsid w:val="225F9328"/>
    <w:rsid w:val="2262055C"/>
    <w:rsid w:val="22625555"/>
    <w:rsid w:val="22632022"/>
    <w:rsid w:val="22642118"/>
    <w:rsid w:val="2265843B"/>
    <w:rsid w:val="226D59F3"/>
    <w:rsid w:val="227069AC"/>
    <w:rsid w:val="22709B7E"/>
    <w:rsid w:val="22737A60"/>
    <w:rsid w:val="227450CC"/>
    <w:rsid w:val="2277E5C8"/>
    <w:rsid w:val="2277EE64"/>
    <w:rsid w:val="2278A191"/>
    <w:rsid w:val="227929C0"/>
    <w:rsid w:val="227A68CF"/>
    <w:rsid w:val="227E63A0"/>
    <w:rsid w:val="227FA8C0"/>
    <w:rsid w:val="2281580F"/>
    <w:rsid w:val="2281CDA5"/>
    <w:rsid w:val="2281D414"/>
    <w:rsid w:val="22822469"/>
    <w:rsid w:val="22824C85"/>
    <w:rsid w:val="2282E0A1"/>
    <w:rsid w:val="22847111"/>
    <w:rsid w:val="2285CD1B"/>
    <w:rsid w:val="2286AAE7"/>
    <w:rsid w:val="2286D80A"/>
    <w:rsid w:val="228B21C9"/>
    <w:rsid w:val="228B24C3"/>
    <w:rsid w:val="228B548A"/>
    <w:rsid w:val="2295875C"/>
    <w:rsid w:val="22966A7D"/>
    <w:rsid w:val="229671FC"/>
    <w:rsid w:val="2296B7C4"/>
    <w:rsid w:val="2298C025"/>
    <w:rsid w:val="2299BAF6"/>
    <w:rsid w:val="229CB1EA"/>
    <w:rsid w:val="229E409F"/>
    <w:rsid w:val="22A0E7BE"/>
    <w:rsid w:val="22A24B2F"/>
    <w:rsid w:val="22A7E4B0"/>
    <w:rsid w:val="22A80E90"/>
    <w:rsid w:val="22AB3BCE"/>
    <w:rsid w:val="22ABD0E3"/>
    <w:rsid w:val="22ABFCF9"/>
    <w:rsid w:val="22AC502B"/>
    <w:rsid w:val="22AF3FB9"/>
    <w:rsid w:val="22B14985"/>
    <w:rsid w:val="22B3859D"/>
    <w:rsid w:val="22B405DF"/>
    <w:rsid w:val="22B484D8"/>
    <w:rsid w:val="22B52B45"/>
    <w:rsid w:val="22B80A75"/>
    <w:rsid w:val="22B89A7D"/>
    <w:rsid w:val="22BB333D"/>
    <w:rsid w:val="22BC67C2"/>
    <w:rsid w:val="22BCCAE5"/>
    <w:rsid w:val="22C30483"/>
    <w:rsid w:val="22C3F9F0"/>
    <w:rsid w:val="22C58883"/>
    <w:rsid w:val="22CA0B35"/>
    <w:rsid w:val="22CD0C79"/>
    <w:rsid w:val="22CD6A4C"/>
    <w:rsid w:val="22CF6FFC"/>
    <w:rsid w:val="22CF7C2B"/>
    <w:rsid w:val="22D416C0"/>
    <w:rsid w:val="22D69BFE"/>
    <w:rsid w:val="22D6D524"/>
    <w:rsid w:val="22DA61A5"/>
    <w:rsid w:val="22DB59E5"/>
    <w:rsid w:val="22DB5C29"/>
    <w:rsid w:val="22DFFEEE"/>
    <w:rsid w:val="22E045EE"/>
    <w:rsid w:val="22E04A54"/>
    <w:rsid w:val="22E110E6"/>
    <w:rsid w:val="22E22A54"/>
    <w:rsid w:val="22E25FFA"/>
    <w:rsid w:val="22E26B2C"/>
    <w:rsid w:val="22E2D488"/>
    <w:rsid w:val="22E41530"/>
    <w:rsid w:val="22E508D6"/>
    <w:rsid w:val="22E535AC"/>
    <w:rsid w:val="22E9E083"/>
    <w:rsid w:val="22EA1B21"/>
    <w:rsid w:val="22EF8CA4"/>
    <w:rsid w:val="22F3CED7"/>
    <w:rsid w:val="22F770B2"/>
    <w:rsid w:val="22F8A11C"/>
    <w:rsid w:val="22FCCE93"/>
    <w:rsid w:val="2301F288"/>
    <w:rsid w:val="230222DD"/>
    <w:rsid w:val="2303FAB0"/>
    <w:rsid w:val="2308BFD0"/>
    <w:rsid w:val="230942D9"/>
    <w:rsid w:val="230A57EC"/>
    <w:rsid w:val="230D71D0"/>
    <w:rsid w:val="230E4DCB"/>
    <w:rsid w:val="23159304"/>
    <w:rsid w:val="2315A9B8"/>
    <w:rsid w:val="23166C12"/>
    <w:rsid w:val="23167F7F"/>
    <w:rsid w:val="2318D0F5"/>
    <w:rsid w:val="231B4646"/>
    <w:rsid w:val="231C0A43"/>
    <w:rsid w:val="231F01FA"/>
    <w:rsid w:val="231F3A09"/>
    <w:rsid w:val="231FD9DC"/>
    <w:rsid w:val="232152DF"/>
    <w:rsid w:val="2323C5F9"/>
    <w:rsid w:val="23241961"/>
    <w:rsid w:val="2325032D"/>
    <w:rsid w:val="2326E44A"/>
    <w:rsid w:val="232882CC"/>
    <w:rsid w:val="232DF59B"/>
    <w:rsid w:val="2331E4CA"/>
    <w:rsid w:val="2333CACA"/>
    <w:rsid w:val="2335F6BC"/>
    <w:rsid w:val="2339E854"/>
    <w:rsid w:val="233EE3C7"/>
    <w:rsid w:val="233F4F22"/>
    <w:rsid w:val="234217E9"/>
    <w:rsid w:val="23425291"/>
    <w:rsid w:val="23429DFA"/>
    <w:rsid w:val="2342ECC4"/>
    <w:rsid w:val="2342F272"/>
    <w:rsid w:val="23468D31"/>
    <w:rsid w:val="23473442"/>
    <w:rsid w:val="234B58E3"/>
    <w:rsid w:val="234C7D69"/>
    <w:rsid w:val="234E2CB1"/>
    <w:rsid w:val="23507FB4"/>
    <w:rsid w:val="2350C1BC"/>
    <w:rsid w:val="2354E902"/>
    <w:rsid w:val="2357FA45"/>
    <w:rsid w:val="23588822"/>
    <w:rsid w:val="235959DD"/>
    <w:rsid w:val="235D6DBE"/>
    <w:rsid w:val="235DE891"/>
    <w:rsid w:val="2362E736"/>
    <w:rsid w:val="23634984"/>
    <w:rsid w:val="23673EE7"/>
    <w:rsid w:val="23684707"/>
    <w:rsid w:val="236A06F1"/>
    <w:rsid w:val="236BB595"/>
    <w:rsid w:val="236BD3EA"/>
    <w:rsid w:val="236E27A2"/>
    <w:rsid w:val="236F1257"/>
    <w:rsid w:val="236F2D5E"/>
    <w:rsid w:val="23706564"/>
    <w:rsid w:val="2371EBEC"/>
    <w:rsid w:val="23729AE7"/>
    <w:rsid w:val="23756773"/>
    <w:rsid w:val="23779150"/>
    <w:rsid w:val="2377F16B"/>
    <w:rsid w:val="237880ED"/>
    <w:rsid w:val="2378993A"/>
    <w:rsid w:val="237A34CC"/>
    <w:rsid w:val="237B2DAC"/>
    <w:rsid w:val="237D3A3F"/>
    <w:rsid w:val="237E4EC1"/>
    <w:rsid w:val="237E6C07"/>
    <w:rsid w:val="2383560A"/>
    <w:rsid w:val="2385F75A"/>
    <w:rsid w:val="23872511"/>
    <w:rsid w:val="238AF2DC"/>
    <w:rsid w:val="238B753F"/>
    <w:rsid w:val="238BA1B5"/>
    <w:rsid w:val="238E4D87"/>
    <w:rsid w:val="238F1BC0"/>
    <w:rsid w:val="23943651"/>
    <w:rsid w:val="2395BFD8"/>
    <w:rsid w:val="2397053F"/>
    <w:rsid w:val="2399356D"/>
    <w:rsid w:val="239ACA9F"/>
    <w:rsid w:val="239C735A"/>
    <w:rsid w:val="239E5EDD"/>
    <w:rsid w:val="23A027CA"/>
    <w:rsid w:val="23A13BFF"/>
    <w:rsid w:val="23A14E3B"/>
    <w:rsid w:val="23A76CB2"/>
    <w:rsid w:val="23A817BC"/>
    <w:rsid w:val="23AB9EF1"/>
    <w:rsid w:val="23AE121A"/>
    <w:rsid w:val="23AED6E4"/>
    <w:rsid w:val="23B296BB"/>
    <w:rsid w:val="23B2AC65"/>
    <w:rsid w:val="23B4B612"/>
    <w:rsid w:val="23B874A0"/>
    <w:rsid w:val="23B97605"/>
    <w:rsid w:val="23B9A7AF"/>
    <w:rsid w:val="23BB6D51"/>
    <w:rsid w:val="23BC2CF7"/>
    <w:rsid w:val="23BDEA01"/>
    <w:rsid w:val="23CE59A9"/>
    <w:rsid w:val="23D1C0D3"/>
    <w:rsid w:val="23D4EE11"/>
    <w:rsid w:val="23D5012C"/>
    <w:rsid w:val="23D5CF6F"/>
    <w:rsid w:val="23D5E41A"/>
    <w:rsid w:val="23D85904"/>
    <w:rsid w:val="23DC8990"/>
    <w:rsid w:val="23E0A7C6"/>
    <w:rsid w:val="23E2D8BF"/>
    <w:rsid w:val="23E5D753"/>
    <w:rsid w:val="23EE5EB9"/>
    <w:rsid w:val="23F10C2B"/>
    <w:rsid w:val="23F28C2B"/>
    <w:rsid w:val="23F3CA7B"/>
    <w:rsid w:val="23F4972B"/>
    <w:rsid w:val="23F4DAA1"/>
    <w:rsid w:val="23F56F44"/>
    <w:rsid w:val="23F5BE8C"/>
    <w:rsid w:val="23F80F6C"/>
    <w:rsid w:val="23F982E0"/>
    <w:rsid w:val="23FC13CE"/>
    <w:rsid w:val="23FE5388"/>
    <w:rsid w:val="24038969"/>
    <w:rsid w:val="240AA3C8"/>
    <w:rsid w:val="240AD948"/>
    <w:rsid w:val="240C63E4"/>
    <w:rsid w:val="240D5113"/>
    <w:rsid w:val="241003DE"/>
    <w:rsid w:val="2412473A"/>
    <w:rsid w:val="241499DC"/>
    <w:rsid w:val="2418A026"/>
    <w:rsid w:val="241924E7"/>
    <w:rsid w:val="241A47A5"/>
    <w:rsid w:val="241D2870"/>
    <w:rsid w:val="241E4403"/>
    <w:rsid w:val="241F9BA9"/>
    <w:rsid w:val="2423AEB5"/>
    <w:rsid w:val="242400FF"/>
    <w:rsid w:val="24246FDB"/>
    <w:rsid w:val="24297036"/>
    <w:rsid w:val="242E801C"/>
    <w:rsid w:val="2432982D"/>
    <w:rsid w:val="243346B6"/>
    <w:rsid w:val="24335EA8"/>
    <w:rsid w:val="24364F42"/>
    <w:rsid w:val="2436EB20"/>
    <w:rsid w:val="2437FA90"/>
    <w:rsid w:val="24395A5A"/>
    <w:rsid w:val="24396E0F"/>
    <w:rsid w:val="2439AD4E"/>
    <w:rsid w:val="243E5C8C"/>
    <w:rsid w:val="24410CB6"/>
    <w:rsid w:val="2442D850"/>
    <w:rsid w:val="24439875"/>
    <w:rsid w:val="2444F1EE"/>
    <w:rsid w:val="24459756"/>
    <w:rsid w:val="24464B8B"/>
    <w:rsid w:val="2446E423"/>
    <w:rsid w:val="2447C69E"/>
    <w:rsid w:val="24490C69"/>
    <w:rsid w:val="244A38B9"/>
    <w:rsid w:val="244B7321"/>
    <w:rsid w:val="244DB3B8"/>
    <w:rsid w:val="244E2EDE"/>
    <w:rsid w:val="244F91DF"/>
    <w:rsid w:val="2452A23D"/>
    <w:rsid w:val="2453F961"/>
    <w:rsid w:val="245541D4"/>
    <w:rsid w:val="245914A3"/>
    <w:rsid w:val="2459EE94"/>
    <w:rsid w:val="245EC7DD"/>
    <w:rsid w:val="246188C7"/>
    <w:rsid w:val="2465C4A2"/>
    <w:rsid w:val="2468B9D0"/>
    <w:rsid w:val="2468C21D"/>
    <w:rsid w:val="246D34A1"/>
    <w:rsid w:val="2470A63D"/>
    <w:rsid w:val="247160C3"/>
    <w:rsid w:val="24722AE3"/>
    <w:rsid w:val="2473F90E"/>
    <w:rsid w:val="24741660"/>
    <w:rsid w:val="2478EE85"/>
    <w:rsid w:val="24793B81"/>
    <w:rsid w:val="247A0EEE"/>
    <w:rsid w:val="247A55CB"/>
    <w:rsid w:val="247C3AEE"/>
    <w:rsid w:val="247E812A"/>
    <w:rsid w:val="247F84BA"/>
    <w:rsid w:val="24812DF1"/>
    <w:rsid w:val="248146DD"/>
    <w:rsid w:val="2484BE26"/>
    <w:rsid w:val="2485DC08"/>
    <w:rsid w:val="24860FFE"/>
    <w:rsid w:val="2489399C"/>
    <w:rsid w:val="24896230"/>
    <w:rsid w:val="248A26A4"/>
    <w:rsid w:val="248AD35E"/>
    <w:rsid w:val="24909271"/>
    <w:rsid w:val="2497D958"/>
    <w:rsid w:val="24A14911"/>
    <w:rsid w:val="24A295EF"/>
    <w:rsid w:val="24A3CDCB"/>
    <w:rsid w:val="24A3CFD3"/>
    <w:rsid w:val="24A7AAF9"/>
    <w:rsid w:val="24A826D2"/>
    <w:rsid w:val="24AA9771"/>
    <w:rsid w:val="24AB4F37"/>
    <w:rsid w:val="24B0660B"/>
    <w:rsid w:val="24B066BA"/>
    <w:rsid w:val="24B63490"/>
    <w:rsid w:val="24BBCFB0"/>
    <w:rsid w:val="24BD43DA"/>
    <w:rsid w:val="24BD652A"/>
    <w:rsid w:val="24BE0A49"/>
    <w:rsid w:val="24BF1C01"/>
    <w:rsid w:val="24BFC670"/>
    <w:rsid w:val="24BFFED4"/>
    <w:rsid w:val="24C1A67E"/>
    <w:rsid w:val="24C2EF0E"/>
    <w:rsid w:val="24CC5127"/>
    <w:rsid w:val="24CE4469"/>
    <w:rsid w:val="24D0DB8C"/>
    <w:rsid w:val="24D45C00"/>
    <w:rsid w:val="24D7B06F"/>
    <w:rsid w:val="24D7D467"/>
    <w:rsid w:val="24D9365A"/>
    <w:rsid w:val="24DCBCAA"/>
    <w:rsid w:val="24DE44D8"/>
    <w:rsid w:val="24DEA12C"/>
    <w:rsid w:val="24E07110"/>
    <w:rsid w:val="24E18CF0"/>
    <w:rsid w:val="24E44073"/>
    <w:rsid w:val="24E4F8C2"/>
    <w:rsid w:val="24E58C9D"/>
    <w:rsid w:val="24E766FF"/>
    <w:rsid w:val="24E7AE85"/>
    <w:rsid w:val="24E97C76"/>
    <w:rsid w:val="24E9C514"/>
    <w:rsid w:val="24EB6811"/>
    <w:rsid w:val="24EB9210"/>
    <w:rsid w:val="24EE2B5F"/>
    <w:rsid w:val="24EE5B6D"/>
    <w:rsid w:val="24EE751F"/>
    <w:rsid w:val="24F20F09"/>
    <w:rsid w:val="24F48914"/>
    <w:rsid w:val="24F72DCC"/>
    <w:rsid w:val="24F99424"/>
    <w:rsid w:val="24FA4E36"/>
    <w:rsid w:val="24FBA8E4"/>
    <w:rsid w:val="24FCB0F5"/>
    <w:rsid w:val="2506155C"/>
    <w:rsid w:val="2508EB6F"/>
    <w:rsid w:val="2509871A"/>
    <w:rsid w:val="2509D184"/>
    <w:rsid w:val="250A41C1"/>
    <w:rsid w:val="250BEB19"/>
    <w:rsid w:val="251074D1"/>
    <w:rsid w:val="2512C035"/>
    <w:rsid w:val="251612F2"/>
    <w:rsid w:val="25164F18"/>
    <w:rsid w:val="25166FF8"/>
    <w:rsid w:val="251756BE"/>
    <w:rsid w:val="251811FF"/>
    <w:rsid w:val="251824C9"/>
    <w:rsid w:val="2518EB4F"/>
    <w:rsid w:val="25195D89"/>
    <w:rsid w:val="2519E3C2"/>
    <w:rsid w:val="251D962B"/>
    <w:rsid w:val="251DA26E"/>
    <w:rsid w:val="2521BA86"/>
    <w:rsid w:val="25253E38"/>
    <w:rsid w:val="25274BA9"/>
    <w:rsid w:val="252D12EC"/>
    <w:rsid w:val="252EE4BE"/>
    <w:rsid w:val="252F3E99"/>
    <w:rsid w:val="25321231"/>
    <w:rsid w:val="2533BCF2"/>
    <w:rsid w:val="253479A0"/>
    <w:rsid w:val="25355469"/>
    <w:rsid w:val="2538EC57"/>
    <w:rsid w:val="2539CD93"/>
    <w:rsid w:val="253BC48A"/>
    <w:rsid w:val="253D935D"/>
    <w:rsid w:val="2545DA1F"/>
    <w:rsid w:val="25483E0D"/>
    <w:rsid w:val="2548B618"/>
    <w:rsid w:val="25541C41"/>
    <w:rsid w:val="25551ADF"/>
    <w:rsid w:val="25577C3B"/>
    <w:rsid w:val="255802FD"/>
    <w:rsid w:val="255B3BA9"/>
    <w:rsid w:val="255D8940"/>
    <w:rsid w:val="255DE987"/>
    <w:rsid w:val="255E385A"/>
    <w:rsid w:val="255FBB64"/>
    <w:rsid w:val="25604B69"/>
    <w:rsid w:val="2560763A"/>
    <w:rsid w:val="25633F82"/>
    <w:rsid w:val="25682901"/>
    <w:rsid w:val="2568686B"/>
    <w:rsid w:val="256C1336"/>
    <w:rsid w:val="256D0438"/>
    <w:rsid w:val="256D492D"/>
    <w:rsid w:val="2571AECD"/>
    <w:rsid w:val="2573F7A4"/>
    <w:rsid w:val="25756E93"/>
    <w:rsid w:val="2576058E"/>
    <w:rsid w:val="2577D789"/>
    <w:rsid w:val="2579DD16"/>
    <w:rsid w:val="257A3CDD"/>
    <w:rsid w:val="257DE840"/>
    <w:rsid w:val="258066FC"/>
    <w:rsid w:val="2580794D"/>
    <w:rsid w:val="258108BB"/>
    <w:rsid w:val="25830AD1"/>
    <w:rsid w:val="25831B6C"/>
    <w:rsid w:val="25837560"/>
    <w:rsid w:val="2583A205"/>
    <w:rsid w:val="2586AAD3"/>
    <w:rsid w:val="25879D67"/>
    <w:rsid w:val="258D6E68"/>
    <w:rsid w:val="258F4041"/>
    <w:rsid w:val="258F6324"/>
    <w:rsid w:val="2590D86B"/>
    <w:rsid w:val="259197EB"/>
    <w:rsid w:val="2591FDBA"/>
    <w:rsid w:val="25927E6D"/>
    <w:rsid w:val="2593299D"/>
    <w:rsid w:val="25934ACF"/>
    <w:rsid w:val="2596EEB7"/>
    <w:rsid w:val="2597F637"/>
    <w:rsid w:val="2599B9A1"/>
    <w:rsid w:val="259C2C18"/>
    <w:rsid w:val="259DB6E9"/>
    <w:rsid w:val="259DB98F"/>
    <w:rsid w:val="259FA3F1"/>
    <w:rsid w:val="25A204EA"/>
    <w:rsid w:val="25A5F74D"/>
    <w:rsid w:val="25A6BBE9"/>
    <w:rsid w:val="25A8F781"/>
    <w:rsid w:val="25A9D707"/>
    <w:rsid w:val="25AC72CD"/>
    <w:rsid w:val="25ADF913"/>
    <w:rsid w:val="25B1B382"/>
    <w:rsid w:val="25B23B54"/>
    <w:rsid w:val="25B245B9"/>
    <w:rsid w:val="25B25349"/>
    <w:rsid w:val="25B40227"/>
    <w:rsid w:val="25B519C1"/>
    <w:rsid w:val="25B77224"/>
    <w:rsid w:val="25B780EA"/>
    <w:rsid w:val="25B95F3E"/>
    <w:rsid w:val="25BADB5E"/>
    <w:rsid w:val="25BCB4F1"/>
    <w:rsid w:val="25BD1173"/>
    <w:rsid w:val="25BD3945"/>
    <w:rsid w:val="25BD76E0"/>
    <w:rsid w:val="25BEA3EC"/>
    <w:rsid w:val="25C0C9FF"/>
    <w:rsid w:val="25C158D9"/>
    <w:rsid w:val="25C1E1E1"/>
    <w:rsid w:val="25CCF777"/>
    <w:rsid w:val="25D129F3"/>
    <w:rsid w:val="25D17261"/>
    <w:rsid w:val="25D1DD34"/>
    <w:rsid w:val="25D33ECA"/>
    <w:rsid w:val="25D43FB4"/>
    <w:rsid w:val="25D52ABB"/>
    <w:rsid w:val="25D5D7EB"/>
    <w:rsid w:val="25D66E91"/>
    <w:rsid w:val="25DBA417"/>
    <w:rsid w:val="25DDA740"/>
    <w:rsid w:val="25DE3B9F"/>
    <w:rsid w:val="25DEE6FC"/>
    <w:rsid w:val="25E2CCC9"/>
    <w:rsid w:val="25E606AB"/>
    <w:rsid w:val="25EA160C"/>
    <w:rsid w:val="25EE0528"/>
    <w:rsid w:val="25EEA11F"/>
    <w:rsid w:val="25F05720"/>
    <w:rsid w:val="25F1B3CF"/>
    <w:rsid w:val="25FBA4F6"/>
    <w:rsid w:val="25FD947B"/>
    <w:rsid w:val="25FE57BD"/>
    <w:rsid w:val="2601EA46"/>
    <w:rsid w:val="2602FC87"/>
    <w:rsid w:val="2606E346"/>
    <w:rsid w:val="26083ACF"/>
    <w:rsid w:val="2609E45B"/>
    <w:rsid w:val="260D64CE"/>
    <w:rsid w:val="2610419A"/>
    <w:rsid w:val="2613D26E"/>
    <w:rsid w:val="2614F373"/>
    <w:rsid w:val="2616D394"/>
    <w:rsid w:val="26177FA6"/>
    <w:rsid w:val="2617DBE3"/>
    <w:rsid w:val="26193D5B"/>
    <w:rsid w:val="261A9C8F"/>
    <w:rsid w:val="261C207C"/>
    <w:rsid w:val="261ED937"/>
    <w:rsid w:val="261F2575"/>
    <w:rsid w:val="262238CF"/>
    <w:rsid w:val="2623C0AF"/>
    <w:rsid w:val="26254A2B"/>
    <w:rsid w:val="26297CEE"/>
    <w:rsid w:val="2629BE52"/>
    <w:rsid w:val="262BB681"/>
    <w:rsid w:val="262BBEBE"/>
    <w:rsid w:val="262C32AC"/>
    <w:rsid w:val="2636B9D5"/>
    <w:rsid w:val="26388BBA"/>
    <w:rsid w:val="2638C90E"/>
    <w:rsid w:val="2638DF39"/>
    <w:rsid w:val="2639D69C"/>
    <w:rsid w:val="2639EFA2"/>
    <w:rsid w:val="263A908E"/>
    <w:rsid w:val="263C6571"/>
    <w:rsid w:val="263DC297"/>
    <w:rsid w:val="263DE0B2"/>
    <w:rsid w:val="263EBAD3"/>
    <w:rsid w:val="2641C804"/>
    <w:rsid w:val="26451803"/>
    <w:rsid w:val="2649D647"/>
    <w:rsid w:val="264A631A"/>
    <w:rsid w:val="264A7FD5"/>
    <w:rsid w:val="264AD0C6"/>
    <w:rsid w:val="264E2571"/>
    <w:rsid w:val="26502AE6"/>
    <w:rsid w:val="26505C7B"/>
    <w:rsid w:val="26534349"/>
    <w:rsid w:val="26543633"/>
    <w:rsid w:val="265449F2"/>
    <w:rsid w:val="265525EF"/>
    <w:rsid w:val="2656BA9E"/>
    <w:rsid w:val="2658C5E3"/>
    <w:rsid w:val="2659358E"/>
    <w:rsid w:val="265A87F7"/>
    <w:rsid w:val="265E3BD5"/>
    <w:rsid w:val="265F5628"/>
    <w:rsid w:val="2667362C"/>
    <w:rsid w:val="2667DB3A"/>
    <w:rsid w:val="266ADA83"/>
    <w:rsid w:val="26721109"/>
    <w:rsid w:val="267218C1"/>
    <w:rsid w:val="26730A17"/>
    <w:rsid w:val="26769D63"/>
    <w:rsid w:val="2676F290"/>
    <w:rsid w:val="2678C807"/>
    <w:rsid w:val="267903CA"/>
    <w:rsid w:val="267A1E1D"/>
    <w:rsid w:val="267DB16B"/>
    <w:rsid w:val="267FA6C0"/>
    <w:rsid w:val="268218D8"/>
    <w:rsid w:val="2688337A"/>
    <w:rsid w:val="26893D32"/>
    <w:rsid w:val="268981DC"/>
    <w:rsid w:val="2689A088"/>
    <w:rsid w:val="268A19CC"/>
    <w:rsid w:val="268AB3A5"/>
    <w:rsid w:val="268E3285"/>
    <w:rsid w:val="268F8ADC"/>
    <w:rsid w:val="26906230"/>
    <w:rsid w:val="2694B67A"/>
    <w:rsid w:val="26997DA4"/>
    <w:rsid w:val="269C95BA"/>
    <w:rsid w:val="269DF4CD"/>
    <w:rsid w:val="269EE375"/>
    <w:rsid w:val="269FE223"/>
    <w:rsid w:val="26A22FBD"/>
    <w:rsid w:val="26A2635D"/>
    <w:rsid w:val="26A3CEC9"/>
    <w:rsid w:val="26AC4D18"/>
    <w:rsid w:val="26B2F9CC"/>
    <w:rsid w:val="26B2FBA2"/>
    <w:rsid w:val="26B316F4"/>
    <w:rsid w:val="26B333F6"/>
    <w:rsid w:val="26B53DD3"/>
    <w:rsid w:val="26B5B423"/>
    <w:rsid w:val="26BD3669"/>
    <w:rsid w:val="26BEECC8"/>
    <w:rsid w:val="26BF5A65"/>
    <w:rsid w:val="26C05E1C"/>
    <w:rsid w:val="26C29EBB"/>
    <w:rsid w:val="26C3C3B8"/>
    <w:rsid w:val="26C536B4"/>
    <w:rsid w:val="26C5C68C"/>
    <w:rsid w:val="26C640C6"/>
    <w:rsid w:val="26C6A101"/>
    <w:rsid w:val="26C814E8"/>
    <w:rsid w:val="26C90CCA"/>
    <w:rsid w:val="26CCC3C1"/>
    <w:rsid w:val="26CE3040"/>
    <w:rsid w:val="26CFE7F9"/>
    <w:rsid w:val="26D01251"/>
    <w:rsid w:val="26D4891E"/>
    <w:rsid w:val="26D84A36"/>
    <w:rsid w:val="26D8D43C"/>
    <w:rsid w:val="26D8EBC8"/>
    <w:rsid w:val="26D97655"/>
    <w:rsid w:val="26D9DE37"/>
    <w:rsid w:val="26DB4CD0"/>
    <w:rsid w:val="26DDF979"/>
    <w:rsid w:val="26DEFC8B"/>
    <w:rsid w:val="26E0B2A7"/>
    <w:rsid w:val="26E0C8DD"/>
    <w:rsid w:val="26E104FF"/>
    <w:rsid w:val="26E1444C"/>
    <w:rsid w:val="26E3156D"/>
    <w:rsid w:val="26E3EC52"/>
    <w:rsid w:val="26E4B34B"/>
    <w:rsid w:val="26E5065D"/>
    <w:rsid w:val="26E633B9"/>
    <w:rsid w:val="26E6FCE8"/>
    <w:rsid w:val="26F349E1"/>
    <w:rsid w:val="26F5B5F0"/>
    <w:rsid w:val="26F87652"/>
    <w:rsid w:val="26F9FDF3"/>
    <w:rsid w:val="26FE6391"/>
    <w:rsid w:val="26FEB008"/>
    <w:rsid w:val="26FEF69F"/>
    <w:rsid w:val="27005F38"/>
    <w:rsid w:val="270307EB"/>
    <w:rsid w:val="2705AA96"/>
    <w:rsid w:val="2705C2A2"/>
    <w:rsid w:val="27107641"/>
    <w:rsid w:val="27128FBE"/>
    <w:rsid w:val="2712AE18"/>
    <w:rsid w:val="2717D737"/>
    <w:rsid w:val="2719E335"/>
    <w:rsid w:val="271BF401"/>
    <w:rsid w:val="271D5C2A"/>
    <w:rsid w:val="2723A4F0"/>
    <w:rsid w:val="2723DF4D"/>
    <w:rsid w:val="2723FE39"/>
    <w:rsid w:val="27261626"/>
    <w:rsid w:val="27263809"/>
    <w:rsid w:val="27266F6E"/>
    <w:rsid w:val="2728E70F"/>
    <w:rsid w:val="272CE85F"/>
    <w:rsid w:val="272F6D30"/>
    <w:rsid w:val="2730518B"/>
    <w:rsid w:val="2732EF76"/>
    <w:rsid w:val="27367B95"/>
    <w:rsid w:val="2738581D"/>
    <w:rsid w:val="2738C388"/>
    <w:rsid w:val="2739088C"/>
    <w:rsid w:val="273BD094"/>
    <w:rsid w:val="273EA266"/>
    <w:rsid w:val="27428C4A"/>
    <w:rsid w:val="274460EA"/>
    <w:rsid w:val="27466FFF"/>
    <w:rsid w:val="27476D68"/>
    <w:rsid w:val="2749ADDA"/>
    <w:rsid w:val="274DED1C"/>
    <w:rsid w:val="27552BF7"/>
    <w:rsid w:val="275DB93C"/>
    <w:rsid w:val="275DF1A4"/>
    <w:rsid w:val="275E0CD0"/>
    <w:rsid w:val="275F7252"/>
    <w:rsid w:val="2763D2AD"/>
    <w:rsid w:val="276734D1"/>
    <w:rsid w:val="27675281"/>
    <w:rsid w:val="2768E872"/>
    <w:rsid w:val="27692556"/>
    <w:rsid w:val="27694918"/>
    <w:rsid w:val="276A892A"/>
    <w:rsid w:val="276ADEFA"/>
    <w:rsid w:val="276E0877"/>
    <w:rsid w:val="276F5446"/>
    <w:rsid w:val="276F5879"/>
    <w:rsid w:val="277076AD"/>
    <w:rsid w:val="2774FED6"/>
    <w:rsid w:val="2776A426"/>
    <w:rsid w:val="277C334E"/>
    <w:rsid w:val="277DFCAE"/>
    <w:rsid w:val="277E58F9"/>
    <w:rsid w:val="277FD9D2"/>
    <w:rsid w:val="2781E1E5"/>
    <w:rsid w:val="2781F919"/>
    <w:rsid w:val="278355CD"/>
    <w:rsid w:val="27845BC7"/>
    <w:rsid w:val="2784EC74"/>
    <w:rsid w:val="2785E66D"/>
    <w:rsid w:val="2785FE6C"/>
    <w:rsid w:val="27865F36"/>
    <w:rsid w:val="278CF482"/>
    <w:rsid w:val="278D40A8"/>
    <w:rsid w:val="278D5AFB"/>
    <w:rsid w:val="278F5FE4"/>
    <w:rsid w:val="27906E9D"/>
    <w:rsid w:val="2793528F"/>
    <w:rsid w:val="2793FAD2"/>
    <w:rsid w:val="2799AEF8"/>
    <w:rsid w:val="279E429D"/>
    <w:rsid w:val="27A24A1B"/>
    <w:rsid w:val="27A26CFE"/>
    <w:rsid w:val="27A421C8"/>
    <w:rsid w:val="27A4AC55"/>
    <w:rsid w:val="27A513A2"/>
    <w:rsid w:val="27A84930"/>
    <w:rsid w:val="27AC8589"/>
    <w:rsid w:val="27AF0F41"/>
    <w:rsid w:val="27B1D7B3"/>
    <w:rsid w:val="27B25BB1"/>
    <w:rsid w:val="27B2B5D4"/>
    <w:rsid w:val="27B47067"/>
    <w:rsid w:val="27B5350D"/>
    <w:rsid w:val="27B69641"/>
    <w:rsid w:val="27B7A849"/>
    <w:rsid w:val="27B9111E"/>
    <w:rsid w:val="27B9675E"/>
    <w:rsid w:val="27BA5561"/>
    <w:rsid w:val="27BDAB8A"/>
    <w:rsid w:val="27C766CD"/>
    <w:rsid w:val="27C786E2"/>
    <w:rsid w:val="27C93188"/>
    <w:rsid w:val="27C9CC93"/>
    <w:rsid w:val="27C9D7FB"/>
    <w:rsid w:val="27C9E757"/>
    <w:rsid w:val="27CA6F8C"/>
    <w:rsid w:val="27CB32A4"/>
    <w:rsid w:val="27CE4A05"/>
    <w:rsid w:val="27CE5C2E"/>
    <w:rsid w:val="27CFB668"/>
    <w:rsid w:val="27D06080"/>
    <w:rsid w:val="27D3171F"/>
    <w:rsid w:val="27D618B8"/>
    <w:rsid w:val="27D6DC35"/>
    <w:rsid w:val="27E237A7"/>
    <w:rsid w:val="27E39FC8"/>
    <w:rsid w:val="27E5D0F6"/>
    <w:rsid w:val="27E6A45F"/>
    <w:rsid w:val="27E917EC"/>
    <w:rsid w:val="27F2CE2F"/>
    <w:rsid w:val="27F5F7E6"/>
    <w:rsid w:val="27F8581E"/>
    <w:rsid w:val="27FB6785"/>
    <w:rsid w:val="27FB90A8"/>
    <w:rsid w:val="27FDE810"/>
    <w:rsid w:val="27FFD07A"/>
    <w:rsid w:val="28026F8B"/>
    <w:rsid w:val="2803C215"/>
    <w:rsid w:val="28055941"/>
    <w:rsid w:val="28068E88"/>
    <w:rsid w:val="2806A673"/>
    <w:rsid w:val="2807CA5B"/>
    <w:rsid w:val="28083041"/>
    <w:rsid w:val="280A6EE2"/>
    <w:rsid w:val="280BCF63"/>
    <w:rsid w:val="280C2ABE"/>
    <w:rsid w:val="280D7A20"/>
    <w:rsid w:val="2810363D"/>
    <w:rsid w:val="2812AA74"/>
    <w:rsid w:val="28152602"/>
    <w:rsid w:val="28156157"/>
    <w:rsid w:val="28164011"/>
    <w:rsid w:val="28169737"/>
    <w:rsid w:val="281C0FDB"/>
    <w:rsid w:val="2822BCA9"/>
    <w:rsid w:val="282355DE"/>
    <w:rsid w:val="28238CD7"/>
    <w:rsid w:val="2829865F"/>
    <w:rsid w:val="282C1588"/>
    <w:rsid w:val="282CCB6B"/>
    <w:rsid w:val="282CDF8F"/>
    <w:rsid w:val="282DBA0B"/>
    <w:rsid w:val="2830C79E"/>
    <w:rsid w:val="28339318"/>
    <w:rsid w:val="2834DE66"/>
    <w:rsid w:val="28369421"/>
    <w:rsid w:val="2837E9D4"/>
    <w:rsid w:val="283B10EA"/>
    <w:rsid w:val="283F27E0"/>
    <w:rsid w:val="2842DCE7"/>
    <w:rsid w:val="28453956"/>
    <w:rsid w:val="28472F3F"/>
    <w:rsid w:val="28479F47"/>
    <w:rsid w:val="28488DD1"/>
    <w:rsid w:val="284D066A"/>
    <w:rsid w:val="284EEBFA"/>
    <w:rsid w:val="284F3D3F"/>
    <w:rsid w:val="284FB4A3"/>
    <w:rsid w:val="28510FD1"/>
    <w:rsid w:val="285163E1"/>
    <w:rsid w:val="2856C579"/>
    <w:rsid w:val="28581B8A"/>
    <w:rsid w:val="28595643"/>
    <w:rsid w:val="28597AC8"/>
    <w:rsid w:val="285C3EE9"/>
    <w:rsid w:val="285CAFC0"/>
    <w:rsid w:val="285E358D"/>
    <w:rsid w:val="285F083E"/>
    <w:rsid w:val="285F6909"/>
    <w:rsid w:val="285FA3E4"/>
    <w:rsid w:val="28614CDD"/>
    <w:rsid w:val="2861B785"/>
    <w:rsid w:val="28648DD8"/>
    <w:rsid w:val="2868A3C8"/>
    <w:rsid w:val="28723367"/>
    <w:rsid w:val="2879C9DA"/>
    <w:rsid w:val="287D145C"/>
    <w:rsid w:val="288084B0"/>
    <w:rsid w:val="2883F758"/>
    <w:rsid w:val="28842930"/>
    <w:rsid w:val="288586DB"/>
    <w:rsid w:val="28872363"/>
    <w:rsid w:val="288C3523"/>
    <w:rsid w:val="288D7EE1"/>
    <w:rsid w:val="288F7EA1"/>
    <w:rsid w:val="2892C8EF"/>
    <w:rsid w:val="289515B9"/>
    <w:rsid w:val="2896BB75"/>
    <w:rsid w:val="28990048"/>
    <w:rsid w:val="28990474"/>
    <w:rsid w:val="289BBC20"/>
    <w:rsid w:val="289F0027"/>
    <w:rsid w:val="28A04562"/>
    <w:rsid w:val="28A215F7"/>
    <w:rsid w:val="28A3868B"/>
    <w:rsid w:val="28A5C8B2"/>
    <w:rsid w:val="28A8A82D"/>
    <w:rsid w:val="28A985FA"/>
    <w:rsid w:val="28AC46A2"/>
    <w:rsid w:val="28AE321D"/>
    <w:rsid w:val="28B1591E"/>
    <w:rsid w:val="28B23003"/>
    <w:rsid w:val="28B2761C"/>
    <w:rsid w:val="28B44733"/>
    <w:rsid w:val="28B861E9"/>
    <w:rsid w:val="28BAE638"/>
    <w:rsid w:val="28BB58F7"/>
    <w:rsid w:val="28BC5C36"/>
    <w:rsid w:val="28C22934"/>
    <w:rsid w:val="28C3C1CD"/>
    <w:rsid w:val="28C5FDE1"/>
    <w:rsid w:val="28C779A5"/>
    <w:rsid w:val="28C79379"/>
    <w:rsid w:val="28CC07A7"/>
    <w:rsid w:val="28CEF258"/>
    <w:rsid w:val="28CF3151"/>
    <w:rsid w:val="28D3BADC"/>
    <w:rsid w:val="28D6FFC5"/>
    <w:rsid w:val="28D85CA2"/>
    <w:rsid w:val="28DAD5ED"/>
    <w:rsid w:val="28DAE4A8"/>
    <w:rsid w:val="28DAF867"/>
    <w:rsid w:val="28E21C88"/>
    <w:rsid w:val="28E24C9B"/>
    <w:rsid w:val="28E944FA"/>
    <w:rsid w:val="28EB0BDE"/>
    <w:rsid w:val="28EB8B29"/>
    <w:rsid w:val="28EC9DC7"/>
    <w:rsid w:val="28EDCC7E"/>
    <w:rsid w:val="28EEC308"/>
    <w:rsid w:val="28EF6727"/>
    <w:rsid w:val="28F21D6C"/>
    <w:rsid w:val="28F2DC9B"/>
    <w:rsid w:val="28F56111"/>
    <w:rsid w:val="28FD69EB"/>
    <w:rsid w:val="28FDD286"/>
    <w:rsid w:val="28FEEB78"/>
    <w:rsid w:val="29020F5C"/>
    <w:rsid w:val="29097DF6"/>
    <w:rsid w:val="290A8C7C"/>
    <w:rsid w:val="290BB69C"/>
    <w:rsid w:val="290D90FF"/>
    <w:rsid w:val="290E0F53"/>
    <w:rsid w:val="2912046E"/>
    <w:rsid w:val="2913679E"/>
    <w:rsid w:val="29137361"/>
    <w:rsid w:val="291396AF"/>
    <w:rsid w:val="291FEF03"/>
    <w:rsid w:val="292839FD"/>
    <w:rsid w:val="292AD3E6"/>
    <w:rsid w:val="292DC82C"/>
    <w:rsid w:val="292E01EF"/>
    <w:rsid w:val="292E44F3"/>
    <w:rsid w:val="292E865C"/>
    <w:rsid w:val="29368CA1"/>
    <w:rsid w:val="2938A193"/>
    <w:rsid w:val="293D5808"/>
    <w:rsid w:val="293E5CEF"/>
    <w:rsid w:val="2941EE3A"/>
    <w:rsid w:val="294221C5"/>
    <w:rsid w:val="2942EFAE"/>
    <w:rsid w:val="2948FEF8"/>
    <w:rsid w:val="294B4636"/>
    <w:rsid w:val="294D34F9"/>
    <w:rsid w:val="294D925E"/>
    <w:rsid w:val="294E9C16"/>
    <w:rsid w:val="294F41FE"/>
    <w:rsid w:val="2950869A"/>
    <w:rsid w:val="2950972C"/>
    <w:rsid w:val="29517525"/>
    <w:rsid w:val="29520C5A"/>
    <w:rsid w:val="2954E25A"/>
    <w:rsid w:val="2957D269"/>
    <w:rsid w:val="29593121"/>
    <w:rsid w:val="295AC431"/>
    <w:rsid w:val="295AF3F3"/>
    <w:rsid w:val="295C144C"/>
    <w:rsid w:val="295CFCB5"/>
    <w:rsid w:val="295ECEE1"/>
    <w:rsid w:val="2960CB91"/>
    <w:rsid w:val="2962C5A8"/>
    <w:rsid w:val="29641FB2"/>
    <w:rsid w:val="29694989"/>
    <w:rsid w:val="296D22F6"/>
    <w:rsid w:val="296ED3F0"/>
    <w:rsid w:val="296FEB78"/>
    <w:rsid w:val="29718F49"/>
    <w:rsid w:val="29720443"/>
    <w:rsid w:val="297E29FB"/>
    <w:rsid w:val="2987F5FA"/>
    <w:rsid w:val="29895900"/>
    <w:rsid w:val="298A163B"/>
    <w:rsid w:val="298D4333"/>
    <w:rsid w:val="298D9773"/>
    <w:rsid w:val="298DF70D"/>
    <w:rsid w:val="2990DE31"/>
    <w:rsid w:val="2991A168"/>
    <w:rsid w:val="2991C847"/>
    <w:rsid w:val="2994916E"/>
    <w:rsid w:val="2995861E"/>
    <w:rsid w:val="299688F1"/>
    <w:rsid w:val="29970373"/>
    <w:rsid w:val="2998D741"/>
    <w:rsid w:val="299D53EE"/>
    <w:rsid w:val="299ECB6D"/>
    <w:rsid w:val="299EE84B"/>
    <w:rsid w:val="299FA1B0"/>
    <w:rsid w:val="29A068E9"/>
    <w:rsid w:val="29A1756B"/>
    <w:rsid w:val="29A3B06C"/>
    <w:rsid w:val="29A3D526"/>
    <w:rsid w:val="29A5E548"/>
    <w:rsid w:val="29AC201B"/>
    <w:rsid w:val="29AC5050"/>
    <w:rsid w:val="29AC7879"/>
    <w:rsid w:val="29AE794F"/>
    <w:rsid w:val="29AF39F0"/>
    <w:rsid w:val="29B0545D"/>
    <w:rsid w:val="29B1B0C0"/>
    <w:rsid w:val="29B8F06C"/>
    <w:rsid w:val="29BED377"/>
    <w:rsid w:val="29BF018C"/>
    <w:rsid w:val="29C1CFE4"/>
    <w:rsid w:val="29C2436E"/>
    <w:rsid w:val="29C2B175"/>
    <w:rsid w:val="29C2F000"/>
    <w:rsid w:val="29C3E071"/>
    <w:rsid w:val="29C4ECB3"/>
    <w:rsid w:val="29C60D0B"/>
    <w:rsid w:val="29C8A111"/>
    <w:rsid w:val="29C936AE"/>
    <w:rsid w:val="29CB37A8"/>
    <w:rsid w:val="29CC278D"/>
    <w:rsid w:val="29CC5EE7"/>
    <w:rsid w:val="29CEA8EC"/>
    <w:rsid w:val="29CFE8EA"/>
    <w:rsid w:val="29D13A72"/>
    <w:rsid w:val="29D3B83C"/>
    <w:rsid w:val="29D4D7DD"/>
    <w:rsid w:val="29D7D08D"/>
    <w:rsid w:val="29DE5B00"/>
    <w:rsid w:val="29E121D8"/>
    <w:rsid w:val="29E1AE55"/>
    <w:rsid w:val="29E6C8F0"/>
    <w:rsid w:val="29E6F678"/>
    <w:rsid w:val="29E7FDA6"/>
    <w:rsid w:val="29E934F7"/>
    <w:rsid w:val="29EA9835"/>
    <w:rsid w:val="29EAE273"/>
    <w:rsid w:val="29ED4CBA"/>
    <w:rsid w:val="29ED901A"/>
    <w:rsid w:val="29EEEC08"/>
    <w:rsid w:val="29EFA3BE"/>
    <w:rsid w:val="29F22C14"/>
    <w:rsid w:val="29F50EB3"/>
    <w:rsid w:val="29F532A0"/>
    <w:rsid w:val="29F77EA9"/>
    <w:rsid w:val="29FE23B5"/>
    <w:rsid w:val="2A002451"/>
    <w:rsid w:val="2A028F8D"/>
    <w:rsid w:val="2A045381"/>
    <w:rsid w:val="2A08C58C"/>
    <w:rsid w:val="2A0DC1FA"/>
    <w:rsid w:val="2A0E814D"/>
    <w:rsid w:val="2A104E6B"/>
    <w:rsid w:val="2A105790"/>
    <w:rsid w:val="2A145926"/>
    <w:rsid w:val="2A18146B"/>
    <w:rsid w:val="2A185BF1"/>
    <w:rsid w:val="2A1891E4"/>
    <w:rsid w:val="2A1B6878"/>
    <w:rsid w:val="2A1B7268"/>
    <w:rsid w:val="2A1C5935"/>
    <w:rsid w:val="2A1D98AF"/>
    <w:rsid w:val="2A1E7F17"/>
    <w:rsid w:val="2A1EA6A0"/>
    <w:rsid w:val="2A235AF5"/>
    <w:rsid w:val="2A270218"/>
    <w:rsid w:val="2A270CA5"/>
    <w:rsid w:val="2A2C8EB6"/>
    <w:rsid w:val="2A2CBD94"/>
    <w:rsid w:val="2A2CE810"/>
    <w:rsid w:val="2A2EBFCB"/>
    <w:rsid w:val="2A2EF592"/>
    <w:rsid w:val="2A2FE219"/>
    <w:rsid w:val="2A36BA76"/>
    <w:rsid w:val="2A375ACC"/>
    <w:rsid w:val="2A3A1C63"/>
    <w:rsid w:val="2A3CEBA8"/>
    <w:rsid w:val="2A3E2855"/>
    <w:rsid w:val="2A4108E8"/>
    <w:rsid w:val="2A4420D5"/>
    <w:rsid w:val="2A445A9F"/>
    <w:rsid w:val="2A44E3B1"/>
    <w:rsid w:val="2A47E245"/>
    <w:rsid w:val="2A48648C"/>
    <w:rsid w:val="2A493391"/>
    <w:rsid w:val="2A4AAA90"/>
    <w:rsid w:val="2A4CC12A"/>
    <w:rsid w:val="2A4E6B9A"/>
    <w:rsid w:val="2A4EB9C3"/>
    <w:rsid w:val="2A54C7F8"/>
    <w:rsid w:val="2A5C7095"/>
    <w:rsid w:val="2A5D5183"/>
    <w:rsid w:val="2A5FFD6E"/>
    <w:rsid w:val="2A606251"/>
    <w:rsid w:val="2A643C59"/>
    <w:rsid w:val="2A656D45"/>
    <w:rsid w:val="2A65AA63"/>
    <w:rsid w:val="2A6A0151"/>
    <w:rsid w:val="2A6A6AB8"/>
    <w:rsid w:val="2A6B4C45"/>
    <w:rsid w:val="2A7146F6"/>
    <w:rsid w:val="2A74C76B"/>
    <w:rsid w:val="2A76282B"/>
    <w:rsid w:val="2A78506A"/>
    <w:rsid w:val="2A7B23A5"/>
    <w:rsid w:val="2A7B3A81"/>
    <w:rsid w:val="2A7F9654"/>
    <w:rsid w:val="2A80823F"/>
    <w:rsid w:val="2A8A6770"/>
    <w:rsid w:val="2A8C69F4"/>
    <w:rsid w:val="2A8D9E85"/>
    <w:rsid w:val="2A8DAFAB"/>
    <w:rsid w:val="2A90DB8E"/>
    <w:rsid w:val="2A91511D"/>
    <w:rsid w:val="2A937352"/>
    <w:rsid w:val="2A966434"/>
    <w:rsid w:val="2A98F608"/>
    <w:rsid w:val="2A9944AA"/>
    <w:rsid w:val="2A9A5B3F"/>
    <w:rsid w:val="2A9C1A9A"/>
    <w:rsid w:val="2A9DAC8F"/>
    <w:rsid w:val="2A9F6D24"/>
    <w:rsid w:val="2A9FCB5E"/>
    <w:rsid w:val="2AA0E9DA"/>
    <w:rsid w:val="2AA10079"/>
    <w:rsid w:val="2AA17289"/>
    <w:rsid w:val="2AA181DB"/>
    <w:rsid w:val="2AA1C31E"/>
    <w:rsid w:val="2AA450FA"/>
    <w:rsid w:val="2AA48B22"/>
    <w:rsid w:val="2AA72731"/>
    <w:rsid w:val="2AA72861"/>
    <w:rsid w:val="2AA74110"/>
    <w:rsid w:val="2AABC07E"/>
    <w:rsid w:val="2AAC0007"/>
    <w:rsid w:val="2AACAACF"/>
    <w:rsid w:val="2AAED87C"/>
    <w:rsid w:val="2AAF32BC"/>
    <w:rsid w:val="2AAF6475"/>
    <w:rsid w:val="2AAFDB2F"/>
    <w:rsid w:val="2AB117DF"/>
    <w:rsid w:val="2AB16B73"/>
    <w:rsid w:val="2AB2DE2D"/>
    <w:rsid w:val="2AB4E631"/>
    <w:rsid w:val="2AB4E819"/>
    <w:rsid w:val="2AB5534A"/>
    <w:rsid w:val="2AB572FC"/>
    <w:rsid w:val="2AB6E6CE"/>
    <w:rsid w:val="2AB80DF7"/>
    <w:rsid w:val="2AB888F8"/>
    <w:rsid w:val="2ABB4D38"/>
    <w:rsid w:val="2ABB628C"/>
    <w:rsid w:val="2ABBD3E5"/>
    <w:rsid w:val="2ABC8CE2"/>
    <w:rsid w:val="2AC0F3F1"/>
    <w:rsid w:val="2AC22773"/>
    <w:rsid w:val="2AC311EE"/>
    <w:rsid w:val="2ACA770B"/>
    <w:rsid w:val="2ACB1884"/>
    <w:rsid w:val="2ACCC777"/>
    <w:rsid w:val="2ACD5C52"/>
    <w:rsid w:val="2ACF6F0A"/>
    <w:rsid w:val="2AD26CAB"/>
    <w:rsid w:val="2AD33978"/>
    <w:rsid w:val="2AD69E57"/>
    <w:rsid w:val="2AD7F67C"/>
    <w:rsid w:val="2AD8BF23"/>
    <w:rsid w:val="2AD8C1ED"/>
    <w:rsid w:val="2ADB2725"/>
    <w:rsid w:val="2ADCCCB6"/>
    <w:rsid w:val="2AE3F4CF"/>
    <w:rsid w:val="2AE42EE8"/>
    <w:rsid w:val="2AE8351C"/>
    <w:rsid w:val="2AE97FC4"/>
    <w:rsid w:val="2AEB78D6"/>
    <w:rsid w:val="2AEDD421"/>
    <w:rsid w:val="2AF0282E"/>
    <w:rsid w:val="2AF079B3"/>
    <w:rsid w:val="2AF2020B"/>
    <w:rsid w:val="2AF31707"/>
    <w:rsid w:val="2AF35E58"/>
    <w:rsid w:val="2AF480D7"/>
    <w:rsid w:val="2AF58422"/>
    <w:rsid w:val="2AF8BB4E"/>
    <w:rsid w:val="2AFA325C"/>
    <w:rsid w:val="2AFBB06D"/>
    <w:rsid w:val="2AFCF116"/>
    <w:rsid w:val="2AFE8FA4"/>
    <w:rsid w:val="2AFF2FE1"/>
    <w:rsid w:val="2AFFC7BB"/>
    <w:rsid w:val="2B02D967"/>
    <w:rsid w:val="2B0475BE"/>
    <w:rsid w:val="2B0877F0"/>
    <w:rsid w:val="2B09C1E0"/>
    <w:rsid w:val="2B0A73D1"/>
    <w:rsid w:val="2B0AD0A3"/>
    <w:rsid w:val="2B0B6BD7"/>
    <w:rsid w:val="2B0F53FC"/>
    <w:rsid w:val="2B101595"/>
    <w:rsid w:val="2B104176"/>
    <w:rsid w:val="2B1690E5"/>
    <w:rsid w:val="2B16A5F9"/>
    <w:rsid w:val="2B180C16"/>
    <w:rsid w:val="2B1A8DE0"/>
    <w:rsid w:val="2B1B8FA1"/>
    <w:rsid w:val="2B1C533E"/>
    <w:rsid w:val="2B1EA111"/>
    <w:rsid w:val="2B1EE627"/>
    <w:rsid w:val="2B1FEAB5"/>
    <w:rsid w:val="2B2453A2"/>
    <w:rsid w:val="2B24DB8F"/>
    <w:rsid w:val="2B255359"/>
    <w:rsid w:val="2B257FE1"/>
    <w:rsid w:val="2B2B5225"/>
    <w:rsid w:val="2B31D4FE"/>
    <w:rsid w:val="2B31F80C"/>
    <w:rsid w:val="2B32926D"/>
    <w:rsid w:val="2B3403F0"/>
    <w:rsid w:val="2B344890"/>
    <w:rsid w:val="2B351F99"/>
    <w:rsid w:val="2B36C2FA"/>
    <w:rsid w:val="2B38C874"/>
    <w:rsid w:val="2B3AF3AE"/>
    <w:rsid w:val="2B3B31B1"/>
    <w:rsid w:val="2B3C028B"/>
    <w:rsid w:val="2B3D307D"/>
    <w:rsid w:val="2B3FD495"/>
    <w:rsid w:val="2B404CAA"/>
    <w:rsid w:val="2B46BD5E"/>
    <w:rsid w:val="2B477C5D"/>
    <w:rsid w:val="2B4901A0"/>
    <w:rsid w:val="2B4BEFD2"/>
    <w:rsid w:val="2B4F5B23"/>
    <w:rsid w:val="2B539BAA"/>
    <w:rsid w:val="2B54A1FA"/>
    <w:rsid w:val="2B55C61E"/>
    <w:rsid w:val="2B55E98F"/>
    <w:rsid w:val="2B588B70"/>
    <w:rsid w:val="2B5C9B23"/>
    <w:rsid w:val="2B5E61FB"/>
    <w:rsid w:val="2B5FC072"/>
    <w:rsid w:val="2B6416F5"/>
    <w:rsid w:val="2B64C2FC"/>
    <w:rsid w:val="2B66E782"/>
    <w:rsid w:val="2B6972A9"/>
    <w:rsid w:val="2B6A4E3C"/>
    <w:rsid w:val="2B6D932F"/>
    <w:rsid w:val="2B714E43"/>
    <w:rsid w:val="2B739D61"/>
    <w:rsid w:val="2B748BCE"/>
    <w:rsid w:val="2B78A9BB"/>
    <w:rsid w:val="2B79044E"/>
    <w:rsid w:val="2B7A6554"/>
    <w:rsid w:val="2B7C1517"/>
    <w:rsid w:val="2B7D7B29"/>
    <w:rsid w:val="2B7DC288"/>
    <w:rsid w:val="2B83B724"/>
    <w:rsid w:val="2B842840"/>
    <w:rsid w:val="2B8651F5"/>
    <w:rsid w:val="2B89A610"/>
    <w:rsid w:val="2B8C751F"/>
    <w:rsid w:val="2B8CEA4D"/>
    <w:rsid w:val="2B90F2C4"/>
    <w:rsid w:val="2B92145A"/>
    <w:rsid w:val="2B929D4B"/>
    <w:rsid w:val="2B948864"/>
    <w:rsid w:val="2B96339A"/>
    <w:rsid w:val="2B96DC03"/>
    <w:rsid w:val="2B97FAE2"/>
    <w:rsid w:val="2B99CF14"/>
    <w:rsid w:val="2B9A0446"/>
    <w:rsid w:val="2B9B73CA"/>
    <w:rsid w:val="2BA1B28D"/>
    <w:rsid w:val="2BAB67A6"/>
    <w:rsid w:val="2BAD14CF"/>
    <w:rsid w:val="2BAD27CE"/>
    <w:rsid w:val="2BADF8C3"/>
    <w:rsid w:val="2BAE5FEE"/>
    <w:rsid w:val="2BAFC072"/>
    <w:rsid w:val="2BB37F2D"/>
    <w:rsid w:val="2BB57D8C"/>
    <w:rsid w:val="2BB5F0B3"/>
    <w:rsid w:val="2BB7F2A6"/>
    <w:rsid w:val="2BBC0B3E"/>
    <w:rsid w:val="2BBC81E9"/>
    <w:rsid w:val="2BBDF546"/>
    <w:rsid w:val="2BBE1950"/>
    <w:rsid w:val="2BBF80F8"/>
    <w:rsid w:val="2BC141FA"/>
    <w:rsid w:val="2BC63220"/>
    <w:rsid w:val="2BC875DC"/>
    <w:rsid w:val="2BCA4755"/>
    <w:rsid w:val="2BCC3F5E"/>
    <w:rsid w:val="2BD13896"/>
    <w:rsid w:val="2BD1451C"/>
    <w:rsid w:val="2BD3BAC7"/>
    <w:rsid w:val="2BD3E22F"/>
    <w:rsid w:val="2BD489DF"/>
    <w:rsid w:val="2BD6D894"/>
    <w:rsid w:val="2BD6FD3F"/>
    <w:rsid w:val="2BD79F8A"/>
    <w:rsid w:val="2BD7C717"/>
    <w:rsid w:val="2BD897CF"/>
    <w:rsid w:val="2BE03656"/>
    <w:rsid w:val="2BE278F0"/>
    <w:rsid w:val="2BE703FD"/>
    <w:rsid w:val="2BEE0260"/>
    <w:rsid w:val="2BF0F331"/>
    <w:rsid w:val="2BF24774"/>
    <w:rsid w:val="2BF4508D"/>
    <w:rsid w:val="2BF72494"/>
    <w:rsid w:val="2BF9F6EC"/>
    <w:rsid w:val="2BFB1E60"/>
    <w:rsid w:val="2BFB418A"/>
    <w:rsid w:val="2BFBAFA2"/>
    <w:rsid w:val="2BFBC4C3"/>
    <w:rsid w:val="2BFCD510"/>
    <w:rsid w:val="2BFCD576"/>
    <w:rsid w:val="2BFF8D5F"/>
    <w:rsid w:val="2BFFE390"/>
    <w:rsid w:val="2C03C2AE"/>
    <w:rsid w:val="2C03CD95"/>
    <w:rsid w:val="2C042E28"/>
    <w:rsid w:val="2C04B25D"/>
    <w:rsid w:val="2C070C29"/>
    <w:rsid w:val="2C097256"/>
    <w:rsid w:val="2C0F11F8"/>
    <w:rsid w:val="2C130357"/>
    <w:rsid w:val="2C13A2B1"/>
    <w:rsid w:val="2C19CF95"/>
    <w:rsid w:val="2C1BAF8B"/>
    <w:rsid w:val="2C1BCE89"/>
    <w:rsid w:val="2C1D0962"/>
    <w:rsid w:val="2C233DB8"/>
    <w:rsid w:val="2C258260"/>
    <w:rsid w:val="2C259654"/>
    <w:rsid w:val="2C27D606"/>
    <w:rsid w:val="2C283A55"/>
    <w:rsid w:val="2C298A6B"/>
    <w:rsid w:val="2C2B8B6A"/>
    <w:rsid w:val="2C2BDA4D"/>
    <w:rsid w:val="2C2D7766"/>
    <w:rsid w:val="2C330CA0"/>
    <w:rsid w:val="2C3A1DE7"/>
    <w:rsid w:val="2C3E5CB9"/>
    <w:rsid w:val="2C4175C1"/>
    <w:rsid w:val="2C41C8DE"/>
    <w:rsid w:val="2C46D903"/>
    <w:rsid w:val="2C477792"/>
    <w:rsid w:val="2C4CFB9D"/>
    <w:rsid w:val="2C4F3A71"/>
    <w:rsid w:val="2C538921"/>
    <w:rsid w:val="2C53BA40"/>
    <w:rsid w:val="2C563D0D"/>
    <w:rsid w:val="2C570D41"/>
    <w:rsid w:val="2C575FA6"/>
    <w:rsid w:val="2C591BA7"/>
    <w:rsid w:val="2C5C05DD"/>
    <w:rsid w:val="2C5F980D"/>
    <w:rsid w:val="2C6240D2"/>
    <w:rsid w:val="2C644612"/>
    <w:rsid w:val="2C678570"/>
    <w:rsid w:val="2C67FE5E"/>
    <w:rsid w:val="2C68F7B6"/>
    <w:rsid w:val="2C6A6036"/>
    <w:rsid w:val="2C6D82E7"/>
    <w:rsid w:val="2C6D8E47"/>
    <w:rsid w:val="2C6E457A"/>
    <w:rsid w:val="2C6FD259"/>
    <w:rsid w:val="2C7219C3"/>
    <w:rsid w:val="2C74486A"/>
    <w:rsid w:val="2C777B2E"/>
    <w:rsid w:val="2C7908AC"/>
    <w:rsid w:val="2C791EC4"/>
    <w:rsid w:val="2C7A4533"/>
    <w:rsid w:val="2C7D7DD7"/>
    <w:rsid w:val="2C7DB5A6"/>
    <w:rsid w:val="2C7EE4C7"/>
    <w:rsid w:val="2C7EF2E8"/>
    <w:rsid w:val="2C7EFAF8"/>
    <w:rsid w:val="2C808921"/>
    <w:rsid w:val="2C828C30"/>
    <w:rsid w:val="2C8387F7"/>
    <w:rsid w:val="2C83A4C8"/>
    <w:rsid w:val="2C8620DE"/>
    <w:rsid w:val="2C86D5CA"/>
    <w:rsid w:val="2C8846AD"/>
    <w:rsid w:val="2C8ADA5B"/>
    <w:rsid w:val="2C8BA63D"/>
    <w:rsid w:val="2C8E4B5E"/>
    <w:rsid w:val="2C8ECBD8"/>
    <w:rsid w:val="2C8FDC21"/>
    <w:rsid w:val="2C9160C2"/>
    <w:rsid w:val="2C91A159"/>
    <w:rsid w:val="2C9254DE"/>
    <w:rsid w:val="2C948BAF"/>
    <w:rsid w:val="2C963263"/>
    <w:rsid w:val="2C968089"/>
    <w:rsid w:val="2C969D01"/>
    <w:rsid w:val="2C99B635"/>
    <w:rsid w:val="2C9B0042"/>
    <w:rsid w:val="2C9F2F1D"/>
    <w:rsid w:val="2CA111A4"/>
    <w:rsid w:val="2CA11BF1"/>
    <w:rsid w:val="2CA1D0B0"/>
    <w:rsid w:val="2CA56495"/>
    <w:rsid w:val="2CA5E832"/>
    <w:rsid w:val="2CA5F782"/>
    <w:rsid w:val="2CA82289"/>
    <w:rsid w:val="2CA8F49C"/>
    <w:rsid w:val="2CA9D44D"/>
    <w:rsid w:val="2CA9FFBD"/>
    <w:rsid w:val="2CAC1676"/>
    <w:rsid w:val="2CACD1CC"/>
    <w:rsid w:val="2CAD95A9"/>
    <w:rsid w:val="2CADA135"/>
    <w:rsid w:val="2CADAD03"/>
    <w:rsid w:val="2CAF3F00"/>
    <w:rsid w:val="2CAF8E5F"/>
    <w:rsid w:val="2CB06A9C"/>
    <w:rsid w:val="2CB08F89"/>
    <w:rsid w:val="2CB13D87"/>
    <w:rsid w:val="2CB257AB"/>
    <w:rsid w:val="2CB42189"/>
    <w:rsid w:val="2CB52F52"/>
    <w:rsid w:val="2CB63EF7"/>
    <w:rsid w:val="2CB8BCBB"/>
    <w:rsid w:val="2CB9FC15"/>
    <w:rsid w:val="2CBAE64E"/>
    <w:rsid w:val="2CBBAEB9"/>
    <w:rsid w:val="2CBC9ADE"/>
    <w:rsid w:val="2CBF7BA2"/>
    <w:rsid w:val="2CC05874"/>
    <w:rsid w:val="2CC13E9C"/>
    <w:rsid w:val="2CC2D217"/>
    <w:rsid w:val="2CC2D2F2"/>
    <w:rsid w:val="2CC92011"/>
    <w:rsid w:val="2CCB2856"/>
    <w:rsid w:val="2CCB3911"/>
    <w:rsid w:val="2CCE58D9"/>
    <w:rsid w:val="2CCF6512"/>
    <w:rsid w:val="2CCFD905"/>
    <w:rsid w:val="2CD2BF36"/>
    <w:rsid w:val="2CD41803"/>
    <w:rsid w:val="2CD56A51"/>
    <w:rsid w:val="2CDCD314"/>
    <w:rsid w:val="2CDD6DBF"/>
    <w:rsid w:val="2CDE6A8C"/>
    <w:rsid w:val="2CDFDDE3"/>
    <w:rsid w:val="2CE02B6B"/>
    <w:rsid w:val="2CE23135"/>
    <w:rsid w:val="2CE54529"/>
    <w:rsid w:val="2CE7B56A"/>
    <w:rsid w:val="2CE80F92"/>
    <w:rsid w:val="2CEDFAE4"/>
    <w:rsid w:val="2CEF2AB4"/>
    <w:rsid w:val="2CF0DF13"/>
    <w:rsid w:val="2CF1163C"/>
    <w:rsid w:val="2CF1A655"/>
    <w:rsid w:val="2CF2FD8F"/>
    <w:rsid w:val="2CF67439"/>
    <w:rsid w:val="2CF774FE"/>
    <w:rsid w:val="2CF8D58E"/>
    <w:rsid w:val="2CFACADA"/>
    <w:rsid w:val="2CFB0BD7"/>
    <w:rsid w:val="2CFBDB70"/>
    <w:rsid w:val="2CFF3F74"/>
    <w:rsid w:val="2CFF9F12"/>
    <w:rsid w:val="2D01C998"/>
    <w:rsid w:val="2D03C364"/>
    <w:rsid w:val="2D045503"/>
    <w:rsid w:val="2D06C47D"/>
    <w:rsid w:val="2D0AB3BE"/>
    <w:rsid w:val="2D0F467C"/>
    <w:rsid w:val="2D1105E4"/>
    <w:rsid w:val="2D121502"/>
    <w:rsid w:val="2D129903"/>
    <w:rsid w:val="2D155FB9"/>
    <w:rsid w:val="2D15A306"/>
    <w:rsid w:val="2D163AB7"/>
    <w:rsid w:val="2D1842FD"/>
    <w:rsid w:val="2D1CC220"/>
    <w:rsid w:val="2D1E4D06"/>
    <w:rsid w:val="2D2444BE"/>
    <w:rsid w:val="2D249B49"/>
    <w:rsid w:val="2D261B22"/>
    <w:rsid w:val="2D289A53"/>
    <w:rsid w:val="2D2DA59C"/>
    <w:rsid w:val="2D31A6B0"/>
    <w:rsid w:val="2D36A1A1"/>
    <w:rsid w:val="2D36B158"/>
    <w:rsid w:val="2D38D147"/>
    <w:rsid w:val="2D395CBD"/>
    <w:rsid w:val="2D39EB35"/>
    <w:rsid w:val="2D3B5BE8"/>
    <w:rsid w:val="2D3B9015"/>
    <w:rsid w:val="2D3CE2CC"/>
    <w:rsid w:val="2D3EBF6F"/>
    <w:rsid w:val="2D3EDCED"/>
    <w:rsid w:val="2D3FB1B2"/>
    <w:rsid w:val="2D4381E4"/>
    <w:rsid w:val="2D43D435"/>
    <w:rsid w:val="2D454491"/>
    <w:rsid w:val="2D4678A5"/>
    <w:rsid w:val="2D46D917"/>
    <w:rsid w:val="2D472891"/>
    <w:rsid w:val="2D47B426"/>
    <w:rsid w:val="2D49A261"/>
    <w:rsid w:val="2D4C4653"/>
    <w:rsid w:val="2D528914"/>
    <w:rsid w:val="2D529805"/>
    <w:rsid w:val="2D52E10D"/>
    <w:rsid w:val="2D54C689"/>
    <w:rsid w:val="2D553019"/>
    <w:rsid w:val="2D58BE9E"/>
    <w:rsid w:val="2D58EBC9"/>
    <w:rsid w:val="2D5902C2"/>
    <w:rsid w:val="2D59E11A"/>
    <w:rsid w:val="2D5AB620"/>
    <w:rsid w:val="2D5B39B8"/>
    <w:rsid w:val="2D5D2FCC"/>
    <w:rsid w:val="2D5FB67C"/>
    <w:rsid w:val="2D6173C2"/>
    <w:rsid w:val="2D63A799"/>
    <w:rsid w:val="2D651824"/>
    <w:rsid w:val="2D652DCF"/>
    <w:rsid w:val="2D668EE0"/>
    <w:rsid w:val="2D69D13C"/>
    <w:rsid w:val="2D6D07FF"/>
    <w:rsid w:val="2D6DFCFF"/>
    <w:rsid w:val="2D740F7A"/>
    <w:rsid w:val="2D753067"/>
    <w:rsid w:val="2D759AD8"/>
    <w:rsid w:val="2D77E4EA"/>
    <w:rsid w:val="2D788AFE"/>
    <w:rsid w:val="2D7A83DF"/>
    <w:rsid w:val="2D7BE84C"/>
    <w:rsid w:val="2D82BA94"/>
    <w:rsid w:val="2D82CB26"/>
    <w:rsid w:val="2D83D134"/>
    <w:rsid w:val="2D83DD01"/>
    <w:rsid w:val="2D860937"/>
    <w:rsid w:val="2D86B3FE"/>
    <w:rsid w:val="2D877AF5"/>
    <w:rsid w:val="2D8CEDDD"/>
    <w:rsid w:val="2D8E43CD"/>
    <w:rsid w:val="2D8F2E26"/>
    <w:rsid w:val="2D8F845F"/>
    <w:rsid w:val="2D8FBA69"/>
    <w:rsid w:val="2D92A060"/>
    <w:rsid w:val="2D94B65D"/>
    <w:rsid w:val="2D97868F"/>
    <w:rsid w:val="2D97F7E0"/>
    <w:rsid w:val="2D9837BE"/>
    <w:rsid w:val="2D990E9A"/>
    <w:rsid w:val="2DA0BE8B"/>
    <w:rsid w:val="2DA2C8E7"/>
    <w:rsid w:val="2DA4AB20"/>
    <w:rsid w:val="2DA5BBD0"/>
    <w:rsid w:val="2DA622DD"/>
    <w:rsid w:val="2DAC2C3A"/>
    <w:rsid w:val="2DAD4CD4"/>
    <w:rsid w:val="2DADB5FB"/>
    <w:rsid w:val="2DAF90EA"/>
    <w:rsid w:val="2DB004B1"/>
    <w:rsid w:val="2DB22338"/>
    <w:rsid w:val="2DB260B2"/>
    <w:rsid w:val="2DB265C0"/>
    <w:rsid w:val="2DB6A08A"/>
    <w:rsid w:val="2DB70B9F"/>
    <w:rsid w:val="2DB95BF9"/>
    <w:rsid w:val="2DBE3BA2"/>
    <w:rsid w:val="2DBECF89"/>
    <w:rsid w:val="2DBFDF19"/>
    <w:rsid w:val="2DC40AB6"/>
    <w:rsid w:val="2DC54853"/>
    <w:rsid w:val="2DC5CAA3"/>
    <w:rsid w:val="2DC5F6C3"/>
    <w:rsid w:val="2DCA5443"/>
    <w:rsid w:val="2DCF93DC"/>
    <w:rsid w:val="2DD11731"/>
    <w:rsid w:val="2DD17837"/>
    <w:rsid w:val="2DD334D4"/>
    <w:rsid w:val="2DD357E5"/>
    <w:rsid w:val="2DD79098"/>
    <w:rsid w:val="2DD85062"/>
    <w:rsid w:val="2DDA1734"/>
    <w:rsid w:val="2DDA3306"/>
    <w:rsid w:val="2DE2CAE0"/>
    <w:rsid w:val="2DE4C34E"/>
    <w:rsid w:val="2DE67280"/>
    <w:rsid w:val="2DE70195"/>
    <w:rsid w:val="2DE8C308"/>
    <w:rsid w:val="2DE91D28"/>
    <w:rsid w:val="2DE95F78"/>
    <w:rsid w:val="2DE9B424"/>
    <w:rsid w:val="2DEA43A1"/>
    <w:rsid w:val="2DEA58BD"/>
    <w:rsid w:val="2DEDF331"/>
    <w:rsid w:val="2DF0E3E1"/>
    <w:rsid w:val="2DF528E2"/>
    <w:rsid w:val="2DF547B2"/>
    <w:rsid w:val="2DF7B693"/>
    <w:rsid w:val="2DF887B8"/>
    <w:rsid w:val="2DFA73F6"/>
    <w:rsid w:val="2DFC3C5E"/>
    <w:rsid w:val="2DFCDBA2"/>
    <w:rsid w:val="2DFD775A"/>
    <w:rsid w:val="2E008CDA"/>
    <w:rsid w:val="2E00D4F7"/>
    <w:rsid w:val="2E01906F"/>
    <w:rsid w:val="2E053F0B"/>
    <w:rsid w:val="2E0AB01E"/>
    <w:rsid w:val="2E0C3B07"/>
    <w:rsid w:val="2E0CDEBD"/>
    <w:rsid w:val="2E0D0F61"/>
    <w:rsid w:val="2E0E2BB4"/>
    <w:rsid w:val="2E0EFB43"/>
    <w:rsid w:val="2E104426"/>
    <w:rsid w:val="2E12DD19"/>
    <w:rsid w:val="2E141903"/>
    <w:rsid w:val="2E176C73"/>
    <w:rsid w:val="2E185873"/>
    <w:rsid w:val="2E1959C6"/>
    <w:rsid w:val="2E19F8B2"/>
    <w:rsid w:val="2E1E76D9"/>
    <w:rsid w:val="2E1F076A"/>
    <w:rsid w:val="2E21853F"/>
    <w:rsid w:val="2E233046"/>
    <w:rsid w:val="2E247442"/>
    <w:rsid w:val="2E248EE4"/>
    <w:rsid w:val="2E24B706"/>
    <w:rsid w:val="2E263030"/>
    <w:rsid w:val="2E286F89"/>
    <w:rsid w:val="2E2B184C"/>
    <w:rsid w:val="2E2EAB0A"/>
    <w:rsid w:val="2E331265"/>
    <w:rsid w:val="2E334138"/>
    <w:rsid w:val="2E3AFF7E"/>
    <w:rsid w:val="2E3B71F0"/>
    <w:rsid w:val="2E3BAB2C"/>
    <w:rsid w:val="2E3D1926"/>
    <w:rsid w:val="2E48D6C4"/>
    <w:rsid w:val="2E4927CD"/>
    <w:rsid w:val="2E4984F9"/>
    <w:rsid w:val="2E4BDB68"/>
    <w:rsid w:val="2E4C65E5"/>
    <w:rsid w:val="2E50C7DE"/>
    <w:rsid w:val="2E552A4C"/>
    <w:rsid w:val="2E57B2E7"/>
    <w:rsid w:val="2E58B92B"/>
    <w:rsid w:val="2E5C00AB"/>
    <w:rsid w:val="2E5F4D8D"/>
    <w:rsid w:val="2E605245"/>
    <w:rsid w:val="2E607E14"/>
    <w:rsid w:val="2E609A22"/>
    <w:rsid w:val="2E629554"/>
    <w:rsid w:val="2E634B2A"/>
    <w:rsid w:val="2E656ABE"/>
    <w:rsid w:val="2E66E598"/>
    <w:rsid w:val="2E6888FA"/>
    <w:rsid w:val="2E69823C"/>
    <w:rsid w:val="2E6C75D9"/>
    <w:rsid w:val="2E6CA9C0"/>
    <w:rsid w:val="2E6D31C2"/>
    <w:rsid w:val="2E6D890F"/>
    <w:rsid w:val="2E736CFB"/>
    <w:rsid w:val="2E7542CE"/>
    <w:rsid w:val="2E7606A1"/>
    <w:rsid w:val="2E79F3F2"/>
    <w:rsid w:val="2E7AE7EA"/>
    <w:rsid w:val="2E7BB8B7"/>
    <w:rsid w:val="2E7BE912"/>
    <w:rsid w:val="2E7D4E04"/>
    <w:rsid w:val="2E827F95"/>
    <w:rsid w:val="2E82DDDB"/>
    <w:rsid w:val="2E853ACF"/>
    <w:rsid w:val="2E8640F0"/>
    <w:rsid w:val="2E86943C"/>
    <w:rsid w:val="2E8A36D2"/>
    <w:rsid w:val="2E8B64C4"/>
    <w:rsid w:val="2E92449A"/>
    <w:rsid w:val="2E954107"/>
    <w:rsid w:val="2E95C366"/>
    <w:rsid w:val="2E95DFC8"/>
    <w:rsid w:val="2E95E04C"/>
    <w:rsid w:val="2E965D95"/>
    <w:rsid w:val="2E98CD86"/>
    <w:rsid w:val="2E993DEC"/>
    <w:rsid w:val="2E9B09CC"/>
    <w:rsid w:val="2EA6DB80"/>
    <w:rsid w:val="2EABC6D9"/>
    <w:rsid w:val="2EACF1EA"/>
    <w:rsid w:val="2EAED91D"/>
    <w:rsid w:val="2EAEFDCE"/>
    <w:rsid w:val="2EAF7A46"/>
    <w:rsid w:val="2EAFC9E0"/>
    <w:rsid w:val="2EB36088"/>
    <w:rsid w:val="2EB66209"/>
    <w:rsid w:val="2EB89105"/>
    <w:rsid w:val="2EB8C005"/>
    <w:rsid w:val="2EC0A94E"/>
    <w:rsid w:val="2EC8AD0D"/>
    <w:rsid w:val="2EC97BF2"/>
    <w:rsid w:val="2EC9CB43"/>
    <w:rsid w:val="2ECD3568"/>
    <w:rsid w:val="2ECF224D"/>
    <w:rsid w:val="2ED0C19D"/>
    <w:rsid w:val="2ED1C046"/>
    <w:rsid w:val="2ED53C56"/>
    <w:rsid w:val="2ED8B39A"/>
    <w:rsid w:val="2EDB1AD9"/>
    <w:rsid w:val="2EDB4068"/>
    <w:rsid w:val="2EDC2BD5"/>
    <w:rsid w:val="2EDF3BBD"/>
    <w:rsid w:val="2EE5302D"/>
    <w:rsid w:val="2EE63DD4"/>
    <w:rsid w:val="2EE7F44A"/>
    <w:rsid w:val="2EE8E45F"/>
    <w:rsid w:val="2EEC49B8"/>
    <w:rsid w:val="2EED6694"/>
    <w:rsid w:val="2EEEC9A2"/>
    <w:rsid w:val="2EF0FC01"/>
    <w:rsid w:val="2EF19301"/>
    <w:rsid w:val="2EF44C94"/>
    <w:rsid w:val="2EF543B0"/>
    <w:rsid w:val="2EF5F5D3"/>
    <w:rsid w:val="2EF61137"/>
    <w:rsid w:val="2EFA79E3"/>
    <w:rsid w:val="2EFA7DC8"/>
    <w:rsid w:val="2EFC0C72"/>
    <w:rsid w:val="2EFDD1EB"/>
    <w:rsid w:val="2EFE7BFF"/>
    <w:rsid w:val="2EFEB93E"/>
    <w:rsid w:val="2F00E209"/>
    <w:rsid w:val="2F0209D9"/>
    <w:rsid w:val="2F0394CA"/>
    <w:rsid w:val="2F051CC4"/>
    <w:rsid w:val="2F0565B7"/>
    <w:rsid w:val="2F091FB4"/>
    <w:rsid w:val="2F0A3C4C"/>
    <w:rsid w:val="2F0C382C"/>
    <w:rsid w:val="2F0E8C4F"/>
    <w:rsid w:val="2F10D5A9"/>
    <w:rsid w:val="2F10EFC4"/>
    <w:rsid w:val="2F141FEF"/>
    <w:rsid w:val="2F173B8A"/>
    <w:rsid w:val="2F19A87A"/>
    <w:rsid w:val="2F19E461"/>
    <w:rsid w:val="2F1B6947"/>
    <w:rsid w:val="2F1C516F"/>
    <w:rsid w:val="2F1E02F2"/>
    <w:rsid w:val="2F1EF16E"/>
    <w:rsid w:val="2F203CFD"/>
    <w:rsid w:val="2F2089EF"/>
    <w:rsid w:val="2F266CD6"/>
    <w:rsid w:val="2F284B34"/>
    <w:rsid w:val="2F290BD5"/>
    <w:rsid w:val="2F2DC49B"/>
    <w:rsid w:val="2F2FDF57"/>
    <w:rsid w:val="2F3026CD"/>
    <w:rsid w:val="2F3411B8"/>
    <w:rsid w:val="2F351F44"/>
    <w:rsid w:val="2F364D00"/>
    <w:rsid w:val="2F3AF342"/>
    <w:rsid w:val="2F3DE0C4"/>
    <w:rsid w:val="2F3DE283"/>
    <w:rsid w:val="2F42FFE0"/>
    <w:rsid w:val="2F4389B5"/>
    <w:rsid w:val="2F461B6E"/>
    <w:rsid w:val="2F49F263"/>
    <w:rsid w:val="2F4A5C75"/>
    <w:rsid w:val="2F4AF960"/>
    <w:rsid w:val="2F4D9E2F"/>
    <w:rsid w:val="2F4DED5A"/>
    <w:rsid w:val="2F4E200C"/>
    <w:rsid w:val="2F4F7426"/>
    <w:rsid w:val="2F50B708"/>
    <w:rsid w:val="2F51A387"/>
    <w:rsid w:val="2F5219B5"/>
    <w:rsid w:val="2F5577F6"/>
    <w:rsid w:val="2F55A4EE"/>
    <w:rsid w:val="2F56D9A4"/>
    <w:rsid w:val="2F56E081"/>
    <w:rsid w:val="2F586D87"/>
    <w:rsid w:val="2F58DC21"/>
    <w:rsid w:val="2F5B0A15"/>
    <w:rsid w:val="2F5EE53A"/>
    <w:rsid w:val="2F632249"/>
    <w:rsid w:val="2F68B744"/>
    <w:rsid w:val="2F697232"/>
    <w:rsid w:val="2F6ACA81"/>
    <w:rsid w:val="2F6C5469"/>
    <w:rsid w:val="2F70E50E"/>
    <w:rsid w:val="2F730690"/>
    <w:rsid w:val="2F745A61"/>
    <w:rsid w:val="2F7583FC"/>
    <w:rsid w:val="2F80F271"/>
    <w:rsid w:val="2F884C9F"/>
    <w:rsid w:val="2F8A0516"/>
    <w:rsid w:val="2F90BB51"/>
    <w:rsid w:val="2F93AA0A"/>
    <w:rsid w:val="2F96F85C"/>
    <w:rsid w:val="2F971A75"/>
    <w:rsid w:val="2F97E207"/>
    <w:rsid w:val="2F986CB7"/>
    <w:rsid w:val="2F9CA70F"/>
    <w:rsid w:val="2FA0B951"/>
    <w:rsid w:val="2FA1660A"/>
    <w:rsid w:val="2FA54CD4"/>
    <w:rsid w:val="2FA6662A"/>
    <w:rsid w:val="2FA880D0"/>
    <w:rsid w:val="2FAA050E"/>
    <w:rsid w:val="2FABA197"/>
    <w:rsid w:val="2FAF4FCF"/>
    <w:rsid w:val="2FB1737B"/>
    <w:rsid w:val="2FB1B84D"/>
    <w:rsid w:val="2FB3004B"/>
    <w:rsid w:val="2FB30928"/>
    <w:rsid w:val="2FB6025D"/>
    <w:rsid w:val="2FB65173"/>
    <w:rsid w:val="2FB75F8D"/>
    <w:rsid w:val="2FBC9EDC"/>
    <w:rsid w:val="2FBE0A83"/>
    <w:rsid w:val="2FBE5153"/>
    <w:rsid w:val="2FBE9B88"/>
    <w:rsid w:val="2FBEB840"/>
    <w:rsid w:val="2FBFE75B"/>
    <w:rsid w:val="2FC0520F"/>
    <w:rsid w:val="2FC0D6FD"/>
    <w:rsid w:val="2FC6A0D3"/>
    <w:rsid w:val="2FC6D964"/>
    <w:rsid w:val="2FC7ED53"/>
    <w:rsid w:val="2FC926D3"/>
    <w:rsid w:val="2FC9D43A"/>
    <w:rsid w:val="2FCA059C"/>
    <w:rsid w:val="2FCB2968"/>
    <w:rsid w:val="2FCE2BDD"/>
    <w:rsid w:val="2FD06015"/>
    <w:rsid w:val="2FD43494"/>
    <w:rsid w:val="2FD5AD70"/>
    <w:rsid w:val="2FD754C2"/>
    <w:rsid w:val="2FD915EB"/>
    <w:rsid w:val="2FDAFF8D"/>
    <w:rsid w:val="2FDC9CEB"/>
    <w:rsid w:val="2FE0FDE6"/>
    <w:rsid w:val="2FE23525"/>
    <w:rsid w:val="2FE24763"/>
    <w:rsid w:val="2FE3CBA8"/>
    <w:rsid w:val="2FE43955"/>
    <w:rsid w:val="2FE630CD"/>
    <w:rsid w:val="2FE7E549"/>
    <w:rsid w:val="2FE9A3BC"/>
    <w:rsid w:val="2FEAF8DB"/>
    <w:rsid w:val="2FEE7519"/>
    <w:rsid w:val="2FF2B4AA"/>
    <w:rsid w:val="2FF4898C"/>
    <w:rsid w:val="2FF55812"/>
    <w:rsid w:val="2FF57018"/>
    <w:rsid w:val="2FF5C0CC"/>
    <w:rsid w:val="2FF9CA76"/>
    <w:rsid w:val="2FFBD63B"/>
    <w:rsid w:val="30011E99"/>
    <w:rsid w:val="30028359"/>
    <w:rsid w:val="3003E8CA"/>
    <w:rsid w:val="30068F9C"/>
    <w:rsid w:val="30081018"/>
    <w:rsid w:val="3009D713"/>
    <w:rsid w:val="300A0B2D"/>
    <w:rsid w:val="300BF58C"/>
    <w:rsid w:val="300CE8CE"/>
    <w:rsid w:val="300F25EF"/>
    <w:rsid w:val="30120AB3"/>
    <w:rsid w:val="30153F66"/>
    <w:rsid w:val="3017C517"/>
    <w:rsid w:val="30182B43"/>
    <w:rsid w:val="30191A95"/>
    <w:rsid w:val="301CA4D5"/>
    <w:rsid w:val="3021C0CD"/>
    <w:rsid w:val="3021D6F5"/>
    <w:rsid w:val="3027E16E"/>
    <w:rsid w:val="3029305F"/>
    <w:rsid w:val="302A18A4"/>
    <w:rsid w:val="302CB434"/>
    <w:rsid w:val="302DF529"/>
    <w:rsid w:val="302F9E62"/>
    <w:rsid w:val="30305AC7"/>
    <w:rsid w:val="3031BDD9"/>
    <w:rsid w:val="30322CA4"/>
    <w:rsid w:val="3032F2A7"/>
    <w:rsid w:val="3035D8E0"/>
    <w:rsid w:val="3037015A"/>
    <w:rsid w:val="30386ED6"/>
    <w:rsid w:val="30389D51"/>
    <w:rsid w:val="3039E3B5"/>
    <w:rsid w:val="3040BB82"/>
    <w:rsid w:val="3040CFF8"/>
    <w:rsid w:val="3040D0C8"/>
    <w:rsid w:val="3044F836"/>
    <w:rsid w:val="30455D85"/>
    <w:rsid w:val="3048089E"/>
    <w:rsid w:val="30480D02"/>
    <w:rsid w:val="30484BB8"/>
    <w:rsid w:val="3048F864"/>
    <w:rsid w:val="30507F8D"/>
    <w:rsid w:val="30550F5B"/>
    <w:rsid w:val="305567A5"/>
    <w:rsid w:val="305A1F1B"/>
    <w:rsid w:val="305B1A3A"/>
    <w:rsid w:val="305B20A6"/>
    <w:rsid w:val="305C322D"/>
    <w:rsid w:val="305D27A0"/>
    <w:rsid w:val="30684247"/>
    <w:rsid w:val="306B10B6"/>
    <w:rsid w:val="306B5610"/>
    <w:rsid w:val="306CF260"/>
    <w:rsid w:val="306FE60E"/>
    <w:rsid w:val="3070A202"/>
    <w:rsid w:val="3071BCC8"/>
    <w:rsid w:val="3071DADF"/>
    <w:rsid w:val="307298BF"/>
    <w:rsid w:val="307519D9"/>
    <w:rsid w:val="30787B35"/>
    <w:rsid w:val="3078BA20"/>
    <w:rsid w:val="307C3926"/>
    <w:rsid w:val="307D70E1"/>
    <w:rsid w:val="307FFC13"/>
    <w:rsid w:val="308035D9"/>
    <w:rsid w:val="30824AA6"/>
    <w:rsid w:val="3084708D"/>
    <w:rsid w:val="3084EAD6"/>
    <w:rsid w:val="308556F0"/>
    <w:rsid w:val="308D6070"/>
    <w:rsid w:val="308E3F05"/>
    <w:rsid w:val="308F0ADE"/>
    <w:rsid w:val="308FA877"/>
    <w:rsid w:val="30969D31"/>
    <w:rsid w:val="309702F5"/>
    <w:rsid w:val="309839B4"/>
    <w:rsid w:val="3098D55F"/>
    <w:rsid w:val="309B7071"/>
    <w:rsid w:val="309CF7DF"/>
    <w:rsid w:val="309D031E"/>
    <w:rsid w:val="309DD1E9"/>
    <w:rsid w:val="309E0A98"/>
    <w:rsid w:val="30A60147"/>
    <w:rsid w:val="30A7A12D"/>
    <w:rsid w:val="30AD895F"/>
    <w:rsid w:val="30ADB501"/>
    <w:rsid w:val="30AED819"/>
    <w:rsid w:val="30AEE633"/>
    <w:rsid w:val="30AF6DA6"/>
    <w:rsid w:val="30B1F92D"/>
    <w:rsid w:val="30B31BF8"/>
    <w:rsid w:val="30B443E2"/>
    <w:rsid w:val="30B55798"/>
    <w:rsid w:val="30B746AA"/>
    <w:rsid w:val="30BD2288"/>
    <w:rsid w:val="30BF36CF"/>
    <w:rsid w:val="30C3F99F"/>
    <w:rsid w:val="30C523FB"/>
    <w:rsid w:val="30C5F14A"/>
    <w:rsid w:val="30C7A4E6"/>
    <w:rsid w:val="30CBC612"/>
    <w:rsid w:val="30CBDB72"/>
    <w:rsid w:val="30CC41E7"/>
    <w:rsid w:val="30CDF7DA"/>
    <w:rsid w:val="30D13F9D"/>
    <w:rsid w:val="30D2C408"/>
    <w:rsid w:val="30D5659D"/>
    <w:rsid w:val="30DBA705"/>
    <w:rsid w:val="30DC566D"/>
    <w:rsid w:val="30DD4AE2"/>
    <w:rsid w:val="30DE03DD"/>
    <w:rsid w:val="30DE2596"/>
    <w:rsid w:val="30E4464B"/>
    <w:rsid w:val="30E8BAE9"/>
    <w:rsid w:val="30EC9FE2"/>
    <w:rsid w:val="30ED73F7"/>
    <w:rsid w:val="30F063B8"/>
    <w:rsid w:val="30F2A19B"/>
    <w:rsid w:val="30F63FD2"/>
    <w:rsid w:val="30F742CB"/>
    <w:rsid w:val="30F83E08"/>
    <w:rsid w:val="30F8C616"/>
    <w:rsid w:val="30FBAB78"/>
    <w:rsid w:val="30FDA151"/>
    <w:rsid w:val="30FEEC53"/>
    <w:rsid w:val="3103764D"/>
    <w:rsid w:val="31044100"/>
    <w:rsid w:val="3105501D"/>
    <w:rsid w:val="31065216"/>
    <w:rsid w:val="3106A5D8"/>
    <w:rsid w:val="310718AA"/>
    <w:rsid w:val="310BDDBE"/>
    <w:rsid w:val="310D50C6"/>
    <w:rsid w:val="3114A061"/>
    <w:rsid w:val="311605F2"/>
    <w:rsid w:val="3119F73A"/>
    <w:rsid w:val="3119FA2C"/>
    <w:rsid w:val="311C1275"/>
    <w:rsid w:val="31203517"/>
    <w:rsid w:val="312083B1"/>
    <w:rsid w:val="31211172"/>
    <w:rsid w:val="312253F1"/>
    <w:rsid w:val="31233E68"/>
    <w:rsid w:val="3124F905"/>
    <w:rsid w:val="312923CA"/>
    <w:rsid w:val="312C93F7"/>
    <w:rsid w:val="3131C3F4"/>
    <w:rsid w:val="31362449"/>
    <w:rsid w:val="313BBDA4"/>
    <w:rsid w:val="313D23A2"/>
    <w:rsid w:val="313DC2A3"/>
    <w:rsid w:val="313DF39C"/>
    <w:rsid w:val="314E62CC"/>
    <w:rsid w:val="31502C1E"/>
    <w:rsid w:val="3153CF12"/>
    <w:rsid w:val="315462FF"/>
    <w:rsid w:val="3158446C"/>
    <w:rsid w:val="315A6BD9"/>
    <w:rsid w:val="315E1890"/>
    <w:rsid w:val="315F0088"/>
    <w:rsid w:val="3160577F"/>
    <w:rsid w:val="3160EEF9"/>
    <w:rsid w:val="31622D40"/>
    <w:rsid w:val="3164CA85"/>
    <w:rsid w:val="31662D35"/>
    <w:rsid w:val="31667DE0"/>
    <w:rsid w:val="3166B543"/>
    <w:rsid w:val="31688075"/>
    <w:rsid w:val="316ED45F"/>
    <w:rsid w:val="3172CAC8"/>
    <w:rsid w:val="3176FB50"/>
    <w:rsid w:val="317A0E37"/>
    <w:rsid w:val="317C52CA"/>
    <w:rsid w:val="317CFF88"/>
    <w:rsid w:val="317F7CE6"/>
    <w:rsid w:val="3182397B"/>
    <w:rsid w:val="31845335"/>
    <w:rsid w:val="31874B22"/>
    <w:rsid w:val="31883FFD"/>
    <w:rsid w:val="318CD3A0"/>
    <w:rsid w:val="318D8EFE"/>
    <w:rsid w:val="318DB89C"/>
    <w:rsid w:val="318E42A7"/>
    <w:rsid w:val="318F3EE5"/>
    <w:rsid w:val="3195E91C"/>
    <w:rsid w:val="3196B395"/>
    <w:rsid w:val="31998DE7"/>
    <w:rsid w:val="319D62E9"/>
    <w:rsid w:val="319ED2C7"/>
    <w:rsid w:val="31A10925"/>
    <w:rsid w:val="31A22685"/>
    <w:rsid w:val="31A4C6E3"/>
    <w:rsid w:val="31A4DB06"/>
    <w:rsid w:val="31A54430"/>
    <w:rsid w:val="31A64FFC"/>
    <w:rsid w:val="31A72BE0"/>
    <w:rsid w:val="31A8AB04"/>
    <w:rsid w:val="31AA70E8"/>
    <w:rsid w:val="31B08D15"/>
    <w:rsid w:val="31B10FC7"/>
    <w:rsid w:val="31B14EA7"/>
    <w:rsid w:val="31B2C01C"/>
    <w:rsid w:val="31B7C6FA"/>
    <w:rsid w:val="31B7DC1A"/>
    <w:rsid w:val="31B87174"/>
    <w:rsid w:val="31B92CE1"/>
    <w:rsid w:val="31B96D0D"/>
    <w:rsid w:val="31B9CF36"/>
    <w:rsid w:val="31BE1B25"/>
    <w:rsid w:val="31C03BC2"/>
    <w:rsid w:val="31C61654"/>
    <w:rsid w:val="31C6FD99"/>
    <w:rsid w:val="31C8AC84"/>
    <w:rsid w:val="31C95C56"/>
    <w:rsid w:val="31CB26B1"/>
    <w:rsid w:val="31CE5CF7"/>
    <w:rsid w:val="31D22E3E"/>
    <w:rsid w:val="31D2B50C"/>
    <w:rsid w:val="31D7DA94"/>
    <w:rsid w:val="31D8C319"/>
    <w:rsid w:val="31DB30DC"/>
    <w:rsid w:val="31DCB169"/>
    <w:rsid w:val="31DE4311"/>
    <w:rsid w:val="31DEE25F"/>
    <w:rsid w:val="31DFB880"/>
    <w:rsid w:val="31E29638"/>
    <w:rsid w:val="31E62BE3"/>
    <w:rsid w:val="31E95CC7"/>
    <w:rsid w:val="31EA9436"/>
    <w:rsid w:val="31EC1C1A"/>
    <w:rsid w:val="31ECCC8A"/>
    <w:rsid w:val="31F387BC"/>
    <w:rsid w:val="31F7A9CE"/>
    <w:rsid w:val="31F813D0"/>
    <w:rsid w:val="31F81FF7"/>
    <w:rsid w:val="31F844B3"/>
    <w:rsid w:val="31F93825"/>
    <w:rsid w:val="31F96423"/>
    <w:rsid w:val="31FA9030"/>
    <w:rsid w:val="31FBFF8C"/>
    <w:rsid w:val="31FC7716"/>
    <w:rsid w:val="31FE984C"/>
    <w:rsid w:val="32016AFB"/>
    <w:rsid w:val="320607F9"/>
    <w:rsid w:val="3207FA96"/>
    <w:rsid w:val="32095335"/>
    <w:rsid w:val="3209F964"/>
    <w:rsid w:val="320CBA76"/>
    <w:rsid w:val="320DDDC3"/>
    <w:rsid w:val="320DDF08"/>
    <w:rsid w:val="320E0A68"/>
    <w:rsid w:val="320FCE67"/>
    <w:rsid w:val="321180E8"/>
    <w:rsid w:val="32135BB3"/>
    <w:rsid w:val="32160316"/>
    <w:rsid w:val="3217EF13"/>
    <w:rsid w:val="3219B5DB"/>
    <w:rsid w:val="3219D5D0"/>
    <w:rsid w:val="321C0F46"/>
    <w:rsid w:val="321CAF04"/>
    <w:rsid w:val="321E3E6C"/>
    <w:rsid w:val="32206E44"/>
    <w:rsid w:val="3221CFEC"/>
    <w:rsid w:val="3221FD5C"/>
    <w:rsid w:val="3223502F"/>
    <w:rsid w:val="3223C3BC"/>
    <w:rsid w:val="32242338"/>
    <w:rsid w:val="322BAD22"/>
    <w:rsid w:val="322EBEC8"/>
    <w:rsid w:val="322F170D"/>
    <w:rsid w:val="32327ED5"/>
    <w:rsid w:val="3232C268"/>
    <w:rsid w:val="3233279F"/>
    <w:rsid w:val="323710BF"/>
    <w:rsid w:val="32376592"/>
    <w:rsid w:val="32398FA5"/>
    <w:rsid w:val="323ABB32"/>
    <w:rsid w:val="323E7AA5"/>
    <w:rsid w:val="324222A0"/>
    <w:rsid w:val="3243718E"/>
    <w:rsid w:val="3244780E"/>
    <w:rsid w:val="3244BDA9"/>
    <w:rsid w:val="324773EF"/>
    <w:rsid w:val="3247B0E4"/>
    <w:rsid w:val="3247C7B9"/>
    <w:rsid w:val="324D8061"/>
    <w:rsid w:val="324E5C98"/>
    <w:rsid w:val="324E5EC9"/>
    <w:rsid w:val="324F8B30"/>
    <w:rsid w:val="324FDDF3"/>
    <w:rsid w:val="32503DFC"/>
    <w:rsid w:val="3250479D"/>
    <w:rsid w:val="3250D0CD"/>
    <w:rsid w:val="32512AF6"/>
    <w:rsid w:val="32535C71"/>
    <w:rsid w:val="3253687D"/>
    <w:rsid w:val="325405D8"/>
    <w:rsid w:val="32558008"/>
    <w:rsid w:val="32571E70"/>
    <w:rsid w:val="3258E08E"/>
    <w:rsid w:val="3259075A"/>
    <w:rsid w:val="325A8E0A"/>
    <w:rsid w:val="325D6787"/>
    <w:rsid w:val="325DCC35"/>
    <w:rsid w:val="326118A4"/>
    <w:rsid w:val="326314C8"/>
    <w:rsid w:val="3265E2F3"/>
    <w:rsid w:val="32682942"/>
    <w:rsid w:val="32691DA9"/>
    <w:rsid w:val="326A34E9"/>
    <w:rsid w:val="326C10EF"/>
    <w:rsid w:val="326EF539"/>
    <w:rsid w:val="326F8F20"/>
    <w:rsid w:val="326FC43A"/>
    <w:rsid w:val="32705AB7"/>
    <w:rsid w:val="32705E84"/>
    <w:rsid w:val="32712D10"/>
    <w:rsid w:val="3274A9B6"/>
    <w:rsid w:val="32753FC0"/>
    <w:rsid w:val="32758805"/>
    <w:rsid w:val="3276B356"/>
    <w:rsid w:val="32779731"/>
    <w:rsid w:val="327797A5"/>
    <w:rsid w:val="3278F873"/>
    <w:rsid w:val="327AC446"/>
    <w:rsid w:val="327E537C"/>
    <w:rsid w:val="328124DC"/>
    <w:rsid w:val="3282D624"/>
    <w:rsid w:val="32854511"/>
    <w:rsid w:val="3285597C"/>
    <w:rsid w:val="3285F62E"/>
    <w:rsid w:val="32867AA7"/>
    <w:rsid w:val="328C7BA8"/>
    <w:rsid w:val="328CAC5D"/>
    <w:rsid w:val="328D85C6"/>
    <w:rsid w:val="328F17AB"/>
    <w:rsid w:val="328F7E69"/>
    <w:rsid w:val="32902409"/>
    <w:rsid w:val="3290E31A"/>
    <w:rsid w:val="32910034"/>
    <w:rsid w:val="3292B3AC"/>
    <w:rsid w:val="32953569"/>
    <w:rsid w:val="32975103"/>
    <w:rsid w:val="32985875"/>
    <w:rsid w:val="3298AEA5"/>
    <w:rsid w:val="3298BCE5"/>
    <w:rsid w:val="329B5BFC"/>
    <w:rsid w:val="329B6614"/>
    <w:rsid w:val="32A15585"/>
    <w:rsid w:val="32A4244C"/>
    <w:rsid w:val="32A45C66"/>
    <w:rsid w:val="32A46784"/>
    <w:rsid w:val="32A9537B"/>
    <w:rsid w:val="32AD326E"/>
    <w:rsid w:val="32AE46A8"/>
    <w:rsid w:val="32AF0D53"/>
    <w:rsid w:val="32B0D239"/>
    <w:rsid w:val="32B2FB56"/>
    <w:rsid w:val="32B449C8"/>
    <w:rsid w:val="32BA4A57"/>
    <w:rsid w:val="32BB8897"/>
    <w:rsid w:val="32BD4CA9"/>
    <w:rsid w:val="32C06DA7"/>
    <w:rsid w:val="32C30035"/>
    <w:rsid w:val="32C32A43"/>
    <w:rsid w:val="32C8701E"/>
    <w:rsid w:val="32CD9102"/>
    <w:rsid w:val="32CDCAA8"/>
    <w:rsid w:val="32CDF153"/>
    <w:rsid w:val="32D2F8CC"/>
    <w:rsid w:val="32D45664"/>
    <w:rsid w:val="32D46619"/>
    <w:rsid w:val="32D4E6CE"/>
    <w:rsid w:val="32D55634"/>
    <w:rsid w:val="32DBBCAD"/>
    <w:rsid w:val="32DC5F8E"/>
    <w:rsid w:val="32DDACED"/>
    <w:rsid w:val="32DDC7A7"/>
    <w:rsid w:val="32DE01CC"/>
    <w:rsid w:val="32E1C7DE"/>
    <w:rsid w:val="32E2B543"/>
    <w:rsid w:val="32E4159E"/>
    <w:rsid w:val="32E7E6CC"/>
    <w:rsid w:val="32EAE6EC"/>
    <w:rsid w:val="32EBD3EF"/>
    <w:rsid w:val="32EF9B73"/>
    <w:rsid w:val="32F0066C"/>
    <w:rsid w:val="32F2FF0C"/>
    <w:rsid w:val="32F3D979"/>
    <w:rsid w:val="32F42936"/>
    <w:rsid w:val="32F47AB4"/>
    <w:rsid w:val="32F84AD0"/>
    <w:rsid w:val="32F9138E"/>
    <w:rsid w:val="32FE43F8"/>
    <w:rsid w:val="33027784"/>
    <w:rsid w:val="33050FF4"/>
    <w:rsid w:val="330802FB"/>
    <w:rsid w:val="3309CD64"/>
    <w:rsid w:val="330B74D9"/>
    <w:rsid w:val="330FEA5D"/>
    <w:rsid w:val="3316A7BD"/>
    <w:rsid w:val="331DC29E"/>
    <w:rsid w:val="3321322B"/>
    <w:rsid w:val="332168CE"/>
    <w:rsid w:val="3322F6DE"/>
    <w:rsid w:val="3323B4BD"/>
    <w:rsid w:val="3323FB5E"/>
    <w:rsid w:val="3324A62E"/>
    <w:rsid w:val="332B9C21"/>
    <w:rsid w:val="332CC885"/>
    <w:rsid w:val="332FF32E"/>
    <w:rsid w:val="33355238"/>
    <w:rsid w:val="33366A3C"/>
    <w:rsid w:val="333EA696"/>
    <w:rsid w:val="33408EAE"/>
    <w:rsid w:val="334397BD"/>
    <w:rsid w:val="3349A748"/>
    <w:rsid w:val="3351FB8E"/>
    <w:rsid w:val="33538199"/>
    <w:rsid w:val="33545A06"/>
    <w:rsid w:val="3359D80E"/>
    <w:rsid w:val="336089A9"/>
    <w:rsid w:val="3361169C"/>
    <w:rsid w:val="33614064"/>
    <w:rsid w:val="33684AE2"/>
    <w:rsid w:val="336B943C"/>
    <w:rsid w:val="336BBD7B"/>
    <w:rsid w:val="336E455F"/>
    <w:rsid w:val="33703684"/>
    <w:rsid w:val="33708C37"/>
    <w:rsid w:val="3372907E"/>
    <w:rsid w:val="3374A702"/>
    <w:rsid w:val="3374E221"/>
    <w:rsid w:val="33782047"/>
    <w:rsid w:val="3378B8E8"/>
    <w:rsid w:val="337F05D2"/>
    <w:rsid w:val="3384E4B7"/>
    <w:rsid w:val="338593E9"/>
    <w:rsid w:val="338A84FE"/>
    <w:rsid w:val="338E0CCA"/>
    <w:rsid w:val="338ECFBB"/>
    <w:rsid w:val="33947DF1"/>
    <w:rsid w:val="339581C1"/>
    <w:rsid w:val="3395DB24"/>
    <w:rsid w:val="33963DAD"/>
    <w:rsid w:val="3398C711"/>
    <w:rsid w:val="339AACD4"/>
    <w:rsid w:val="339B9509"/>
    <w:rsid w:val="339FA273"/>
    <w:rsid w:val="33A49E71"/>
    <w:rsid w:val="33A832DC"/>
    <w:rsid w:val="33A990CF"/>
    <w:rsid w:val="33ABF6BE"/>
    <w:rsid w:val="33B551A8"/>
    <w:rsid w:val="33B693EF"/>
    <w:rsid w:val="33B8646D"/>
    <w:rsid w:val="33BAA7DA"/>
    <w:rsid w:val="33BCEF2D"/>
    <w:rsid w:val="33BDE463"/>
    <w:rsid w:val="33BE87BE"/>
    <w:rsid w:val="33BEAA61"/>
    <w:rsid w:val="33BF334D"/>
    <w:rsid w:val="33C05487"/>
    <w:rsid w:val="33C344BC"/>
    <w:rsid w:val="33C35974"/>
    <w:rsid w:val="33C3C16B"/>
    <w:rsid w:val="33C70D05"/>
    <w:rsid w:val="33CAAEEC"/>
    <w:rsid w:val="33CD3A7C"/>
    <w:rsid w:val="33CDFFF8"/>
    <w:rsid w:val="33D11C35"/>
    <w:rsid w:val="33D31EF1"/>
    <w:rsid w:val="33D8152E"/>
    <w:rsid w:val="33D8F85E"/>
    <w:rsid w:val="33DCF519"/>
    <w:rsid w:val="33DD6829"/>
    <w:rsid w:val="33DFE4A1"/>
    <w:rsid w:val="33E37A7B"/>
    <w:rsid w:val="33E4148F"/>
    <w:rsid w:val="33E485A5"/>
    <w:rsid w:val="33E4DC5C"/>
    <w:rsid w:val="33E5389A"/>
    <w:rsid w:val="33E53FB1"/>
    <w:rsid w:val="33E5BB33"/>
    <w:rsid w:val="33E78362"/>
    <w:rsid w:val="33E9A07B"/>
    <w:rsid w:val="33EA103C"/>
    <w:rsid w:val="33ECAB45"/>
    <w:rsid w:val="33EE0210"/>
    <w:rsid w:val="33EE51F0"/>
    <w:rsid w:val="33EF8309"/>
    <w:rsid w:val="33F0718A"/>
    <w:rsid w:val="33F0A6B9"/>
    <w:rsid w:val="33F1D204"/>
    <w:rsid w:val="33F3A56E"/>
    <w:rsid w:val="33F4DF6D"/>
    <w:rsid w:val="33F9412F"/>
    <w:rsid w:val="33FE0C4C"/>
    <w:rsid w:val="33FE55B0"/>
    <w:rsid w:val="33FF09DB"/>
    <w:rsid w:val="34023394"/>
    <w:rsid w:val="34046FAD"/>
    <w:rsid w:val="340577B0"/>
    <w:rsid w:val="340A9D60"/>
    <w:rsid w:val="340AAA70"/>
    <w:rsid w:val="3410BACD"/>
    <w:rsid w:val="34178845"/>
    <w:rsid w:val="341A11EA"/>
    <w:rsid w:val="341DBB39"/>
    <w:rsid w:val="341E358E"/>
    <w:rsid w:val="342193EE"/>
    <w:rsid w:val="3421E603"/>
    <w:rsid w:val="3423EAFC"/>
    <w:rsid w:val="3424EF41"/>
    <w:rsid w:val="3426EB76"/>
    <w:rsid w:val="34280813"/>
    <w:rsid w:val="34285916"/>
    <w:rsid w:val="342B648E"/>
    <w:rsid w:val="342F1D20"/>
    <w:rsid w:val="342F60D0"/>
    <w:rsid w:val="343332D7"/>
    <w:rsid w:val="343379D8"/>
    <w:rsid w:val="3436F01E"/>
    <w:rsid w:val="3439A352"/>
    <w:rsid w:val="3439E6EF"/>
    <w:rsid w:val="343C78D0"/>
    <w:rsid w:val="343CCB22"/>
    <w:rsid w:val="34404DE3"/>
    <w:rsid w:val="3442579C"/>
    <w:rsid w:val="3445D3D0"/>
    <w:rsid w:val="34495B0C"/>
    <w:rsid w:val="344AD053"/>
    <w:rsid w:val="344C0BF4"/>
    <w:rsid w:val="344FF55C"/>
    <w:rsid w:val="34502841"/>
    <w:rsid w:val="34506078"/>
    <w:rsid w:val="34528D49"/>
    <w:rsid w:val="345677D8"/>
    <w:rsid w:val="34567CB6"/>
    <w:rsid w:val="34573423"/>
    <w:rsid w:val="34588F3D"/>
    <w:rsid w:val="345AABE1"/>
    <w:rsid w:val="345CC1A7"/>
    <w:rsid w:val="345DCA2F"/>
    <w:rsid w:val="34602792"/>
    <w:rsid w:val="34609536"/>
    <w:rsid w:val="3463AF9D"/>
    <w:rsid w:val="346480C5"/>
    <w:rsid w:val="3464A769"/>
    <w:rsid w:val="3465F072"/>
    <w:rsid w:val="3466FDA4"/>
    <w:rsid w:val="3468D3F7"/>
    <w:rsid w:val="346947BD"/>
    <w:rsid w:val="346CD497"/>
    <w:rsid w:val="346F879B"/>
    <w:rsid w:val="3471F20C"/>
    <w:rsid w:val="347602EA"/>
    <w:rsid w:val="347924BD"/>
    <w:rsid w:val="347C8FC4"/>
    <w:rsid w:val="347EF214"/>
    <w:rsid w:val="34830AF9"/>
    <w:rsid w:val="34882640"/>
    <w:rsid w:val="34897CEF"/>
    <w:rsid w:val="3489FD2A"/>
    <w:rsid w:val="348C0BD6"/>
    <w:rsid w:val="348CFF5F"/>
    <w:rsid w:val="348D8EBC"/>
    <w:rsid w:val="348E2AF1"/>
    <w:rsid w:val="348F306D"/>
    <w:rsid w:val="3492EC50"/>
    <w:rsid w:val="3494F8D3"/>
    <w:rsid w:val="34956720"/>
    <w:rsid w:val="3495DDE2"/>
    <w:rsid w:val="34965DC3"/>
    <w:rsid w:val="3498B032"/>
    <w:rsid w:val="3498E9E5"/>
    <w:rsid w:val="3498EE3D"/>
    <w:rsid w:val="349A01C4"/>
    <w:rsid w:val="349A6F34"/>
    <w:rsid w:val="349D0E58"/>
    <w:rsid w:val="349DEB36"/>
    <w:rsid w:val="349EB33D"/>
    <w:rsid w:val="349F2B99"/>
    <w:rsid w:val="34A1FB71"/>
    <w:rsid w:val="34A48C7E"/>
    <w:rsid w:val="34A85221"/>
    <w:rsid w:val="34ABBABE"/>
    <w:rsid w:val="34AC0E9B"/>
    <w:rsid w:val="34ADCF73"/>
    <w:rsid w:val="34AF22BE"/>
    <w:rsid w:val="34B008B6"/>
    <w:rsid w:val="34B3E49A"/>
    <w:rsid w:val="34B420F6"/>
    <w:rsid w:val="34B4F2D1"/>
    <w:rsid w:val="34B53004"/>
    <w:rsid w:val="34B87288"/>
    <w:rsid w:val="34B8BDA1"/>
    <w:rsid w:val="34B98C9A"/>
    <w:rsid w:val="34BDAB22"/>
    <w:rsid w:val="34BDBEEB"/>
    <w:rsid w:val="34BED0A4"/>
    <w:rsid w:val="34BF1621"/>
    <w:rsid w:val="34BFE3C1"/>
    <w:rsid w:val="34C0D211"/>
    <w:rsid w:val="34C19C07"/>
    <w:rsid w:val="34C1DB90"/>
    <w:rsid w:val="34C38EF9"/>
    <w:rsid w:val="34C4F4BE"/>
    <w:rsid w:val="34C5407F"/>
    <w:rsid w:val="34CB7851"/>
    <w:rsid w:val="34CB9798"/>
    <w:rsid w:val="34CD0F28"/>
    <w:rsid w:val="34CD815F"/>
    <w:rsid w:val="34CF4F2A"/>
    <w:rsid w:val="34D33DEF"/>
    <w:rsid w:val="34D410EE"/>
    <w:rsid w:val="34D9A951"/>
    <w:rsid w:val="34D9E021"/>
    <w:rsid w:val="34DA9691"/>
    <w:rsid w:val="34DAB9AE"/>
    <w:rsid w:val="34DAD245"/>
    <w:rsid w:val="34DAF498"/>
    <w:rsid w:val="34DB767D"/>
    <w:rsid w:val="34DF1487"/>
    <w:rsid w:val="34DF6CF4"/>
    <w:rsid w:val="34DFBA04"/>
    <w:rsid w:val="34E454A9"/>
    <w:rsid w:val="34E6EF8D"/>
    <w:rsid w:val="34EB8BB7"/>
    <w:rsid w:val="34F21B84"/>
    <w:rsid w:val="34F29EE2"/>
    <w:rsid w:val="34F2ED2A"/>
    <w:rsid w:val="34F3F13D"/>
    <w:rsid w:val="34F5B3C3"/>
    <w:rsid w:val="34F7A59F"/>
    <w:rsid w:val="34FB65BE"/>
    <w:rsid w:val="34FB8402"/>
    <w:rsid w:val="3500BE97"/>
    <w:rsid w:val="3501052E"/>
    <w:rsid w:val="3501BD95"/>
    <w:rsid w:val="350264CE"/>
    <w:rsid w:val="3503C05C"/>
    <w:rsid w:val="35056D1D"/>
    <w:rsid w:val="3505A2C5"/>
    <w:rsid w:val="35061C7B"/>
    <w:rsid w:val="350646C3"/>
    <w:rsid w:val="350B7017"/>
    <w:rsid w:val="350E3B79"/>
    <w:rsid w:val="350F0F65"/>
    <w:rsid w:val="3512A379"/>
    <w:rsid w:val="3512E247"/>
    <w:rsid w:val="351325BA"/>
    <w:rsid w:val="3513A0B8"/>
    <w:rsid w:val="3514522B"/>
    <w:rsid w:val="3514CDA8"/>
    <w:rsid w:val="3514FBEA"/>
    <w:rsid w:val="35180D40"/>
    <w:rsid w:val="351A36FA"/>
    <w:rsid w:val="351C9364"/>
    <w:rsid w:val="351D5784"/>
    <w:rsid w:val="351E8E9E"/>
    <w:rsid w:val="3520DA0D"/>
    <w:rsid w:val="3522AC54"/>
    <w:rsid w:val="35237F9E"/>
    <w:rsid w:val="35252CBB"/>
    <w:rsid w:val="352602AB"/>
    <w:rsid w:val="352A0415"/>
    <w:rsid w:val="352DAC90"/>
    <w:rsid w:val="352DEBA9"/>
    <w:rsid w:val="352F6250"/>
    <w:rsid w:val="353073DC"/>
    <w:rsid w:val="353163A5"/>
    <w:rsid w:val="35331421"/>
    <w:rsid w:val="3534AE33"/>
    <w:rsid w:val="3534DD1D"/>
    <w:rsid w:val="3537912F"/>
    <w:rsid w:val="35384F7D"/>
    <w:rsid w:val="353854CE"/>
    <w:rsid w:val="35387A1E"/>
    <w:rsid w:val="35398F7E"/>
    <w:rsid w:val="3539CB87"/>
    <w:rsid w:val="353A8113"/>
    <w:rsid w:val="353AD33F"/>
    <w:rsid w:val="353CB269"/>
    <w:rsid w:val="353F206E"/>
    <w:rsid w:val="353F55C7"/>
    <w:rsid w:val="353FA108"/>
    <w:rsid w:val="354563E3"/>
    <w:rsid w:val="354BB4A6"/>
    <w:rsid w:val="355345BC"/>
    <w:rsid w:val="3555C0F0"/>
    <w:rsid w:val="3557589C"/>
    <w:rsid w:val="35587869"/>
    <w:rsid w:val="35599E1E"/>
    <w:rsid w:val="355A1281"/>
    <w:rsid w:val="355EAAB3"/>
    <w:rsid w:val="356022B1"/>
    <w:rsid w:val="35609A48"/>
    <w:rsid w:val="3567F1F3"/>
    <w:rsid w:val="35695C08"/>
    <w:rsid w:val="356AC861"/>
    <w:rsid w:val="356BE860"/>
    <w:rsid w:val="356F0861"/>
    <w:rsid w:val="356F545B"/>
    <w:rsid w:val="35701E31"/>
    <w:rsid w:val="357261FC"/>
    <w:rsid w:val="3573F498"/>
    <w:rsid w:val="3574E7D0"/>
    <w:rsid w:val="35776C42"/>
    <w:rsid w:val="35783735"/>
    <w:rsid w:val="357863A6"/>
    <w:rsid w:val="357AB653"/>
    <w:rsid w:val="357AEC36"/>
    <w:rsid w:val="357B1026"/>
    <w:rsid w:val="357E6BA5"/>
    <w:rsid w:val="35800DD3"/>
    <w:rsid w:val="3585396B"/>
    <w:rsid w:val="35895BEA"/>
    <w:rsid w:val="358BD6E6"/>
    <w:rsid w:val="358CE779"/>
    <w:rsid w:val="358D2903"/>
    <w:rsid w:val="358D31FF"/>
    <w:rsid w:val="358FBAF3"/>
    <w:rsid w:val="358FF2C3"/>
    <w:rsid w:val="35908715"/>
    <w:rsid w:val="35926624"/>
    <w:rsid w:val="35967098"/>
    <w:rsid w:val="3599EFE0"/>
    <w:rsid w:val="359A2C9C"/>
    <w:rsid w:val="359A3064"/>
    <w:rsid w:val="359AFEF5"/>
    <w:rsid w:val="359B3909"/>
    <w:rsid w:val="359DBAC7"/>
    <w:rsid w:val="359EE5CA"/>
    <w:rsid w:val="35A211CB"/>
    <w:rsid w:val="35A2EF99"/>
    <w:rsid w:val="35A3455A"/>
    <w:rsid w:val="35A360A2"/>
    <w:rsid w:val="35A4D13B"/>
    <w:rsid w:val="35A6799B"/>
    <w:rsid w:val="35AA9555"/>
    <w:rsid w:val="35AD1B08"/>
    <w:rsid w:val="35AD9053"/>
    <w:rsid w:val="35B0DE68"/>
    <w:rsid w:val="35B36C87"/>
    <w:rsid w:val="35B3D134"/>
    <w:rsid w:val="35B3E9FD"/>
    <w:rsid w:val="35B67C96"/>
    <w:rsid w:val="35B8623E"/>
    <w:rsid w:val="35BA4C48"/>
    <w:rsid w:val="35BBA185"/>
    <w:rsid w:val="35BF93C9"/>
    <w:rsid w:val="35C04E58"/>
    <w:rsid w:val="35C11D6D"/>
    <w:rsid w:val="35C1ADDD"/>
    <w:rsid w:val="35C4D9F4"/>
    <w:rsid w:val="35C72492"/>
    <w:rsid w:val="35C75D1D"/>
    <w:rsid w:val="35C7E526"/>
    <w:rsid w:val="35D06844"/>
    <w:rsid w:val="35D42334"/>
    <w:rsid w:val="35D5BB71"/>
    <w:rsid w:val="35DD8521"/>
    <w:rsid w:val="35DF2801"/>
    <w:rsid w:val="35DF4889"/>
    <w:rsid w:val="35DFF3E9"/>
    <w:rsid w:val="35E3CF3B"/>
    <w:rsid w:val="35E4E032"/>
    <w:rsid w:val="35E68E6A"/>
    <w:rsid w:val="35E7A005"/>
    <w:rsid w:val="35E83277"/>
    <w:rsid w:val="35EE06A2"/>
    <w:rsid w:val="35EF7DAF"/>
    <w:rsid w:val="35EFE0DC"/>
    <w:rsid w:val="35F0A9A8"/>
    <w:rsid w:val="35F0C661"/>
    <w:rsid w:val="35F70E7D"/>
    <w:rsid w:val="35F77D10"/>
    <w:rsid w:val="35F920D2"/>
    <w:rsid w:val="35FCF602"/>
    <w:rsid w:val="35FDA581"/>
    <w:rsid w:val="35FDF78D"/>
    <w:rsid w:val="35FF8CE5"/>
    <w:rsid w:val="36015AFB"/>
    <w:rsid w:val="3601C353"/>
    <w:rsid w:val="36037489"/>
    <w:rsid w:val="360420FB"/>
    <w:rsid w:val="360437D0"/>
    <w:rsid w:val="36051D37"/>
    <w:rsid w:val="360E56E0"/>
    <w:rsid w:val="3611C001"/>
    <w:rsid w:val="36129702"/>
    <w:rsid w:val="3612F9FB"/>
    <w:rsid w:val="3613DAC7"/>
    <w:rsid w:val="3613E1E1"/>
    <w:rsid w:val="3613FF4D"/>
    <w:rsid w:val="3615B5C2"/>
    <w:rsid w:val="3617917F"/>
    <w:rsid w:val="36195A0E"/>
    <w:rsid w:val="36197EFF"/>
    <w:rsid w:val="361AC7B7"/>
    <w:rsid w:val="361D8F22"/>
    <w:rsid w:val="361E66D0"/>
    <w:rsid w:val="36218B1E"/>
    <w:rsid w:val="3622BED2"/>
    <w:rsid w:val="36249357"/>
    <w:rsid w:val="3631BED1"/>
    <w:rsid w:val="363267EC"/>
    <w:rsid w:val="3632B62E"/>
    <w:rsid w:val="3632D223"/>
    <w:rsid w:val="3633C31D"/>
    <w:rsid w:val="3637BCF1"/>
    <w:rsid w:val="3639AC8B"/>
    <w:rsid w:val="363A5697"/>
    <w:rsid w:val="363CEC66"/>
    <w:rsid w:val="363E11F9"/>
    <w:rsid w:val="36410ED9"/>
    <w:rsid w:val="36419031"/>
    <w:rsid w:val="36423BC4"/>
    <w:rsid w:val="3643B0F7"/>
    <w:rsid w:val="36449C6E"/>
    <w:rsid w:val="36495B6F"/>
    <w:rsid w:val="364D56F8"/>
    <w:rsid w:val="364DF142"/>
    <w:rsid w:val="3653758C"/>
    <w:rsid w:val="36586383"/>
    <w:rsid w:val="3658EB35"/>
    <w:rsid w:val="365A244F"/>
    <w:rsid w:val="365F5433"/>
    <w:rsid w:val="366214F7"/>
    <w:rsid w:val="36622D00"/>
    <w:rsid w:val="366632DC"/>
    <w:rsid w:val="36684079"/>
    <w:rsid w:val="366B7D59"/>
    <w:rsid w:val="366BD61B"/>
    <w:rsid w:val="3673E122"/>
    <w:rsid w:val="3677154E"/>
    <w:rsid w:val="367728E6"/>
    <w:rsid w:val="36777E5A"/>
    <w:rsid w:val="36785C36"/>
    <w:rsid w:val="367B106B"/>
    <w:rsid w:val="367BC1D2"/>
    <w:rsid w:val="367D1D74"/>
    <w:rsid w:val="367E39B3"/>
    <w:rsid w:val="36801237"/>
    <w:rsid w:val="3683FC7F"/>
    <w:rsid w:val="368A195C"/>
    <w:rsid w:val="368B6044"/>
    <w:rsid w:val="368F74BD"/>
    <w:rsid w:val="368FB2F5"/>
    <w:rsid w:val="36909475"/>
    <w:rsid w:val="369114E0"/>
    <w:rsid w:val="36915199"/>
    <w:rsid w:val="36923C03"/>
    <w:rsid w:val="3692A79A"/>
    <w:rsid w:val="3694DF16"/>
    <w:rsid w:val="3697171B"/>
    <w:rsid w:val="369C1C6C"/>
    <w:rsid w:val="369F44AC"/>
    <w:rsid w:val="369F8D3D"/>
    <w:rsid w:val="369FA1C2"/>
    <w:rsid w:val="36A0D74C"/>
    <w:rsid w:val="36A118FC"/>
    <w:rsid w:val="36A19C7D"/>
    <w:rsid w:val="36A2B0AF"/>
    <w:rsid w:val="36A31176"/>
    <w:rsid w:val="36A44D6D"/>
    <w:rsid w:val="36A4946A"/>
    <w:rsid w:val="36A4A4FC"/>
    <w:rsid w:val="36A4F125"/>
    <w:rsid w:val="36A4F7D1"/>
    <w:rsid w:val="36A74DA2"/>
    <w:rsid w:val="36A7F361"/>
    <w:rsid w:val="36A9AF9C"/>
    <w:rsid w:val="36AD37D7"/>
    <w:rsid w:val="36B36C15"/>
    <w:rsid w:val="36B44C22"/>
    <w:rsid w:val="36B5D784"/>
    <w:rsid w:val="36B97BB5"/>
    <w:rsid w:val="36BC6D40"/>
    <w:rsid w:val="36BDFF7B"/>
    <w:rsid w:val="36BFDC66"/>
    <w:rsid w:val="36C16004"/>
    <w:rsid w:val="36C1F41A"/>
    <w:rsid w:val="36C594C0"/>
    <w:rsid w:val="36C79AA4"/>
    <w:rsid w:val="36C8B3D9"/>
    <w:rsid w:val="36C97666"/>
    <w:rsid w:val="36C97CC0"/>
    <w:rsid w:val="36CBEE33"/>
    <w:rsid w:val="36CF0498"/>
    <w:rsid w:val="36CF4298"/>
    <w:rsid w:val="36CFA775"/>
    <w:rsid w:val="36CFD5B8"/>
    <w:rsid w:val="36D1CF70"/>
    <w:rsid w:val="36D386B9"/>
    <w:rsid w:val="36DAFC92"/>
    <w:rsid w:val="36DEB4D6"/>
    <w:rsid w:val="36DEFB90"/>
    <w:rsid w:val="36E0C6F7"/>
    <w:rsid w:val="36E40FE8"/>
    <w:rsid w:val="36E435A5"/>
    <w:rsid w:val="36E4CB7B"/>
    <w:rsid w:val="36EA19BC"/>
    <w:rsid w:val="36EB3ABE"/>
    <w:rsid w:val="36ED19F2"/>
    <w:rsid w:val="36ED7406"/>
    <w:rsid w:val="36EEFE69"/>
    <w:rsid w:val="36EF361A"/>
    <w:rsid w:val="36EF7B8C"/>
    <w:rsid w:val="36EFA97B"/>
    <w:rsid w:val="36F100B4"/>
    <w:rsid w:val="36F52329"/>
    <w:rsid w:val="36F5CCC3"/>
    <w:rsid w:val="36F6582D"/>
    <w:rsid w:val="36F790A6"/>
    <w:rsid w:val="36F9E684"/>
    <w:rsid w:val="37009333"/>
    <w:rsid w:val="3702CCCA"/>
    <w:rsid w:val="3707518C"/>
    <w:rsid w:val="370781C4"/>
    <w:rsid w:val="3708AE91"/>
    <w:rsid w:val="370978E5"/>
    <w:rsid w:val="3709D64A"/>
    <w:rsid w:val="3710512A"/>
    <w:rsid w:val="37133425"/>
    <w:rsid w:val="371400A1"/>
    <w:rsid w:val="37165F8C"/>
    <w:rsid w:val="37190364"/>
    <w:rsid w:val="371BA9AE"/>
    <w:rsid w:val="371C7D1E"/>
    <w:rsid w:val="371CC44F"/>
    <w:rsid w:val="371EA1A7"/>
    <w:rsid w:val="37253A2C"/>
    <w:rsid w:val="372A3D81"/>
    <w:rsid w:val="372D77FF"/>
    <w:rsid w:val="3735B1AC"/>
    <w:rsid w:val="3739CED4"/>
    <w:rsid w:val="373B3E60"/>
    <w:rsid w:val="373BD48B"/>
    <w:rsid w:val="373CD1BB"/>
    <w:rsid w:val="373F87B7"/>
    <w:rsid w:val="374010F8"/>
    <w:rsid w:val="37446DC8"/>
    <w:rsid w:val="374A7522"/>
    <w:rsid w:val="374B795C"/>
    <w:rsid w:val="3754A94C"/>
    <w:rsid w:val="375ACD96"/>
    <w:rsid w:val="375CB4CF"/>
    <w:rsid w:val="375DF417"/>
    <w:rsid w:val="375E697A"/>
    <w:rsid w:val="375E87BE"/>
    <w:rsid w:val="3762F8D2"/>
    <w:rsid w:val="3765AB27"/>
    <w:rsid w:val="376A264F"/>
    <w:rsid w:val="376E94EF"/>
    <w:rsid w:val="3771DF86"/>
    <w:rsid w:val="377DB55B"/>
    <w:rsid w:val="377EE6BA"/>
    <w:rsid w:val="3782E52D"/>
    <w:rsid w:val="37846F5D"/>
    <w:rsid w:val="3784E0DF"/>
    <w:rsid w:val="3787C072"/>
    <w:rsid w:val="378809B1"/>
    <w:rsid w:val="378BBEE5"/>
    <w:rsid w:val="378D6A0A"/>
    <w:rsid w:val="378DAD37"/>
    <w:rsid w:val="3791576A"/>
    <w:rsid w:val="37979AF5"/>
    <w:rsid w:val="379849F5"/>
    <w:rsid w:val="379B225D"/>
    <w:rsid w:val="379B355C"/>
    <w:rsid w:val="379B5365"/>
    <w:rsid w:val="379CE1A2"/>
    <w:rsid w:val="37A29CED"/>
    <w:rsid w:val="37A5E266"/>
    <w:rsid w:val="37A5EEC8"/>
    <w:rsid w:val="37AA3843"/>
    <w:rsid w:val="37AA5A8F"/>
    <w:rsid w:val="37AB0473"/>
    <w:rsid w:val="37AB5F63"/>
    <w:rsid w:val="37ABE948"/>
    <w:rsid w:val="37AC44E3"/>
    <w:rsid w:val="37AD57E3"/>
    <w:rsid w:val="37B72F2A"/>
    <w:rsid w:val="37B9DA48"/>
    <w:rsid w:val="37BA37B7"/>
    <w:rsid w:val="37BD5083"/>
    <w:rsid w:val="37C99020"/>
    <w:rsid w:val="37C9D367"/>
    <w:rsid w:val="37CA67D1"/>
    <w:rsid w:val="37CA8722"/>
    <w:rsid w:val="37CAA495"/>
    <w:rsid w:val="37CF018B"/>
    <w:rsid w:val="37D3DC0B"/>
    <w:rsid w:val="37D98254"/>
    <w:rsid w:val="37DD7793"/>
    <w:rsid w:val="37DEF29A"/>
    <w:rsid w:val="37DF88D0"/>
    <w:rsid w:val="37E2C65E"/>
    <w:rsid w:val="37E3B11A"/>
    <w:rsid w:val="37E458C7"/>
    <w:rsid w:val="37E7DBD6"/>
    <w:rsid w:val="37E7E036"/>
    <w:rsid w:val="37E8E20F"/>
    <w:rsid w:val="37E99720"/>
    <w:rsid w:val="37EA704B"/>
    <w:rsid w:val="37EB0F88"/>
    <w:rsid w:val="37ED6701"/>
    <w:rsid w:val="37EE0D5E"/>
    <w:rsid w:val="37EF79D2"/>
    <w:rsid w:val="37F00800"/>
    <w:rsid w:val="37F053EE"/>
    <w:rsid w:val="37F2E392"/>
    <w:rsid w:val="37F394AE"/>
    <w:rsid w:val="37F47497"/>
    <w:rsid w:val="37F6F842"/>
    <w:rsid w:val="37F70F3C"/>
    <w:rsid w:val="37FA41B8"/>
    <w:rsid w:val="37FED654"/>
    <w:rsid w:val="38021FDE"/>
    <w:rsid w:val="3804619E"/>
    <w:rsid w:val="3806FBEB"/>
    <w:rsid w:val="380771E7"/>
    <w:rsid w:val="3809B71F"/>
    <w:rsid w:val="380B51BB"/>
    <w:rsid w:val="380C4875"/>
    <w:rsid w:val="380C81CC"/>
    <w:rsid w:val="380ECE70"/>
    <w:rsid w:val="380FB154"/>
    <w:rsid w:val="380FDC73"/>
    <w:rsid w:val="38103989"/>
    <w:rsid w:val="3813173F"/>
    <w:rsid w:val="38144FB8"/>
    <w:rsid w:val="3815FD9C"/>
    <w:rsid w:val="3818A120"/>
    <w:rsid w:val="381A9501"/>
    <w:rsid w:val="381ECB3E"/>
    <w:rsid w:val="382349B2"/>
    <w:rsid w:val="3824DFAC"/>
    <w:rsid w:val="38274AA3"/>
    <w:rsid w:val="38284F91"/>
    <w:rsid w:val="38298BE9"/>
    <w:rsid w:val="38298FEC"/>
    <w:rsid w:val="382A2313"/>
    <w:rsid w:val="382A3C0E"/>
    <w:rsid w:val="38307C4F"/>
    <w:rsid w:val="3830CFD8"/>
    <w:rsid w:val="383503C0"/>
    <w:rsid w:val="38384702"/>
    <w:rsid w:val="383A538F"/>
    <w:rsid w:val="383C6978"/>
    <w:rsid w:val="383C9281"/>
    <w:rsid w:val="383C994F"/>
    <w:rsid w:val="3844C834"/>
    <w:rsid w:val="384808A2"/>
    <w:rsid w:val="38483EF8"/>
    <w:rsid w:val="38497B15"/>
    <w:rsid w:val="384B35E1"/>
    <w:rsid w:val="384D4934"/>
    <w:rsid w:val="3852EAF5"/>
    <w:rsid w:val="38549375"/>
    <w:rsid w:val="3855CB23"/>
    <w:rsid w:val="385688A6"/>
    <w:rsid w:val="385852F4"/>
    <w:rsid w:val="385D961B"/>
    <w:rsid w:val="385E98FE"/>
    <w:rsid w:val="385EA1A2"/>
    <w:rsid w:val="3860C923"/>
    <w:rsid w:val="3867AA61"/>
    <w:rsid w:val="38690C0C"/>
    <w:rsid w:val="38695784"/>
    <w:rsid w:val="38696E8F"/>
    <w:rsid w:val="386A804E"/>
    <w:rsid w:val="386B4BEA"/>
    <w:rsid w:val="386BF60F"/>
    <w:rsid w:val="386ED43C"/>
    <w:rsid w:val="386FE17B"/>
    <w:rsid w:val="3870D69D"/>
    <w:rsid w:val="38737495"/>
    <w:rsid w:val="3873D465"/>
    <w:rsid w:val="387A3548"/>
    <w:rsid w:val="387CA414"/>
    <w:rsid w:val="387D642C"/>
    <w:rsid w:val="387ED8D8"/>
    <w:rsid w:val="387F0EC1"/>
    <w:rsid w:val="38802B6F"/>
    <w:rsid w:val="38830FF4"/>
    <w:rsid w:val="38887F3D"/>
    <w:rsid w:val="38894528"/>
    <w:rsid w:val="388B015F"/>
    <w:rsid w:val="388C91A7"/>
    <w:rsid w:val="388E5A56"/>
    <w:rsid w:val="388EABD5"/>
    <w:rsid w:val="388F3F0B"/>
    <w:rsid w:val="389426B6"/>
    <w:rsid w:val="38991D5E"/>
    <w:rsid w:val="3899ED38"/>
    <w:rsid w:val="389AE9F8"/>
    <w:rsid w:val="389EE207"/>
    <w:rsid w:val="38A49FD7"/>
    <w:rsid w:val="38A53483"/>
    <w:rsid w:val="38A61A47"/>
    <w:rsid w:val="38A72423"/>
    <w:rsid w:val="38A870B6"/>
    <w:rsid w:val="38AA87AD"/>
    <w:rsid w:val="38AA9F70"/>
    <w:rsid w:val="38AAD56E"/>
    <w:rsid w:val="38AC6DD2"/>
    <w:rsid w:val="38AFBA1B"/>
    <w:rsid w:val="38B0460A"/>
    <w:rsid w:val="38B0DA8A"/>
    <w:rsid w:val="38B23A21"/>
    <w:rsid w:val="38B6C70F"/>
    <w:rsid w:val="38B7AD42"/>
    <w:rsid w:val="38B8A528"/>
    <w:rsid w:val="38B997F6"/>
    <w:rsid w:val="38BB4249"/>
    <w:rsid w:val="38BD78DB"/>
    <w:rsid w:val="38BE1156"/>
    <w:rsid w:val="38BE2A3A"/>
    <w:rsid w:val="38C5DF63"/>
    <w:rsid w:val="38C916DB"/>
    <w:rsid w:val="38CD1F95"/>
    <w:rsid w:val="38CD6D2E"/>
    <w:rsid w:val="38D10027"/>
    <w:rsid w:val="38D104EF"/>
    <w:rsid w:val="38D2B379"/>
    <w:rsid w:val="38D76CCF"/>
    <w:rsid w:val="38D7E9F5"/>
    <w:rsid w:val="38D8F88C"/>
    <w:rsid w:val="38DA359D"/>
    <w:rsid w:val="38DC7C13"/>
    <w:rsid w:val="38DCD9EA"/>
    <w:rsid w:val="38DDA6CC"/>
    <w:rsid w:val="38DEF41A"/>
    <w:rsid w:val="38E2517A"/>
    <w:rsid w:val="38E6EA1C"/>
    <w:rsid w:val="38E8EC5E"/>
    <w:rsid w:val="38E92E2A"/>
    <w:rsid w:val="38EA44CA"/>
    <w:rsid w:val="38EAD616"/>
    <w:rsid w:val="38ED3F22"/>
    <w:rsid w:val="38F1134D"/>
    <w:rsid w:val="38F2A9DE"/>
    <w:rsid w:val="38F478B9"/>
    <w:rsid w:val="38F80785"/>
    <w:rsid w:val="38FAC7A7"/>
    <w:rsid w:val="38FBE094"/>
    <w:rsid w:val="38FC1F97"/>
    <w:rsid w:val="38FCBB32"/>
    <w:rsid w:val="38FEC9E5"/>
    <w:rsid w:val="390000B8"/>
    <w:rsid w:val="39008E99"/>
    <w:rsid w:val="39018230"/>
    <w:rsid w:val="3901B1A2"/>
    <w:rsid w:val="3901EC19"/>
    <w:rsid w:val="3901F143"/>
    <w:rsid w:val="3906A3FA"/>
    <w:rsid w:val="390728C1"/>
    <w:rsid w:val="3908503C"/>
    <w:rsid w:val="39105A3D"/>
    <w:rsid w:val="39108C70"/>
    <w:rsid w:val="391292ED"/>
    <w:rsid w:val="3912ECBE"/>
    <w:rsid w:val="391C105E"/>
    <w:rsid w:val="391E7606"/>
    <w:rsid w:val="391F8F58"/>
    <w:rsid w:val="392075BF"/>
    <w:rsid w:val="39208D60"/>
    <w:rsid w:val="392316C0"/>
    <w:rsid w:val="3928223B"/>
    <w:rsid w:val="392E374E"/>
    <w:rsid w:val="39309FD7"/>
    <w:rsid w:val="3931345A"/>
    <w:rsid w:val="3931BB5A"/>
    <w:rsid w:val="39331DB1"/>
    <w:rsid w:val="39343589"/>
    <w:rsid w:val="39361DF6"/>
    <w:rsid w:val="39372534"/>
    <w:rsid w:val="3938B203"/>
    <w:rsid w:val="393B5A73"/>
    <w:rsid w:val="393B6134"/>
    <w:rsid w:val="393BF36E"/>
    <w:rsid w:val="393C1B97"/>
    <w:rsid w:val="39427E19"/>
    <w:rsid w:val="3944D2D0"/>
    <w:rsid w:val="39455C84"/>
    <w:rsid w:val="394658C5"/>
    <w:rsid w:val="3946ACBA"/>
    <w:rsid w:val="3946D4D4"/>
    <w:rsid w:val="394A5FF9"/>
    <w:rsid w:val="394BDF86"/>
    <w:rsid w:val="394D9FCF"/>
    <w:rsid w:val="394E4341"/>
    <w:rsid w:val="39509BF0"/>
    <w:rsid w:val="39511EED"/>
    <w:rsid w:val="3952678B"/>
    <w:rsid w:val="395300BA"/>
    <w:rsid w:val="39535417"/>
    <w:rsid w:val="395364FE"/>
    <w:rsid w:val="3957400A"/>
    <w:rsid w:val="395750DA"/>
    <w:rsid w:val="3959F2B9"/>
    <w:rsid w:val="395B62D1"/>
    <w:rsid w:val="395C0BC5"/>
    <w:rsid w:val="395D764F"/>
    <w:rsid w:val="395E92F3"/>
    <w:rsid w:val="395F9049"/>
    <w:rsid w:val="39617318"/>
    <w:rsid w:val="39657DBE"/>
    <w:rsid w:val="3966963F"/>
    <w:rsid w:val="39676FEE"/>
    <w:rsid w:val="3967BE61"/>
    <w:rsid w:val="396AF119"/>
    <w:rsid w:val="3971F086"/>
    <w:rsid w:val="397275BC"/>
    <w:rsid w:val="3976C0E0"/>
    <w:rsid w:val="397829BC"/>
    <w:rsid w:val="397AC4FA"/>
    <w:rsid w:val="397D2CE1"/>
    <w:rsid w:val="397D5DB7"/>
    <w:rsid w:val="397E5BF6"/>
    <w:rsid w:val="397F0917"/>
    <w:rsid w:val="397F1280"/>
    <w:rsid w:val="3981BB81"/>
    <w:rsid w:val="3981E697"/>
    <w:rsid w:val="3982DA83"/>
    <w:rsid w:val="3983B097"/>
    <w:rsid w:val="398DF1D4"/>
    <w:rsid w:val="398EBC65"/>
    <w:rsid w:val="39927DE4"/>
    <w:rsid w:val="39948C54"/>
    <w:rsid w:val="39955CE0"/>
    <w:rsid w:val="39979B4F"/>
    <w:rsid w:val="3997B158"/>
    <w:rsid w:val="399BBA36"/>
    <w:rsid w:val="399BD70D"/>
    <w:rsid w:val="399C1F28"/>
    <w:rsid w:val="399CBC10"/>
    <w:rsid w:val="399DF007"/>
    <w:rsid w:val="399E1B5F"/>
    <w:rsid w:val="39A66B8A"/>
    <w:rsid w:val="39A6E895"/>
    <w:rsid w:val="39A73024"/>
    <w:rsid w:val="39A7B36F"/>
    <w:rsid w:val="39A7E6E5"/>
    <w:rsid w:val="39A9B86B"/>
    <w:rsid w:val="39A9E375"/>
    <w:rsid w:val="39A9F2D1"/>
    <w:rsid w:val="39AAA84A"/>
    <w:rsid w:val="39ABFB85"/>
    <w:rsid w:val="39AD450F"/>
    <w:rsid w:val="39B0EB3B"/>
    <w:rsid w:val="39B21D75"/>
    <w:rsid w:val="39B4396C"/>
    <w:rsid w:val="39B762F8"/>
    <w:rsid w:val="39B90143"/>
    <w:rsid w:val="39B9E893"/>
    <w:rsid w:val="39BA9C02"/>
    <w:rsid w:val="39C5F374"/>
    <w:rsid w:val="39C74F6E"/>
    <w:rsid w:val="39CBCD89"/>
    <w:rsid w:val="39CCC6DF"/>
    <w:rsid w:val="39CFE60E"/>
    <w:rsid w:val="39D06DC5"/>
    <w:rsid w:val="39D27BA9"/>
    <w:rsid w:val="39DCBCFA"/>
    <w:rsid w:val="39DE5E41"/>
    <w:rsid w:val="39DFA454"/>
    <w:rsid w:val="39E04908"/>
    <w:rsid w:val="39E2D98C"/>
    <w:rsid w:val="39E321C3"/>
    <w:rsid w:val="39E335C2"/>
    <w:rsid w:val="39E5EC18"/>
    <w:rsid w:val="39EB21AD"/>
    <w:rsid w:val="39F00003"/>
    <w:rsid w:val="39F9A684"/>
    <w:rsid w:val="39FC3F06"/>
    <w:rsid w:val="39FD89DD"/>
    <w:rsid w:val="39FF704C"/>
    <w:rsid w:val="39FFD53E"/>
    <w:rsid w:val="3A06F798"/>
    <w:rsid w:val="3A079A50"/>
    <w:rsid w:val="3A08D01E"/>
    <w:rsid w:val="3A0B9257"/>
    <w:rsid w:val="3A0C110B"/>
    <w:rsid w:val="3A0D9420"/>
    <w:rsid w:val="3A17FA98"/>
    <w:rsid w:val="3A18B213"/>
    <w:rsid w:val="3A1AD1FE"/>
    <w:rsid w:val="3A1AE14A"/>
    <w:rsid w:val="3A1B24FE"/>
    <w:rsid w:val="3A1C436C"/>
    <w:rsid w:val="3A212C05"/>
    <w:rsid w:val="3A212DE4"/>
    <w:rsid w:val="3A24270F"/>
    <w:rsid w:val="3A24BAB4"/>
    <w:rsid w:val="3A28A766"/>
    <w:rsid w:val="3A28EADD"/>
    <w:rsid w:val="3A297CFE"/>
    <w:rsid w:val="3A2DBF52"/>
    <w:rsid w:val="3A2DEA03"/>
    <w:rsid w:val="3A2E5386"/>
    <w:rsid w:val="3A304EA8"/>
    <w:rsid w:val="3A318BB5"/>
    <w:rsid w:val="3A3214A9"/>
    <w:rsid w:val="3A339C7D"/>
    <w:rsid w:val="3A34E6FB"/>
    <w:rsid w:val="3A35743E"/>
    <w:rsid w:val="3A365C67"/>
    <w:rsid w:val="3A365CBA"/>
    <w:rsid w:val="3A39C02D"/>
    <w:rsid w:val="3A3CD02D"/>
    <w:rsid w:val="3A4047A7"/>
    <w:rsid w:val="3A40DEC6"/>
    <w:rsid w:val="3A4208EA"/>
    <w:rsid w:val="3A43EFD3"/>
    <w:rsid w:val="3A4512F9"/>
    <w:rsid w:val="3A479791"/>
    <w:rsid w:val="3A486360"/>
    <w:rsid w:val="3A4866C6"/>
    <w:rsid w:val="3A48F16F"/>
    <w:rsid w:val="3A4ACDF6"/>
    <w:rsid w:val="3A4E6F3E"/>
    <w:rsid w:val="3A4FB005"/>
    <w:rsid w:val="3A522812"/>
    <w:rsid w:val="3A534907"/>
    <w:rsid w:val="3A55FFEA"/>
    <w:rsid w:val="3A56A2E7"/>
    <w:rsid w:val="3A574962"/>
    <w:rsid w:val="3A5B6A92"/>
    <w:rsid w:val="3A5E1E59"/>
    <w:rsid w:val="3A5E4D47"/>
    <w:rsid w:val="3A5EA9E5"/>
    <w:rsid w:val="3A634C0F"/>
    <w:rsid w:val="3A642CB4"/>
    <w:rsid w:val="3A663B3F"/>
    <w:rsid w:val="3A666DCF"/>
    <w:rsid w:val="3A69F931"/>
    <w:rsid w:val="3A6A41F4"/>
    <w:rsid w:val="3A6B1CB0"/>
    <w:rsid w:val="3A6CD675"/>
    <w:rsid w:val="3A6D4F2A"/>
    <w:rsid w:val="3A72C289"/>
    <w:rsid w:val="3A74BA8D"/>
    <w:rsid w:val="3A7621B0"/>
    <w:rsid w:val="3A7683B5"/>
    <w:rsid w:val="3A76EE07"/>
    <w:rsid w:val="3A773A61"/>
    <w:rsid w:val="3A7A1819"/>
    <w:rsid w:val="3A7A6374"/>
    <w:rsid w:val="3A7D3F30"/>
    <w:rsid w:val="3A8541A5"/>
    <w:rsid w:val="3A86F5CF"/>
    <w:rsid w:val="3A8A27DC"/>
    <w:rsid w:val="3A8CE358"/>
    <w:rsid w:val="3A8F521E"/>
    <w:rsid w:val="3A8FCA15"/>
    <w:rsid w:val="3A921702"/>
    <w:rsid w:val="3A951E10"/>
    <w:rsid w:val="3A9818F3"/>
    <w:rsid w:val="3A99171F"/>
    <w:rsid w:val="3A998619"/>
    <w:rsid w:val="3A9A6ED6"/>
    <w:rsid w:val="3A9B6446"/>
    <w:rsid w:val="3A9C4BE8"/>
    <w:rsid w:val="3A9CCE6F"/>
    <w:rsid w:val="3A9E9E07"/>
    <w:rsid w:val="3AA2E6B5"/>
    <w:rsid w:val="3AA5DEE4"/>
    <w:rsid w:val="3AA6072D"/>
    <w:rsid w:val="3AA7AA4A"/>
    <w:rsid w:val="3AAB3507"/>
    <w:rsid w:val="3AAD3AE3"/>
    <w:rsid w:val="3AAF2825"/>
    <w:rsid w:val="3AAF30BF"/>
    <w:rsid w:val="3AAF6BA8"/>
    <w:rsid w:val="3AB4D761"/>
    <w:rsid w:val="3AB4EBD3"/>
    <w:rsid w:val="3AB81845"/>
    <w:rsid w:val="3AB8C042"/>
    <w:rsid w:val="3AB914DE"/>
    <w:rsid w:val="3AB9351F"/>
    <w:rsid w:val="3AB946D7"/>
    <w:rsid w:val="3ABB2EC3"/>
    <w:rsid w:val="3ABDB574"/>
    <w:rsid w:val="3AC09181"/>
    <w:rsid w:val="3AC0A0CB"/>
    <w:rsid w:val="3AC0B1E0"/>
    <w:rsid w:val="3AC1339C"/>
    <w:rsid w:val="3ACB1FC5"/>
    <w:rsid w:val="3ACF4453"/>
    <w:rsid w:val="3ACFBECF"/>
    <w:rsid w:val="3AD0E891"/>
    <w:rsid w:val="3AD2C010"/>
    <w:rsid w:val="3AD43F69"/>
    <w:rsid w:val="3AD4FA22"/>
    <w:rsid w:val="3ADB1AB0"/>
    <w:rsid w:val="3ADBB400"/>
    <w:rsid w:val="3AE1B8F4"/>
    <w:rsid w:val="3AE287F0"/>
    <w:rsid w:val="3AE46B2F"/>
    <w:rsid w:val="3AE67CA8"/>
    <w:rsid w:val="3AE6CAC5"/>
    <w:rsid w:val="3AE8D766"/>
    <w:rsid w:val="3AECF016"/>
    <w:rsid w:val="3AEE28A4"/>
    <w:rsid w:val="3AEE3DCD"/>
    <w:rsid w:val="3AF061C9"/>
    <w:rsid w:val="3AF267BE"/>
    <w:rsid w:val="3AF7112D"/>
    <w:rsid w:val="3AF887AC"/>
    <w:rsid w:val="3AF93977"/>
    <w:rsid w:val="3AF9D4E8"/>
    <w:rsid w:val="3AFC1B61"/>
    <w:rsid w:val="3AFD5D5D"/>
    <w:rsid w:val="3AFEE5A2"/>
    <w:rsid w:val="3AFF9DB0"/>
    <w:rsid w:val="3B07C6ED"/>
    <w:rsid w:val="3B0D9726"/>
    <w:rsid w:val="3B0E0B46"/>
    <w:rsid w:val="3B0EE885"/>
    <w:rsid w:val="3B117CE6"/>
    <w:rsid w:val="3B11AAB8"/>
    <w:rsid w:val="3B141F40"/>
    <w:rsid w:val="3B1529C7"/>
    <w:rsid w:val="3B19DC13"/>
    <w:rsid w:val="3B1D967C"/>
    <w:rsid w:val="3B1F5057"/>
    <w:rsid w:val="3B28A786"/>
    <w:rsid w:val="3B2D3ADE"/>
    <w:rsid w:val="3B2D4A09"/>
    <w:rsid w:val="3B2E771D"/>
    <w:rsid w:val="3B2EA012"/>
    <w:rsid w:val="3B319858"/>
    <w:rsid w:val="3B337680"/>
    <w:rsid w:val="3B35A474"/>
    <w:rsid w:val="3B37A76E"/>
    <w:rsid w:val="3B394761"/>
    <w:rsid w:val="3B3C1076"/>
    <w:rsid w:val="3B3C61EA"/>
    <w:rsid w:val="3B3D8A3C"/>
    <w:rsid w:val="3B3DA40D"/>
    <w:rsid w:val="3B425A54"/>
    <w:rsid w:val="3B42A8AF"/>
    <w:rsid w:val="3B45796F"/>
    <w:rsid w:val="3B4C489A"/>
    <w:rsid w:val="3B524D50"/>
    <w:rsid w:val="3B58FB57"/>
    <w:rsid w:val="3B59BB87"/>
    <w:rsid w:val="3B5ADF7B"/>
    <w:rsid w:val="3B5CF54D"/>
    <w:rsid w:val="3B5D360B"/>
    <w:rsid w:val="3B5EBA95"/>
    <w:rsid w:val="3B5FC899"/>
    <w:rsid w:val="3B60A61F"/>
    <w:rsid w:val="3B60FBFC"/>
    <w:rsid w:val="3B63F832"/>
    <w:rsid w:val="3B666039"/>
    <w:rsid w:val="3B66C6F4"/>
    <w:rsid w:val="3B671027"/>
    <w:rsid w:val="3B678429"/>
    <w:rsid w:val="3B69E59F"/>
    <w:rsid w:val="3B6B8F3D"/>
    <w:rsid w:val="3B6CA482"/>
    <w:rsid w:val="3B6D30C3"/>
    <w:rsid w:val="3B6F30F3"/>
    <w:rsid w:val="3B706BE3"/>
    <w:rsid w:val="3B7194B5"/>
    <w:rsid w:val="3B73BB90"/>
    <w:rsid w:val="3B747683"/>
    <w:rsid w:val="3B75B43B"/>
    <w:rsid w:val="3B75F771"/>
    <w:rsid w:val="3B769F05"/>
    <w:rsid w:val="3B79C5AE"/>
    <w:rsid w:val="3B7CAF66"/>
    <w:rsid w:val="3B7D1637"/>
    <w:rsid w:val="3B7D25C2"/>
    <w:rsid w:val="3B7FC311"/>
    <w:rsid w:val="3B83886E"/>
    <w:rsid w:val="3B83DFD2"/>
    <w:rsid w:val="3B84774E"/>
    <w:rsid w:val="3B86164F"/>
    <w:rsid w:val="3B87F9AD"/>
    <w:rsid w:val="3B884737"/>
    <w:rsid w:val="3B88B6A9"/>
    <w:rsid w:val="3B8ABA34"/>
    <w:rsid w:val="3B8ADFFC"/>
    <w:rsid w:val="3B8BD064"/>
    <w:rsid w:val="3B8C870B"/>
    <w:rsid w:val="3B8E3ADD"/>
    <w:rsid w:val="3B8F2782"/>
    <w:rsid w:val="3B9121D5"/>
    <w:rsid w:val="3B91C61B"/>
    <w:rsid w:val="3B924D71"/>
    <w:rsid w:val="3B93109B"/>
    <w:rsid w:val="3B940550"/>
    <w:rsid w:val="3B963FB3"/>
    <w:rsid w:val="3B9698CF"/>
    <w:rsid w:val="3B978FC1"/>
    <w:rsid w:val="3B995A3E"/>
    <w:rsid w:val="3B9A370E"/>
    <w:rsid w:val="3B9E802D"/>
    <w:rsid w:val="3BA0ECA7"/>
    <w:rsid w:val="3BA28E97"/>
    <w:rsid w:val="3BA2ABE4"/>
    <w:rsid w:val="3BA3407E"/>
    <w:rsid w:val="3BA4A74B"/>
    <w:rsid w:val="3BA5B216"/>
    <w:rsid w:val="3BAA7763"/>
    <w:rsid w:val="3BAD4FFB"/>
    <w:rsid w:val="3BAE23AB"/>
    <w:rsid w:val="3BAFAB85"/>
    <w:rsid w:val="3BB3FA53"/>
    <w:rsid w:val="3BB510E1"/>
    <w:rsid w:val="3BB8CDBF"/>
    <w:rsid w:val="3BBA740F"/>
    <w:rsid w:val="3BBD11A3"/>
    <w:rsid w:val="3BBDED41"/>
    <w:rsid w:val="3BC011C8"/>
    <w:rsid w:val="3BC2B3B8"/>
    <w:rsid w:val="3BC92E48"/>
    <w:rsid w:val="3BCA2D57"/>
    <w:rsid w:val="3BCB335E"/>
    <w:rsid w:val="3BCD1D53"/>
    <w:rsid w:val="3BCD2401"/>
    <w:rsid w:val="3BCE3BCA"/>
    <w:rsid w:val="3BD3725D"/>
    <w:rsid w:val="3BD3D1F9"/>
    <w:rsid w:val="3BD4E42F"/>
    <w:rsid w:val="3BD66828"/>
    <w:rsid w:val="3BDB64D4"/>
    <w:rsid w:val="3BDBDF46"/>
    <w:rsid w:val="3BE19B1B"/>
    <w:rsid w:val="3BE3034B"/>
    <w:rsid w:val="3BE37286"/>
    <w:rsid w:val="3BE3F78D"/>
    <w:rsid w:val="3BE4C1EC"/>
    <w:rsid w:val="3BE5099D"/>
    <w:rsid w:val="3BE5319E"/>
    <w:rsid w:val="3BE6719B"/>
    <w:rsid w:val="3BEA55D6"/>
    <w:rsid w:val="3BECD6A7"/>
    <w:rsid w:val="3BEFAD71"/>
    <w:rsid w:val="3BEFDA6B"/>
    <w:rsid w:val="3BEFEE41"/>
    <w:rsid w:val="3BF0D789"/>
    <w:rsid w:val="3BF9AC3B"/>
    <w:rsid w:val="3BFA4745"/>
    <w:rsid w:val="3BFB9698"/>
    <w:rsid w:val="3BFD1438"/>
    <w:rsid w:val="3BFEC2C5"/>
    <w:rsid w:val="3C00100E"/>
    <w:rsid w:val="3C013907"/>
    <w:rsid w:val="3C075575"/>
    <w:rsid w:val="3C0E8E6B"/>
    <w:rsid w:val="3C12B420"/>
    <w:rsid w:val="3C12FF8F"/>
    <w:rsid w:val="3C134B41"/>
    <w:rsid w:val="3C13D3A4"/>
    <w:rsid w:val="3C1633D5"/>
    <w:rsid w:val="3C1AC4CC"/>
    <w:rsid w:val="3C1B0AFF"/>
    <w:rsid w:val="3C1E7A7D"/>
    <w:rsid w:val="3C209D44"/>
    <w:rsid w:val="3C211775"/>
    <w:rsid w:val="3C22A3E9"/>
    <w:rsid w:val="3C2682F3"/>
    <w:rsid w:val="3C28207C"/>
    <w:rsid w:val="3C29BB9D"/>
    <w:rsid w:val="3C2A6308"/>
    <w:rsid w:val="3C2ACEF6"/>
    <w:rsid w:val="3C2C5A19"/>
    <w:rsid w:val="3C2CA3CA"/>
    <w:rsid w:val="3C2E3775"/>
    <w:rsid w:val="3C31927A"/>
    <w:rsid w:val="3C3390E3"/>
    <w:rsid w:val="3C351CA2"/>
    <w:rsid w:val="3C367172"/>
    <w:rsid w:val="3C38F872"/>
    <w:rsid w:val="3C39C46E"/>
    <w:rsid w:val="3C3AA571"/>
    <w:rsid w:val="3C3AAE18"/>
    <w:rsid w:val="3C3BAB3D"/>
    <w:rsid w:val="3C3BAF3C"/>
    <w:rsid w:val="3C40A959"/>
    <w:rsid w:val="3C43BCF0"/>
    <w:rsid w:val="3C4591E4"/>
    <w:rsid w:val="3C4782C9"/>
    <w:rsid w:val="3C47BAB0"/>
    <w:rsid w:val="3C47E860"/>
    <w:rsid w:val="3C48023A"/>
    <w:rsid w:val="3C48CADB"/>
    <w:rsid w:val="3C4BF50B"/>
    <w:rsid w:val="3C4CA4A7"/>
    <w:rsid w:val="3C4DA08A"/>
    <w:rsid w:val="3C4E6985"/>
    <w:rsid w:val="3C512DB7"/>
    <w:rsid w:val="3C5303CC"/>
    <w:rsid w:val="3C53560A"/>
    <w:rsid w:val="3C5545B2"/>
    <w:rsid w:val="3C557E78"/>
    <w:rsid w:val="3C55C786"/>
    <w:rsid w:val="3C56F337"/>
    <w:rsid w:val="3C57B519"/>
    <w:rsid w:val="3C591175"/>
    <w:rsid w:val="3C597990"/>
    <w:rsid w:val="3C5AC200"/>
    <w:rsid w:val="3C61191E"/>
    <w:rsid w:val="3C64EF5C"/>
    <w:rsid w:val="3C69035E"/>
    <w:rsid w:val="3C6A1F8A"/>
    <w:rsid w:val="3C6DF32B"/>
    <w:rsid w:val="3C6DFFB8"/>
    <w:rsid w:val="3C6F6A72"/>
    <w:rsid w:val="3C6FFA76"/>
    <w:rsid w:val="3C71086E"/>
    <w:rsid w:val="3C7158C2"/>
    <w:rsid w:val="3C774A6E"/>
    <w:rsid w:val="3C78558A"/>
    <w:rsid w:val="3C793052"/>
    <w:rsid w:val="3C79D280"/>
    <w:rsid w:val="3C7D50AA"/>
    <w:rsid w:val="3C7DBD15"/>
    <w:rsid w:val="3C7E0769"/>
    <w:rsid w:val="3C8026BC"/>
    <w:rsid w:val="3C8414B3"/>
    <w:rsid w:val="3C84B086"/>
    <w:rsid w:val="3C85E212"/>
    <w:rsid w:val="3C85E3FF"/>
    <w:rsid w:val="3C86631C"/>
    <w:rsid w:val="3C870341"/>
    <w:rsid w:val="3C8B7360"/>
    <w:rsid w:val="3C8BEEBE"/>
    <w:rsid w:val="3C8F5C7F"/>
    <w:rsid w:val="3C90B923"/>
    <w:rsid w:val="3C923993"/>
    <w:rsid w:val="3C92B69B"/>
    <w:rsid w:val="3C931A9B"/>
    <w:rsid w:val="3C967664"/>
    <w:rsid w:val="3C9AE1F1"/>
    <w:rsid w:val="3CA13F69"/>
    <w:rsid w:val="3CA41E26"/>
    <w:rsid w:val="3CA48108"/>
    <w:rsid w:val="3CA56E6D"/>
    <w:rsid w:val="3CA71C06"/>
    <w:rsid w:val="3CA744F0"/>
    <w:rsid w:val="3CAA7AD3"/>
    <w:rsid w:val="3CAAFB22"/>
    <w:rsid w:val="3CB1A3B6"/>
    <w:rsid w:val="3CB40CDB"/>
    <w:rsid w:val="3CB58B0D"/>
    <w:rsid w:val="3CB93643"/>
    <w:rsid w:val="3CBC7A7E"/>
    <w:rsid w:val="3CC11657"/>
    <w:rsid w:val="3CC1794D"/>
    <w:rsid w:val="3CC2FBA8"/>
    <w:rsid w:val="3CC412E0"/>
    <w:rsid w:val="3CC448D3"/>
    <w:rsid w:val="3CC607E2"/>
    <w:rsid w:val="3CC7B17E"/>
    <w:rsid w:val="3CCA4F36"/>
    <w:rsid w:val="3CCB10ED"/>
    <w:rsid w:val="3CCB98F9"/>
    <w:rsid w:val="3CCDB6C1"/>
    <w:rsid w:val="3CCDFD05"/>
    <w:rsid w:val="3CCE7A6F"/>
    <w:rsid w:val="3CCE7E07"/>
    <w:rsid w:val="3CD1D842"/>
    <w:rsid w:val="3CD5F9F5"/>
    <w:rsid w:val="3CD724E6"/>
    <w:rsid w:val="3CD7A68E"/>
    <w:rsid w:val="3CD824E5"/>
    <w:rsid w:val="3CD9AC69"/>
    <w:rsid w:val="3CDA12BF"/>
    <w:rsid w:val="3CDA9325"/>
    <w:rsid w:val="3CDAD32B"/>
    <w:rsid w:val="3CDFD93E"/>
    <w:rsid w:val="3CE00EA5"/>
    <w:rsid w:val="3CE17D2F"/>
    <w:rsid w:val="3CE425C6"/>
    <w:rsid w:val="3CE69BDF"/>
    <w:rsid w:val="3CE8480A"/>
    <w:rsid w:val="3CEA2CB4"/>
    <w:rsid w:val="3CEBE001"/>
    <w:rsid w:val="3CED751D"/>
    <w:rsid w:val="3CEDF562"/>
    <w:rsid w:val="3CEF9F28"/>
    <w:rsid w:val="3CF06EDE"/>
    <w:rsid w:val="3CF1301D"/>
    <w:rsid w:val="3CF30F67"/>
    <w:rsid w:val="3CFA3B38"/>
    <w:rsid w:val="3CFE153A"/>
    <w:rsid w:val="3D004F36"/>
    <w:rsid w:val="3D0310EF"/>
    <w:rsid w:val="3D034172"/>
    <w:rsid w:val="3D06CCC4"/>
    <w:rsid w:val="3D07CD6F"/>
    <w:rsid w:val="3D0AAFE1"/>
    <w:rsid w:val="3D0DF079"/>
    <w:rsid w:val="3D0E96E8"/>
    <w:rsid w:val="3D0F7706"/>
    <w:rsid w:val="3D153046"/>
    <w:rsid w:val="3D1857DC"/>
    <w:rsid w:val="3D1BD29B"/>
    <w:rsid w:val="3D1D3468"/>
    <w:rsid w:val="3D1EEE6E"/>
    <w:rsid w:val="3D21E77D"/>
    <w:rsid w:val="3D22312E"/>
    <w:rsid w:val="3D236696"/>
    <w:rsid w:val="3D23AF86"/>
    <w:rsid w:val="3D2548DF"/>
    <w:rsid w:val="3D25C68C"/>
    <w:rsid w:val="3D26386B"/>
    <w:rsid w:val="3D29618D"/>
    <w:rsid w:val="3D2AF1A1"/>
    <w:rsid w:val="3D2BC914"/>
    <w:rsid w:val="3D2C3818"/>
    <w:rsid w:val="3D2C38D0"/>
    <w:rsid w:val="3D2DEB77"/>
    <w:rsid w:val="3D3271E8"/>
    <w:rsid w:val="3D34617A"/>
    <w:rsid w:val="3D355242"/>
    <w:rsid w:val="3D3567F9"/>
    <w:rsid w:val="3D36A7C8"/>
    <w:rsid w:val="3D43ABF4"/>
    <w:rsid w:val="3D461ADC"/>
    <w:rsid w:val="3D48380D"/>
    <w:rsid w:val="3D483876"/>
    <w:rsid w:val="3D49BC9C"/>
    <w:rsid w:val="3D4BAB04"/>
    <w:rsid w:val="3D4C9F82"/>
    <w:rsid w:val="3D4F3859"/>
    <w:rsid w:val="3D5088B4"/>
    <w:rsid w:val="3D525AF7"/>
    <w:rsid w:val="3D55E5A8"/>
    <w:rsid w:val="3D568BBD"/>
    <w:rsid w:val="3D568DE2"/>
    <w:rsid w:val="3D574CD9"/>
    <w:rsid w:val="3D57A025"/>
    <w:rsid w:val="3D57F374"/>
    <w:rsid w:val="3D5AF5F7"/>
    <w:rsid w:val="3D5ED05F"/>
    <w:rsid w:val="3D5EEBC3"/>
    <w:rsid w:val="3D604187"/>
    <w:rsid w:val="3D60D9C7"/>
    <w:rsid w:val="3D62C86F"/>
    <w:rsid w:val="3D63965A"/>
    <w:rsid w:val="3D66596E"/>
    <w:rsid w:val="3D678E40"/>
    <w:rsid w:val="3D6D6604"/>
    <w:rsid w:val="3D6EB15C"/>
    <w:rsid w:val="3D73D252"/>
    <w:rsid w:val="3D742EC2"/>
    <w:rsid w:val="3D754A87"/>
    <w:rsid w:val="3D79B46E"/>
    <w:rsid w:val="3D7BD223"/>
    <w:rsid w:val="3D8461F8"/>
    <w:rsid w:val="3D852B31"/>
    <w:rsid w:val="3D887209"/>
    <w:rsid w:val="3D892F7C"/>
    <w:rsid w:val="3D8B78D3"/>
    <w:rsid w:val="3D8BBEA2"/>
    <w:rsid w:val="3D8DC1CA"/>
    <w:rsid w:val="3D8DE8BF"/>
    <w:rsid w:val="3D8FCE48"/>
    <w:rsid w:val="3D8FD87D"/>
    <w:rsid w:val="3D90CD23"/>
    <w:rsid w:val="3D91AD54"/>
    <w:rsid w:val="3D91D23A"/>
    <w:rsid w:val="3D920F80"/>
    <w:rsid w:val="3D938866"/>
    <w:rsid w:val="3D958DF5"/>
    <w:rsid w:val="3D9D3537"/>
    <w:rsid w:val="3D9DB9EC"/>
    <w:rsid w:val="3D9E76EA"/>
    <w:rsid w:val="3DA2ACDF"/>
    <w:rsid w:val="3DA3103F"/>
    <w:rsid w:val="3DA46BE9"/>
    <w:rsid w:val="3DA4C4F9"/>
    <w:rsid w:val="3DA6A70C"/>
    <w:rsid w:val="3DA91485"/>
    <w:rsid w:val="3DA9C788"/>
    <w:rsid w:val="3DAB62B6"/>
    <w:rsid w:val="3DAD5B1A"/>
    <w:rsid w:val="3DAEE7F0"/>
    <w:rsid w:val="3DB058A0"/>
    <w:rsid w:val="3DB20436"/>
    <w:rsid w:val="3DB3871C"/>
    <w:rsid w:val="3DB44824"/>
    <w:rsid w:val="3DB6A5F6"/>
    <w:rsid w:val="3DB6A94F"/>
    <w:rsid w:val="3DB88B46"/>
    <w:rsid w:val="3DB8F136"/>
    <w:rsid w:val="3DB921C1"/>
    <w:rsid w:val="3DBA5370"/>
    <w:rsid w:val="3DBC39E3"/>
    <w:rsid w:val="3DBC5185"/>
    <w:rsid w:val="3DBFDDD9"/>
    <w:rsid w:val="3DC2907D"/>
    <w:rsid w:val="3DC7F198"/>
    <w:rsid w:val="3DC81E03"/>
    <w:rsid w:val="3DCE5861"/>
    <w:rsid w:val="3DD26ABC"/>
    <w:rsid w:val="3DD90904"/>
    <w:rsid w:val="3DDD9BF4"/>
    <w:rsid w:val="3DDDB14F"/>
    <w:rsid w:val="3DE09B42"/>
    <w:rsid w:val="3DE38B11"/>
    <w:rsid w:val="3DE733FF"/>
    <w:rsid w:val="3DE8C841"/>
    <w:rsid w:val="3DEC91C3"/>
    <w:rsid w:val="3DED0266"/>
    <w:rsid w:val="3DED8C90"/>
    <w:rsid w:val="3DF075A6"/>
    <w:rsid w:val="3DF26637"/>
    <w:rsid w:val="3DF831CF"/>
    <w:rsid w:val="3DF84DD4"/>
    <w:rsid w:val="3DFB2B3A"/>
    <w:rsid w:val="3DFCC6DF"/>
    <w:rsid w:val="3E02FC82"/>
    <w:rsid w:val="3E035245"/>
    <w:rsid w:val="3E0527B8"/>
    <w:rsid w:val="3E0665DD"/>
    <w:rsid w:val="3E0DB485"/>
    <w:rsid w:val="3E0F729E"/>
    <w:rsid w:val="3E0FE6C8"/>
    <w:rsid w:val="3E1696BD"/>
    <w:rsid w:val="3E172314"/>
    <w:rsid w:val="3E1BF9CB"/>
    <w:rsid w:val="3E1C6F23"/>
    <w:rsid w:val="3E1E4BE6"/>
    <w:rsid w:val="3E1F070C"/>
    <w:rsid w:val="3E1FC4CC"/>
    <w:rsid w:val="3E203997"/>
    <w:rsid w:val="3E23F1FD"/>
    <w:rsid w:val="3E24FD19"/>
    <w:rsid w:val="3E26FD12"/>
    <w:rsid w:val="3E29F58B"/>
    <w:rsid w:val="3E2F3AFD"/>
    <w:rsid w:val="3E337434"/>
    <w:rsid w:val="3E337BDA"/>
    <w:rsid w:val="3E3772AD"/>
    <w:rsid w:val="3E37A73B"/>
    <w:rsid w:val="3E3A2005"/>
    <w:rsid w:val="3E3A5643"/>
    <w:rsid w:val="3E3AF4DB"/>
    <w:rsid w:val="3E3B6941"/>
    <w:rsid w:val="3E3C0838"/>
    <w:rsid w:val="3E3C4FF6"/>
    <w:rsid w:val="3E3C653C"/>
    <w:rsid w:val="3E3CF5A3"/>
    <w:rsid w:val="3E402902"/>
    <w:rsid w:val="3E414C22"/>
    <w:rsid w:val="3E415B85"/>
    <w:rsid w:val="3E42CC87"/>
    <w:rsid w:val="3E44EDA6"/>
    <w:rsid w:val="3E46F8EA"/>
    <w:rsid w:val="3E4AA33E"/>
    <w:rsid w:val="3E4B56E5"/>
    <w:rsid w:val="3E53ACB7"/>
    <w:rsid w:val="3E58D64E"/>
    <w:rsid w:val="3E5986BB"/>
    <w:rsid w:val="3E5AC33E"/>
    <w:rsid w:val="3E5CE6C3"/>
    <w:rsid w:val="3E5E961A"/>
    <w:rsid w:val="3E5F1FAC"/>
    <w:rsid w:val="3E5FBA9C"/>
    <w:rsid w:val="3E60200C"/>
    <w:rsid w:val="3E60C2D0"/>
    <w:rsid w:val="3E64516B"/>
    <w:rsid w:val="3E67A901"/>
    <w:rsid w:val="3E69D565"/>
    <w:rsid w:val="3E6B3BDA"/>
    <w:rsid w:val="3E6E16DF"/>
    <w:rsid w:val="3E73E8D5"/>
    <w:rsid w:val="3E74DBCA"/>
    <w:rsid w:val="3E7C08E7"/>
    <w:rsid w:val="3E7C5D1A"/>
    <w:rsid w:val="3E7F9161"/>
    <w:rsid w:val="3E817689"/>
    <w:rsid w:val="3E81B3B5"/>
    <w:rsid w:val="3E822E61"/>
    <w:rsid w:val="3E83C301"/>
    <w:rsid w:val="3E84150E"/>
    <w:rsid w:val="3E867BFF"/>
    <w:rsid w:val="3E88A151"/>
    <w:rsid w:val="3E8BDCA2"/>
    <w:rsid w:val="3E8CC475"/>
    <w:rsid w:val="3E92A0D2"/>
    <w:rsid w:val="3E93CE95"/>
    <w:rsid w:val="3E94EC02"/>
    <w:rsid w:val="3E95D7E2"/>
    <w:rsid w:val="3E95E2A6"/>
    <w:rsid w:val="3E9C034F"/>
    <w:rsid w:val="3E9E42E1"/>
    <w:rsid w:val="3E9ED668"/>
    <w:rsid w:val="3E9F022F"/>
    <w:rsid w:val="3E9F57BD"/>
    <w:rsid w:val="3EA1013F"/>
    <w:rsid w:val="3EA2803C"/>
    <w:rsid w:val="3EA4EB5F"/>
    <w:rsid w:val="3EA6E7B7"/>
    <w:rsid w:val="3EA77828"/>
    <w:rsid w:val="3EA78805"/>
    <w:rsid w:val="3EA9B8FB"/>
    <w:rsid w:val="3EAA59E0"/>
    <w:rsid w:val="3EAB56CF"/>
    <w:rsid w:val="3EAB90AA"/>
    <w:rsid w:val="3EAE4D24"/>
    <w:rsid w:val="3EAEFBA0"/>
    <w:rsid w:val="3EB0154B"/>
    <w:rsid w:val="3EB1CC02"/>
    <w:rsid w:val="3EB212EE"/>
    <w:rsid w:val="3EB54ADA"/>
    <w:rsid w:val="3EB7A6C1"/>
    <w:rsid w:val="3EB8BBF1"/>
    <w:rsid w:val="3EBA14DF"/>
    <w:rsid w:val="3EBBE818"/>
    <w:rsid w:val="3EBCFD0E"/>
    <w:rsid w:val="3EBD0AC5"/>
    <w:rsid w:val="3EBF9A6F"/>
    <w:rsid w:val="3EC05903"/>
    <w:rsid w:val="3EC2F737"/>
    <w:rsid w:val="3EC35876"/>
    <w:rsid w:val="3EC58DCB"/>
    <w:rsid w:val="3EC9AEBF"/>
    <w:rsid w:val="3ECA9944"/>
    <w:rsid w:val="3ECCEAEB"/>
    <w:rsid w:val="3ECD94EF"/>
    <w:rsid w:val="3ECFC7FB"/>
    <w:rsid w:val="3ED0A47D"/>
    <w:rsid w:val="3ED0C502"/>
    <w:rsid w:val="3ED609EA"/>
    <w:rsid w:val="3ED6D0A7"/>
    <w:rsid w:val="3EDC51D7"/>
    <w:rsid w:val="3EDCE2FD"/>
    <w:rsid w:val="3EDF12E7"/>
    <w:rsid w:val="3EE07DC3"/>
    <w:rsid w:val="3EE673B8"/>
    <w:rsid w:val="3EE6A18F"/>
    <w:rsid w:val="3EE76696"/>
    <w:rsid w:val="3EE7A67B"/>
    <w:rsid w:val="3EE7FB1D"/>
    <w:rsid w:val="3EEA9A5A"/>
    <w:rsid w:val="3EEEA1FC"/>
    <w:rsid w:val="3EF21850"/>
    <w:rsid w:val="3EF3BCEE"/>
    <w:rsid w:val="3EF45A68"/>
    <w:rsid w:val="3EF6FC49"/>
    <w:rsid w:val="3EF70317"/>
    <w:rsid w:val="3EF7F21F"/>
    <w:rsid w:val="3EF9860D"/>
    <w:rsid w:val="3EFB70D0"/>
    <w:rsid w:val="3F018ADA"/>
    <w:rsid w:val="3F02A0E1"/>
    <w:rsid w:val="3F03AB85"/>
    <w:rsid w:val="3F046878"/>
    <w:rsid w:val="3F0A0785"/>
    <w:rsid w:val="3F0C85AB"/>
    <w:rsid w:val="3F0E1914"/>
    <w:rsid w:val="3F104150"/>
    <w:rsid w:val="3F149616"/>
    <w:rsid w:val="3F157CFA"/>
    <w:rsid w:val="3F19A6C1"/>
    <w:rsid w:val="3F1BEC40"/>
    <w:rsid w:val="3F1C42AB"/>
    <w:rsid w:val="3F215DAD"/>
    <w:rsid w:val="3F243DB3"/>
    <w:rsid w:val="3F27A734"/>
    <w:rsid w:val="3F2984DB"/>
    <w:rsid w:val="3F2A0E2C"/>
    <w:rsid w:val="3F2D576E"/>
    <w:rsid w:val="3F30957A"/>
    <w:rsid w:val="3F31D09C"/>
    <w:rsid w:val="3F37B50D"/>
    <w:rsid w:val="3F3F8F11"/>
    <w:rsid w:val="3F46AF1E"/>
    <w:rsid w:val="3F4AC0E8"/>
    <w:rsid w:val="3F4C198C"/>
    <w:rsid w:val="3F4D92A3"/>
    <w:rsid w:val="3F4EF560"/>
    <w:rsid w:val="3F5030E4"/>
    <w:rsid w:val="3F508B07"/>
    <w:rsid w:val="3F509C27"/>
    <w:rsid w:val="3F50EC17"/>
    <w:rsid w:val="3F528722"/>
    <w:rsid w:val="3F52BD65"/>
    <w:rsid w:val="3F593220"/>
    <w:rsid w:val="3F5974C0"/>
    <w:rsid w:val="3F5A811B"/>
    <w:rsid w:val="3F5B1788"/>
    <w:rsid w:val="3F5D7EAA"/>
    <w:rsid w:val="3F5DE7F4"/>
    <w:rsid w:val="3F67B181"/>
    <w:rsid w:val="3F6C2AA2"/>
    <w:rsid w:val="3F6C538A"/>
    <w:rsid w:val="3F6EBDAD"/>
    <w:rsid w:val="3F7076F4"/>
    <w:rsid w:val="3F7211C8"/>
    <w:rsid w:val="3F7684CF"/>
    <w:rsid w:val="3F76DE5F"/>
    <w:rsid w:val="3F76E8C6"/>
    <w:rsid w:val="3F771269"/>
    <w:rsid w:val="3F773A0F"/>
    <w:rsid w:val="3F78135E"/>
    <w:rsid w:val="3F7892AC"/>
    <w:rsid w:val="3F7C314B"/>
    <w:rsid w:val="3F7D3CCE"/>
    <w:rsid w:val="3F811CB9"/>
    <w:rsid w:val="3F815AC6"/>
    <w:rsid w:val="3F8242EB"/>
    <w:rsid w:val="3F838D1F"/>
    <w:rsid w:val="3F84A981"/>
    <w:rsid w:val="3F8825B1"/>
    <w:rsid w:val="3F8A20D3"/>
    <w:rsid w:val="3F8D024D"/>
    <w:rsid w:val="3F9011D8"/>
    <w:rsid w:val="3F9091E0"/>
    <w:rsid w:val="3F941A59"/>
    <w:rsid w:val="3F98DF03"/>
    <w:rsid w:val="3F9A39B8"/>
    <w:rsid w:val="3F9CF6E0"/>
    <w:rsid w:val="3F9E5637"/>
    <w:rsid w:val="3FA0CF30"/>
    <w:rsid w:val="3FA118C8"/>
    <w:rsid w:val="3FA25BAC"/>
    <w:rsid w:val="3FA5EE7D"/>
    <w:rsid w:val="3FA6F2A0"/>
    <w:rsid w:val="3FA9AEA0"/>
    <w:rsid w:val="3FACDD15"/>
    <w:rsid w:val="3FADD88F"/>
    <w:rsid w:val="3FAF301C"/>
    <w:rsid w:val="3FB0F3BF"/>
    <w:rsid w:val="3FB60715"/>
    <w:rsid w:val="3FB62DA5"/>
    <w:rsid w:val="3FB727E6"/>
    <w:rsid w:val="3FBBEF2A"/>
    <w:rsid w:val="3FBDD5BD"/>
    <w:rsid w:val="3FBDE04E"/>
    <w:rsid w:val="3FBDEB30"/>
    <w:rsid w:val="3FC08043"/>
    <w:rsid w:val="3FC31A43"/>
    <w:rsid w:val="3FC36EF6"/>
    <w:rsid w:val="3FC50CC0"/>
    <w:rsid w:val="3FC657B6"/>
    <w:rsid w:val="3FC809AD"/>
    <w:rsid w:val="3FCD1E1F"/>
    <w:rsid w:val="3FCDF428"/>
    <w:rsid w:val="3FD25305"/>
    <w:rsid w:val="3FD5463D"/>
    <w:rsid w:val="3FD5CA6F"/>
    <w:rsid w:val="3FD94035"/>
    <w:rsid w:val="3FD97B87"/>
    <w:rsid w:val="3FD9E709"/>
    <w:rsid w:val="3FDBE284"/>
    <w:rsid w:val="3FDC955C"/>
    <w:rsid w:val="3FDCACC8"/>
    <w:rsid w:val="3FDD09E9"/>
    <w:rsid w:val="3FDD6D6E"/>
    <w:rsid w:val="3FE1F379"/>
    <w:rsid w:val="3FE3EB5C"/>
    <w:rsid w:val="3FE61D6C"/>
    <w:rsid w:val="3FE7A0E0"/>
    <w:rsid w:val="3FE8E495"/>
    <w:rsid w:val="3FEA2E0D"/>
    <w:rsid w:val="3FEBE614"/>
    <w:rsid w:val="3FEC779F"/>
    <w:rsid w:val="3FEDB347"/>
    <w:rsid w:val="3FEE2E7F"/>
    <w:rsid w:val="3FF17609"/>
    <w:rsid w:val="3FF1BEBA"/>
    <w:rsid w:val="3FF23A29"/>
    <w:rsid w:val="3FF3E023"/>
    <w:rsid w:val="3FF65CB7"/>
    <w:rsid w:val="3FF6FFEA"/>
    <w:rsid w:val="3FF96EDE"/>
    <w:rsid w:val="3FFB5870"/>
    <w:rsid w:val="3FFC3A9F"/>
    <w:rsid w:val="3FFD0FDD"/>
    <w:rsid w:val="40018CDF"/>
    <w:rsid w:val="4002C5A7"/>
    <w:rsid w:val="40040141"/>
    <w:rsid w:val="40099A9B"/>
    <w:rsid w:val="400C86CB"/>
    <w:rsid w:val="400D54C2"/>
    <w:rsid w:val="4010B79E"/>
    <w:rsid w:val="4012EA53"/>
    <w:rsid w:val="4014A92E"/>
    <w:rsid w:val="40163829"/>
    <w:rsid w:val="4017515C"/>
    <w:rsid w:val="401A30AC"/>
    <w:rsid w:val="401A71C7"/>
    <w:rsid w:val="401C2431"/>
    <w:rsid w:val="401CC80F"/>
    <w:rsid w:val="401F6709"/>
    <w:rsid w:val="40217687"/>
    <w:rsid w:val="4028306A"/>
    <w:rsid w:val="4028C7D3"/>
    <w:rsid w:val="402C51BD"/>
    <w:rsid w:val="4031AE4D"/>
    <w:rsid w:val="4034A475"/>
    <w:rsid w:val="4035BDCD"/>
    <w:rsid w:val="40382C05"/>
    <w:rsid w:val="403CE8AD"/>
    <w:rsid w:val="40403298"/>
    <w:rsid w:val="4042DD91"/>
    <w:rsid w:val="4045EDDD"/>
    <w:rsid w:val="404A5990"/>
    <w:rsid w:val="404AC1DA"/>
    <w:rsid w:val="404B0AD6"/>
    <w:rsid w:val="404CE0BC"/>
    <w:rsid w:val="404E7CF0"/>
    <w:rsid w:val="4050046C"/>
    <w:rsid w:val="40505D58"/>
    <w:rsid w:val="4056A632"/>
    <w:rsid w:val="405B6AD0"/>
    <w:rsid w:val="405BEAA1"/>
    <w:rsid w:val="405F28D7"/>
    <w:rsid w:val="40631CCF"/>
    <w:rsid w:val="4063FB9A"/>
    <w:rsid w:val="4064C964"/>
    <w:rsid w:val="4065329E"/>
    <w:rsid w:val="40669645"/>
    <w:rsid w:val="4066DA56"/>
    <w:rsid w:val="40679EE7"/>
    <w:rsid w:val="4067B2C0"/>
    <w:rsid w:val="406B5D10"/>
    <w:rsid w:val="406CCB61"/>
    <w:rsid w:val="406CFEEE"/>
    <w:rsid w:val="406D8472"/>
    <w:rsid w:val="406FFD6B"/>
    <w:rsid w:val="4077711C"/>
    <w:rsid w:val="407915E1"/>
    <w:rsid w:val="407CA85B"/>
    <w:rsid w:val="407D9E6F"/>
    <w:rsid w:val="407ECA0D"/>
    <w:rsid w:val="40818979"/>
    <w:rsid w:val="40828DD0"/>
    <w:rsid w:val="4084CAEB"/>
    <w:rsid w:val="4085254F"/>
    <w:rsid w:val="408F99EA"/>
    <w:rsid w:val="40923E9B"/>
    <w:rsid w:val="409476C1"/>
    <w:rsid w:val="40973C9F"/>
    <w:rsid w:val="4097CFC2"/>
    <w:rsid w:val="4099C6C7"/>
    <w:rsid w:val="409B371C"/>
    <w:rsid w:val="409E9ACE"/>
    <w:rsid w:val="409EF83B"/>
    <w:rsid w:val="409F43FE"/>
    <w:rsid w:val="409F7A80"/>
    <w:rsid w:val="40A4B9D1"/>
    <w:rsid w:val="40A764A6"/>
    <w:rsid w:val="40A7F98B"/>
    <w:rsid w:val="40A95E30"/>
    <w:rsid w:val="40AA9345"/>
    <w:rsid w:val="40ABFC1C"/>
    <w:rsid w:val="40ABFF37"/>
    <w:rsid w:val="40AFA859"/>
    <w:rsid w:val="40B12996"/>
    <w:rsid w:val="40B570A7"/>
    <w:rsid w:val="40B9A17E"/>
    <w:rsid w:val="40BA08F8"/>
    <w:rsid w:val="40BFE1D0"/>
    <w:rsid w:val="40C2461B"/>
    <w:rsid w:val="40C50AFA"/>
    <w:rsid w:val="40C730DF"/>
    <w:rsid w:val="40C74A53"/>
    <w:rsid w:val="40CDE1FA"/>
    <w:rsid w:val="40D2726C"/>
    <w:rsid w:val="40D2B175"/>
    <w:rsid w:val="40D9AAD1"/>
    <w:rsid w:val="40D9FEA7"/>
    <w:rsid w:val="40DCBFAD"/>
    <w:rsid w:val="40DDB074"/>
    <w:rsid w:val="40E44CA8"/>
    <w:rsid w:val="40E592D5"/>
    <w:rsid w:val="40E5B4D6"/>
    <w:rsid w:val="40E614D2"/>
    <w:rsid w:val="40E95A73"/>
    <w:rsid w:val="40EC4ADB"/>
    <w:rsid w:val="40F3FA78"/>
    <w:rsid w:val="40FD6774"/>
    <w:rsid w:val="40FD6EB8"/>
    <w:rsid w:val="40FF93FB"/>
    <w:rsid w:val="410249D8"/>
    <w:rsid w:val="41026A8F"/>
    <w:rsid w:val="4105DD7E"/>
    <w:rsid w:val="4108FF7D"/>
    <w:rsid w:val="410A796F"/>
    <w:rsid w:val="410C6926"/>
    <w:rsid w:val="410E41C5"/>
    <w:rsid w:val="41118FFB"/>
    <w:rsid w:val="41143FBE"/>
    <w:rsid w:val="41148C12"/>
    <w:rsid w:val="41149C59"/>
    <w:rsid w:val="411965CE"/>
    <w:rsid w:val="411A11CC"/>
    <w:rsid w:val="411A24D3"/>
    <w:rsid w:val="411AC2FE"/>
    <w:rsid w:val="411BB300"/>
    <w:rsid w:val="411DB614"/>
    <w:rsid w:val="411EA975"/>
    <w:rsid w:val="411ED35B"/>
    <w:rsid w:val="41214CCA"/>
    <w:rsid w:val="412164D8"/>
    <w:rsid w:val="41241E51"/>
    <w:rsid w:val="41262A63"/>
    <w:rsid w:val="4129891B"/>
    <w:rsid w:val="412A7604"/>
    <w:rsid w:val="412BBB57"/>
    <w:rsid w:val="412EEBD3"/>
    <w:rsid w:val="4132658A"/>
    <w:rsid w:val="413381E3"/>
    <w:rsid w:val="41386143"/>
    <w:rsid w:val="413ABA1E"/>
    <w:rsid w:val="413DE11B"/>
    <w:rsid w:val="4141EE21"/>
    <w:rsid w:val="4143CF99"/>
    <w:rsid w:val="41481BC3"/>
    <w:rsid w:val="4149C55D"/>
    <w:rsid w:val="414B9BD7"/>
    <w:rsid w:val="414DB279"/>
    <w:rsid w:val="414DDEC6"/>
    <w:rsid w:val="414E2D44"/>
    <w:rsid w:val="414F7FA9"/>
    <w:rsid w:val="4150BA0A"/>
    <w:rsid w:val="41537E63"/>
    <w:rsid w:val="4158A9B5"/>
    <w:rsid w:val="4158B112"/>
    <w:rsid w:val="415A7BD4"/>
    <w:rsid w:val="415D718F"/>
    <w:rsid w:val="415E96AC"/>
    <w:rsid w:val="41606ABF"/>
    <w:rsid w:val="4160A4AD"/>
    <w:rsid w:val="4161D28F"/>
    <w:rsid w:val="4161F358"/>
    <w:rsid w:val="41667715"/>
    <w:rsid w:val="4169D7A9"/>
    <w:rsid w:val="416A11DA"/>
    <w:rsid w:val="416B5FAD"/>
    <w:rsid w:val="416DEE68"/>
    <w:rsid w:val="416F97DF"/>
    <w:rsid w:val="416FD33B"/>
    <w:rsid w:val="416FF9E1"/>
    <w:rsid w:val="41702145"/>
    <w:rsid w:val="41706037"/>
    <w:rsid w:val="4172723C"/>
    <w:rsid w:val="4172AFE5"/>
    <w:rsid w:val="4175EA00"/>
    <w:rsid w:val="417B76F4"/>
    <w:rsid w:val="417C7D3F"/>
    <w:rsid w:val="417CE367"/>
    <w:rsid w:val="417D022F"/>
    <w:rsid w:val="417FE3D2"/>
    <w:rsid w:val="41819960"/>
    <w:rsid w:val="41829695"/>
    <w:rsid w:val="4184C480"/>
    <w:rsid w:val="41881269"/>
    <w:rsid w:val="418887F6"/>
    <w:rsid w:val="418F12D7"/>
    <w:rsid w:val="41909272"/>
    <w:rsid w:val="41949E3A"/>
    <w:rsid w:val="4194A432"/>
    <w:rsid w:val="4195E23B"/>
    <w:rsid w:val="4196A10B"/>
    <w:rsid w:val="419C5C40"/>
    <w:rsid w:val="419CCFB9"/>
    <w:rsid w:val="419DC93A"/>
    <w:rsid w:val="419E3C09"/>
    <w:rsid w:val="419E62B3"/>
    <w:rsid w:val="41A0CCD3"/>
    <w:rsid w:val="41A2B78D"/>
    <w:rsid w:val="41A80284"/>
    <w:rsid w:val="41AE32CC"/>
    <w:rsid w:val="41B22EFA"/>
    <w:rsid w:val="41B3631E"/>
    <w:rsid w:val="41B3D21C"/>
    <w:rsid w:val="41B5DABE"/>
    <w:rsid w:val="41B8DA9E"/>
    <w:rsid w:val="41BB94C1"/>
    <w:rsid w:val="41BC2E04"/>
    <w:rsid w:val="41C03EC8"/>
    <w:rsid w:val="41C3F69D"/>
    <w:rsid w:val="41C44424"/>
    <w:rsid w:val="41C4614C"/>
    <w:rsid w:val="41C49834"/>
    <w:rsid w:val="41C6FC2B"/>
    <w:rsid w:val="41C9C753"/>
    <w:rsid w:val="41CDD0D9"/>
    <w:rsid w:val="41D074D6"/>
    <w:rsid w:val="41D08299"/>
    <w:rsid w:val="41D23845"/>
    <w:rsid w:val="41D3C389"/>
    <w:rsid w:val="41D61ACE"/>
    <w:rsid w:val="41D6B5D2"/>
    <w:rsid w:val="41DB108F"/>
    <w:rsid w:val="41DC34C1"/>
    <w:rsid w:val="41DDD17F"/>
    <w:rsid w:val="41DE6B81"/>
    <w:rsid w:val="41E0E898"/>
    <w:rsid w:val="41E44744"/>
    <w:rsid w:val="41E4C19F"/>
    <w:rsid w:val="41E5303A"/>
    <w:rsid w:val="41E641C9"/>
    <w:rsid w:val="41E9C524"/>
    <w:rsid w:val="41EC208D"/>
    <w:rsid w:val="41EC2F31"/>
    <w:rsid w:val="41EC69D8"/>
    <w:rsid w:val="41F31CE9"/>
    <w:rsid w:val="41F35B55"/>
    <w:rsid w:val="41F38CFA"/>
    <w:rsid w:val="41F3A9A7"/>
    <w:rsid w:val="41F5C72B"/>
    <w:rsid w:val="41F90452"/>
    <w:rsid w:val="41F94031"/>
    <w:rsid w:val="41F965A1"/>
    <w:rsid w:val="41F9FD1C"/>
    <w:rsid w:val="41FA4A75"/>
    <w:rsid w:val="41FB6B5F"/>
    <w:rsid w:val="41FC40CF"/>
    <w:rsid w:val="41FC86DA"/>
    <w:rsid w:val="42004B09"/>
    <w:rsid w:val="4200E9BE"/>
    <w:rsid w:val="4206E5FF"/>
    <w:rsid w:val="4207B517"/>
    <w:rsid w:val="420C6C1A"/>
    <w:rsid w:val="420DF321"/>
    <w:rsid w:val="420F184A"/>
    <w:rsid w:val="421A06FB"/>
    <w:rsid w:val="421A3147"/>
    <w:rsid w:val="421D8861"/>
    <w:rsid w:val="4221FD3E"/>
    <w:rsid w:val="42236C29"/>
    <w:rsid w:val="42252C8D"/>
    <w:rsid w:val="4229F420"/>
    <w:rsid w:val="422EA2DD"/>
    <w:rsid w:val="423221AC"/>
    <w:rsid w:val="4234FAE5"/>
    <w:rsid w:val="4235DAEB"/>
    <w:rsid w:val="42367BCC"/>
    <w:rsid w:val="4236D1E9"/>
    <w:rsid w:val="4236F81E"/>
    <w:rsid w:val="4238ED68"/>
    <w:rsid w:val="423CFA8C"/>
    <w:rsid w:val="423E0A19"/>
    <w:rsid w:val="423EFEF3"/>
    <w:rsid w:val="4241998D"/>
    <w:rsid w:val="4243F4B3"/>
    <w:rsid w:val="42480541"/>
    <w:rsid w:val="424D6ADC"/>
    <w:rsid w:val="424DD44D"/>
    <w:rsid w:val="42507518"/>
    <w:rsid w:val="425139DA"/>
    <w:rsid w:val="42524BBC"/>
    <w:rsid w:val="4253B477"/>
    <w:rsid w:val="4253B667"/>
    <w:rsid w:val="42586616"/>
    <w:rsid w:val="425AB5E1"/>
    <w:rsid w:val="425C5509"/>
    <w:rsid w:val="425F2FC5"/>
    <w:rsid w:val="425FAAF2"/>
    <w:rsid w:val="425FF92C"/>
    <w:rsid w:val="42621F4D"/>
    <w:rsid w:val="42635226"/>
    <w:rsid w:val="4264CCD1"/>
    <w:rsid w:val="4266D2DC"/>
    <w:rsid w:val="426AABE2"/>
    <w:rsid w:val="426CA36E"/>
    <w:rsid w:val="42709790"/>
    <w:rsid w:val="42723FF3"/>
    <w:rsid w:val="42727337"/>
    <w:rsid w:val="42731FFE"/>
    <w:rsid w:val="42734A5A"/>
    <w:rsid w:val="4274CCB3"/>
    <w:rsid w:val="4275BFBC"/>
    <w:rsid w:val="427B0C19"/>
    <w:rsid w:val="427B6232"/>
    <w:rsid w:val="42823A5E"/>
    <w:rsid w:val="4282417E"/>
    <w:rsid w:val="42845D6C"/>
    <w:rsid w:val="42856EF2"/>
    <w:rsid w:val="428AEF2F"/>
    <w:rsid w:val="428CD4AA"/>
    <w:rsid w:val="428F9E7C"/>
    <w:rsid w:val="4292E3C4"/>
    <w:rsid w:val="4293374B"/>
    <w:rsid w:val="42938F36"/>
    <w:rsid w:val="4295C596"/>
    <w:rsid w:val="4298FAA7"/>
    <w:rsid w:val="42A077E3"/>
    <w:rsid w:val="42A18B68"/>
    <w:rsid w:val="42A25AF8"/>
    <w:rsid w:val="42A5417C"/>
    <w:rsid w:val="42ABD32E"/>
    <w:rsid w:val="42ADAA6D"/>
    <w:rsid w:val="42ADFD19"/>
    <w:rsid w:val="42AE4F53"/>
    <w:rsid w:val="42B3126B"/>
    <w:rsid w:val="42BACE8A"/>
    <w:rsid w:val="42BB4E6B"/>
    <w:rsid w:val="42BBA481"/>
    <w:rsid w:val="42BC0A6D"/>
    <w:rsid w:val="42BC9D60"/>
    <w:rsid w:val="42C1B5A2"/>
    <w:rsid w:val="42C4898F"/>
    <w:rsid w:val="42C6A0E3"/>
    <w:rsid w:val="42C6AF76"/>
    <w:rsid w:val="42C8CE93"/>
    <w:rsid w:val="42CC1412"/>
    <w:rsid w:val="42CE91F3"/>
    <w:rsid w:val="42CF4A2E"/>
    <w:rsid w:val="42D0CD2D"/>
    <w:rsid w:val="42D2E5F9"/>
    <w:rsid w:val="42D393D0"/>
    <w:rsid w:val="42D3CC8E"/>
    <w:rsid w:val="42D541F2"/>
    <w:rsid w:val="42D95375"/>
    <w:rsid w:val="42D9E3F7"/>
    <w:rsid w:val="42DC14FB"/>
    <w:rsid w:val="42DEFFC1"/>
    <w:rsid w:val="42E779DB"/>
    <w:rsid w:val="42E7A0EE"/>
    <w:rsid w:val="42E80B75"/>
    <w:rsid w:val="42E97877"/>
    <w:rsid w:val="42F2E5A4"/>
    <w:rsid w:val="42F6FAC1"/>
    <w:rsid w:val="42F90C8B"/>
    <w:rsid w:val="42F99538"/>
    <w:rsid w:val="42FDE9D0"/>
    <w:rsid w:val="42FE41DF"/>
    <w:rsid w:val="42FF0D40"/>
    <w:rsid w:val="43047986"/>
    <w:rsid w:val="43088F8E"/>
    <w:rsid w:val="430AEF7E"/>
    <w:rsid w:val="430B7A74"/>
    <w:rsid w:val="430C1435"/>
    <w:rsid w:val="430C9A7C"/>
    <w:rsid w:val="430E21C5"/>
    <w:rsid w:val="430FB956"/>
    <w:rsid w:val="4311604A"/>
    <w:rsid w:val="43118862"/>
    <w:rsid w:val="4311AFA8"/>
    <w:rsid w:val="4312C6FA"/>
    <w:rsid w:val="43135E66"/>
    <w:rsid w:val="43182D73"/>
    <w:rsid w:val="431B57CC"/>
    <w:rsid w:val="431C9FFA"/>
    <w:rsid w:val="431DEC69"/>
    <w:rsid w:val="4326CA2B"/>
    <w:rsid w:val="4328AC94"/>
    <w:rsid w:val="4328D205"/>
    <w:rsid w:val="432948F8"/>
    <w:rsid w:val="4330AD35"/>
    <w:rsid w:val="43333BD8"/>
    <w:rsid w:val="4335A716"/>
    <w:rsid w:val="4337868C"/>
    <w:rsid w:val="433895E7"/>
    <w:rsid w:val="433DCABD"/>
    <w:rsid w:val="43407F10"/>
    <w:rsid w:val="43432E1F"/>
    <w:rsid w:val="4343EE0D"/>
    <w:rsid w:val="4344762A"/>
    <w:rsid w:val="43448D1E"/>
    <w:rsid w:val="4347190B"/>
    <w:rsid w:val="43493958"/>
    <w:rsid w:val="434AC21A"/>
    <w:rsid w:val="434D8FAE"/>
    <w:rsid w:val="434E05AC"/>
    <w:rsid w:val="434EEC2B"/>
    <w:rsid w:val="434F46F6"/>
    <w:rsid w:val="4352575C"/>
    <w:rsid w:val="43527EB8"/>
    <w:rsid w:val="435385E4"/>
    <w:rsid w:val="435440C3"/>
    <w:rsid w:val="4355D1D7"/>
    <w:rsid w:val="4355E223"/>
    <w:rsid w:val="43577CBD"/>
    <w:rsid w:val="43583C35"/>
    <w:rsid w:val="435A475D"/>
    <w:rsid w:val="435CAB06"/>
    <w:rsid w:val="435F066A"/>
    <w:rsid w:val="43643F0B"/>
    <w:rsid w:val="4366403F"/>
    <w:rsid w:val="4366862F"/>
    <w:rsid w:val="436722DC"/>
    <w:rsid w:val="43676880"/>
    <w:rsid w:val="43682CC2"/>
    <w:rsid w:val="43693882"/>
    <w:rsid w:val="436AA8E2"/>
    <w:rsid w:val="436CCEE8"/>
    <w:rsid w:val="436EB016"/>
    <w:rsid w:val="43714B65"/>
    <w:rsid w:val="4379B761"/>
    <w:rsid w:val="437CD311"/>
    <w:rsid w:val="437CD746"/>
    <w:rsid w:val="437D65E0"/>
    <w:rsid w:val="437F09AE"/>
    <w:rsid w:val="43831793"/>
    <w:rsid w:val="4388A288"/>
    <w:rsid w:val="4389D6FD"/>
    <w:rsid w:val="438B98C5"/>
    <w:rsid w:val="438C87EA"/>
    <w:rsid w:val="4390AC68"/>
    <w:rsid w:val="4391A598"/>
    <w:rsid w:val="43958F4A"/>
    <w:rsid w:val="439AEA8C"/>
    <w:rsid w:val="439B1FE4"/>
    <w:rsid w:val="439E6B4D"/>
    <w:rsid w:val="439E8289"/>
    <w:rsid w:val="43A05811"/>
    <w:rsid w:val="43A42918"/>
    <w:rsid w:val="43A46C23"/>
    <w:rsid w:val="43A509A1"/>
    <w:rsid w:val="43A603F8"/>
    <w:rsid w:val="43A90D73"/>
    <w:rsid w:val="43AD3232"/>
    <w:rsid w:val="43ADBD48"/>
    <w:rsid w:val="43B0B4E7"/>
    <w:rsid w:val="43B50A90"/>
    <w:rsid w:val="43B52F4B"/>
    <w:rsid w:val="43B5A869"/>
    <w:rsid w:val="43B5E320"/>
    <w:rsid w:val="43B949D4"/>
    <w:rsid w:val="43B9BDF4"/>
    <w:rsid w:val="43BF091B"/>
    <w:rsid w:val="43C1B0C9"/>
    <w:rsid w:val="43C4266C"/>
    <w:rsid w:val="43C48002"/>
    <w:rsid w:val="43C6A4D8"/>
    <w:rsid w:val="43C9E5B1"/>
    <w:rsid w:val="43D2D7DE"/>
    <w:rsid w:val="43D48D82"/>
    <w:rsid w:val="43D85BE5"/>
    <w:rsid w:val="43DCD9A4"/>
    <w:rsid w:val="43DE3AA3"/>
    <w:rsid w:val="43E01B33"/>
    <w:rsid w:val="43E13EBF"/>
    <w:rsid w:val="43E35599"/>
    <w:rsid w:val="43E48F8F"/>
    <w:rsid w:val="43E6B70F"/>
    <w:rsid w:val="43EB3A92"/>
    <w:rsid w:val="43EC1135"/>
    <w:rsid w:val="43EEB8B2"/>
    <w:rsid w:val="43F1DC61"/>
    <w:rsid w:val="43F88EE8"/>
    <w:rsid w:val="43FB6D0F"/>
    <w:rsid w:val="43FC4678"/>
    <w:rsid w:val="43FE849E"/>
    <w:rsid w:val="44026C73"/>
    <w:rsid w:val="4402F5C6"/>
    <w:rsid w:val="44030AD9"/>
    <w:rsid w:val="44054F3D"/>
    <w:rsid w:val="440666BB"/>
    <w:rsid w:val="44067496"/>
    <w:rsid w:val="44089D82"/>
    <w:rsid w:val="4410B7B5"/>
    <w:rsid w:val="4412983B"/>
    <w:rsid w:val="44141073"/>
    <w:rsid w:val="4414ADDB"/>
    <w:rsid w:val="44185D5B"/>
    <w:rsid w:val="4418CAE3"/>
    <w:rsid w:val="4418FDD9"/>
    <w:rsid w:val="441A4BF1"/>
    <w:rsid w:val="4422AE79"/>
    <w:rsid w:val="44244ECB"/>
    <w:rsid w:val="44295D2C"/>
    <w:rsid w:val="442A6A9B"/>
    <w:rsid w:val="4431AC6C"/>
    <w:rsid w:val="44337C37"/>
    <w:rsid w:val="4434B9B7"/>
    <w:rsid w:val="4436B21F"/>
    <w:rsid w:val="44375ADD"/>
    <w:rsid w:val="4438BDDA"/>
    <w:rsid w:val="44390DA1"/>
    <w:rsid w:val="4439C3F8"/>
    <w:rsid w:val="443BE0F2"/>
    <w:rsid w:val="443C2D58"/>
    <w:rsid w:val="443DAC6F"/>
    <w:rsid w:val="443FFFE7"/>
    <w:rsid w:val="4440E625"/>
    <w:rsid w:val="4441C7E8"/>
    <w:rsid w:val="4443DB67"/>
    <w:rsid w:val="444938BA"/>
    <w:rsid w:val="444A75EF"/>
    <w:rsid w:val="444AF97C"/>
    <w:rsid w:val="444B48CC"/>
    <w:rsid w:val="444C5653"/>
    <w:rsid w:val="444DBD67"/>
    <w:rsid w:val="444E4FCB"/>
    <w:rsid w:val="444EEEBC"/>
    <w:rsid w:val="445153C5"/>
    <w:rsid w:val="4451B80E"/>
    <w:rsid w:val="44541AB5"/>
    <w:rsid w:val="4456741D"/>
    <w:rsid w:val="4457393D"/>
    <w:rsid w:val="445774E2"/>
    <w:rsid w:val="4457D300"/>
    <w:rsid w:val="445B1ABD"/>
    <w:rsid w:val="445B6A8C"/>
    <w:rsid w:val="445D4A89"/>
    <w:rsid w:val="445FA4FA"/>
    <w:rsid w:val="44611966"/>
    <w:rsid w:val="4461B140"/>
    <w:rsid w:val="44678A9D"/>
    <w:rsid w:val="4469AB60"/>
    <w:rsid w:val="446AAF9F"/>
    <w:rsid w:val="446BD438"/>
    <w:rsid w:val="446C139C"/>
    <w:rsid w:val="4470EBF9"/>
    <w:rsid w:val="44717196"/>
    <w:rsid w:val="4471C907"/>
    <w:rsid w:val="4472C97D"/>
    <w:rsid w:val="44737871"/>
    <w:rsid w:val="44744597"/>
    <w:rsid w:val="44758DBC"/>
    <w:rsid w:val="4475C634"/>
    <w:rsid w:val="447810D6"/>
    <w:rsid w:val="447ADCC0"/>
    <w:rsid w:val="447D4E66"/>
    <w:rsid w:val="4482A182"/>
    <w:rsid w:val="44832F14"/>
    <w:rsid w:val="4484AD00"/>
    <w:rsid w:val="44878332"/>
    <w:rsid w:val="448E2041"/>
    <w:rsid w:val="448E2E30"/>
    <w:rsid w:val="4491A694"/>
    <w:rsid w:val="4492E9F8"/>
    <w:rsid w:val="44938F09"/>
    <w:rsid w:val="449B6F4F"/>
    <w:rsid w:val="44A13D9A"/>
    <w:rsid w:val="44A1FCFA"/>
    <w:rsid w:val="44A4295E"/>
    <w:rsid w:val="44A562AF"/>
    <w:rsid w:val="44A5E91C"/>
    <w:rsid w:val="44A73A96"/>
    <w:rsid w:val="44A9E32F"/>
    <w:rsid w:val="44AAAF75"/>
    <w:rsid w:val="44AB9E1C"/>
    <w:rsid w:val="44AD8009"/>
    <w:rsid w:val="44B3732F"/>
    <w:rsid w:val="44B54E72"/>
    <w:rsid w:val="44B59565"/>
    <w:rsid w:val="44BBD8B5"/>
    <w:rsid w:val="44BDB730"/>
    <w:rsid w:val="44BEB6E0"/>
    <w:rsid w:val="44C15C18"/>
    <w:rsid w:val="44C1BD58"/>
    <w:rsid w:val="44C2EE4A"/>
    <w:rsid w:val="44C30BDB"/>
    <w:rsid w:val="44C422AD"/>
    <w:rsid w:val="44C5118C"/>
    <w:rsid w:val="44C68B10"/>
    <w:rsid w:val="44C828DD"/>
    <w:rsid w:val="44C933FB"/>
    <w:rsid w:val="44CB51B1"/>
    <w:rsid w:val="44CD56FB"/>
    <w:rsid w:val="44D18E66"/>
    <w:rsid w:val="44D1E161"/>
    <w:rsid w:val="44D2855A"/>
    <w:rsid w:val="44D5EA30"/>
    <w:rsid w:val="44DAAA4B"/>
    <w:rsid w:val="44DB0C0E"/>
    <w:rsid w:val="44DD4823"/>
    <w:rsid w:val="44E1650D"/>
    <w:rsid w:val="44E2010D"/>
    <w:rsid w:val="44E54C16"/>
    <w:rsid w:val="44E8BF4B"/>
    <w:rsid w:val="44E96F31"/>
    <w:rsid w:val="44ED2A00"/>
    <w:rsid w:val="44EEFF2D"/>
    <w:rsid w:val="44EF38A0"/>
    <w:rsid w:val="44EFC691"/>
    <w:rsid w:val="44F0E4BF"/>
    <w:rsid w:val="44F3FFE1"/>
    <w:rsid w:val="44F4640A"/>
    <w:rsid w:val="44F69148"/>
    <w:rsid w:val="44F80CB8"/>
    <w:rsid w:val="44FC20B8"/>
    <w:rsid w:val="45007290"/>
    <w:rsid w:val="4503FE26"/>
    <w:rsid w:val="4504934D"/>
    <w:rsid w:val="4504D64D"/>
    <w:rsid w:val="45069459"/>
    <w:rsid w:val="4506AE61"/>
    <w:rsid w:val="4506F953"/>
    <w:rsid w:val="4507EE3E"/>
    <w:rsid w:val="4509008E"/>
    <w:rsid w:val="4509AA3D"/>
    <w:rsid w:val="450A297F"/>
    <w:rsid w:val="45101F3E"/>
    <w:rsid w:val="45108AC1"/>
    <w:rsid w:val="45157F4E"/>
    <w:rsid w:val="4515978A"/>
    <w:rsid w:val="45176C72"/>
    <w:rsid w:val="451D2A4E"/>
    <w:rsid w:val="451DB419"/>
    <w:rsid w:val="451E8427"/>
    <w:rsid w:val="4520CE2C"/>
    <w:rsid w:val="4520F101"/>
    <w:rsid w:val="45216C00"/>
    <w:rsid w:val="452691AF"/>
    <w:rsid w:val="45290537"/>
    <w:rsid w:val="452A1021"/>
    <w:rsid w:val="452A8551"/>
    <w:rsid w:val="452C1B90"/>
    <w:rsid w:val="452CE1E2"/>
    <w:rsid w:val="452D4B2E"/>
    <w:rsid w:val="45326D8C"/>
    <w:rsid w:val="453B0C51"/>
    <w:rsid w:val="453F8D46"/>
    <w:rsid w:val="4540ED0C"/>
    <w:rsid w:val="4544E4EB"/>
    <w:rsid w:val="4545831F"/>
    <w:rsid w:val="454592A3"/>
    <w:rsid w:val="4545D011"/>
    <w:rsid w:val="4546C1A2"/>
    <w:rsid w:val="45484413"/>
    <w:rsid w:val="454B8FF0"/>
    <w:rsid w:val="454C1CE4"/>
    <w:rsid w:val="454C3486"/>
    <w:rsid w:val="454CF204"/>
    <w:rsid w:val="454EE640"/>
    <w:rsid w:val="454F29A5"/>
    <w:rsid w:val="4553459E"/>
    <w:rsid w:val="45537E6F"/>
    <w:rsid w:val="455A73DA"/>
    <w:rsid w:val="455AADEB"/>
    <w:rsid w:val="455B41A1"/>
    <w:rsid w:val="455CB6AC"/>
    <w:rsid w:val="4560415B"/>
    <w:rsid w:val="456070BC"/>
    <w:rsid w:val="45623985"/>
    <w:rsid w:val="45626D39"/>
    <w:rsid w:val="4567A0C4"/>
    <w:rsid w:val="456A11C7"/>
    <w:rsid w:val="456A488E"/>
    <w:rsid w:val="456AAFDD"/>
    <w:rsid w:val="456B7309"/>
    <w:rsid w:val="456BC7C7"/>
    <w:rsid w:val="456C1B7F"/>
    <w:rsid w:val="456D7BAD"/>
    <w:rsid w:val="456E6232"/>
    <w:rsid w:val="456EA83F"/>
    <w:rsid w:val="456F741D"/>
    <w:rsid w:val="4571B29E"/>
    <w:rsid w:val="4573EAC4"/>
    <w:rsid w:val="4576BFCB"/>
    <w:rsid w:val="45772FBC"/>
    <w:rsid w:val="4579934E"/>
    <w:rsid w:val="457B01E0"/>
    <w:rsid w:val="457B6D41"/>
    <w:rsid w:val="457EE437"/>
    <w:rsid w:val="4580B299"/>
    <w:rsid w:val="4582C94B"/>
    <w:rsid w:val="4582CAFB"/>
    <w:rsid w:val="4582FA4E"/>
    <w:rsid w:val="4583CD5E"/>
    <w:rsid w:val="45851F96"/>
    <w:rsid w:val="458702CA"/>
    <w:rsid w:val="458AD801"/>
    <w:rsid w:val="458CA9DC"/>
    <w:rsid w:val="458CAB75"/>
    <w:rsid w:val="458E5BA1"/>
    <w:rsid w:val="458EBD39"/>
    <w:rsid w:val="45966D68"/>
    <w:rsid w:val="459A274D"/>
    <w:rsid w:val="459C875E"/>
    <w:rsid w:val="45A2319D"/>
    <w:rsid w:val="45A3510D"/>
    <w:rsid w:val="45A6E78B"/>
    <w:rsid w:val="45A755FC"/>
    <w:rsid w:val="45A78033"/>
    <w:rsid w:val="45A88441"/>
    <w:rsid w:val="45A946AF"/>
    <w:rsid w:val="45A9D7C6"/>
    <w:rsid w:val="45ACF196"/>
    <w:rsid w:val="45AE336D"/>
    <w:rsid w:val="45AF773A"/>
    <w:rsid w:val="45B3784D"/>
    <w:rsid w:val="45B3E534"/>
    <w:rsid w:val="45B5F61E"/>
    <w:rsid w:val="45B934AB"/>
    <w:rsid w:val="45BD00B3"/>
    <w:rsid w:val="45BF0981"/>
    <w:rsid w:val="45C0762B"/>
    <w:rsid w:val="45C080A1"/>
    <w:rsid w:val="45C36BD4"/>
    <w:rsid w:val="45C49507"/>
    <w:rsid w:val="45C5344D"/>
    <w:rsid w:val="45C70677"/>
    <w:rsid w:val="45C7152D"/>
    <w:rsid w:val="45C8C8C9"/>
    <w:rsid w:val="45CB396A"/>
    <w:rsid w:val="45CFFE86"/>
    <w:rsid w:val="45D3D013"/>
    <w:rsid w:val="45DA861D"/>
    <w:rsid w:val="45DD492C"/>
    <w:rsid w:val="45DEC98B"/>
    <w:rsid w:val="45E0376F"/>
    <w:rsid w:val="45E4C156"/>
    <w:rsid w:val="45E5629B"/>
    <w:rsid w:val="45E66608"/>
    <w:rsid w:val="45EC1620"/>
    <w:rsid w:val="45ECD1E4"/>
    <w:rsid w:val="45F1F579"/>
    <w:rsid w:val="45F5DFAC"/>
    <w:rsid w:val="45F6AFEA"/>
    <w:rsid w:val="45F72844"/>
    <w:rsid w:val="45F97EEB"/>
    <w:rsid w:val="45FA4613"/>
    <w:rsid w:val="45FA9A02"/>
    <w:rsid w:val="45FDC4AD"/>
    <w:rsid w:val="45FE07DA"/>
    <w:rsid w:val="45FF8516"/>
    <w:rsid w:val="45FFF785"/>
    <w:rsid w:val="45FFFB33"/>
    <w:rsid w:val="46028331"/>
    <w:rsid w:val="46051053"/>
    <w:rsid w:val="46086027"/>
    <w:rsid w:val="460BD5FC"/>
    <w:rsid w:val="460DE760"/>
    <w:rsid w:val="46139AC0"/>
    <w:rsid w:val="461B8932"/>
    <w:rsid w:val="461C38FC"/>
    <w:rsid w:val="461D84CE"/>
    <w:rsid w:val="461D9DE6"/>
    <w:rsid w:val="462B0708"/>
    <w:rsid w:val="462CD2BB"/>
    <w:rsid w:val="462FB2E5"/>
    <w:rsid w:val="4633090D"/>
    <w:rsid w:val="46390449"/>
    <w:rsid w:val="463A4BE2"/>
    <w:rsid w:val="463F91BD"/>
    <w:rsid w:val="4646BF86"/>
    <w:rsid w:val="464C0258"/>
    <w:rsid w:val="464DB976"/>
    <w:rsid w:val="464E87EC"/>
    <w:rsid w:val="4650DE4E"/>
    <w:rsid w:val="465327A5"/>
    <w:rsid w:val="4654F70A"/>
    <w:rsid w:val="46575721"/>
    <w:rsid w:val="4657BF45"/>
    <w:rsid w:val="4657F0EE"/>
    <w:rsid w:val="465C3FC4"/>
    <w:rsid w:val="465F2170"/>
    <w:rsid w:val="4660151A"/>
    <w:rsid w:val="466134EB"/>
    <w:rsid w:val="4663CCAB"/>
    <w:rsid w:val="4664E719"/>
    <w:rsid w:val="4665C7B1"/>
    <w:rsid w:val="466C208F"/>
    <w:rsid w:val="466F32F4"/>
    <w:rsid w:val="4670CE38"/>
    <w:rsid w:val="46755901"/>
    <w:rsid w:val="467661A0"/>
    <w:rsid w:val="46777430"/>
    <w:rsid w:val="467A32D9"/>
    <w:rsid w:val="467A48BE"/>
    <w:rsid w:val="467A8BAB"/>
    <w:rsid w:val="467B5CB7"/>
    <w:rsid w:val="468123C5"/>
    <w:rsid w:val="46825E7C"/>
    <w:rsid w:val="468287B4"/>
    <w:rsid w:val="4683AC32"/>
    <w:rsid w:val="468895E3"/>
    <w:rsid w:val="468B6112"/>
    <w:rsid w:val="468C1FC7"/>
    <w:rsid w:val="468F26CC"/>
    <w:rsid w:val="469136B1"/>
    <w:rsid w:val="46920D27"/>
    <w:rsid w:val="46924874"/>
    <w:rsid w:val="46973960"/>
    <w:rsid w:val="4699C504"/>
    <w:rsid w:val="469F7FBF"/>
    <w:rsid w:val="46A1F4E7"/>
    <w:rsid w:val="46A27CC3"/>
    <w:rsid w:val="46A86E57"/>
    <w:rsid w:val="46A8F555"/>
    <w:rsid w:val="46A95CA0"/>
    <w:rsid w:val="46AB292A"/>
    <w:rsid w:val="46ADC59D"/>
    <w:rsid w:val="46B095FE"/>
    <w:rsid w:val="46B09FC3"/>
    <w:rsid w:val="46B3A744"/>
    <w:rsid w:val="46B3AC9D"/>
    <w:rsid w:val="46B65BCC"/>
    <w:rsid w:val="46B7123D"/>
    <w:rsid w:val="46B7E9AC"/>
    <w:rsid w:val="46B94EEE"/>
    <w:rsid w:val="46B9CD3B"/>
    <w:rsid w:val="46BA4581"/>
    <w:rsid w:val="46BA53B9"/>
    <w:rsid w:val="46BF6047"/>
    <w:rsid w:val="46C0614A"/>
    <w:rsid w:val="46C123A3"/>
    <w:rsid w:val="46C1F258"/>
    <w:rsid w:val="46C39371"/>
    <w:rsid w:val="46C8C996"/>
    <w:rsid w:val="46C8D8E6"/>
    <w:rsid w:val="46CA2C5B"/>
    <w:rsid w:val="46CDD6A9"/>
    <w:rsid w:val="46D2AA28"/>
    <w:rsid w:val="46D2E985"/>
    <w:rsid w:val="46D3B713"/>
    <w:rsid w:val="46D4B533"/>
    <w:rsid w:val="46D95147"/>
    <w:rsid w:val="46E3AEBF"/>
    <w:rsid w:val="46E5532D"/>
    <w:rsid w:val="46ECDDB1"/>
    <w:rsid w:val="46F095E0"/>
    <w:rsid w:val="46F27F33"/>
    <w:rsid w:val="46F76089"/>
    <w:rsid w:val="46F9B5C2"/>
    <w:rsid w:val="46FA553E"/>
    <w:rsid w:val="46FC0C65"/>
    <w:rsid w:val="46FC885D"/>
    <w:rsid w:val="46FD4069"/>
    <w:rsid w:val="46FEF604"/>
    <w:rsid w:val="47013C1C"/>
    <w:rsid w:val="47023300"/>
    <w:rsid w:val="4703ABD7"/>
    <w:rsid w:val="47050754"/>
    <w:rsid w:val="4705225B"/>
    <w:rsid w:val="4705D348"/>
    <w:rsid w:val="47084FEC"/>
    <w:rsid w:val="47098B41"/>
    <w:rsid w:val="470C0526"/>
    <w:rsid w:val="470C960A"/>
    <w:rsid w:val="470CBB3D"/>
    <w:rsid w:val="470D57DE"/>
    <w:rsid w:val="470E7FD5"/>
    <w:rsid w:val="470F765A"/>
    <w:rsid w:val="471000A5"/>
    <w:rsid w:val="4711904A"/>
    <w:rsid w:val="47155A20"/>
    <w:rsid w:val="47156228"/>
    <w:rsid w:val="471AB068"/>
    <w:rsid w:val="471DC184"/>
    <w:rsid w:val="47227E97"/>
    <w:rsid w:val="47242865"/>
    <w:rsid w:val="4726AB82"/>
    <w:rsid w:val="472C73BF"/>
    <w:rsid w:val="47317779"/>
    <w:rsid w:val="4731C341"/>
    <w:rsid w:val="473242E9"/>
    <w:rsid w:val="4732FD52"/>
    <w:rsid w:val="47344861"/>
    <w:rsid w:val="47346E48"/>
    <w:rsid w:val="47359673"/>
    <w:rsid w:val="4737BFE6"/>
    <w:rsid w:val="47386484"/>
    <w:rsid w:val="4739643C"/>
    <w:rsid w:val="473A8E6E"/>
    <w:rsid w:val="473D6EDC"/>
    <w:rsid w:val="47401A5A"/>
    <w:rsid w:val="47406DF1"/>
    <w:rsid w:val="47415BE3"/>
    <w:rsid w:val="47453A3D"/>
    <w:rsid w:val="4745B9D0"/>
    <w:rsid w:val="474846AC"/>
    <w:rsid w:val="47490763"/>
    <w:rsid w:val="4749F0A3"/>
    <w:rsid w:val="474BCB4D"/>
    <w:rsid w:val="474DBAA3"/>
    <w:rsid w:val="474DFCC8"/>
    <w:rsid w:val="474E68CF"/>
    <w:rsid w:val="4753569E"/>
    <w:rsid w:val="4757033F"/>
    <w:rsid w:val="4757C01D"/>
    <w:rsid w:val="4759C2AA"/>
    <w:rsid w:val="475C51D1"/>
    <w:rsid w:val="475C5952"/>
    <w:rsid w:val="475ED1D2"/>
    <w:rsid w:val="476146D9"/>
    <w:rsid w:val="47615DFC"/>
    <w:rsid w:val="476347E3"/>
    <w:rsid w:val="476705B8"/>
    <w:rsid w:val="47675296"/>
    <w:rsid w:val="47688BCA"/>
    <w:rsid w:val="4768E679"/>
    <w:rsid w:val="47738310"/>
    <w:rsid w:val="4774D279"/>
    <w:rsid w:val="47753F4A"/>
    <w:rsid w:val="47778485"/>
    <w:rsid w:val="477A6761"/>
    <w:rsid w:val="477C38C1"/>
    <w:rsid w:val="477CA43A"/>
    <w:rsid w:val="477DC64F"/>
    <w:rsid w:val="4781C0B1"/>
    <w:rsid w:val="47835528"/>
    <w:rsid w:val="47836E5A"/>
    <w:rsid w:val="4784C7E7"/>
    <w:rsid w:val="4785BC36"/>
    <w:rsid w:val="478630BE"/>
    <w:rsid w:val="47884893"/>
    <w:rsid w:val="4789EE7A"/>
    <w:rsid w:val="478C3F92"/>
    <w:rsid w:val="478C8239"/>
    <w:rsid w:val="478CA5DD"/>
    <w:rsid w:val="4790F743"/>
    <w:rsid w:val="4792A405"/>
    <w:rsid w:val="479C771F"/>
    <w:rsid w:val="479C8CDD"/>
    <w:rsid w:val="479DB7F7"/>
    <w:rsid w:val="479DC6FE"/>
    <w:rsid w:val="47A017BD"/>
    <w:rsid w:val="47A03343"/>
    <w:rsid w:val="47A0E0EC"/>
    <w:rsid w:val="47A213CF"/>
    <w:rsid w:val="47A3A925"/>
    <w:rsid w:val="47A4C398"/>
    <w:rsid w:val="47AD8E4E"/>
    <w:rsid w:val="47AF345F"/>
    <w:rsid w:val="47AFEDB5"/>
    <w:rsid w:val="47B07D6B"/>
    <w:rsid w:val="47B2201C"/>
    <w:rsid w:val="47B240F2"/>
    <w:rsid w:val="47B6D7B3"/>
    <w:rsid w:val="47BAF2F2"/>
    <w:rsid w:val="47BB9F12"/>
    <w:rsid w:val="47BCDE99"/>
    <w:rsid w:val="47BF16C8"/>
    <w:rsid w:val="47BF6F69"/>
    <w:rsid w:val="47C089B2"/>
    <w:rsid w:val="47C0A9D4"/>
    <w:rsid w:val="47C0D21E"/>
    <w:rsid w:val="47C54BCB"/>
    <w:rsid w:val="47C68186"/>
    <w:rsid w:val="47C6D931"/>
    <w:rsid w:val="47C842B4"/>
    <w:rsid w:val="47C9074D"/>
    <w:rsid w:val="47CA0D6E"/>
    <w:rsid w:val="47CCB595"/>
    <w:rsid w:val="47D073BF"/>
    <w:rsid w:val="47D69F50"/>
    <w:rsid w:val="47D72C38"/>
    <w:rsid w:val="47DC3CAB"/>
    <w:rsid w:val="47DE20C4"/>
    <w:rsid w:val="47E57D1F"/>
    <w:rsid w:val="47E5AC2B"/>
    <w:rsid w:val="47E622C6"/>
    <w:rsid w:val="47E70CC2"/>
    <w:rsid w:val="47EA46F9"/>
    <w:rsid w:val="47EAC3C3"/>
    <w:rsid w:val="47EC26C3"/>
    <w:rsid w:val="47EDF6A3"/>
    <w:rsid w:val="47EF9399"/>
    <w:rsid w:val="47F23FDB"/>
    <w:rsid w:val="47F4E0D3"/>
    <w:rsid w:val="47F6D3C0"/>
    <w:rsid w:val="47FDF702"/>
    <w:rsid w:val="4805F69F"/>
    <w:rsid w:val="4807BC49"/>
    <w:rsid w:val="4811F911"/>
    <w:rsid w:val="481874F9"/>
    <w:rsid w:val="481A9A0D"/>
    <w:rsid w:val="481C2D39"/>
    <w:rsid w:val="481F23A4"/>
    <w:rsid w:val="4821714D"/>
    <w:rsid w:val="4821BE8D"/>
    <w:rsid w:val="48253C10"/>
    <w:rsid w:val="4825838B"/>
    <w:rsid w:val="4825C39E"/>
    <w:rsid w:val="482740BB"/>
    <w:rsid w:val="482A37DA"/>
    <w:rsid w:val="482C3E48"/>
    <w:rsid w:val="482FC16A"/>
    <w:rsid w:val="482FDA78"/>
    <w:rsid w:val="4833355C"/>
    <w:rsid w:val="4834789E"/>
    <w:rsid w:val="48349770"/>
    <w:rsid w:val="48356509"/>
    <w:rsid w:val="483621F5"/>
    <w:rsid w:val="48366759"/>
    <w:rsid w:val="4838264E"/>
    <w:rsid w:val="483A57DC"/>
    <w:rsid w:val="483CD8A7"/>
    <w:rsid w:val="48440070"/>
    <w:rsid w:val="48440FD7"/>
    <w:rsid w:val="4845FF0A"/>
    <w:rsid w:val="4848A858"/>
    <w:rsid w:val="4849A6A0"/>
    <w:rsid w:val="4849CCA0"/>
    <w:rsid w:val="484E1481"/>
    <w:rsid w:val="4850F8CC"/>
    <w:rsid w:val="485BAB5C"/>
    <w:rsid w:val="485D0EF2"/>
    <w:rsid w:val="485D2482"/>
    <w:rsid w:val="485E08C8"/>
    <w:rsid w:val="485EFC82"/>
    <w:rsid w:val="4863B654"/>
    <w:rsid w:val="486555EC"/>
    <w:rsid w:val="486715D6"/>
    <w:rsid w:val="48685F6B"/>
    <w:rsid w:val="486872D8"/>
    <w:rsid w:val="486BD505"/>
    <w:rsid w:val="486E19B7"/>
    <w:rsid w:val="486E6B11"/>
    <w:rsid w:val="486EAD7D"/>
    <w:rsid w:val="4870F6E3"/>
    <w:rsid w:val="4871EB3A"/>
    <w:rsid w:val="48721735"/>
    <w:rsid w:val="48763BA4"/>
    <w:rsid w:val="4877EEE7"/>
    <w:rsid w:val="487AFA07"/>
    <w:rsid w:val="487B6C47"/>
    <w:rsid w:val="487C2266"/>
    <w:rsid w:val="487CC434"/>
    <w:rsid w:val="487D23E1"/>
    <w:rsid w:val="48802E4B"/>
    <w:rsid w:val="4882FD38"/>
    <w:rsid w:val="48830B06"/>
    <w:rsid w:val="4884E359"/>
    <w:rsid w:val="48850148"/>
    <w:rsid w:val="4885E5C0"/>
    <w:rsid w:val="488BFFF6"/>
    <w:rsid w:val="488F1EDE"/>
    <w:rsid w:val="4892F866"/>
    <w:rsid w:val="4895CD69"/>
    <w:rsid w:val="489B65EC"/>
    <w:rsid w:val="489BC970"/>
    <w:rsid w:val="489CAD1C"/>
    <w:rsid w:val="48A08DDE"/>
    <w:rsid w:val="48A62C61"/>
    <w:rsid w:val="48A64901"/>
    <w:rsid w:val="48A8EE01"/>
    <w:rsid w:val="48AA7B0D"/>
    <w:rsid w:val="48AACB37"/>
    <w:rsid w:val="48ACAD07"/>
    <w:rsid w:val="48AE9045"/>
    <w:rsid w:val="48AED5BA"/>
    <w:rsid w:val="48AFA70D"/>
    <w:rsid w:val="48B05E02"/>
    <w:rsid w:val="48B40F3D"/>
    <w:rsid w:val="48B540AF"/>
    <w:rsid w:val="48BABD8E"/>
    <w:rsid w:val="48BB4CDD"/>
    <w:rsid w:val="48BFE362"/>
    <w:rsid w:val="48C6711F"/>
    <w:rsid w:val="48CA25D0"/>
    <w:rsid w:val="48CADC26"/>
    <w:rsid w:val="48D0F356"/>
    <w:rsid w:val="48D16A16"/>
    <w:rsid w:val="48D38F0D"/>
    <w:rsid w:val="48D513D2"/>
    <w:rsid w:val="48D624FC"/>
    <w:rsid w:val="48D8FEFB"/>
    <w:rsid w:val="48D93E7D"/>
    <w:rsid w:val="48DB453E"/>
    <w:rsid w:val="48E336E7"/>
    <w:rsid w:val="48E35F4D"/>
    <w:rsid w:val="48E378B3"/>
    <w:rsid w:val="48E61173"/>
    <w:rsid w:val="48E7C97E"/>
    <w:rsid w:val="48E8BDDC"/>
    <w:rsid w:val="48E98223"/>
    <w:rsid w:val="48EB02AD"/>
    <w:rsid w:val="48EE9FEA"/>
    <w:rsid w:val="48EFE6E2"/>
    <w:rsid w:val="48F0114C"/>
    <w:rsid w:val="48F2E074"/>
    <w:rsid w:val="48F8AA8F"/>
    <w:rsid w:val="48FC42A0"/>
    <w:rsid w:val="48FE30DD"/>
    <w:rsid w:val="48FEA739"/>
    <w:rsid w:val="4900A136"/>
    <w:rsid w:val="490107F6"/>
    <w:rsid w:val="49017052"/>
    <w:rsid w:val="4903737A"/>
    <w:rsid w:val="4904120B"/>
    <w:rsid w:val="4907C740"/>
    <w:rsid w:val="49093331"/>
    <w:rsid w:val="490B1DC6"/>
    <w:rsid w:val="490B7EF2"/>
    <w:rsid w:val="4911DF72"/>
    <w:rsid w:val="4912D9AD"/>
    <w:rsid w:val="4913921D"/>
    <w:rsid w:val="491504BC"/>
    <w:rsid w:val="4918285B"/>
    <w:rsid w:val="4918457A"/>
    <w:rsid w:val="4919EA20"/>
    <w:rsid w:val="491A8FFC"/>
    <w:rsid w:val="491E7E21"/>
    <w:rsid w:val="491F6DA5"/>
    <w:rsid w:val="4923AF52"/>
    <w:rsid w:val="4923F0C4"/>
    <w:rsid w:val="4929550C"/>
    <w:rsid w:val="492A691A"/>
    <w:rsid w:val="492DA1A3"/>
    <w:rsid w:val="4930292A"/>
    <w:rsid w:val="4930BA30"/>
    <w:rsid w:val="493200F6"/>
    <w:rsid w:val="4933DBA5"/>
    <w:rsid w:val="49348854"/>
    <w:rsid w:val="4936461E"/>
    <w:rsid w:val="493694A1"/>
    <w:rsid w:val="49377A50"/>
    <w:rsid w:val="49384D70"/>
    <w:rsid w:val="4938CD27"/>
    <w:rsid w:val="4938F229"/>
    <w:rsid w:val="493C943D"/>
    <w:rsid w:val="493F2513"/>
    <w:rsid w:val="4941909A"/>
    <w:rsid w:val="4942459C"/>
    <w:rsid w:val="494339C2"/>
    <w:rsid w:val="494C96BD"/>
    <w:rsid w:val="494D0D08"/>
    <w:rsid w:val="49500A5F"/>
    <w:rsid w:val="49503462"/>
    <w:rsid w:val="4950CE0B"/>
    <w:rsid w:val="49544B1E"/>
    <w:rsid w:val="49545692"/>
    <w:rsid w:val="4954708D"/>
    <w:rsid w:val="4955CCD0"/>
    <w:rsid w:val="4958F9B9"/>
    <w:rsid w:val="495C2721"/>
    <w:rsid w:val="495E9FDB"/>
    <w:rsid w:val="495EB60A"/>
    <w:rsid w:val="495F10F2"/>
    <w:rsid w:val="49617F51"/>
    <w:rsid w:val="496271F4"/>
    <w:rsid w:val="49645527"/>
    <w:rsid w:val="496C5731"/>
    <w:rsid w:val="496D3483"/>
    <w:rsid w:val="496DD2B6"/>
    <w:rsid w:val="496F0C42"/>
    <w:rsid w:val="497002D8"/>
    <w:rsid w:val="49713883"/>
    <w:rsid w:val="49716079"/>
    <w:rsid w:val="4972CC5A"/>
    <w:rsid w:val="497D86DA"/>
    <w:rsid w:val="4982FF8A"/>
    <w:rsid w:val="49837486"/>
    <w:rsid w:val="498D636C"/>
    <w:rsid w:val="498D9C99"/>
    <w:rsid w:val="499453C8"/>
    <w:rsid w:val="49964C53"/>
    <w:rsid w:val="499699B0"/>
    <w:rsid w:val="49974E05"/>
    <w:rsid w:val="49986DEA"/>
    <w:rsid w:val="4999FDBB"/>
    <w:rsid w:val="499A2BAD"/>
    <w:rsid w:val="499A87C5"/>
    <w:rsid w:val="499B9A00"/>
    <w:rsid w:val="499BBBAE"/>
    <w:rsid w:val="499BFAFD"/>
    <w:rsid w:val="499C575B"/>
    <w:rsid w:val="499C7F45"/>
    <w:rsid w:val="499D0A3E"/>
    <w:rsid w:val="499E3463"/>
    <w:rsid w:val="499EB7A4"/>
    <w:rsid w:val="49A0055A"/>
    <w:rsid w:val="49A191A8"/>
    <w:rsid w:val="49A52B0C"/>
    <w:rsid w:val="49A6A569"/>
    <w:rsid w:val="49A7B0C8"/>
    <w:rsid w:val="49A8F5BB"/>
    <w:rsid w:val="49A90BDF"/>
    <w:rsid w:val="49AA3A62"/>
    <w:rsid w:val="49AB68F1"/>
    <w:rsid w:val="49AEF45D"/>
    <w:rsid w:val="49B263F0"/>
    <w:rsid w:val="49B3D35C"/>
    <w:rsid w:val="49B56E18"/>
    <w:rsid w:val="49B7D2F3"/>
    <w:rsid w:val="49B86BFD"/>
    <w:rsid w:val="49B8CEB9"/>
    <w:rsid w:val="49BBC728"/>
    <w:rsid w:val="49BBF08E"/>
    <w:rsid w:val="49C2FBF7"/>
    <w:rsid w:val="49C413FA"/>
    <w:rsid w:val="49CD1C93"/>
    <w:rsid w:val="49CDFCE4"/>
    <w:rsid w:val="49CE1CF8"/>
    <w:rsid w:val="49D3606A"/>
    <w:rsid w:val="49D55271"/>
    <w:rsid w:val="49D552DA"/>
    <w:rsid w:val="49D7203A"/>
    <w:rsid w:val="49D94BAB"/>
    <w:rsid w:val="49DB718D"/>
    <w:rsid w:val="49DC52D0"/>
    <w:rsid w:val="49DD3420"/>
    <w:rsid w:val="49DE5360"/>
    <w:rsid w:val="49E1F95D"/>
    <w:rsid w:val="49E45ABC"/>
    <w:rsid w:val="49E6750A"/>
    <w:rsid w:val="49E82A3C"/>
    <w:rsid w:val="49E9AD35"/>
    <w:rsid w:val="49EA280B"/>
    <w:rsid w:val="49EB4EA8"/>
    <w:rsid w:val="49EB6067"/>
    <w:rsid w:val="49EDE125"/>
    <w:rsid w:val="49EFCABF"/>
    <w:rsid w:val="49EFCAD4"/>
    <w:rsid w:val="49F24090"/>
    <w:rsid w:val="49F27A34"/>
    <w:rsid w:val="49F28E73"/>
    <w:rsid w:val="49F2D346"/>
    <w:rsid w:val="49F5E3C7"/>
    <w:rsid w:val="49F5F43C"/>
    <w:rsid w:val="49F8970F"/>
    <w:rsid w:val="49F98A4D"/>
    <w:rsid w:val="49F9ECB3"/>
    <w:rsid w:val="49FACCE3"/>
    <w:rsid w:val="49FC61AE"/>
    <w:rsid w:val="49FCE0D4"/>
    <w:rsid w:val="49FDE593"/>
    <w:rsid w:val="49FE3287"/>
    <w:rsid w:val="49FEF0C3"/>
    <w:rsid w:val="4A01A3AC"/>
    <w:rsid w:val="4A029211"/>
    <w:rsid w:val="4A05AA37"/>
    <w:rsid w:val="4A073933"/>
    <w:rsid w:val="4A09377E"/>
    <w:rsid w:val="4A0B1795"/>
    <w:rsid w:val="4A0B7587"/>
    <w:rsid w:val="4A0E88C5"/>
    <w:rsid w:val="4A1229F1"/>
    <w:rsid w:val="4A145391"/>
    <w:rsid w:val="4A14A42E"/>
    <w:rsid w:val="4A15CF76"/>
    <w:rsid w:val="4A1BBE1C"/>
    <w:rsid w:val="4A1C59FF"/>
    <w:rsid w:val="4A1C8080"/>
    <w:rsid w:val="4A21DE2F"/>
    <w:rsid w:val="4A26D5E4"/>
    <w:rsid w:val="4A2B7FEA"/>
    <w:rsid w:val="4A2BBFCF"/>
    <w:rsid w:val="4A2D966A"/>
    <w:rsid w:val="4A2DAFCD"/>
    <w:rsid w:val="4A2ED83D"/>
    <w:rsid w:val="4A2F0278"/>
    <w:rsid w:val="4A333A1E"/>
    <w:rsid w:val="4A33AF48"/>
    <w:rsid w:val="4A34584F"/>
    <w:rsid w:val="4A36FC83"/>
    <w:rsid w:val="4A39207C"/>
    <w:rsid w:val="4A3ABA62"/>
    <w:rsid w:val="4A445BFF"/>
    <w:rsid w:val="4A44DF70"/>
    <w:rsid w:val="4A45044E"/>
    <w:rsid w:val="4A4A1DAF"/>
    <w:rsid w:val="4A4BA096"/>
    <w:rsid w:val="4A4C26E2"/>
    <w:rsid w:val="4A4C6EE8"/>
    <w:rsid w:val="4A4E3CB9"/>
    <w:rsid w:val="4A4E4E7E"/>
    <w:rsid w:val="4A53F681"/>
    <w:rsid w:val="4A589017"/>
    <w:rsid w:val="4A5C35EA"/>
    <w:rsid w:val="4A5D6BF2"/>
    <w:rsid w:val="4A5DA4BC"/>
    <w:rsid w:val="4A5DAD78"/>
    <w:rsid w:val="4A5E6F09"/>
    <w:rsid w:val="4A5EC873"/>
    <w:rsid w:val="4A602E2B"/>
    <w:rsid w:val="4A603EE9"/>
    <w:rsid w:val="4A62EEA1"/>
    <w:rsid w:val="4A643501"/>
    <w:rsid w:val="4A64BFB2"/>
    <w:rsid w:val="4A650976"/>
    <w:rsid w:val="4A667D50"/>
    <w:rsid w:val="4A66D7D1"/>
    <w:rsid w:val="4A67528F"/>
    <w:rsid w:val="4A6A39E2"/>
    <w:rsid w:val="4A70AB1F"/>
    <w:rsid w:val="4A71CC93"/>
    <w:rsid w:val="4A72BC76"/>
    <w:rsid w:val="4A735008"/>
    <w:rsid w:val="4A756CFF"/>
    <w:rsid w:val="4A766A9C"/>
    <w:rsid w:val="4A76B675"/>
    <w:rsid w:val="4A7A6173"/>
    <w:rsid w:val="4A7C856D"/>
    <w:rsid w:val="4A828E83"/>
    <w:rsid w:val="4A87DBCB"/>
    <w:rsid w:val="4A88C7D2"/>
    <w:rsid w:val="4A8C2A32"/>
    <w:rsid w:val="4A8CD418"/>
    <w:rsid w:val="4A8D12A7"/>
    <w:rsid w:val="4A8D898C"/>
    <w:rsid w:val="4A8DDE76"/>
    <w:rsid w:val="4A8F63EC"/>
    <w:rsid w:val="4A8F8690"/>
    <w:rsid w:val="4A907291"/>
    <w:rsid w:val="4A92B58D"/>
    <w:rsid w:val="4A93DFE4"/>
    <w:rsid w:val="4A954000"/>
    <w:rsid w:val="4A96DFD8"/>
    <w:rsid w:val="4A9E0A7B"/>
    <w:rsid w:val="4A9F7636"/>
    <w:rsid w:val="4AA397A1"/>
    <w:rsid w:val="4AA525FB"/>
    <w:rsid w:val="4AA60720"/>
    <w:rsid w:val="4AA7B6A7"/>
    <w:rsid w:val="4AA7D1B8"/>
    <w:rsid w:val="4AAA443D"/>
    <w:rsid w:val="4AAA44AF"/>
    <w:rsid w:val="4AABAFA0"/>
    <w:rsid w:val="4AAE64B9"/>
    <w:rsid w:val="4AAF336B"/>
    <w:rsid w:val="4AB03B6A"/>
    <w:rsid w:val="4AB87D5C"/>
    <w:rsid w:val="4ABBD375"/>
    <w:rsid w:val="4AC0CC92"/>
    <w:rsid w:val="4AC2EC95"/>
    <w:rsid w:val="4AC39567"/>
    <w:rsid w:val="4AC3C2F6"/>
    <w:rsid w:val="4AC4F0F9"/>
    <w:rsid w:val="4AC5BF47"/>
    <w:rsid w:val="4ACF6510"/>
    <w:rsid w:val="4AD24FCF"/>
    <w:rsid w:val="4AD5A69F"/>
    <w:rsid w:val="4AD62E35"/>
    <w:rsid w:val="4ADBE00D"/>
    <w:rsid w:val="4ADEF347"/>
    <w:rsid w:val="4AE293E0"/>
    <w:rsid w:val="4AE55865"/>
    <w:rsid w:val="4AE8CFF1"/>
    <w:rsid w:val="4AEA6553"/>
    <w:rsid w:val="4AEDE996"/>
    <w:rsid w:val="4AEFF83D"/>
    <w:rsid w:val="4AF281DF"/>
    <w:rsid w:val="4AF293B4"/>
    <w:rsid w:val="4AF37A76"/>
    <w:rsid w:val="4AF44F3A"/>
    <w:rsid w:val="4AF6B78A"/>
    <w:rsid w:val="4AF7B768"/>
    <w:rsid w:val="4AF7F2F7"/>
    <w:rsid w:val="4B053BC3"/>
    <w:rsid w:val="4B068CD7"/>
    <w:rsid w:val="4B0783A3"/>
    <w:rsid w:val="4B085210"/>
    <w:rsid w:val="4B0A1550"/>
    <w:rsid w:val="4B0CB735"/>
    <w:rsid w:val="4B12ED7D"/>
    <w:rsid w:val="4B143798"/>
    <w:rsid w:val="4B15A309"/>
    <w:rsid w:val="4B17C701"/>
    <w:rsid w:val="4B1C22AA"/>
    <w:rsid w:val="4B1DC388"/>
    <w:rsid w:val="4B2204D5"/>
    <w:rsid w:val="4B223DE3"/>
    <w:rsid w:val="4B23772E"/>
    <w:rsid w:val="4B238AEA"/>
    <w:rsid w:val="4B255206"/>
    <w:rsid w:val="4B274A20"/>
    <w:rsid w:val="4B277DCF"/>
    <w:rsid w:val="4B28C55F"/>
    <w:rsid w:val="4B2CEE5F"/>
    <w:rsid w:val="4B2D16EE"/>
    <w:rsid w:val="4B2D24B2"/>
    <w:rsid w:val="4B34113B"/>
    <w:rsid w:val="4B356E82"/>
    <w:rsid w:val="4B3807D4"/>
    <w:rsid w:val="4B3D6BC2"/>
    <w:rsid w:val="4B420153"/>
    <w:rsid w:val="4B4852BE"/>
    <w:rsid w:val="4B48C0F3"/>
    <w:rsid w:val="4B4CEC79"/>
    <w:rsid w:val="4B4DA9D3"/>
    <w:rsid w:val="4B4E9F39"/>
    <w:rsid w:val="4B500DB2"/>
    <w:rsid w:val="4B506EB6"/>
    <w:rsid w:val="4B51B774"/>
    <w:rsid w:val="4B52DFF3"/>
    <w:rsid w:val="4B53359C"/>
    <w:rsid w:val="4B54D073"/>
    <w:rsid w:val="4B55EF53"/>
    <w:rsid w:val="4B56D9AC"/>
    <w:rsid w:val="4B57345D"/>
    <w:rsid w:val="4B583A23"/>
    <w:rsid w:val="4B58BD4A"/>
    <w:rsid w:val="4B5A3FA3"/>
    <w:rsid w:val="4B5B1CFC"/>
    <w:rsid w:val="4B5B6236"/>
    <w:rsid w:val="4B5C00DF"/>
    <w:rsid w:val="4B5D9FF1"/>
    <w:rsid w:val="4B6151F9"/>
    <w:rsid w:val="4B6191AA"/>
    <w:rsid w:val="4B648265"/>
    <w:rsid w:val="4B6531CD"/>
    <w:rsid w:val="4B65C49F"/>
    <w:rsid w:val="4B66A7ED"/>
    <w:rsid w:val="4B68BF8A"/>
    <w:rsid w:val="4B6A4D4B"/>
    <w:rsid w:val="4B6C1D8B"/>
    <w:rsid w:val="4B6D3C0F"/>
    <w:rsid w:val="4B70FF49"/>
    <w:rsid w:val="4B758B29"/>
    <w:rsid w:val="4B785AA5"/>
    <w:rsid w:val="4B7C86D1"/>
    <w:rsid w:val="4B838D5C"/>
    <w:rsid w:val="4B83B852"/>
    <w:rsid w:val="4B84E1AB"/>
    <w:rsid w:val="4B85086E"/>
    <w:rsid w:val="4B860FDD"/>
    <w:rsid w:val="4B8700CE"/>
    <w:rsid w:val="4B88FCBC"/>
    <w:rsid w:val="4B8B57F2"/>
    <w:rsid w:val="4B8BD8EB"/>
    <w:rsid w:val="4B8DA589"/>
    <w:rsid w:val="4B9332BB"/>
    <w:rsid w:val="4B94828A"/>
    <w:rsid w:val="4B9E1EEE"/>
    <w:rsid w:val="4BA292A7"/>
    <w:rsid w:val="4BA2C3D0"/>
    <w:rsid w:val="4BA43369"/>
    <w:rsid w:val="4BA9E1B4"/>
    <w:rsid w:val="4BAC2847"/>
    <w:rsid w:val="4BAC2FCA"/>
    <w:rsid w:val="4BAFBC30"/>
    <w:rsid w:val="4BB3B7A6"/>
    <w:rsid w:val="4BB4627B"/>
    <w:rsid w:val="4BB754F4"/>
    <w:rsid w:val="4BB76B8E"/>
    <w:rsid w:val="4BB7D33D"/>
    <w:rsid w:val="4BB81851"/>
    <w:rsid w:val="4BB906F3"/>
    <w:rsid w:val="4BB99AE9"/>
    <w:rsid w:val="4BBBC0A0"/>
    <w:rsid w:val="4BBD8825"/>
    <w:rsid w:val="4BBE3B40"/>
    <w:rsid w:val="4BC1E75A"/>
    <w:rsid w:val="4BC1F270"/>
    <w:rsid w:val="4BC33D32"/>
    <w:rsid w:val="4BC34407"/>
    <w:rsid w:val="4BC56AC7"/>
    <w:rsid w:val="4BC84C0C"/>
    <w:rsid w:val="4BCC542D"/>
    <w:rsid w:val="4BD05AA9"/>
    <w:rsid w:val="4BD5FC37"/>
    <w:rsid w:val="4BD625EE"/>
    <w:rsid w:val="4BD8E25E"/>
    <w:rsid w:val="4BD9F7F0"/>
    <w:rsid w:val="4BDB511B"/>
    <w:rsid w:val="4BDD8AC6"/>
    <w:rsid w:val="4BDEC1D4"/>
    <w:rsid w:val="4BE166D1"/>
    <w:rsid w:val="4BE52144"/>
    <w:rsid w:val="4BE669E5"/>
    <w:rsid w:val="4BE9B6F2"/>
    <w:rsid w:val="4BF459EB"/>
    <w:rsid w:val="4BF46D12"/>
    <w:rsid w:val="4BF637B1"/>
    <w:rsid w:val="4BF6A895"/>
    <w:rsid w:val="4BF6FD03"/>
    <w:rsid w:val="4BF795E8"/>
    <w:rsid w:val="4BF7DF01"/>
    <w:rsid w:val="4BFD9E10"/>
    <w:rsid w:val="4BFFF16B"/>
    <w:rsid w:val="4C0284FA"/>
    <w:rsid w:val="4C05B40C"/>
    <w:rsid w:val="4C05FF5C"/>
    <w:rsid w:val="4C062175"/>
    <w:rsid w:val="4C07274A"/>
    <w:rsid w:val="4C08249C"/>
    <w:rsid w:val="4C084507"/>
    <w:rsid w:val="4C08583D"/>
    <w:rsid w:val="4C0A82D9"/>
    <w:rsid w:val="4C0BD50F"/>
    <w:rsid w:val="4C0D3B6A"/>
    <w:rsid w:val="4C0DBB2A"/>
    <w:rsid w:val="4C112303"/>
    <w:rsid w:val="4C1255CC"/>
    <w:rsid w:val="4C12FF06"/>
    <w:rsid w:val="4C13AD72"/>
    <w:rsid w:val="4C194100"/>
    <w:rsid w:val="4C1B2C11"/>
    <w:rsid w:val="4C221BE4"/>
    <w:rsid w:val="4C237559"/>
    <w:rsid w:val="4C26E492"/>
    <w:rsid w:val="4C28B52F"/>
    <w:rsid w:val="4C2E40DA"/>
    <w:rsid w:val="4C33CD09"/>
    <w:rsid w:val="4C34901B"/>
    <w:rsid w:val="4C34F5AC"/>
    <w:rsid w:val="4C3A9FA6"/>
    <w:rsid w:val="4C3B407C"/>
    <w:rsid w:val="4C3B7661"/>
    <w:rsid w:val="4C3C4239"/>
    <w:rsid w:val="4C3C7218"/>
    <w:rsid w:val="4C3C76DF"/>
    <w:rsid w:val="4C3CA598"/>
    <w:rsid w:val="4C3CA72E"/>
    <w:rsid w:val="4C3D1DD5"/>
    <w:rsid w:val="4C3EC785"/>
    <w:rsid w:val="4C4057E1"/>
    <w:rsid w:val="4C42915E"/>
    <w:rsid w:val="4C42E2EA"/>
    <w:rsid w:val="4C4376DB"/>
    <w:rsid w:val="4C466014"/>
    <w:rsid w:val="4C47538D"/>
    <w:rsid w:val="4C47EA33"/>
    <w:rsid w:val="4C5113C4"/>
    <w:rsid w:val="4C51E8A7"/>
    <w:rsid w:val="4C54B093"/>
    <w:rsid w:val="4C54E881"/>
    <w:rsid w:val="4C58C238"/>
    <w:rsid w:val="4C595FCB"/>
    <w:rsid w:val="4C59747F"/>
    <w:rsid w:val="4C5C447B"/>
    <w:rsid w:val="4C5C7639"/>
    <w:rsid w:val="4C5D2AB3"/>
    <w:rsid w:val="4C5DBF0C"/>
    <w:rsid w:val="4C5E1D41"/>
    <w:rsid w:val="4C5EEEDB"/>
    <w:rsid w:val="4C5EF576"/>
    <w:rsid w:val="4C605F02"/>
    <w:rsid w:val="4C60892A"/>
    <w:rsid w:val="4C620199"/>
    <w:rsid w:val="4C644FFC"/>
    <w:rsid w:val="4C646692"/>
    <w:rsid w:val="4C68B7C6"/>
    <w:rsid w:val="4C68D149"/>
    <w:rsid w:val="4C6BF127"/>
    <w:rsid w:val="4C6C166A"/>
    <w:rsid w:val="4C6C16BB"/>
    <w:rsid w:val="4C6C4275"/>
    <w:rsid w:val="4C6C7AD5"/>
    <w:rsid w:val="4C6E184F"/>
    <w:rsid w:val="4C6F00F2"/>
    <w:rsid w:val="4C7366F1"/>
    <w:rsid w:val="4C79EFA5"/>
    <w:rsid w:val="4C7A6457"/>
    <w:rsid w:val="4C7B5CC4"/>
    <w:rsid w:val="4C7C7614"/>
    <w:rsid w:val="4C7C8D4D"/>
    <w:rsid w:val="4C7D4F40"/>
    <w:rsid w:val="4C816D25"/>
    <w:rsid w:val="4C822BC7"/>
    <w:rsid w:val="4C846428"/>
    <w:rsid w:val="4C858F12"/>
    <w:rsid w:val="4C8A0AD5"/>
    <w:rsid w:val="4C8D08E5"/>
    <w:rsid w:val="4C8DB92D"/>
    <w:rsid w:val="4C8DDC7B"/>
    <w:rsid w:val="4C922097"/>
    <w:rsid w:val="4C92DDED"/>
    <w:rsid w:val="4C95E166"/>
    <w:rsid w:val="4C95F999"/>
    <w:rsid w:val="4C96DACA"/>
    <w:rsid w:val="4C9857C0"/>
    <w:rsid w:val="4C9A5B4A"/>
    <w:rsid w:val="4C9AB66E"/>
    <w:rsid w:val="4C9BCE80"/>
    <w:rsid w:val="4CA73D67"/>
    <w:rsid w:val="4CA81961"/>
    <w:rsid w:val="4CABAB5F"/>
    <w:rsid w:val="4CB01FE3"/>
    <w:rsid w:val="4CB1CDAC"/>
    <w:rsid w:val="4CB25094"/>
    <w:rsid w:val="4CB2F24D"/>
    <w:rsid w:val="4CB37362"/>
    <w:rsid w:val="4CB3D3E3"/>
    <w:rsid w:val="4CB3DF49"/>
    <w:rsid w:val="4CBEE833"/>
    <w:rsid w:val="4CBF8DD8"/>
    <w:rsid w:val="4CBFB7B4"/>
    <w:rsid w:val="4CC12289"/>
    <w:rsid w:val="4CCB9693"/>
    <w:rsid w:val="4CCBF4D7"/>
    <w:rsid w:val="4CCCB349"/>
    <w:rsid w:val="4CCD1EAE"/>
    <w:rsid w:val="4CCD9B88"/>
    <w:rsid w:val="4CCEBEBB"/>
    <w:rsid w:val="4CD3560B"/>
    <w:rsid w:val="4CD58F90"/>
    <w:rsid w:val="4CD790EE"/>
    <w:rsid w:val="4CD84550"/>
    <w:rsid w:val="4CD88FCC"/>
    <w:rsid w:val="4CD9CF12"/>
    <w:rsid w:val="4CD9FFF2"/>
    <w:rsid w:val="4CDB1234"/>
    <w:rsid w:val="4CDBB1BA"/>
    <w:rsid w:val="4CDEEF0F"/>
    <w:rsid w:val="4CE41EFB"/>
    <w:rsid w:val="4CE454DE"/>
    <w:rsid w:val="4CE5E60C"/>
    <w:rsid w:val="4CE860F3"/>
    <w:rsid w:val="4CEBA8F9"/>
    <w:rsid w:val="4CECD6FE"/>
    <w:rsid w:val="4CF0DB62"/>
    <w:rsid w:val="4CF2F4FF"/>
    <w:rsid w:val="4CF30E03"/>
    <w:rsid w:val="4CFB110B"/>
    <w:rsid w:val="4CFC6DAF"/>
    <w:rsid w:val="4CFD11FA"/>
    <w:rsid w:val="4CFD7EFB"/>
    <w:rsid w:val="4CFD98F7"/>
    <w:rsid w:val="4CFE599A"/>
    <w:rsid w:val="4CFF01D2"/>
    <w:rsid w:val="4D001604"/>
    <w:rsid w:val="4D009832"/>
    <w:rsid w:val="4D02939D"/>
    <w:rsid w:val="4D02D5BF"/>
    <w:rsid w:val="4D03B4A9"/>
    <w:rsid w:val="4D03BB49"/>
    <w:rsid w:val="4D03E182"/>
    <w:rsid w:val="4D0463FD"/>
    <w:rsid w:val="4D06571D"/>
    <w:rsid w:val="4D09030C"/>
    <w:rsid w:val="4D0CA393"/>
    <w:rsid w:val="4D0D16F5"/>
    <w:rsid w:val="4D18FDAB"/>
    <w:rsid w:val="4D20B3EA"/>
    <w:rsid w:val="4D230F3F"/>
    <w:rsid w:val="4D250BFD"/>
    <w:rsid w:val="4D2BD3F7"/>
    <w:rsid w:val="4D2E2007"/>
    <w:rsid w:val="4D2F2D78"/>
    <w:rsid w:val="4D326DA5"/>
    <w:rsid w:val="4D375355"/>
    <w:rsid w:val="4D398FDA"/>
    <w:rsid w:val="4D39B27F"/>
    <w:rsid w:val="4D39B40E"/>
    <w:rsid w:val="4D39C385"/>
    <w:rsid w:val="4D3A5C22"/>
    <w:rsid w:val="4D3C016B"/>
    <w:rsid w:val="4D3DC0E8"/>
    <w:rsid w:val="4D3E6803"/>
    <w:rsid w:val="4D3EF578"/>
    <w:rsid w:val="4D3F6B12"/>
    <w:rsid w:val="4D40075A"/>
    <w:rsid w:val="4D41DBCC"/>
    <w:rsid w:val="4D45B709"/>
    <w:rsid w:val="4D47A245"/>
    <w:rsid w:val="4D5236D0"/>
    <w:rsid w:val="4D52BBB7"/>
    <w:rsid w:val="4D531877"/>
    <w:rsid w:val="4D5539D8"/>
    <w:rsid w:val="4D5B663B"/>
    <w:rsid w:val="4D5C59E9"/>
    <w:rsid w:val="4D6042BC"/>
    <w:rsid w:val="4D651595"/>
    <w:rsid w:val="4D65C6B7"/>
    <w:rsid w:val="4D66F529"/>
    <w:rsid w:val="4D6C51EC"/>
    <w:rsid w:val="4D6D8600"/>
    <w:rsid w:val="4D6DFD16"/>
    <w:rsid w:val="4D6EBF7D"/>
    <w:rsid w:val="4D73F1B8"/>
    <w:rsid w:val="4D75E577"/>
    <w:rsid w:val="4D76FB37"/>
    <w:rsid w:val="4D77217C"/>
    <w:rsid w:val="4D7759EE"/>
    <w:rsid w:val="4D7799BA"/>
    <w:rsid w:val="4D7811CA"/>
    <w:rsid w:val="4D788D92"/>
    <w:rsid w:val="4D78DCE6"/>
    <w:rsid w:val="4D7A3D4C"/>
    <w:rsid w:val="4D7A64DB"/>
    <w:rsid w:val="4D7B2644"/>
    <w:rsid w:val="4D7CD832"/>
    <w:rsid w:val="4D7DFECB"/>
    <w:rsid w:val="4D7FFFAE"/>
    <w:rsid w:val="4D82C83C"/>
    <w:rsid w:val="4D8411EC"/>
    <w:rsid w:val="4D841819"/>
    <w:rsid w:val="4D872C09"/>
    <w:rsid w:val="4D89846E"/>
    <w:rsid w:val="4D8DDCE0"/>
    <w:rsid w:val="4D90F357"/>
    <w:rsid w:val="4D924A83"/>
    <w:rsid w:val="4D930744"/>
    <w:rsid w:val="4D9323C5"/>
    <w:rsid w:val="4D938517"/>
    <w:rsid w:val="4D93CC19"/>
    <w:rsid w:val="4D93EFB6"/>
    <w:rsid w:val="4D94B950"/>
    <w:rsid w:val="4D9BB7F5"/>
    <w:rsid w:val="4D9D7929"/>
    <w:rsid w:val="4DA07E2F"/>
    <w:rsid w:val="4DA0D40C"/>
    <w:rsid w:val="4DA17463"/>
    <w:rsid w:val="4DA1E26C"/>
    <w:rsid w:val="4DA21E6A"/>
    <w:rsid w:val="4DA25457"/>
    <w:rsid w:val="4DA582CD"/>
    <w:rsid w:val="4DA6BBB1"/>
    <w:rsid w:val="4DA9CFF2"/>
    <w:rsid w:val="4DAA301E"/>
    <w:rsid w:val="4DAB165E"/>
    <w:rsid w:val="4DABF48C"/>
    <w:rsid w:val="4DB57C93"/>
    <w:rsid w:val="4DB82CD6"/>
    <w:rsid w:val="4DB83425"/>
    <w:rsid w:val="4DB9B421"/>
    <w:rsid w:val="4DBB6593"/>
    <w:rsid w:val="4DBBDA1D"/>
    <w:rsid w:val="4DBCEC3A"/>
    <w:rsid w:val="4DC03DBA"/>
    <w:rsid w:val="4DC1D30F"/>
    <w:rsid w:val="4DCBA1BB"/>
    <w:rsid w:val="4DCD6437"/>
    <w:rsid w:val="4DCE0AFE"/>
    <w:rsid w:val="4DCEFB16"/>
    <w:rsid w:val="4DD01586"/>
    <w:rsid w:val="4DD3BAB6"/>
    <w:rsid w:val="4DD6CBFE"/>
    <w:rsid w:val="4DD7DB31"/>
    <w:rsid w:val="4DD9A94A"/>
    <w:rsid w:val="4DDBBA9A"/>
    <w:rsid w:val="4DDCAB0D"/>
    <w:rsid w:val="4DDD3A19"/>
    <w:rsid w:val="4DDE4511"/>
    <w:rsid w:val="4DE0F8B9"/>
    <w:rsid w:val="4DE612FC"/>
    <w:rsid w:val="4DE838E6"/>
    <w:rsid w:val="4DEA8490"/>
    <w:rsid w:val="4DF65845"/>
    <w:rsid w:val="4DF686A5"/>
    <w:rsid w:val="4DF89FB2"/>
    <w:rsid w:val="4DFAA7D1"/>
    <w:rsid w:val="4DFAFCE1"/>
    <w:rsid w:val="4DFBBA8A"/>
    <w:rsid w:val="4DFD6840"/>
    <w:rsid w:val="4DFFDD70"/>
    <w:rsid w:val="4E038CBF"/>
    <w:rsid w:val="4E045D62"/>
    <w:rsid w:val="4E05AF92"/>
    <w:rsid w:val="4E08EF71"/>
    <w:rsid w:val="4E09864B"/>
    <w:rsid w:val="4E0A9827"/>
    <w:rsid w:val="4E0C0EEB"/>
    <w:rsid w:val="4E0C35D6"/>
    <w:rsid w:val="4E0D7ADA"/>
    <w:rsid w:val="4E0E7636"/>
    <w:rsid w:val="4E16A131"/>
    <w:rsid w:val="4E171DB0"/>
    <w:rsid w:val="4E17E07B"/>
    <w:rsid w:val="4E184675"/>
    <w:rsid w:val="4E1893ED"/>
    <w:rsid w:val="4E189BC2"/>
    <w:rsid w:val="4E193D32"/>
    <w:rsid w:val="4E1F1A2C"/>
    <w:rsid w:val="4E230CCA"/>
    <w:rsid w:val="4E23CB1D"/>
    <w:rsid w:val="4E249947"/>
    <w:rsid w:val="4E24F089"/>
    <w:rsid w:val="4E2648A1"/>
    <w:rsid w:val="4E26C14F"/>
    <w:rsid w:val="4E274E03"/>
    <w:rsid w:val="4E28496E"/>
    <w:rsid w:val="4E2A4477"/>
    <w:rsid w:val="4E2B0C9A"/>
    <w:rsid w:val="4E2E987E"/>
    <w:rsid w:val="4E302553"/>
    <w:rsid w:val="4E304875"/>
    <w:rsid w:val="4E30C5C4"/>
    <w:rsid w:val="4E338F9B"/>
    <w:rsid w:val="4E349771"/>
    <w:rsid w:val="4E378BC4"/>
    <w:rsid w:val="4E3975B0"/>
    <w:rsid w:val="4E3B869A"/>
    <w:rsid w:val="4E3BB3F5"/>
    <w:rsid w:val="4E3F6CD2"/>
    <w:rsid w:val="4E3FC2F6"/>
    <w:rsid w:val="4E40A890"/>
    <w:rsid w:val="4E4376F3"/>
    <w:rsid w:val="4E466B30"/>
    <w:rsid w:val="4E4DE794"/>
    <w:rsid w:val="4E500522"/>
    <w:rsid w:val="4E50ED14"/>
    <w:rsid w:val="4E521756"/>
    <w:rsid w:val="4E54EEF5"/>
    <w:rsid w:val="4E558E00"/>
    <w:rsid w:val="4E56C136"/>
    <w:rsid w:val="4E5768E3"/>
    <w:rsid w:val="4E58495D"/>
    <w:rsid w:val="4E58716B"/>
    <w:rsid w:val="4E64F819"/>
    <w:rsid w:val="4E65D0B0"/>
    <w:rsid w:val="4E6A2A9F"/>
    <w:rsid w:val="4E6A516B"/>
    <w:rsid w:val="4E6F1FF8"/>
    <w:rsid w:val="4E6FACDB"/>
    <w:rsid w:val="4E7026F5"/>
    <w:rsid w:val="4E73304B"/>
    <w:rsid w:val="4E78E6B4"/>
    <w:rsid w:val="4E78ED0C"/>
    <w:rsid w:val="4E79E70E"/>
    <w:rsid w:val="4E7C1FD9"/>
    <w:rsid w:val="4E7D6DD6"/>
    <w:rsid w:val="4E822715"/>
    <w:rsid w:val="4E85B67E"/>
    <w:rsid w:val="4E865C3C"/>
    <w:rsid w:val="4E86C3D4"/>
    <w:rsid w:val="4E87989F"/>
    <w:rsid w:val="4E87C045"/>
    <w:rsid w:val="4E896D0C"/>
    <w:rsid w:val="4E8B4CE6"/>
    <w:rsid w:val="4E8C2C29"/>
    <w:rsid w:val="4E8CC3AA"/>
    <w:rsid w:val="4E8FF91A"/>
    <w:rsid w:val="4E90FBFD"/>
    <w:rsid w:val="4E93E39A"/>
    <w:rsid w:val="4E95B17F"/>
    <w:rsid w:val="4E9693CF"/>
    <w:rsid w:val="4E98B105"/>
    <w:rsid w:val="4E9DB4FE"/>
    <w:rsid w:val="4EA218F2"/>
    <w:rsid w:val="4EA320E1"/>
    <w:rsid w:val="4EA33069"/>
    <w:rsid w:val="4EA5DEC3"/>
    <w:rsid w:val="4EAAF0C6"/>
    <w:rsid w:val="4EAFF04B"/>
    <w:rsid w:val="4EB1B2BF"/>
    <w:rsid w:val="4EB3A2B5"/>
    <w:rsid w:val="4EB71A73"/>
    <w:rsid w:val="4EB8A580"/>
    <w:rsid w:val="4EBA1A9B"/>
    <w:rsid w:val="4EC2C6B5"/>
    <w:rsid w:val="4EC71744"/>
    <w:rsid w:val="4EC75772"/>
    <w:rsid w:val="4ECCBB18"/>
    <w:rsid w:val="4ECDCABB"/>
    <w:rsid w:val="4ECE3E06"/>
    <w:rsid w:val="4ED03CAC"/>
    <w:rsid w:val="4ED7B7F8"/>
    <w:rsid w:val="4ED85A61"/>
    <w:rsid w:val="4EDA7310"/>
    <w:rsid w:val="4EDAC548"/>
    <w:rsid w:val="4EDBC98C"/>
    <w:rsid w:val="4EDC3EAB"/>
    <w:rsid w:val="4EDC7C0F"/>
    <w:rsid w:val="4EDC9C3C"/>
    <w:rsid w:val="4EDE3D73"/>
    <w:rsid w:val="4EE0FD73"/>
    <w:rsid w:val="4EE14469"/>
    <w:rsid w:val="4EE1F85E"/>
    <w:rsid w:val="4EE2FDC6"/>
    <w:rsid w:val="4EE3BEDB"/>
    <w:rsid w:val="4EE44822"/>
    <w:rsid w:val="4EE47344"/>
    <w:rsid w:val="4EE6AB32"/>
    <w:rsid w:val="4EEA94B8"/>
    <w:rsid w:val="4EEDD7DC"/>
    <w:rsid w:val="4EEEA42B"/>
    <w:rsid w:val="4EEF847B"/>
    <w:rsid w:val="4EEF8BFE"/>
    <w:rsid w:val="4EF1E98D"/>
    <w:rsid w:val="4EF23F46"/>
    <w:rsid w:val="4EF59E81"/>
    <w:rsid w:val="4EF8719D"/>
    <w:rsid w:val="4EFB300B"/>
    <w:rsid w:val="4EFB858D"/>
    <w:rsid w:val="4EFB9FBC"/>
    <w:rsid w:val="4EFC2D14"/>
    <w:rsid w:val="4EFF4B2C"/>
    <w:rsid w:val="4F06F74A"/>
    <w:rsid w:val="4F07A5C4"/>
    <w:rsid w:val="4F089BDC"/>
    <w:rsid w:val="4F08E787"/>
    <w:rsid w:val="4F0ED8B3"/>
    <w:rsid w:val="4F11DE64"/>
    <w:rsid w:val="4F12D0B4"/>
    <w:rsid w:val="4F136050"/>
    <w:rsid w:val="4F1CA124"/>
    <w:rsid w:val="4F1D6C54"/>
    <w:rsid w:val="4F20B201"/>
    <w:rsid w:val="4F26C2AE"/>
    <w:rsid w:val="4F289F22"/>
    <w:rsid w:val="4F2BD5D2"/>
    <w:rsid w:val="4F31AC27"/>
    <w:rsid w:val="4F3220C6"/>
    <w:rsid w:val="4F324A8B"/>
    <w:rsid w:val="4F326C55"/>
    <w:rsid w:val="4F36EBEB"/>
    <w:rsid w:val="4F394A51"/>
    <w:rsid w:val="4F3953E6"/>
    <w:rsid w:val="4F3D4A5B"/>
    <w:rsid w:val="4F3D800A"/>
    <w:rsid w:val="4F3D925A"/>
    <w:rsid w:val="4F3E2ACF"/>
    <w:rsid w:val="4F3EB376"/>
    <w:rsid w:val="4F41C871"/>
    <w:rsid w:val="4F43E20F"/>
    <w:rsid w:val="4F45A053"/>
    <w:rsid w:val="4F46EE00"/>
    <w:rsid w:val="4F4854CC"/>
    <w:rsid w:val="4F4C2E92"/>
    <w:rsid w:val="4F4D2CE9"/>
    <w:rsid w:val="4F502B07"/>
    <w:rsid w:val="4F5063EB"/>
    <w:rsid w:val="4F52463A"/>
    <w:rsid w:val="4F57AA7E"/>
    <w:rsid w:val="4F586AD5"/>
    <w:rsid w:val="4F59413C"/>
    <w:rsid w:val="4F5AF47B"/>
    <w:rsid w:val="4F6083B1"/>
    <w:rsid w:val="4F60EC43"/>
    <w:rsid w:val="4F643C4B"/>
    <w:rsid w:val="4F658510"/>
    <w:rsid w:val="4F67D0EC"/>
    <w:rsid w:val="4F6AF801"/>
    <w:rsid w:val="4F6BEDD4"/>
    <w:rsid w:val="4F6E078B"/>
    <w:rsid w:val="4F6F62D7"/>
    <w:rsid w:val="4F708329"/>
    <w:rsid w:val="4F73A57A"/>
    <w:rsid w:val="4F7511DF"/>
    <w:rsid w:val="4F761FD5"/>
    <w:rsid w:val="4F793833"/>
    <w:rsid w:val="4F7C0D5C"/>
    <w:rsid w:val="4F7D0627"/>
    <w:rsid w:val="4F7FE016"/>
    <w:rsid w:val="4F82EFEE"/>
    <w:rsid w:val="4F869420"/>
    <w:rsid w:val="4F885CDF"/>
    <w:rsid w:val="4F8A3BF2"/>
    <w:rsid w:val="4F8CC323"/>
    <w:rsid w:val="4F8CD5E0"/>
    <w:rsid w:val="4F8ED8BF"/>
    <w:rsid w:val="4F8F036A"/>
    <w:rsid w:val="4F913C81"/>
    <w:rsid w:val="4F919DD3"/>
    <w:rsid w:val="4F94E34D"/>
    <w:rsid w:val="4F963EB4"/>
    <w:rsid w:val="4F96CA51"/>
    <w:rsid w:val="4F974809"/>
    <w:rsid w:val="4F993A7D"/>
    <w:rsid w:val="4F9C16DE"/>
    <w:rsid w:val="4F9F639B"/>
    <w:rsid w:val="4FA0BF87"/>
    <w:rsid w:val="4FA24676"/>
    <w:rsid w:val="4FA3F82F"/>
    <w:rsid w:val="4FA40F8F"/>
    <w:rsid w:val="4FA524E3"/>
    <w:rsid w:val="4FA93985"/>
    <w:rsid w:val="4FA9B9DC"/>
    <w:rsid w:val="4FAAD054"/>
    <w:rsid w:val="4FAAF91C"/>
    <w:rsid w:val="4FAB3BB8"/>
    <w:rsid w:val="4FABA8C1"/>
    <w:rsid w:val="4FB18780"/>
    <w:rsid w:val="4FB24F2F"/>
    <w:rsid w:val="4FB34A11"/>
    <w:rsid w:val="4FB3C254"/>
    <w:rsid w:val="4FBD223D"/>
    <w:rsid w:val="4FBD249C"/>
    <w:rsid w:val="4FBF98F4"/>
    <w:rsid w:val="4FC5C374"/>
    <w:rsid w:val="4FC6C31A"/>
    <w:rsid w:val="4FC6DF6C"/>
    <w:rsid w:val="4FC7A666"/>
    <w:rsid w:val="4FC7E04F"/>
    <w:rsid w:val="4FC87B30"/>
    <w:rsid w:val="4FC933FD"/>
    <w:rsid w:val="4FCAABB3"/>
    <w:rsid w:val="4FCBB835"/>
    <w:rsid w:val="4FCF800E"/>
    <w:rsid w:val="4FCFD962"/>
    <w:rsid w:val="4FD07345"/>
    <w:rsid w:val="4FD169BC"/>
    <w:rsid w:val="4FD40500"/>
    <w:rsid w:val="4FD417E5"/>
    <w:rsid w:val="4FD4E982"/>
    <w:rsid w:val="4FD54C58"/>
    <w:rsid w:val="4FD5BCCD"/>
    <w:rsid w:val="4FD5CC91"/>
    <w:rsid w:val="4FDBF26E"/>
    <w:rsid w:val="4FDE008F"/>
    <w:rsid w:val="4FE051B9"/>
    <w:rsid w:val="4FE36060"/>
    <w:rsid w:val="4FE61AFD"/>
    <w:rsid w:val="4FE77899"/>
    <w:rsid w:val="4FE83795"/>
    <w:rsid w:val="4FE87D80"/>
    <w:rsid w:val="4FE8CC93"/>
    <w:rsid w:val="4FEA90A5"/>
    <w:rsid w:val="4FEBA143"/>
    <w:rsid w:val="4FECEE1A"/>
    <w:rsid w:val="4FED12DF"/>
    <w:rsid w:val="4FEE6AB3"/>
    <w:rsid w:val="4FF46323"/>
    <w:rsid w:val="4FF7CD33"/>
    <w:rsid w:val="4FFA33FE"/>
    <w:rsid w:val="4FFBFC1D"/>
    <w:rsid w:val="4FFD5251"/>
    <w:rsid w:val="4FFE89AC"/>
    <w:rsid w:val="500005BA"/>
    <w:rsid w:val="500102EE"/>
    <w:rsid w:val="5004C010"/>
    <w:rsid w:val="5008A108"/>
    <w:rsid w:val="500A6FA2"/>
    <w:rsid w:val="500D3677"/>
    <w:rsid w:val="500DB330"/>
    <w:rsid w:val="500EB6A8"/>
    <w:rsid w:val="500EC154"/>
    <w:rsid w:val="500F3D04"/>
    <w:rsid w:val="50113C7F"/>
    <w:rsid w:val="5012C25B"/>
    <w:rsid w:val="5012F66E"/>
    <w:rsid w:val="50162070"/>
    <w:rsid w:val="5016F24C"/>
    <w:rsid w:val="501764B5"/>
    <w:rsid w:val="50195818"/>
    <w:rsid w:val="5019BC8A"/>
    <w:rsid w:val="501B87D0"/>
    <w:rsid w:val="501E9CC8"/>
    <w:rsid w:val="502448AE"/>
    <w:rsid w:val="5024E98A"/>
    <w:rsid w:val="5027922B"/>
    <w:rsid w:val="502A021D"/>
    <w:rsid w:val="502A4ACF"/>
    <w:rsid w:val="502A4CCA"/>
    <w:rsid w:val="502E7F16"/>
    <w:rsid w:val="502E90FA"/>
    <w:rsid w:val="50315FC2"/>
    <w:rsid w:val="50320DF7"/>
    <w:rsid w:val="5032D8DD"/>
    <w:rsid w:val="5035D476"/>
    <w:rsid w:val="5039CB4F"/>
    <w:rsid w:val="503A0170"/>
    <w:rsid w:val="503A97E3"/>
    <w:rsid w:val="503BD361"/>
    <w:rsid w:val="503C86DF"/>
    <w:rsid w:val="503DC6D9"/>
    <w:rsid w:val="5042C074"/>
    <w:rsid w:val="50438D71"/>
    <w:rsid w:val="50444E68"/>
    <w:rsid w:val="5045E0F5"/>
    <w:rsid w:val="50477274"/>
    <w:rsid w:val="50483100"/>
    <w:rsid w:val="504C3F2E"/>
    <w:rsid w:val="504CB079"/>
    <w:rsid w:val="504DC401"/>
    <w:rsid w:val="50510315"/>
    <w:rsid w:val="5054752E"/>
    <w:rsid w:val="50598BE2"/>
    <w:rsid w:val="505B1157"/>
    <w:rsid w:val="505C460B"/>
    <w:rsid w:val="505DEF84"/>
    <w:rsid w:val="505E43D6"/>
    <w:rsid w:val="506109EE"/>
    <w:rsid w:val="5065A57D"/>
    <w:rsid w:val="50686D5E"/>
    <w:rsid w:val="50696468"/>
    <w:rsid w:val="506C02EA"/>
    <w:rsid w:val="506C7182"/>
    <w:rsid w:val="506EB32E"/>
    <w:rsid w:val="506F2B48"/>
    <w:rsid w:val="50709EF5"/>
    <w:rsid w:val="5077DEB5"/>
    <w:rsid w:val="507A36F2"/>
    <w:rsid w:val="507C9EEB"/>
    <w:rsid w:val="507EDBC0"/>
    <w:rsid w:val="507F8F3C"/>
    <w:rsid w:val="5080D083"/>
    <w:rsid w:val="50833CDE"/>
    <w:rsid w:val="50841E92"/>
    <w:rsid w:val="508725A5"/>
    <w:rsid w:val="5089A05B"/>
    <w:rsid w:val="508BAAE4"/>
    <w:rsid w:val="508BE72F"/>
    <w:rsid w:val="508E5AA7"/>
    <w:rsid w:val="508E9EF6"/>
    <w:rsid w:val="5090BA01"/>
    <w:rsid w:val="50910C09"/>
    <w:rsid w:val="5094C677"/>
    <w:rsid w:val="5094DBD1"/>
    <w:rsid w:val="509572B0"/>
    <w:rsid w:val="5095B712"/>
    <w:rsid w:val="509861AC"/>
    <w:rsid w:val="50996179"/>
    <w:rsid w:val="509C241D"/>
    <w:rsid w:val="509CD93E"/>
    <w:rsid w:val="50A05EE7"/>
    <w:rsid w:val="50A50F3E"/>
    <w:rsid w:val="50A69EC3"/>
    <w:rsid w:val="50A6BDB3"/>
    <w:rsid w:val="50AACD37"/>
    <w:rsid w:val="50AD563F"/>
    <w:rsid w:val="50AED4E3"/>
    <w:rsid w:val="50B6400C"/>
    <w:rsid w:val="50C2296C"/>
    <w:rsid w:val="50C537A3"/>
    <w:rsid w:val="50C9345B"/>
    <w:rsid w:val="50CA65DD"/>
    <w:rsid w:val="50CC117A"/>
    <w:rsid w:val="50CCD6CE"/>
    <w:rsid w:val="50CD21F7"/>
    <w:rsid w:val="50CF207A"/>
    <w:rsid w:val="50CFB4F9"/>
    <w:rsid w:val="50D2674A"/>
    <w:rsid w:val="50D42AB6"/>
    <w:rsid w:val="50D44B0A"/>
    <w:rsid w:val="50D5C770"/>
    <w:rsid w:val="50D61A37"/>
    <w:rsid w:val="50D66C87"/>
    <w:rsid w:val="50D72172"/>
    <w:rsid w:val="50D9538E"/>
    <w:rsid w:val="50DAF59B"/>
    <w:rsid w:val="50DB44AB"/>
    <w:rsid w:val="50DD755A"/>
    <w:rsid w:val="50DDDD15"/>
    <w:rsid w:val="50DF7703"/>
    <w:rsid w:val="50E1731E"/>
    <w:rsid w:val="50E256F6"/>
    <w:rsid w:val="50E4C736"/>
    <w:rsid w:val="50E75CB2"/>
    <w:rsid w:val="50E960E0"/>
    <w:rsid w:val="50ED16DF"/>
    <w:rsid w:val="50ED63EE"/>
    <w:rsid w:val="50EE9C59"/>
    <w:rsid w:val="50EED3C2"/>
    <w:rsid w:val="50F3D1C5"/>
    <w:rsid w:val="50F69002"/>
    <w:rsid w:val="50F8FE32"/>
    <w:rsid w:val="50FA49B4"/>
    <w:rsid w:val="50FBD3B2"/>
    <w:rsid w:val="50FC2652"/>
    <w:rsid w:val="50FD771D"/>
    <w:rsid w:val="50FF3A47"/>
    <w:rsid w:val="5107AC82"/>
    <w:rsid w:val="5107AE01"/>
    <w:rsid w:val="5109AE62"/>
    <w:rsid w:val="510A2BE2"/>
    <w:rsid w:val="510DF3F8"/>
    <w:rsid w:val="51105137"/>
    <w:rsid w:val="5110F47C"/>
    <w:rsid w:val="5111C7F8"/>
    <w:rsid w:val="51135E3B"/>
    <w:rsid w:val="511548A4"/>
    <w:rsid w:val="5116B4AA"/>
    <w:rsid w:val="51181C85"/>
    <w:rsid w:val="511A6460"/>
    <w:rsid w:val="511CF671"/>
    <w:rsid w:val="51251BF5"/>
    <w:rsid w:val="512A4840"/>
    <w:rsid w:val="512AFFDE"/>
    <w:rsid w:val="512E2A63"/>
    <w:rsid w:val="512E899D"/>
    <w:rsid w:val="512F83CD"/>
    <w:rsid w:val="51325A75"/>
    <w:rsid w:val="513463BB"/>
    <w:rsid w:val="5138147F"/>
    <w:rsid w:val="513E86B9"/>
    <w:rsid w:val="5142AC4C"/>
    <w:rsid w:val="514330EC"/>
    <w:rsid w:val="5147BB70"/>
    <w:rsid w:val="5147EC8E"/>
    <w:rsid w:val="514800CA"/>
    <w:rsid w:val="5149C49A"/>
    <w:rsid w:val="514DA801"/>
    <w:rsid w:val="514DF313"/>
    <w:rsid w:val="514E0211"/>
    <w:rsid w:val="514E74C4"/>
    <w:rsid w:val="514FB561"/>
    <w:rsid w:val="514FE737"/>
    <w:rsid w:val="5154E279"/>
    <w:rsid w:val="515B3040"/>
    <w:rsid w:val="515E9136"/>
    <w:rsid w:val="51611E70"/>
    <w:rsid w:val="5161A98F"/>
    <w:rsid w:val="5164478F"/>
    <w:rsid w:val="5166716B"/>
    <w:rsid w:val="5166FE9D"/>
    <w:rsid w:val="516710CB"/>
    <w:rsid w:val="51674C5E"/>
    <w:rsid w:val="5169676B"/>
    <w:rsid w:val="516B5CA9"/>
    <w:rsid w:val="516BD227"/>
    <w:rsid w:val="516E5D22"/>
    <w:rsid w:val="5170D8B5"/>
    <w:rsid w:val="51726BED"/>
    <w:rsid w:val="51749EBE"/>
    <w:rsid w:val="51761B90"/>
    <w:rsid w:val="5177A6E2"/>
    <w:rsid w:val="51781722"/>
    <w:rsid w:val="51788F50"/>
    <w:rsid w:val="517ACCC4"/>
    <w:rsid w:val="517D5A0E"/>
    <w:rsid w:val="5181EB5E"/>
    <w:rsid w:val="518392E5"/>
    <w:rsid w:val="5183CBC1"/>
    <w:rsid w:val="518407F6"/>
    <w:rsid w:val="5184BA98"/>
    <w:rsid w:val="5189A230"/>
    <w:rsid w:val="518A505D"/>
    <w:rsid w:val="518A776A"/>
    <w:rsid w:val="518BB1D8"/>
    <w:rsid w:val="518E83B6"/>
    <w:rsid w:val="518FE25C"/>
    <w:rsid w:val="519348AD"/>
    <w:rsid w:val="51964184"/>
    <w:rsid w:val="51966FCD"/>
    <w:rsid w:val="5198BC69"/>
    <w:rsid w:val="519C98DB"/>
    <w:rsid w:val="519F1685"/>
    <w:rsid w:val="519FB58E"/>
    <w:rsid w:val="51A0FC48"/>
    <w:rsid w:val="51A25833"/>
    <w:rsid w:val="51A3CB8E"/>
    <w:rsid w:val="51A47169"/>
    <w:rsid w:val="51A49342"/>
    <w:rsid w:val="51A8948F"/>
    <w:rsid w:val="51AB5DF0"/>
    <w:rsid w:val="51AD9FD7"/>
    <w:rsid w:val="51ADB334"/>
    <w:rsid w:val="51AE3E6F"/>
    <w:rsid w:val="51B5A16B"/>
    <w:rsid w:val="51B95846"/>
    <w:rsid w:val="51BAB664"/>
    <w:rsid w:val="51BB7F10"/>
    <w:rsid w:val="51BBA36C"/>
    <w:rsid w:val="51C14AC1"/>
    <w:rsid w:val="51C53DCA"/>
    <w:rsid w:val="51C5F002"/>
    <w:rsid w:val="51C65406"/>
    <w:rsid w:val="51CCF046"/>
    <w:rsid w:val="51CD46F2"/>
    <w:rsid w:val="51CEE0CE"/>
    <w:rsid w:val="51CF505E"/>
    <w:rsid w:val="51D3302A"/>
    <w:rsid w:val="51D40F6C"/>
    <w:rsid w:val="51D4E0E7"/>
    <w:rsid w:val="51D533A1"/>
    <w:rsid w:val="51D623F6"/>
    <w:rsid w:val="51D7950A"/>
    <w:rsid w:val="51D834C1"/>
    <w:rsid w:val="51DA375D"/>
    <w:rsid w:val="51DC10A9"/>
    <w:rsid w:val="51DCC69B"/>
    <w:rsid w:val="51DDE80E"/>
    <w:rsid w:val="51DE418F"/>
    <w:rsid w:val="51DE5C42"/>
    <w:rsid w:val="51E59E50"/>
    <w:rsid w:val="51E7A204"/>
    <w:rsid w:val="51E97DA7"/>
    <w:rsid w:val="51EA4EC1"/>
    <w:rsid w:val="51ECF5A3"/>
    <w:rsid w:val="51F264A3"/>
    <w:rsid w:val="51F3D8F1"/>
    <w:rsid w:val="51F4688A"/>
    <w:rsid w:val="51F48D9F"/>
    <w:rsid w:val="51F571DF"/>
    <w:rsid w:val="51F6CB36"/>
    <w:rsid w:val="51F74561"/>
    <w:rsid w:val="51F9C63A"/>
    <w:rsid w:val="51FA1437"/>
    <w:rsid w:val="51FA7F6D"/>
    <w:rsid w:val="51FB7FED"/>
    <w:rsid w:val="51FBD72F"/>
    <w:rsid w:val="51FE7AA6"/>
    <w:rsid w:val="51FF4B52"/>
    <w:rsid w:val="51FF93B2"/>
    <w:rsid w:val="52004694"/>
    <w:rsid w:val="52004F62"/>
    <w:rsid w:val="5200EEAC"/>
    <w:rsid w:val="5200F9E3"/>
    <w:rsid w:val="520461E2"/>
    <w:rsid w:val="520AFBA9"/>
    <w:rsid w:val="520AFFF9"/>
    <w:rsid w:val="520B4747"/>
    <w:rsid w:val="520B8767"/>
    <w:rsid w:val="520BF64E"/>
    <w:rsid w:val="520FFB23"/>
    <w:rsid w:val="521323E4"/>
    <w:rsid w:val="52141896"/>
    <w:rsid w:val="52185FF0"/>
    <w:rsid w:val="521BD567"/>
    <w:rsid w:val="521D5B11"/>
    <w:rsid w:val="521EAC3A"/>
    <w:rsid w:val="52224C6A"/>
    <w:rsid w:val="52235F8B"/>
    <w:rsid w:val="5224DC21"/>
    <w:rsid w:val="52255823"/>
    <w:rsid w:val="5225739C"/>
    <w:rsid w:val="52298628"/>
    <w:rsid w:val="522998C8"/>
    <w:rsid w:val="522CD28F"/>
    <w:rsid w:val="522D31EC"/>
    <w:rsid w:val="522D7845"/>
    <w:rsid w:val="522E9700"/>
    <w:rsid w:val="522F286B"/>
    <w:rsid w:val="522F7E58"/>
    <w:rsid w:val="5231292A"/>
    <w:rsid w:val="5231903A"/>
    <w:rsid w:val="52347A64"/>
    <w:rsid w:val="523563B5"/>
    <w:rsid w:val="5235F8FE"/>
    <w:rsid w:val="52362C1F"/>
    <w:rsid w:val="523668F6"/>
    <w:rsid w:val="5236C529"/>
    <w:rsid w:val="523B7FC9"/>
    <w:rsid w:val="523E330D"/>
    <w:rsid w:val="5244F38F"/>
    <w:rsid w:val="5245BAC4"/>
    <w:rsid w:val="524663B4"/>
    <w:rsid w:val="524B3B6D"/>
    <w:rsid w:val="524C3D3A"/>
    <w:rsid w:val="524D6349"/>
    <w:rsid w:val="524FF6CD"/>
    <w:rsid w:val="52554737"/>
    <w:rsid w:val="52560441"/>
    <w:rsid w:val="5256A0AA"/>
    <w:rsid w:val="5256E79D"/>
    <w:rsid w:val="525D99C5"/>
    <w:rsid w:val="525FAEA3"/>
    <w:rsid w:val="52612444"/>
    <w:rsid w:val="5262011B"/>
    <w:rsid w:val="5266FBA5"/>
    <w:rsid w:val="52681247"/>
    <w:rsid w:val="5268A3FB"/>
    <w:rsid w:val="52693312"/>
    <w:rsid w:val="526F18AA"/>
    <w:rsid w:val="5271E272"/>
    <w:rsid w:val="5273F81C"/>
    <w:rsid w:val="5276232B"/>
    <w:rsid w:val="52773C21"/>
    <w:rsid w:val="527A0474"/>
    <w:rsid w:val="527AFC1B"/>
    <w:rsid w:val="527BB53E"/>
    <w:rsid w:val="527D9897"/>
    <w:rsid w:val="527E627A"/>
    <w:rsid w:val="527F886B"/>
    <w:rsid w:val="52885EAF"/>
    <w:rsid w:val="5293D935"/>
    <w:rsid w:val="529487ED"/>
    <w:rsid w:val="5294ADE3"/>
    <w:rsid w:val="5297F6B3"/>
    <w:rsid w:val="529840D2"/>
    <w:rsid w:val="529AE358"/>
    <w:rsid w:val="529BA6D1"/>
    <w:rsid w:val="529C3B94"/>
    <w:rsid w:val="529E0D76"/>
    <w:rsid w:val="529FE203"/>
    <w:rsid w:val="52A1116D"/>
    <w:rsid w:val="52A191B9"/>
    <w:rsid w:val="52A4EAC7"/>
    <w:rsid w:val="52A55FC0"/>
    <w:rsid w:val="52A9B85F"/>
    <w:rsid w:val="52A9F3C5"/>
    <w:rsid w:val="52ABB581"/>
    <w:rsid w:val="52AC4AD4"/>
    <w:rsid w:val="52ACE44A"/>
    <w:rsid w:val="52AD6469"/>
    <w:rsid w:val="52ADE2DB"/>
    <w:rsid w:val="52B07356"/>
    <w:rsid w:val="52B1F4D8"/>
    <w:rsid w:val="52B35527"/>
    <w:rsid w:val="52B4BBC8"/>
    <w:rsid w:val="52B5767D"/>
    <w:rsid w:val="52B62F1C"/>
    <w:rsid w:val="52C08E97"/>
    <w:rsid w:val="52C0F643"/>
    <w:rsid w:val="52C155A7"/>
    <w:rsid w:val="52C3A47A"/>
    <w:rsid w:val="52CE6B21"/>
    <w:rsid w:val="52CFC3E2"/>
    <w:rsid w:val="52D0EB36"/>
    <w:rsid w:val="52D29FDC"/>
    <w:rsid w:val="52D3D5AA"/>
    <w:rsid w:val="52D97CC4"/>
    <w:rsid w:val="52DBDE82"/>
    <w:rsid w:val="52E2D14C"/>
    <w:rsid w:val="52E3965E"/>
    <w:rsid w:val="52E8739F"/>
    <w:rsid w:val="52EBBE31"/>
    <w:rsid w:val="52ED7E7E"/>
    <w:rsid w:val="52EE1860"/>
    <w:rsid w:val="52EF8DCC"/>
    <w:rsid w:val="52EF97AC"/>
    <w:rsid w:val="52F023FA"/>
    <w:rsid w:val="52F11568"/>
    <w:rsid w:val="52F2CF08"/>
    <w:rsid w:val="52F3A305"/>
    <w:rsid w:val="52F3F1D8"/>
    <w:rsid w:val="52F51953"/>
    <w:rsid w:val="52F73410"/>
    <w:rsid w:val="52F8324A"/>
    <w:rsid w:val="52F8E35F"/>
    <w:rsid w:val="52F90ACA"/>
    <w:rsid w:val="52FA690C"/>
    <w:rsid w:val="52FC893F"/>
    <w:rsid w:val="52FD3355"/>
    <w:rsid w:val="52FE3769"/>
    <w:rsid w:val="5300619B"/>
    <w:rsid w:val="530454F8"/>
    <w:rsid w:val="5306A34F"/>
    <w:rsid w:val="5307CC18"/>
    <w:rsid w:val="5308D841"/>
    <w:rsid w:val="53098332"/>
    <w:rsid w:val="53099AD6"/>
    <w:rsid w:val="530B7BAA"/>
    <w:rsid w:val="530CF0A5"/>
    <w:rsid w:val="530DA445"/>
    <w:rsid w:val="530E249D"/>
    <w:rsid w:val="53101E26"/>
    <w:rsid w:val="53106F1F"/>
    <w:rsid w:val="53114E03"/>
    <w:rsid w:val="53134D11"/>
    <w:rsid w:val="531A68BD"/>
    <w:rsid w:val="531AC832"/>
    <w:rsid w:val="531D7BD5"/>
    <w:rsid w:val="531FB9EA"/>
    <w:rsid w:val="53202AB8"/>
    <w:rsid w:val="5320CBC3"/>
    <w:rsid w:val="53217AB0"/>
    <w:rsid w:val="53219689"/>
    <w:rsid w:val="5325ABBB"/>
    <w:rsid w:val="532C84B3"/>
    <w:rsid w:val="532DBF2D"/>
    <w:rsid w:val="533221E9"/>
    <w:rsid w:val="5336C33F"/>
    <w:rsid w:val="5338CC67"/>
    <w:rsid w:val="5339C6DE"/>
    <w:rsid w:val="533A5726"/>
    <w:rsid w:val="533D24FC"/>
    <w:rsid w:val="533E6BEB"/>
    <w:rsid w:val="533FAC4B"/>
    <w:rsid w:val="53432019"/>
    <w:rsid w:val="53459D42"/>
    <w:rsid w:val="5345F93F"/>
    <w:rsid w:val="5346C880"/>
    <w:rsid w:val="53488D4B"/>
    <w:rsid w:val="534B2A7F"/>
    <w:rsid w:val="534B7CD1"/>
    <w:rsid w:val="534B83A0"/>
    <w:rsid w:val="534BA8D8"/>
    <w:rsid w:val="534DD455"/>
    <w:rsid w:val="5350385F"/>
    <w:rsid w:val="53504D34"/>
    <w:rsid w:val="53511196"/>
    <w:rsid w:val="5352DE4F"/>
    <w:rsid w:val="53534634"/>
    <w:rsid w:val="53556A1E"/>
    <w:rsid w:val="535F36BA"/>
    <w:rsid w:val="536293AA"/>
    <w:rsid w:val="536507F1"/>
    <w:rsid w:val="5366AE73"/>
    <w:rsid w:val="5367887F"/>
    <w:rsid w:val="5367CE1F"/>
    <w:rsid w:val="5369C19C"/>
    <w:rsid w:val="5369D855"/>
    <w:rsid w:val="536B1B15"/>
    <w:rsid w:val="536BF5A0"/>
    <w:rsid w:val="536DE65E"/>
    <w:rsid w:val="536E88DD"/>
    <w:rsid w:val="536F78E0"/>
    <w:rsid w:val="5370A753"/>
    <w:rsid w:val="5373E34D"/>
    <w:rsid w:val="5377D915"/>
    <w:rsid w:val="5379B0F5"/>
    <w:rsid w:val="537B8EAD"/>
    <w:rsid w:val="537C7265"/>
    <w:rsid w:val="53809D28"/>
    <w:rsid w:val="53824672"/>
    <w:rsid w:val="5382F931"/>
    <w:rsid w:val="5383C0E7"/>
    <w:rsid w:val="5384EF6D"/>
    <w:rsid w:val="53853F3D"/>
    <w:rsid w:val="5386F8D6"/>
    <w:rsid w:val="538A10A3"/>
    <w:rsid w:val="538A2314"/>
    <w:rsid w:val="538B6718"/>
    <w:rsid w:val="538B7AC1"/>
    <w:rsid w:val="538BB421"/>
    <w:rsid w:val="538CB561"/>
    <w:rsid w:val="53909CFD"/>
    <w:rsid w:val="5390E0AC"/>
    <w:rsid w:val="5392A327"/>
    <w:rsid w:val="53935524"/>
    <w:rsid w:val="539A49AF"/>
    <w:rsid w:val="539D27C5"/>
    <w:rsid w:val="539E3880"/>
    <w:rsid w:val="53A1A224"/>
    <w:rsid w:val="53A3E170"/>
    <w:rsid w:val="53A88319"/>
    <w:rsid w:val="53AC833B"/>
    <w:rsid w:val="53AC9850"/>
    <w:rsid w:val="53AE366B"/>
    <w:rsid w:val="53AED912"/>
    <w:rsid w:val="53B1707B"/>
    <w:rsid w:val="53B296EE"/>
    <w:rsid w:val="53B4F399"/>
    <w:rsid w:val="53B6B84F"/>
    <w:rsid w:val="53B86970"/>
    <w:rsid w:val="53B96BCD"/>
    <w:rsid w:val="53BA3B92"/>
    <w:rsid w:val="53BA55F4"/>
    <w:rsid w:val="53BBAAEB"/>
    <w:rsid w:val="53BD49CD"/>
    <w:rsid w:val="53C06224"/>
    <w:rsid w:val="53C66A82"/>
    <w:rsid w:val="53C7A39F"/>
    <w:rsid w:val="53CA5BBD"/>
    <w:rsid w:val="53CD4FAB"/>
    <w:rsid w:val="53CF2778"/>
    <w:rsid w:val="53D0D447"/>
    <w:rsid w:val="53D1001D"/>
    <w:rsid w:val="53D153EC"/>
    <w:rsid w:val="53D4B44E"/>
    <w:rsid w:val="53D74D06"/>
    <w:rsid w:val="53DF5597"/>
    <w:rsid w:val="53E55CC4"/>
    <w:rsid w:val="53EE0865"/>
    <w:rsid w:val="53EFDDAB"/>
    <w:rsid w:val="53F1F055"/>
    <w:rsid w:val="53F29C79"/>
    <w:rsid w:val="53F2DA96"/>
    <w:rsid w:val="53F2DCAC"/>
    <w:rsid w:val="53F32984"/>
    <w:rsid w:val="53F37831"/>
    <w:rsid w:val="53F3B3A8"/>
    <w:rsid w:val="53F3DF0E"/>
    <w:rsid w:val="53F5C4A9"/>
    <w:rsid w:val="53F95570"/>
    <w:rsid w:val="53FCAF3F"/>
    <w:rsid w:val="53FCD663"/>
    <w:rsid w:val="53FD202D"/>
    <w:rsid w:val="53FE127A"/>
    <w:rsid w:val="53FE23C3"/>
    <w:rsid w:val="53FE4063"/>
    <w:rsid w:val="53FF5D98"/>
    <w:rsid w:val="54008D50"/>
    <w:rsid w:val="5400AF54"/>
    <w:rsid w:val="540200EB"/>
    <w:rsid w:val="540249FC"/>
    <w:rsid w:val="540255DB"/>
    <w:rsid w:val="5405EBE6"/>
    <w:rsid w:val="54069BD1"/>
    <w:rsid w:val="54086247"/>
    <w:rsid w:val="540EF4F1"/>
    <w:rsid w:val="540F2DE1"/>
    <w:rsid w:val="540F907D"/>
    <w:rsid w:val="540F9182"/>
    <w:rsid w:val="54120BD0"/>
    <w:rsid w:val="5417C00D"/>
    <w:rsid w:val="541A144D"/>
    <w:rsid w:val="541BE773"/>
    <w:rsid w:val="541DFD2A"/>
    <w:rsid w:val="541EC243"/>
    <w:rsid w:val="5421F289"/>
    <w:rsid w:val="542376F6"/>
    <w:rsid w:val="5425AC2F"/>
    <w:rsid w:val="5428D5EE"/>
    <w:rsid w:val="542B76CD"/>
    <w:rsid w:val="542E179F"/>
    <w:rsid w:val="542F1AF5"/>
    <w:rsid w:val="542FD79F"/>
    <w:rsid w:val="543116ED"/>
    <w:rsid w:val="5431C8E2"/>
    <w:rsid w:val="54327CF5"/>
    <w:rsid w:val="54341D47"/>
    <w:rsid w:val="543AEBB3"/>
    <w:rsid w:val="543B977C"/>
    <w:rsid w:val="543BE511"/>
    <w:rsid w:val="54436A10"/>
    <w:rsid w:val="5443833B"/>
    <w:rsid w:val="5449DADC"/>
    <w:rsid w:val="5449F0F6"/>
    <w:rsid w:val="544F2588"/>
    <w:rsid w:val="545193D8"/>
    <w:rsid w:val="545262F5"/>
    <w:rsid w:val="54538CAD"/>
    <w:rsid w:val="5455816F"/>
    <w:rsid w:val="54576100"/>
    <w:rsid w:val="545896AA"/>
    <w:rsid w:val="545B5FFE"/>
    <w:rsid w:val="545D8BC6"/>
    <w:rsid w:val="545F5D43"/>
    <w:rsid w:val="5460EF9D"/>
    <w:rsid w:val="54614146"/>
    <w:rsid w:val="5463678E"/>
    <w:rsid w:val="546A19AB"/>
    <w:rsid w:val="546A85D0"/>
    <w:rsid w:val="546BAB8C"/>
    <w:rsid w:val="546C2596"/>
    <w:rsid w:val="546D0DAC"/>
    <w:rsid w:val="546DEA8F"/>
    <w:rsid w:val="546EF949"/>
    <w:rsid w:val="5470DDE5"/>
    <w:rsid w:val="5472528D"/>
    <w:rsid w:val="54738861"/>
    <w:rsid w:val="54741385"/>
    <w:rsid w:val="5474A53B"/>
    <w:rsid w:val="5474A5F1"/>
    <w:rsid w:val="54782981"/>
    <w:rsid w:val="547ACC3D"/>
    <w:rsid w:val="547C185F"/>
    <w:rsid w:val="547C7602"/>
    <w:rsid w:val="547D0F1B"/>
    <w:rsid w:val="547E71A2"/>
    <w:rsid w:val="5484B5E1"/>
    <w:rsid w:val="548548C3"/>
    <w:rsid w:val="54877C95"/>
    <w:rsid w:val="548F71EE"/>
    <w:rsid w:val="5492FCB1"/>
    <w:rsid w:val="5497DF19"/>
    <w:rsid w:val="54A238ED"/>
    <w:rsid w:val="54A25E1C"/>
    <w:rsid w:val="54A2B34D"/>
    <w:rsid w:val="54A7320E"/>
    <w:rsid w:val="54A8E0F8"/>
    <w:rsid w:val="54A9E08C"/>
    <w:rsid w:val="54ADD00D"/>
    <w:rsid w:val="54AF03C1"/>
    <w:rsid w:val="54AFEFAA"/>
    <w:rsid w:val="54B18DC5"/>
    <w:rsid w:val="54BA207B"/>
    <w:rsid w:val="54BAD74E"/>
    <w:rsid w:val="54BC70E8"/>
    <w:rsid w:val="54BF7621"/>
    <w:rsid w:val="54BFFB9F"/>
    <w:rsid w:val="54C0150A"/>
    <w:rsid w:val="54C4EF4F"/>
    <w:rsid w:val="54C9FC6F"/>
    <w:rsid w:val="54CCEFDF"/>
    <w:rsid w:val="54CF2D00"/>
    <w:rsid w:val="54D08072"/>
    <w:rsid w:val="54D332BD"/>
    <w:rsid w:val="54D402A9"/>
    <w:rsid w:val="54D437A4"/>
    <w:rsid w:val="54D47042"/>
    <w:rsid w:val="54D6535A"/>
    <w:rsid w:val="54D83BA0"/>
    <w:rsid w:val="54DACDC7"/>
    <w:rsid w:val="54DD08FA"/>
    <w:rsid w:val="54DDE335"/>
    <w:rsid w:val="54DEA14F"/>
    <w:rsid w:val="54E0603F"/>
    <w:rsid w:val="54E2D6DA"/>
    <w:rsid w:val="54E37903"/>
    <w:rsid w:val="54E44C07"/>
    <w:rsid w:val="54E4CE94"/>
    <w:rsid w:val="54E516B3"/>
    <w:rsid w:val="54E5C998"/>
    <w:rsid w:val="54E88745"/>
    <w:rsid w:val="54E8D883"/>
    <w:rsid w:val="54E95B6F"/>
    <w:rsid w:val="54EADA0E"/>
    <w:rsid w:val="54EEDD46"/>
    <w:rsid w:val="54F1D532"/>
    <w:rsid w:val="54F221EE"/>
    <w:rsid w:val="54F30C33"/>
    <w:rsid w:val="54F65887"/>
    <w:rsid w:val="54F6BADE"/>
    <w:rsid w:val="54F8DB94"/>
    <w:rsid w:val="54FB0C42"/>
    <w:rsid w:val="5502F52A"/>
    <w:rsid w:val="550475F6"/>
    <w:rsid w:val="5505D1FD"/>
    <w:rsid w:val="5506EE08"/>
    <w:rsid w:val="550BA354"/>
    <w:rsid w:val="550BF9E0"/>
    <w:rsid w:val="551176D4"/>
    <w:rsid w:val="55117D1F"/>
    <w:rsid w:val="5515060E"/>
    <w:rsid w:val="55174193"/>
    <w:rsid w:val="551A8119"/>
    <w:rsid w:val="551AD3DC"/>
    <w:rsid w:val="55201292"/>
    <w:rsid w:val="5520958B"/>
    <w:rsid w:val="5520A913"/>
    <w:rsid w:val="5520C6B2"/>
    <w:rsid w:val="55229914"/>
    <w:rsid w:val="55229CDC"/>
    <w:rsid w:val="5524B6D7"/>
    <w:rsid w:val="552941AA"/>
    <w:rsid w:val="5529EDBE"/>
    <w:rsid w:val="552B3A1C"/>
    <w:rsid w:val="552E7388"/>
    <w:rsid w:val="552EC368"/>
    <w:rsid w:val="55310E9A"/>
    <w:rsid w:val="5537671C"/>
    <w:rsid w:val="553A2C33"/>
    <w:rsid w:val="553AFCFD"/>
    <w:rsid w:val="553D0D1D"/>
    <w:rsid w:val="553D7F8A"/>
    <w:rsid w:val="5541D7F0"/>
    <w:rsid w:val="55467BA4"/>
    <w:rsid w:val="5546BAFA"/>
    <w:rsid w:val="5547A144"/>
    <w:rsid w:val="554D0C8F"/>
    <w:rsid w:val="554FA5AA"/>
    <w:rsid w:val="5553AA3F"/>
    <w:rsid w:val="5553F56E"/>
    <w:rsid w:val="55576D26"/>
    <w:rsid w:val="55590FEC"/>
    <w:rsid w:val="55591349"/>
    <w:rsid w:val="555A6704"/>
    <w:rsid w:val="555A7C47"/>
    <w:rsid w:val="5560E312"/>
    <w:rsid w:val="5561E441"/>
    <w:rsid w:val="55622311"/>
    <w:rsid w:val="5562CCEE"/>
    <w:rsid w:val="556577F6"/>
    <w:rsid w:val="5567ADC0"/>
    <w:rsid w:val="556D486D"/>
    <w:rsid w:val="556DF36B"/>
    <w:rsid w:val="556E639A"/>
    <w:rsid w:val="556F5942"/>
    <w:rsid w:val="5571416C"/>
    <w:rsid w:val="557DA7B9"/>
    <w:rsid w:val="557DCD72"/>
    <w:rsid w:val="557DE3E3"/>
    <w:rsid w:val="557E6D8A"/>
    <w:rsid w:val="5580245E"/>
    <w:rsid w:val="5580F2D5"/>
    <w:rsid w:val="5582A518"/>
    <w:rsid w:val="5584F4D9"/>
    <w:rsid w:val="558842B7"/>
    <w:rsid w:val="5588C769"/>
    <w:rsid w:val="558A5E25"/>
    <w:rsid w:val="558B8B39"/>
    <w:rsid w:val="558CEF99"/>
    <w:rsid w:val="558E23E4"/>
    <w:rsid w:val="558F13C3"/>
    <w:rsid w:val="558FFFE5"/>
    <w:rsid w:val="55909A6F"/>
    <w:rsid w:val="5590F6B5"/>
    <w:rsid w:val="5591C936"/>
    <w:rsid w:val="5594C9DD"/>
    <w:rsid w:val="5596208B"/>
    <w:rsid w:val="55972556"/>
    <w:rsid w:val="559CD3D8"/>
    <w:rsid w:val="55A3F8AB"/>
    <w:rsid w:val="55A5034D"/>
    <w:rsid w:val="55A55589"/>
    <w:rsid w:val="55A7A8BF"/>
    <w:rsid w:val="55A89ED4"/>
    <w:rsid w:val="55A8A089"/>
    <w:rsid w:val="55ABBE6F"/>
    <w:rsid w:val="55AC4705"/>
    <w:rsid w:val="55AC72B3"/>
    <w:rsid w:val="55AE129B"/>
    <w:rsid w:val="55B32F2C"/>
    <w:rsid w:val="55B4E1D7"/>
    <w:rsid w:val="55B50035"/>
    <w:rsid w:val="55B5FCF5"/>
    <w:rsid w:val="55B6C5F9"/>
    <w:rsid w:val="55B76E61"/>
    <w:rsid w:val="55BDD621"/>
    <w:rsid w:val="55BE60ED"/>
    <w:rsid w:val="55BF95B3"/>
    <w:rsid w:val="55C4421C"/>
    <w:rsid w:val="55CB93BC"/>
    <w:rsid w:val="55CC6D84"/>
    <w:rsid w:val="55CE2209"/>
    <w:rsid w:val="55CF7FDD"/>
    <w:rsid w:val="55D0A799"/>
    <w:rsid w:val="55D3A917"/>
    <w:rsid w:val="55D455D6"/>
    <w:rsid w:val="55D5ABB7"/>
    <w:rsid w:val="55D6150D"/>
    <w:rsid w:val="55D6B101"/>
    <w:rsid w:val="55D76F83"/>
    <w:rsid w:val="55DA5ADE"/>
    <w:rsid w:val="55DC0204"/>
    <w:rsid w:val="55DDFB8B"/>
    <w:rsid w:val="55DE469E"/>
    <w:rsid w:val="55E153B0"/>
    <w:rsid w:val="55E394D1"/>
    <w:rsid w:val="55E5DCB1"/>
    <w:rsid w:val="55E6E525"/>
    <w:rsid w:val="55E7C776"/>
    <w:rsid w:val="55EB78A0"/>
    <w:rsid w:val="55EE198D"/>
    <w:rsid w:val="55F049D4"/>
    <w:rsid w:val="55F1C0EC"/>
    <w:rsid w:val="55F3861D"/>
    <w:rsid w:val="55FADBAD"/>
    <w:rsid w:val="55FAF656"/>
    <w:rsid w:val="55FBD43E"/>
    <w:rsid w:val="55FE45E8"/>
    <w:rsid w:val="56039909"/>
    <w:rsid w:val="560689FC"/>
    <w:rsid w:val="5606D484"/>
    <w:rsid w:val="560A0113"/>
    <w:rsid w:val="560A8E1F"/>
    <w:rsid w:val="560DC9E5"/>
    <w:rsid w:val="560DE445"/>
    <w:rsid w:val="560E2E1C"/>
    <w:rsid w:val="560F6DFF"/>
    <w:rsid w:val="56115693"/>
    <w:rsid w:val="5615DFA4"/>
    <w:rsid w:val="56196B38"/>
    <w:rsid w:val="5619C2F7"/>
    <w:rsid w:val="561C925B"/>
    <w:rsid w:val="561DCF3F"/>
    <w:rsid w:val="561DF1A3"/>
    <w:rsid w:val="561F9A53"/>
    <w:rsid w:val="561FEF63"/>
    <w:rsid w:val="56200F79"/>
    <w:rsid w:val="5620309E"/>
    <w:rsid w:val="56213A13"/>
    <w:rsid w:val="5623585A"/>
    <w:rsid w:val="562A02B2"/>
    <w:rsid w:val="562B80C2"/>
    <w:rsid w:val="562C87BF"/>
    <w:rsid w:val="5630B7BB"/>
    <w:rsid w:val="56311EF5"/>
    <w:rsid w:val="563130DB"/>
    <w:rsid w:val="5631AD4B"/>
    <w:rsid w:val="56321342"/>
    <w:rsid w:val="563330AC"/>
    <w:rsid w:val="56377190"/>
    <w:rsid w:val="5637B705"/>
    <w:rsid w:val="56384880"/>
    <w:rsid w:val="563ABEF5"/>
    <w:rsid w:val="563D0C6F"/>
    <w:rsid w:val="563D40F8"/>
    <w:rsid w:val="5640D5CA"/>
    <w:rsid w:val="5641C5E9"/>
    <w:rsid w:val="56451732"/>
    <w:rsid w:val="5645194E"/>
    <w:rsid w:val="5645D8B6"/>
    <w:rsid w:val="5645E4D2"/>
    <w:rsid w:val="5646B4F7"/>
    <w:rsid w:val="5647E23F"/>
    <w:rsid w:val="5648DABF"/>
    <w:rsid w:val="564B0179"/>
    <w:rsid w:val="564B4038"/>
    <w:rsid w:val="564B741B"/>
    <w:rsid w:val="564CA948"/>
    <w:rsid w:val="564CF07E"/>
    <w:rsid w:val="564D96D9"/>
    <w:rsid w:val="56561F10"/>
    <w:rsid w:val="56564524"/>
    <w:rsid w:val="5659B6DE"/>
    <w:rsid w:val="565A47E3"/>
    <w:rsid w:val="565C15B6"/>
    <w:rsid w:val="565D5B02"/>
    <w:rsid w:val="565E4AC9"/>
    <w:rsid w:val="565F0D0C"/>
    <w:rsid w:val="565FA861"/>
    <w:rsid w:val="56623A26"/>
    <w:rsid w:val="56637DDC"/>
    <w:rsid w:val="56640693"/>
    <w:rsid w:val="5665094E"/>
    <w:rsid w:val="5666839F"/>
    <w:rsid w:val="5669FAA2"/>
    <w:rsid w:val="566EAF33"/>
    <w:rsid w:val="56736154"/>
    <w:rsid w:val="567428A1"/>
    <w:rsid w:val="5674C2EE"/>
    <w:rsid w:val="5675446A"/>
    <w:rsid w:val="56779F60"/>
    <w:rsid w:val="5679879C"/>
    <w:rsid w:val="567AC5EE"/>
    <w:rsid w:val="567AFE24"/>
    <w:rsid w:val="5686AFB2"/>
    <w:rsid w:val="568C8B5F"/>
    <w:rsid w:val="568C9A95"/>
    <w:rsid w:val="568CD5FB"/>
    <w:rsid w:val="568DD482"/>
    <w:rsid w:val="5691C2F4"/>
    <w:rsid w:val="56950F62"/>
    <w:rsid w:val="569C8DBC"/>
    <w:rsid w:val="569CF531"/>
    <w:rsid w:val="56A054CC"/>
    <w:rsid w:val="56A0FF85"/>
    <w:rsid w:val="56A4CC7B"/>
    <w:rsid w:val="56A5806B"/>
    <w:rsid w:val="56AB0C6F"/>
    <w:rsid w:val="56AB133E"/>
    <w:rsid w:val="56AC6584"/>
    <w:rsid w:val="56AFE406"/>
    <w:rsid w:val="56B3092D"/>
    <w:rsid w:val="56B5FE9B"/>
    <w:rsid w:val="56B96FF1"/>
    <w:rsid w:val="56B974A4"/>
    <w:rsid w:val="56BAD115"/>
    <w:rsid w:val="56BB7D74"/>
    <w:rsid w:val="56BBC112"/>
    <w:rsid w:val="56BCA15A"/>
    <w:rsid w:val="56BE7819"/>
    <w:rsid w:val="56C2B417"/>
    <w:rsid w:val="56C7DB6B"/>
    <w:rsid w:val="56C96E4F"/>
    <w:rsid w:val="56C9D761"/>
    <w:rsid w:val="56CABB6B"/>
    <w:rsid w:val="56CBF258"/>
    <w:rsid w:val="56CCC5EF"/>
    <w:rsid w:val="56CD36B1"/>
    <w:rsid w:val="56CD6D45"/>
    <w:rsid w:val="56CDC7A1"/>
    <w:rsid w:val="56CDE3EE"/>
    <w:rsid w:val="56D1362F"/>
    <w:rsid w:val="56D2DE73"/>
    <w:rsid w:val="56D31EB8"/>
    <w:rsid w:val="56D347EA"/>
    <w:rsid w:val="56D7FDF0"/>
    <w:rsid w:val="56D834B6"/>
    <w:rsid w:val="56D94FEB"/>
    <w:rsid w:val="56DB37D8"/>
    <w:rsid w:val="56DC37C9"/>
    <w:rsid w:val="56DC431D"/>
    <w:rsid w:val="56DCF817"/>
    <w:rsid w:val="56DD978D"/>
    <w:rsid w:val="56E1CE28"/>
    <w:rsid w:val="56E63C88"/>
    <w:rsid w:val="56E8FE4F"/>
    <w:rsid w:val="56EE8F48"/>
    <w:rsid w:val="56F1FA7B"/>
    <w:rsid w:val="56F608BA"/>
    <w:rsid w:val="56F8D717"/>
    <w:rsid w:val="56FC007A"/>
    <w:rsid w:val="5700AAE4"/>
    <w:rsid w:val="57019670"/>
    <w:rsid w:val="57035E1E"/>
    <w:rsid w:val="570484A9"/>
    <w:rsid w:val="570A6F2A"/>
    <w:rsid w:val="570AA8DF"/>
    <w:rsid w:val="570B7281"/>
    <w:rsid w:val="570E4C8D"/>
    <w:rsid w:val="570FC652"/>
    <w:rsid w:val="5712E142"/>
    <w:rsid w:val="57134D2F"/>
    <w:rsid w:val="5713F300"/>
    <w:rsid w:val="57151DBB"/>
    <w:rsid w:val="571606E7"/>
    <w:rsid w:val="57192A9D"/>
    <w:rsid w:val="571B4FA5"/>
    <w:rsid w:val="571BA013"/>
    <w:rsid w:val="571C225C"/>
    <w:rsid w:val="571D6536"/>
    <w:rsid w:val="5721B5C3"/>
    <w:rsid w:val="5723A109"/>
    <w:rsid w:val="57241507"/>
    <w:rsid w:val="57280424"/>
    <w:rsid w:val="572A47D8"/>
    <w:rsid w:val="572C97EE"/>
    <w:rsid w:val="5730B7E8"/>
    <w:rsid w:val="57318F51"/>
    <w:rsid w:val="5734AD98"/>
    <w:rsid w:val="573526B8"/>
    <w:rsid w:val="57366546"/>
    <w:rsid w:val="57367BEF"/>
    <w:rsid w:val="5736D4C4"/>
    <w:rsid w:val="57386F2E"/>
    <w:rsid w:val="573E69FA"/>
    <w:rsid w:val="573F6FD6"/>
    <w:rsid w:val="57407AEA"/>
    <w:rsid w:val="574097EE"/>
    <w:rsid w:val="5741CA85"/>
    <w:rsid w:val="5742321E"/>
    <w:rsid w:val="5745541C"/>
    <w:rsid w:val="57461A59"/>
    <w:rsid w:val="57461D50"/>
    <w:rsid w:val="57473C6D"/>
    <w:rsid w:val="57487923"/>
    <w:rsid w:val="574AAA76"/>
    <w:rsid w:val="574DE026"/>
    <w:rsid w:val="574E212E"/>
    <w:rsid w:val="574ED433"/>
    <w:rsid w:val="574F3D55"/>
    <w:rsid w:val="5753C1E0"/>
    <w:rsid w:val="57545A03"/>
    <w:rsid w:val="5754C16D"/>
    <w:rsid w:val="5756DA0B"/>
    <w:rsid w:val="575D21E5"/>
    <w:rsid w:val="575E10E6"/>
    <w:rsid w:val="575F426E"/>
    <w:rsid w:val="57614898"/>
    <w:rsid w:val="5765A847"/>
    <w:rsid w:val="576BBBA2"/>
    <w:rsid w:val="576CCC2C"/>
    <w:rsid w:val="576D7937"/>
    <w:rsid w:val="576DB139"/>
    <w:rsid w:val="576E96BA"/>
    <w:rsid w:val="57702D4C"/>
    <w:rsid w:val="5770E467"/>
    <w:rsid w:val="5770ED7F"/>
    <w:rsid w:val="5773B3E5"/>
    <w:rsid w:val="5775457E"/>
    <w:rsid w:val="5775C26F"/>
    <w:rsid w:val="5776A8BC"/>
    <w:rsid w:val="5777C0ED"/>
    <w:rsid w:val="5779D6E1"/>
    <w:rsid w:val="577A27BA"/>
    <w:rsid w:val="577C0917"/>
    <w:rsid w:val="577E97F4"/>
    <w:rsid w:val="577F7C67"/>
    <w:rsid w:val="5783AAA8"/>
    <w:rsid w:val="5783CAD9"/>
    <w:rsid w:val="5786A1F0"/>
    <w:rsid w:val="5786A768"/>
    <w:rsid w:val="57880312"/>
    <w:rsid w:val="57888526"/>
    <w:rsid w:val="578C565C"/>
    <w:rsid w:val="5794D64E"/>
    <w:rsid w:val="57979101"/>
    <w:rsid w:val="579BCA30"/>
    <w:rsid w:val="579C61E0"/>
    <w:rsid w:val="579E161F"/>
    <w:rsid w:val="579FA034"/>
    <w:rsid w:val="57A0A1CA"/>
    <w:rsid w:val="57A1976E"/>
    <w:rsid w:val="57A7C409"/>
    <w:rsid w:val="57AE9ADB"/>
    <w:rsid w:val="57AF9F9B"/>
    <w:rsid w:val="57B5A051"/>
    <w:rsid w:val="57B8F5AF"/>
    <w:rsid w:val="57BD03F7"/>
    <w:rsid w:val="57BD8A7E"/>
    <w:rsid w:val="57C028A8"/>
    <w:rsid w:val="57C30311"/>
    <w:rsid w:val="57C42EA7"/>
    <w:rsid w:val="57C5B893"/>
    <w:rsid w:val="57C6BB64"/>
    <w:rsid w:val="57C6C8BF"/>
    <w:rsid w:val="57C8E293"/>
    <w:rsid w:val="57C973B6"/>
    <w:rsid w:val="57C9B022"/>
    <w:rsid w:val="57CF67F5"/>
    <w:rsid w:val="57CFE701"/>
    <w:rsid w:val="57D0E68E"/>
    <w:rsid w:val="57D0E729"/>
    <w:rsid w:val="57D113CC"/>
    <w:rsid w:val="57D55D4C"/>
    <w:rsid w:val="57D584B0"/>
    <w:rsid w:val="57D63B81"/>
    <w:rsid w:val="57D68E79"/>
    <w:rsid w:val="57E08969"/>
    <w:rsid w:val="57E1BBBB"/>
    <w:rsid w:val="57E38D34"/>
    <w:rsid w:val="57E54508"/>
    <w:rsid w:val="57EA32F0"/>
    <w:rsid w:val="57EBAC26"/>
    <w:rsid w:val="57EE9CDA"/>
    <w:rsid w:val="57F0FE4E"/>
    <w:rsid w:val="57F2AB7D"/>
    <w:rsid w:val="57F8B281"/>
    <w:rsid w:val="57F8BCEA"/>
    <w:rsid w:val="57F9C56F"/>
    <w:rsid w:val="57FB3700"/>
    <w:rsid w:val="57FBCAE4"/>
    <w:rsid w:val="57FC8035"/>
    <w:rsid w:val="57FEBEBA"/>
    <w:rsid w:val="580015F6"/>
    <w:rsid w:val="580729FD"/>
    <w:rsid w:val="580C8622"/>
    <w:rsid w:val="580CF8B6"/>
    <w:rsid w:val="5811832A"/>
    <w:rsid w:val="5812132D"/>
    <w:rsid w:val="581320E2"/>
    <w:rsid w:val="58136B88"/>
    <w:rsid w:val="58139FC7"/>
    <w:rsid w:val="58142B5D"/>
    <w:rsid w:val="58156872"/>
    <w:rsid w:val="581936BD"/>
    <w:rsid w:val="581A2CB4"/>
    <w:rsid w:val="581B639C"/>
    <w:rsid w:val="581D3B5E"/>
    <w:rsid w:val="581FA36E"/>
    <w:rsid w:val="582220BE"/>
    <w:rsid w:val="5822A047"/>
    <w:rsid w:val="5822E942"/>
    <w:rsid w:val="58249937"/>
    <w:rsid w:val="58286095"/>
    <w:rsid w:val="58286DA4"/>
    <w:rsid w:val="58292395"/>
    <w:rsid w:val="582D2738"/>
    <w:rsid w:val="582D9244"/>
    <w:rsid w:val="582E862F"/>
    <w:rsid w:val="582F37EF"/>
    <w:rsid w:val="58313CE6"/>
    <w:rsid w:val="5831A5C3"/>
    <w:rsid w:val="5831F612"/>
    <w:rsid w:val="58333091"/>
    <w:rsid w:val="58338184"/>
    <w:rsid w:val="583631F6"/>
    <w:rsid w:val="58374A5C"/>
    <w:rsid w:val="5839488C"/>
    <w:rsid w:val="5840B4F4"/>
    <w:rsid w:val="5840CF45"/>
    <w:rsid w:val="5843DBD0"/>
    <w:rsid w:val="5844BAA1"/>
    <w:rsid w:val="58456C5F"/>
    <w:rsid w:val="58486A68"/>
    <w:rsid w:val="584A5A5D"/>
    <w:rsid w:val="584A9AD0"/>
    <w:rsid w:val="584BB76F"/>
    <w:rsid w:val="584BF6D2"/>
    <w:rsid w:val="584C2D2D"/>
    <w:rsid w:val="584FF0AE"/>
    <w:rsid w:val="5852EA9A"/>
    <w:rsid w:val="58536B9C"/>
    <w:rsid w:val="5853C4A0"/>
    <w:rsid w:val="5859C21B"/>
    <w:rsid w:val="585D0C5C"/>
    <w:rsid w:val="585DF0AF"/>
    <w:rsid w:val="5861DC42"/>
    <w:rsid w:val="58664F87"/>
    <w:rsid w:val="58669624"/>
    <w:rsid w:val="5868F903"/>
    <w:rsid w:val="586DFC2D"/>
    <w:rsid w:val="587406A4"/>
    <w:rsid w:val="587545E8"/>
    <w:rsid w:val="58762EA6"/>
    <w:rsid w:val="58769B83"/>
    <w:rsid w:val="58770118"/>
    <w:rsid w:val="587E3E46"/>
    <w:rsid w:val="587E7203"/>
    <w:rsid w:val="58820E2D"/>
    <w:rsid w:val="588503B2"/>
    <w:rsid w:val="5888769E"/>
    <w:rsid w:val="588A18FB"/>
    <w:rsid w:val="588A2743"/>
    <w:rsid w:val="588A3ADF"/>
    <w:rsid w:val="588B160A"/>
    <w:rsid w:val="588C37FF"/>
    <w:rsid w:val="588CF36C"/>
    <w:rsid w:val="58907FE4"/>
    <w:rsid w:val="5890F638"/>
    <w:rsid w:val="589182BA"/>
    <w:rsid w:val="5891EF1A"/>
    <w:rsid w:val="5895D473"/>
    <w:rsid w:val="589637B8"/>
    <w:rsid w:val="58998429"/>
    <w:rsid w:val="58A03360"/>
    <w:rsid w:val="58A11C4A"/>
    <w:rsid w:val="58A3DD43"/>
    <w:rsid w:val="58A4B196"/>
    <w:rsid w:val="58A4F642"/>
    <w:rsid w:val="58A888F0"/>
    <w:rsid w:val="58AA448D"/>
    <w:rsid w:val="58B60E4C"/>
    <w:rsid w:val="58B62930"/>
    <w:rsid w:val="58B7255E"/>
    <w:rsid w:val="58B7B72A"/>
    <w:rsid w:val="58BA5170"/>
    <w:rsid w:val="58BB85FE"/>
    <w:rsid w:val="58BC1D2A"/>
    <w:rsid w:val="58BC9E6C"/>
    <w:rsid w:val="58BEA2F8"/>
    <w:rsid w:val="58BF0D12"/>
    <w:rsid w:val="58BF7F53"/>
    <w:rsid w:val="58C1BF1B"/>
    <w:rsid w:val="58C2B24B"/>
    <w:rsid w:val="58C4FB1E"/>
    <w:rsid w:val="58C739AA"/>
    <w:rsid w:val="58C852EE"/>
    <w:rsid w:val="58C8DF46"/>
    <w:rsid w:val="58CB10FC"/>
    <w:rsid w:val="58CB4BBC"/>
    <w:rsid w:val="58CC89A5"/>
    <w:rsid w:val="58CCE5A9"/>
    <w:rsid w:val="58CE2489"/>
    <w:rsid w:val="58CEB120"/>
    <w:rsid w:val="58D2048E"/>
    <w:rsid w:val="58D22F77"/>
    <w:rsid w:val="58D2B2F7"/>
    <w:rsid w:val="58D2FC81"/>
    <w:rsid w:val="58D35067"/>
    <w:rsid w:val="58D3BFD1"/>
    <w:rsid w:val="58D448B3"/>
    <w:rsid w:val="58D49649"/>
    <w:rsid w:val="58D69718"/>
    <w:rsid w:val="58D6A7E3"/>
    <w:rsid w:val="58D8F1EF"/>
    <w:rsid w:val="58D961CA"/>
    <w:rsid w:val="58DD967E"/>
    <w:rsid w:val="58DE9BAB"/>
    <w:rsid w:val="58E03C66"/>
    <w:rsid w:val="58E1477C"/>
    <w:rsid w:val="58E16EDC"/>
    <w:rsid w:val="58E18257"/>
    <w:rsid w:val="58E87CBF"/>
    <w:rsid w:val="58EB99BE"/>
    <w:rsid w:val="58ED844D"/>
    <w:rsid w:val="58EE690A"/>
    <w:rsid w:val="58EEAEA5"/>
    <w:rsid w:val="58EFB7C2"/>
    <w:rsid w:val="58EFBD21"/>
    <w:rsid w:val="58EFEBB6"/>
    <w:rsid w:val="58F012C7"/>
    <w:rsid w:val="58F30F44"/>
    <w:rsid w:val="58F61B7F"/>
    <w:rsid w:val="58FB9BD4"/>
    <w:rsid w:val="59018B1F"/>
    <w:rsid w:val="5903C8F6"/>
    <w:rsid w:val="590470F0"/>
    <w:rsid w:val="59096DF8"/>
    <w:rsid w:val="590B95C6"/>
    <w:rsid w:val="590C2651"/>
    <w:rsid w:val="590EBD95"/>
    <w:rsid w:val="59131EDA"/>
    <w:rsid w:val="59137745"/>
    <w:rsid w:val="591589D1"/>
    <w:rsid w:val="5915C222"/>
    <w:rsid w:val="59162742"/>
    <w:rsid w:val="5917F5B6"/>
    <w:rsid w:val="5917FAD6"/>
    <w:rsid w:val="5918082C"/>
    <w:rsid w:val="5918F59D"/>
    <w:rsid w:val="591F520E"/>
    <w:rsid w:val="59232CD1"/>
    <w:rsid w:val="59249F40"/>
    <w:rsid w:val="5928A3E2"/>
    <w:rsid w:val="592A1D3D"/>
    <w:rsid w:val="592CE3D7"/>
    <w:rsid w:val="592F2AD1"/>
    <w:rsid w:val="59360664"/>
    <w:rsid w:val="5936C0F4"/>
    <w:rsid w:val="59383036"/>
    <w:rsid w:val="59396F00"/>
    <w:rsid w:val="593F2AB8"/>
    <w:rsid w:val="593F5172"/>
    <w:rsid w:val="59438845"/>
    <w:rsid w:val="59444728"/>
    <w:rsid w:val="5945B299"/>
    <w:rsid w:val="5946753D"/>
    <w:rsid w:val="59468D64"/>
    <w:rsid w:val="5948C03D"/>
    <w:rsid w:val="59494E70"/>
    <w:rsid w:val="594971B6"/>
    <w:rsid w:val="594B4744"/>
    <w:rsid w:val="594D12DC"/>
    <w:rsid w:val="5951ECFC"/>
    <w:rsid w:val="595CEECF"/>
    <w:rsid w:val="596230A5"/>
    <w:rsid w:val="5962FDB9"/>
    <w:rsid w:val="59652B3B"/>
    <w:rsid w:val="59652C3C"/>
    <w:rsid w:val="5965458A"/>
    <w:rsid w:val="5966E89B"/>
    <w:rsid w:val="5969A169"/>
    <w:rsid w:val="596C9025"/>
    <w:rsid w:val="596DD82B"/>
    <w:rsid w:val="5972447B"/>
    <w:rsid w:val="5973ED60"/>
    <w:rsid w:val="5973F4F3"/>
    <w:rsid w:val="59753B86"/>
    <w:rsid w:val="59761FA4"/>
    <w:rsid w:val="5976B38D"/>
    <w:rsid w:val="59772AD0"/>
    <w:rsid w:val="597FAC9A"/>
    <w:rsid w:val="597FACC9"/>
    <w:rsid w:val="59847F23"/>
    <w:rsid w:val="59848C12"/>
    <w:rsid w:val="598FA505"/>
    <w:rsid w:val="5991E8A5"/>
    <w:rsid w:val="59926F00"/>
    <w:rsid w:val="5993E868"/>
    <w:rsid w:val="5997AD98"/>
    <w:rsid w:val="59997F25"/>
    <w:rsid w:val="599A9A20"/>
    <w:rsid w:val="599E4A1E"/>
    <w:rsid w:val="599EBA1C"/>
    <w:rsid w:val="59A48351"/>
    <w:rsid w:val="59A4B64F"/>
    <w:rsid w:val="59A90D63"/>
    <w:rsid w:val="59AFE034"/>
    <w:rsid w:val="59B22EC9"/>
    <w:rsid w:val="59B237E6"/>
    <w:rsid w:val="59B53022"/>
    <w:rsid w:val="59B9CCF6"/>
    <w:rsid w:val="59BB28D3"/>
    <w:rsid w:val="59BB443A"/>
    <w:rsid w:val="59BBACEC"/>
    <w:rsid w:val="59BEF538"/>
    <w:rsid w:val="59BF0C3B"/>
    <w:rsid w:val="59C13B00"/>
    <w:rsid w:val="59C347BF"/>
    <w:rsid w:val="59C970A9"/>
    <w:rsid w:val="59C9E933"/>
    <w:rsid w:val="59CFD1F8"/>
    <w:rsid w:val="59D0464E"/>
    <w:rsid w:val="59D0C542"/>
    <w:rsid w:val="59D0F682"/>
    <w:rsid w:val="59D22186"/>
    <w:rsid w:val="59D290AA"/>
    <w:rsid w:val="59D61379"/>
    <w:rsid w:val="59D7D5AD"/>
    <w:rsid w:val="59D97785"/>
    <w:rsid w:val="59DBBF89"/>
    <w:rsid w:val="59DF5EFD"/>
    <w:rsid w:val="59E00865"/>
    <w:rsid w:val="59E10C5B"/>
    <w:rsid w:val="59E2EC92"/>
    <w:rsid w:val="59E4CB38"/>
    <w:rsid w:val="59E9BA73"/>
    <w:rsid w:val="59EC385A"/>
    <w:rsid w:val="59EC5F29"/>
    <w:rsid w:val="59EC90BC"/>
    <w:rsid w:val="59ECDBAB"/>
    <w:rsid w:val="59EF1CF0"/>
    <w:rsid w:val="59EFCC83"/>
    <w:rsid w:val="59F1E3C1"/>
    <w:rsid w:val="59F3105F"/>
    <w:rsid w:val="59F392BA"/>
    <w:rsid w:val="59F39479"/>
    <w:rsid w:val="59F3C5F6"/>
    <w:rsid w:val="59F807E1"/>
    <w:rsid w:val="59FA4829"/>
    <w:rsid w:val="59FBC10E"/>
    <w:rsid w:val="59FC82E8"/>
    <w:rsid w:val="59FEFF30"/>
    <w:rsid w:val="5A0337F1"/>
    <w:rsid w:val="5A03AE26"/>
    <w:rsid w:val="5A07366A"/>
    <w:rsid w:val="5A08BEC8"/>
    <w:rsid w:val="5A0BE56F"/>
    <w:rsid w:val="5A0CE3E6"/>
    <w:rsid w:val="5A0EB0F7"/>
    <w:rsid w:val="5A0F3F1C"/>
    <w:rsid w:val="5A100C3B"/>
    <w:rsid w:val="5A10A388"/>
    <w:rsid w:val="5A10F0AD"/>
    <w:rsid w:val="5A114519"/>
    <w:rsid w:val="5A13AD7E"/>
    <w:rsid w:val="5A16497B"/>
    <w:rsid w:val="5A16B78C"/>
    <w:rsid w:val="5A173948"/>
    <w:rsid w:val="5A1AE0DC"/>
    <w:rsid w:val="5A1B0D08"/>
    <w:rsid w:val="5A1BAF18"/>
    <w:rsid w:val="5A1BE012"/>
    <w:rsid w:val="5A1C4A27"/>
    <w:rsid w:val="5A1E7E8F"/>
    <w:rsid w:val="5A206A6C"/>
    <w:rsid w:val="5A22428A"/>
    <w:rsid w:val="5A2291E4"/>
    <w:rsid w:val="5A25EC90"/>
    <w:rsid w:val="5A2877C3"/>
    <w:rsid w:val="5A2D0CE6"/>
    <w:rsid w:val="5A2F1376"/>
    <w:rsid w:val="5A32FDE6"/>
    <w:rsid w:val="5A33B96D"/>
    <w:rsid w:val="5A34202E"/>
    <w:rsid w:val="5A34E558"/>
    <w:rsid w:val="5A355564"/>
    <w:rsid w:val="5A37E97E"/>
    <w:rsid w:val="5A37FD39"/>
    <w:rsid w:val="5A3A1CE6"/>
    <w:rsid w:val="5A3C3806"/>
    <w:rsid w:val="5A3EC843"/>
    <w:rsid w:val="5A419415"/>
    <w:rsid w:val="5A4242B8"/>
    <w:rsid w:val="5A45DBDA"/>
    <w:rsid w:val="5A47A21D"/>
    <w:rsid w:val="5A507D3A"/>
    <w:rsid w:val="5A51A660"/>
    <w:rsid w:val="5A5215B7"/>
    <w:rsid w:val="5A54D649"/>
    <w:rsid w:val="5A55A484"/>
    <w:rsid w:val="5A55AFBB"/>
    <w:rsid w:val="5A56B474"/>
    <w:rsid w:val="5A592B2E"/>
    <w:rsid w:val="5A59870E"/>
    <w:rsid w:val="5A5CA1B6"/>
    <w:rsid w:val="5A5E0456"/>
    <w:rsid w:val="5A5E752D"/>
    <w:rsid w:val="5A60BAF3"/>
    <w:rsid w:val="5A62ED71"/>
    <w:rsid w:val="5A62ED9F"/>
    <w:rsid w:val="5A6359EF"/>
    <w:rsid w:val="5A67B976"/>
    <w:rsid w:val="5A683592"/>
    <w:rsid w:val="5A68E3A7"/>
    <w:rsid w:val="5A6938E0"/>
    <w:rsid w:val="5A6A3B4F"/>
    <w:rsid w:val="5A6FC14E"/>
    <w:rsid w:val="5A71BEE4"/>
    <w:rsid w:val="5A71FB56"/>
    <w:rsid w:val="5A74699C"/>
    <w:rsid w:val="5A748786"/>
    <w:rsid w:val="5A76B628"/>
    <w:rsid w:val="5A773281"/>
    <w:rsid w:val="5A78C250"/>
    <w:rsid w:val="5A7C95A3"/>
    <w:rsid w:val="5A7CA9CA"/>
    <w:rsid w:val="5A7DB761"/>
    <w:rsid w:val="5A7FA97B"/>
    <w:rsid w:val="5A83C2B0"/>
    <w:rsid w:val="5A8453DA"/>
    <w:rsid w:val="5A84944F"/>
    <w:rsid w:val="5A84ECC6"/>
    <w:rsid w:val="5A85AB98"/>
    <w:rsid w:val="5A85E09A"/>
    <w:rsid w:val="5A8711E1"/>
    <w:rsid w:val="5A87B2BD"/>
    <w:rsid w:val="5A8D883B"/>
    <w:rsid w:val="5A8DD9D5"/>
    <w:rsid w:val="5A906D3B"/>
    <w:rsid w:val="5A909A02"/>
    <w:rsid w:val="5A91B38B"/>
    <w:rsid w:val="5A923A7E"/>
    <w:rsid w:val="5A9385D7"/>
    <w:rsid w:val="5A97CD72"/>
    <w:rsid w:val="5A9BB492"/>
    <w:rsid w:val="5A9E05E0"/>
    <w:rsid w:val="5A9FBD80"/>
    <w:rsid w:val="5AA099C4"/>
    <w:rsid w:val="5AA37089"/>
    <w:rsid w:val="5AA38F6D"/>
    <w:rsid w:val="5AA77911"/>
    <w:rsid w:val="5AB2B1ED"/>
    <w:rsid w:val="5AB8463C"/>
    <w:rsid w:val="5AB89969"/>
    <w:rsid w:val="5AB93E53"/>
    <w:rsid w:val="5ABBF1A9"/>
    <w:rsid w:val="5ABD9EFC"/>
    <w:rsid w:val="5ABE0FF9"/>
    <w:rsid w:val="5ABFD900"/>
    <w:rsid w:val="5AC1EB09"/>
    <w:rsid w:val="5AC3CC4F"/>
    <w:rsid w:val="5AC4CDD8"/>
    <w:rsid w:val="5AC52D2F"/>
    <w:rsid w:val="5ACCC1BC"/>
    <w:rsid w:val="5ACD6A70"/>
    <w:rsid w:val="5ACF4EF1"/>
    <w:rsid w:val="5AD0E55D"/>
    <w:rsid w:val="5AD0EAD5"/>
    <w:rsid w:val="5AD2B497"/>
    <w:rsid w:val="5AD35EB3"/>
    <w:rsid w:val="5AD997A2"/>
    <w:rsid w:val="5ADA3A14"/>
    <w:rsid w:val="5ADAAA08"/>
    <w:rsid w:val="5ADBB5F3"/>
    <w:rsid w:val="5ADCD42C"/>
    <w:rsid w:val="5AE08E62"/>
    <w:rsid w:val="5AE6C35E"/>
    <w:rsid w:val="5AE83691"/>
    <w:rsid w:val="5AEC49DD"/>
    <w:rsid w:val="5AEC6A7A"/>
    <w:rsid w:val="5AEC6CB9"/>
    <w:rsid w:val="5AEF721C"/>
    <w:rsid w:val="5AEFE9EF"/>
    <w:rsid w:val="5AF84A3F"/>
    <w:rsid w:val="5AF861CF"/>
    <w:rsid w:val="5AF9DA6D"/>
    <w:rsid w:val="5AFA24E5"/>
    <w:rsid w:val="5AFB5E16"/>
    <w:rsid w:val="5AFD1DF3"/>
    <w:rsid w:val="5B00ADE6"/>
    <w:rsid w:val="5B0A135C"/>
    <w:rsid w:val="5B0AAFBC"/>
    <w:rsid w:val="5B0B2E97"/>
    <w:rsid w:val="5B0BD867"/>
    <w:rsid w:val="5B0FDC53"/>
    <w:rsid w:val="5B0FEC3D"/>
    <w:rsid w:val="5B12B17E"/>
    <w:rsid w:val="5B13AC1D"/>
    <w:rsid w:val="5B16137F"/>
    <w:rsid w:val="5B18490C"/>
    <w:rsid w:val="5B192158"/>
    <w:rsid w:val="5B1ADD5F"/>
    <w:rsid w:val="5B1ED374"/>
    <w:rsid w:val="5B1F81B7"/>
    <w:rsid w:val="5B21564A"/>
    <w:rsid w:val="5B242650"/>
    <w:rsid w:val="5B28138E"/>
    <w:rsid w:val="5B293520"/>
    <w:rsid w:val="5B2C700D"/>
    <w:rsid w:val="5B2D2EEC"/>
    <w:rsid w:val="5B32B2AB"/>
    <w:rsid w:val="5B32D7C2"/>
    <w:rsid w:val="5B335720"/>
    <w:rsid w:val="5B351A5F"/>
    <w:rsid w:val="5B374E31"/>
    <w:rsid w:val="5B38A504"/>
    <w:rsid w:val="5B3B778B"/>
    <w:rsid w:val="5B3C30BA"/>
    <w:rsid w:val="5B3C96AC"/>
    <w:rsid w:val="5B3D07E5"/>
    <w:rsid w:val="5B3D7D9F"/>
    <w:rsid w:val="5B4302F7"/>
    <w:rsid w:val="5B437B90"/>
    <w:rsid w:val="5B452B9B"/>
    <w:rsid w:val="5B46607F"/>
    <w:rsid w:val="5B46DF59"/>
    <w:rsid w:val="5B470101"/>
    <w:rsid w:val="5B4877BB"/>
    <w:rsid w:val="5B4AA162"/>
    <w:rsid w:val="5B4BD43A"/>
    <w:rsid w:val="5B4C9187"/>
    <w:rsid w:val="5B500AC4"/>
    <w:rsid w:val="5B50C7DC"/>
    <w:rsid w:val="5B51F159"/>
    <w:rsid w:val="5B52890A"/>
    <w:rsid w:val="5B530E85"/>
    <w:rsid w:val="5B535ADF"/>
    <w:rsid w:val="5B54408E"/>
    <w:rsid w:val="5B546EF6"/>
    <w:rsid w:val="5B553EB1"/>
    <w:rsid w:val="5B555649"/>
    <w:rsid w:val="5B55CB5B"/>
    <w:rsid w:val="5B55DF67"/>
    <w:rsid w:val="5B56039A"/>
    <w:rsid w:val="5B56FEB9"/>
    <w:rsid w:val="5B5A5FA6"/>
    <w:rsid w:val="5B5A76FD"/>
    <w:rsid w:val="5B5AF7CD"/>
    <w:rsid w:val="5B5B1C2F"/>
    <w:rsid w:val="5B5B5C74"/>
    <w:rsid w:val="5B5B9457"/>
    <w:rsid w:val="5B5DBF14"/>
    <w:rsid w:val="5B5FB684"/>
    <w:rsid w:val="5B605120"/>
    <w:rsid w:val="5B6137D9"/>
    <w:rsid w:val="5B66D8B1"/>
    <w:rsid w:val="5B68234D"/>
    <w:rsid w:val="5B6CF7A1"/>
    <w:rsid w:val="5B6D3B1B"/>
    <w:rsid w:val="5B712311"/>
    <w:rsid w:val="5B75511A"/>
    <w:rsid w:val="5B75841A"/>
    <w:rsid w:val="5B76CDA2"/>
    <w:rsid w:val="5B779507"/>
    <w:rsid w:val="5B7BB399"/>
    <w:rsid w:val="5B7CE828"/>
    <w:rsid w:val="5B7FB3A0"/>
    <w:rsid w:val="5B85934F"/>
    <w:rsid w:val="5B85F829"/>
    <w:rsid w:val="5B86395F"/>
    <w:rsid w:val="5B87901D"/>
    <w:rsid w:val="5B8BFEE0"/>
    <w:rsid w:val="5B8F64DA"/>
    <w:rsid w:val="5B91B594"/>
    <w:rsid w:val="5B93877E"/>
    <w:rsid w:val="5B977095"/>
    <w:rsid w:val="5B98A12F"/>
    <w:rsid w:val="5B9C0C15"/>
    <w:rsid w:val="5B9D5635"/>
    <w:rsid w:val="5BA0A340"/>
    <w:rsid w:val="5BA17D8D"/>
    <w:rsid w:val="5BA1B460"/>
    <w:rsid w:val="5BA3C22A"/>
    <w:rsid w:val="5BAA28F4"/>
    <w:rsid w:val="5BAFA9C9"/>
    <w:rsid w:val="5BB02509"/>
    <w:rsid w:val="5BB4953F"/>
    <w:rsid w:val="5BB6CC87"/>
    <w:rsid w:val="5BB91F84"/>
    <w:rsid w:val="5BBC440B"/>
    <w:rsid w:val="5BBD929A"/>
    <w:rsid w:val="5BBFA9AD"/>
    <w:rsid w:val="5BC10DD4"/>
    <w:rsid w:val="5BC1ABA7"/>
    <w:rsid w:val="5BC1DA8F"/>
    <w:rsid w:val="5BC2626C"/>
    <w:rsid w:val="5BC29B16"/>
    <w:rsid w:val="5BC97041"/>
    <w:rsid w:val="5BCC20B6"/>
    <w:rsid w:val="5BCC409C"/>
    <w:rsid w:val="5BCD94B6"/>
    <w:rsid w:val="5BD24176"/>
    <w:rsid w:val="5BD247E3"/>
    <w:rsid w:val="5BD4F9FE"/>
    <w:rsid w:val="5BDBA571"/>
    <w:rsid w:val="5BDC0A03"/>
    <w:rsid w:val="5BDD6B62"/>
    <w:rsid w:val="5BDE1C91"/>
    <w:rsid w:val="5BDF6ED8"/>
    <w:rsid w:val="5BE071FF"/>
    <w:rsid w:val="5BE0C606"/>
    <w:rsid w:val="5BE4F140"/>
    <w:rsid w:val="5BE524E7"/>
    <w:rsid w:val="5BE58BB3"/>
    <w:rsid w:val="5BE65F2F"/>
    <w:rsid w:val="5BE7B95C"/>
    <w:rsid w:val="5BEA1682"/>
    <w:rsid w:val="5BEA23FC"/>
    <w:rsid w:val="5BEC39A0"/>
    <w:rsid w:val="5BEDAF0E"/>
    <w:rsid w:val="5BEDE8A5"/>
    <w:rsid w:val="5BF029A6"/>
    <w:rsid w:val="5BF3384C"/>
    <w:rsid w:val="5BF40633"/>
    <w:rsid w:val="5BF56802"/>
    <w:rsid w:val="5BFAFE8B"/>
    <w:rsid w:val="5BFC1A2F"/>
    <w:rsid w:val="5BFD0422"/>
    <w:rsid w:val="5BFD5515"/>
    <w:rsid w:val="5C01D7A7"/>
    <w:rsid w:val="5C0286BD"/>
    <w:rsid w:val="5C02FAA4"/>
    <w:rsid w:val="5C05F174"/>
    <w:rsid w:val="5C0811DE"/>
    <w:rsid w:val="5C0CA5FF"/>
    <w:rsid w:val="5C0F4491"/>
    <w:rsid w:val="5C101DCF"/>
    <w:rsid w:val="5C115AC8"/>
    <w:rsid w:val="5C14AB04"/>
    <w:rsid w:val="5C151E4C"/>
    <w:rsid w:val="5C153F2C"/>
    <w:rsid w:val="5C15693A"/>
    <w:rsid w:val="5C195901"/>
    <w:rsid w:val="5C1A302C"/>
    <w:rsid w:val="5C21E490"/>
    <w:rsid w:val="5C229272"/>
    <w:rsid w:val="5C22F9BE"/>
    <w:rsid w:val="5C24235B"/>
    <w:rsid w:val="5C24B706"/>
    <w:rsid w:val="5C24D501"/>
    <w:rsid w:val="5C259BD7"/>
    <w:rsid w:val="5C25F17B"/>
    <w:rsid w:val="5C2C3D9C"/>
    <w:rsid w:val="5C31062F"/>
    <w:rsid w:val="5C3442A1"/>
    <w:rsid w:val="5C38E58C"/>
    <w:rsid w:val="5C3A5833"/>
    <w:rsid w:val="5C3AAA2F"/>
    <w:rsid w:val="5C3AFACB"/>
    <w:rsid w:val="5C3DE6ED"/>
    <w:rsid w:val="5C416E60"/>
    <w:rsid w:val="5C444115"/>
    <w:rsid w:val="5C4602A1"/>
    <w:rsid w:val="5C4BDC48"/>
    <w:rsid w:val="5C4CE817"/>
    <w:rsid w:val="5C4F1FB2"/>
    <w:rsid w:val="5C50F171"/>
    <w:rsid w:val="5C50FDA5"/>
    <w:rsid w:val="5C52A723"/>
    <w:rsid w:val="5C54594B"/>
    <w:rsid w:val="5C54E0F1"/>
    <w:rsid w:val="5C54FD65"/>
    <w:rsid w:val="5C553AC9"/>
    <w:rsid w:val="5C57E8B1"/>
    <w:rsid w:val="5C5CDC0C"/>
    <w:rsid w:val="5C5E8AAD"/>
    <w:rsid w:val="5C5ECDED"/>
    <w:rsid w:val="5C602CE0"/>
    <w:rsid w:val="5C6069E1"/>
    <w:rsid w:val="5C62A4B3"/>
    <w:rsid w:val="5C64CAD5"/>
    <w:rsid w:val="5C68A67B"/>
    <w:rsid w:val="5C68AC54"/>
    <w:rsid w:val="5C690ED9"/>
    <w:rsid w:val="5C6C9BFA"/>
    <w:rsid w:val="5C6FBC81"/>
    <w:rsid w:val="5C70D1EC"/>
    <w:rsid w:val="5C723BF0"/>
    <w:rsid w:val="5C732832"/>
    <w:rsid w:val="5C76434D"/>
    <w:rsid w:val="5C764C35"/>
    <w:rsid w:val="5C79D0B1"/>
    <w:rsid w:val="5C7A3EFD"/>
    <w:rsid w:val="5C7C0A3F"/>
    <w:rsid w:val="5C7F9521"/>
    <w:rsid w:val="5C80F1C2"/>
    <w:rsid w:val="5C8A3B97"/>
    <w:rsid w:val="5C8D0C8A"/>
    <w:rsid w:val="5C8E5376"/>
    <w:rsid w:val="5C8E6765"/>
    <w:rsid w:val="5C8F4D5E"/>
    <w:rsid w:val="5C93DD4E"/>
    <w:rsid w:val="5C95EFAD"/>
    <w:rsid w:val="5C96A58B"/>
    <w:rsid w:val="5C97BEB6"/>
    <w:rsid w:val="5C984BC4"/>
    <w:rsid w:val="5C9AC0C2"/>
    <w:rsid w:val="5CA1E1AE"/>
    <w:rsid w:val="5CA20B3E"/>
    <w:rsid w:val="5CA24BBD"/>
    <w:rsid w:val="5CA3D60A"/>
    <w:rsid w:val="5CA66117"/>
    <w:rsid w:val="5CAC45A7"/>
    <w:rsid w:val="5CACF66F"/>
    <w:rsid w:val="5CAD9273"/>
    <w:rsid w:val="5CAECC5E"/>
    <w:rsid w:val="5CAF6696"/>
    <w:rsid w:val="5CB0FE36"/>
    <w:rsid w:val="5CB1D1B2"/>
    <w:rsid w:val="5CB245BA"/>
    <w:rsid w:val="5CB51F9F"/>
    <w:rsid w:val="5CB60F04"/>
    <w:rsid w:val="5CB7DD2D"/>
    <w:rsid w:val="5CBE1A6A"/>
    <w:rsid w:val="5CC049E6"/>
    <w:rsid w:val="5CC446E0"/>
    <w:rsid w:val="5CC81F96"/>
    <w:rsid w:val="5CCBACDB"/>
    <w:rsid w:val="5CCBBA1E"/>
    <w:rsid w:val="5CCED581"/>
    <w:rsid w:val="5CCF0E47"/>
    <w:rsid w:val="5CCFEE3E"/>
    <w:rsid w:val="5CD085A6"/>
    <w:rsid w:val="5CD1FD7A"/>
    <w:rsid w:val="5CD499A5"/>
    <w:rsid w:val="5CD4F5F0"/>
    <w:rsid w:val="5CD5F319"/>
    <w:rsid w:val="5CD6B152"/>
    <w:rsid w:val="5CD8F397"/>
    <w:rsid w:val="5CDBE6B0"/>
    <w:rsid w:val="5CDEB5E0"/>
    <w:rsid w:val="5CE0181E"/>
    <w:rsid w:val="5CE2D484"/>
    <w:rsid w:val="5CE47D5E"/>
    <w:rsid w:val="5CE6E674"/>
    <w:rsid w:val="5CE8D995"/>
    <w:rsid w:val="5CE9E4ED"/>
    <w:rsid w:val="5CEA0261"/>
    <w:rsid w:val="5CEC8F0C"/>
    <w:rsid w:val="5CEDE387"/>
    <w:rsid w:val="5CEE2BD5"/>
    <w:rsid w:val="5CEF706F"/>
    <w:rsid w:val="5CF96A09"/>
    <w:rsid w:val="5CFD62DA"/>
    <w:rsid w:val="5CFEBDF1"/>
    <w:rsid w:val="5D022DB5"/>
    <w:rsid w:val="5D02A912"/>
    <w:rsid w:val="5D02FA9E"/>
    <w:rsid w:val="5D030A99"/>
    <w:rsid w:val="5D056717"/>
    <w:rsid w:val="5D066997"/>
    <w:rsid w:val="5D08CD22"/>
    <w:rsid w:val="5D09B8CD"/>
    <w:rsid w:val="5D0D03BF"/>
    <w:rsid w:val="5D0D6F25"/>
    <w:rsid w:val="5D0F78D0"/>
    <w:rsid w:val="5D13CD91"/>
    <w:rsid w:val="5D1594F3"/>
    <w:rsid w:val="5D17E011"/>
    <w:rsid w:val="5D188C1D"/>
    <w:rsid w:val="5D1D6B56"/>
    <w:rsid w:val="5D1E96B7"/>
    <w:rsid w:val="5D236BB8"/>
    <w:rsid w:val="5D240DE1"/>
    <w:rsid w:val="5D245EF4"/>
    <w:rsid w:val="5D268CCB"/>
    <w:rsid w:val="5D2C92A2"/>
    <w:rsid w:val="5D2F73DC"/>
    <w:rsid w:val="5D308779"/>
    <w:rsid w:val="5D309AAB"/>
    <w:rsid w:val="5D3221CD"/>
    <w:rsid w:val="5D3520C4"/>
    <w:rsid w:val="5D36A043"/>
    <w:rsid w:val="5D3C7F76"/>
    <w:rsid w:val="5D3E618F"/>
    <w:rsid w:val="5D3E8F74"/>
    <w:rsid w:val="5D3EBE85"/>
    <w:rsid w:val="5D3F6FDD"/>
    <w:rsid w:val="5D40E0C3"/>
    <w:rsid w:val="5D420026"/>
    <w:rsid w:val="5D4751C2"/>
    <w:rsid w:val="5D48916F"/>
    <w:rsid w:val="5D4A8F4E"/>
    <w:rsid w:val="5D4AE78A"/>
    <w:rsid w:val="5D4AFE3D"/>
    <w:rsid w:val="5D4B0F05"/>
    <w:rsid w:val="5D4D6BE9"/>
    <w:rsid w:val="5D4F9F73"/>
    <w:rsid w:val="5D525BFA"/>
    <w:rsid w:val="5D5549DD"/>
    <w:rsid w:val="5D56EE8A"/>
    <w:rsid w:val="5D574FE1"/>
    <w:rsid w:val="5D577877"/>
    <w:rsid w:val="5D585A77"/>
    <w:rsid w:val="5D58C3EA"/>
    <w:rsid w:val="5D5C053E"/>
    <w:rsid w:val="5D5F1E5C"/>
    <w:rsid w:val="5D637CD7"/>
    <w:rsid w:val="5D64E9B5"/>
    <w:rsid w:val="5D66786A"/>
    <w:rsid w:val="5D669024"/>
    <w:rsid w:val="5D67323B"/>
    <w:rsid w:val="5D687F5F"/>
    <w:rsid w:val="5D6AEA57"/>
    <w:rsid w:val="5D6BA987"/>
    <w:rsid w:val="5D6CE229"/>
    <w:rsid w:val="5D6D9977"/>
    <w:rsid w:val="5D6EA083"/>
    <w:rsid w:val="5D6F94B8"/>
    <w:rsid w:val="5D71EDFC"/>
    <w:rsid w:val="5D730EB8"/>
    <w:rsid w:val="5D74FFD5"/>
    <w:rsid w:val="5D75EE2A"/>
    <w:rsid w:val="5D78F0C2"/>
    <w:rsid w:val="5D797960"/>
    <w:rsid w:val="5D798633"/>
    <w:rsid w:val="5D7AAB5B"/>
    <w:rsid w:val="5D7B951F"/>
    <w:rsid w:val="5D7BF3F6"/>
    <w:rsid w:val="5D7EEC2D"/>
    <w:rsid w:val="5D7FBA4C"/>
    <w:rsid w:val="5D7FC03B"/>
    <w:rsid w:val="5D80476D"/>
    <w:rsid w:val="5D8320F0"/>
    <w:rsid w:val="5D83889E"/>
    <w:rsid w:val="5D841C5F"/>
    <w:rsid w:val="5D86E0A2"/>
    <w:rsid w:val="5D878570"/>
    <w:rsid w:val="5D88091F"/>
    <w:rsid w:val="5D882895"/>
    <w:rsid w:val="5D8A11D2"/>
    <w:rsid w:val="5D8BE701"/>
    <w:rsid w:val="5D8D4546"/>
    <w:rsid w:val="5D8DF18E"/>
    <w:rsid w:val="5D8E09FC"/>
    <w:rsid w:val="5D8E388D"/>
    <w:rsid w:val="5D8E6539"/>
    <w:rsid w:val="5D8E8392"/>
    <w:rsid w:val="5D8F2657"/>
    <w:rsid w:val="5D8FBE83"/>
    <w:rsid w:val="5D92F526"/>
    <w:rsid w:val="5D997663"/>
    <w:rsid w:val="5D999120"/>
    <w:rsid w:val="5D99D02B"/>
    <w:rsid w:val="5D9B0F69"/>
    <w:rsid w:val="5D9BB907"/>
    <w:rsid w:val="5D9CAEDA"/>
    <w:rsid w:val="5D9D04AA"/>
    <w:rsid w:val="5D9DAAFC"/>
    <w:rsid w:val="5D9EFC76"/>
    <w:rsid w:val="5DA3AF12"/>
    <w:rsid w:val="5DA78F87"/>
    <w:rsid w:val="5DA92302"/>
    <w:rsid w:val="5DA9B817"/>
    <w:rsid w:val="5DAA5A32"/>
    <w:rsid w:val="5DAB7A59"/>
    <w:rsid w:val="5DABEE30"/>
    <w:rsid w:val="5DAC0EE9"/>
    <w:rsid w:val="5DAD7554"/>
    <w:rsid w:val="5DB1DE94"/>
    <w:rsid w:val="5DB1EECA"/>
    <w:rsid w:val="5DB315B0"/>
    <w:rsid w:val="5DB38556"/>
    <w:rsid w:val="5DB4A7B5"/>
    <w:rsid w:val="5DB6DF92"/>
    <w:rsid w:val="5DBD0CB6"/>
    <w:rsid w:val="5DBD8869"/>
    <w:rsid w:val="5DBF537F"/>
    <w:rsid w:val="5DC15E8D"/>
    <w:rsid w:val="5DC26787"/>
    <w:rsid w:val="5DC7920E"/>
    <w:rsid w:val="5DC9A93F"/>
    <w:rsid w:val="5DCDC7F5"/>
    <w:rsid w:val="5DD23776"/>
    <w:rsid w:val="5DD549EA"/>
    <w:rsid w:val="5DD5F95E"/>
    <w:rsid w:val="5DD91256"/>
    <w:rsid w:val="5DDC2B0D"/>
    <w:rsid w:val="5DDD7371"/>
    <w:rsid w:val="5DE06614"/>
    <w:rsid w:val="5DE5CA74"/>
    <w:rsid w:val="5DE77A76"/>
    <w:rsid w:val="5DEB37ED"/>
    <w:rsid w:val="5DED7172"/>
    <w:rsid w:val="5DEDF1A0"/>
    <w:rsid w:val="5DEF5535"/>
    <w:rsid w:val="5DF4262C"/>
    <w:rsid w:val="5DF5EFE1"/>
    <w:rsid w:val="5DFA8FEC"/>
    <w:rsid w:val="5DFB5098"/>
    <w:rsid w:val="5DFDAADF"/>
    <w:rsid w:val="5DFECA31"/>
    <w:rsid w:val="5E0065C9"/>
    <w:rsid w:val="5E00B1A0"/>
    <w:rsid w:val="5E00B670"/>
    <w:rsid w:val="5E020F6C"/>
    <w:rsid w:val="5E03401B"/>
    <w:rsid w:val="5E041BC3"/>
    <w:rsid w:val="5E09A389"/>
    <w:rsid w:val="5E0A458B"/>
    <w:rsid w:val="5E0B7DD3"/>
    <w:rsid w:val="5E0B87D7"/>
    <w:rsid w:val="5E0EAAC3"/>
    <w:rsid w:val="5E1127B0"/>
    <w:rsid w:val="5E11A188"/>
    <w:rsid w:val="5E13A4B0"/>
    <w:rsid w:val="5E1738BD"/>
    <w:rsid w:val="5E1B8112"/>
    <w:rsid w:val="5E1BFFDB"/>
    <w:rsid w:val="5E1C5C5A"/>
    <w:rsid w:val="5E1DAC26"/>
    <w:rsid w:val="5E1F8A25"/>
    <w:rsid w:val="5E220AA8"/>
    <w:rsid w:val="5E242CE5"/>
    <w:rsid w:val="5E24894A"/>
    <w:rsid w:val="5E2712D7"/>
    <w:rsid w:val="5E275754"/>
    <w:rsid w:val="5E29722E"/>
    <w:rsid w:val="5E2C6769"/>
    <w:rsid w:val="5E2CCC8E"/>
    <w:rsid w:val="5E2D982E"/>
    <w:rsid w:val="5E2E949E"/>
    <w:rsid w:val="5E2FC21C"/>
    <w:rsid w:val="5E32DD00"/>
    <w:rsid w:val="5E3AB765"/>
    <w:rsid w:val="5E3E1414"/>
    <w:rsid w:val="5E3FF708"/>
    <w:rsid w:val="5E41B41E"/>
    <w:rsid w:val="5E44AB3C"/>
    <w:rsid w:val="5E462A62"/>
    <w:rsid w:val="5E4AF59A"/>
    <w:rsid w:val="5E4DCD7A"/>
    <w:rsid w:val="5E5173F5"/>
    <w:rsid w:val="5E51B653"/>
    <w:rsid w:val="5E51F17A"/>
    <w:rsid w:val="5E548CF3"/>
    <w:rsid w:val="5E573868"/>
    <w:rsid w:val="5E5C59FD"/>
    <w:rsid w:val="5E5E5EDB"/>
    <w:rsid w:val="5E61B15F"/>
    <w:rsid w:val="5E669F64"/>
    <w:rsid w:val="5E68707D"/>
    <w:rsid w:val="5E6AA7AD"/>
    <w:rsid w:val="5E6B6AE9"/>
    <w:rsid w:val="5E6BF36B"/>
    <w:rsid w:val="5E72D32B"/>
    <w:rsid w:val="5E73BCDB"/>
    <w:rsid w:val="5E75D6A1"/>
    <w:rsid w:val="5E761ECC"/>
    <w:rsid w:val="5E763CAA"/>
    <w:rsid w:val="5E78C02C"/>
    <w:rsid w:val="5E791071"/>
    <w:rsid w:val="5E7AF936"/>
    <w:rsid w:val="5E7D25B0"/>
    <w:rsid w:val="5E7F0697"/>
    <w:rsid w:val="5E8250F3"/>
    <w:rsid w:val="5E8474C7"/>
    <w:rsid w:val="5E84A9F6"/>
    <w:rsid w:val="5E85EFEF"/>
    <w:rsid w:val="5E87901E"/>
    <w:rsid w:val="5E88392C"/>
    <w:rsid w:val="5E88A844"/>
    <w:rsid w:val="5E8CA31D"/>
    <w:rsid w:val="5E8ECCB8"/>
    <w:rsid w:val="5E9242CD"/>
    <w:rsid w:val="5E9647F3"/>
    <w:rsid w:val="5E9664C5"/>
    <w:rsid w:val="5E96A207"/>
    <w:rsid w:val="5E99E657"/>
    <w:rsid w:val="5E9F040A"/>
    <w:rsid w:val="5E9F671C"/>
    <w:rsid w:val="5E9FBB2D"/>
    <w:rsid w:val="5EA211C0"/>
    <w:rsid w:val="5EA6D677"/>
    <w:rsid w:val="5EA7667B"/>
    <w:rsid w:val="5EA7DD99"/>
    <w:rsid w:val="5EAA53C4"/>
    <w:rsid w:val="5EAFA96C"/>
    <w:rsid w:val="5EAFD505"/>
    <w:rsid w:val="5EB46B65"/>
    <w:rsid w:val="5EC0F063"/>
    <w:rsid w:val="5EC10DD7"/>
    <w:rsid w:val="5EC1FE01"/>
    <w:rsid w:val="5EC34B36"/>
    <w:rsid w:val="5EC4F4F0"/>
    <w:rsid w:val="5ECC98ED"/>
    <w:rsid w:val="5ED1C8E7"/>
    <w:rsid w:val="5ED2D2B4"/>
    <w:rsid w:val="5EDA9C1C"/>
    <w:rsid w:val="5EDB1C31"/>
    <w:rsid w:val="5EDE48A5"/>
    <w:rsid w:val="5EDE5451"/>
    <w:rsid w:val="5EE14C90"/>
    <w:rsid w:val="5EE2DFFF"/>
    <w:rsid w:val="5EE6185C"/>
    <w:rsid w:val="5EE79DAC"/>
    <w:rsid w:val="5EE79EB0"/>
    <w:rsid w:val="5EE8569D"/>
    <w:rsid w:val="5EEE4677"/>
    <w:rsid w:val="5EF03059"/>
    <w:rsid w:val="5EF11276"/>
    <w:rsid w:val="5EF1D3BA"/>
    <w:rsid w:val="5EF274AE"/>
    <w:rsid w:val="5EF28907"/>
    <w:rsid w:val="5EF2E10E"/>
    <w:rsid w:val="5EF328E5"/>
    <w:rsid w:val="5EF6E39D"/>
    <w:rsid w:val="5EF81F26"/>
    <w:rsid w:val="5EF836E1"/>
    <w:rsid w:val="5EF8DC16"/>
    <w:rsid w:val="5EF93AED"/>
    <w:rsid w:val="5EFA3B9C"/>
    <w:rsid w:val="5EFCF02C"/>
    <w:rsid w:val="5EFF9D40"/>
    <w:rsid w:val="5F00C3C0"/>
    <w:rsid w:val="5F012609"/>
    <w:rsid w:val="5F01D139"/>
    <w:rsid w:val="5F030848"/>
    <w:rsid w:val="5F036CC6"/>
    <w:rsid w:val="5F03E9CD"/>
    <w:rsid w:val="5F0663B5"/>
    <w:rsid w:val="5F07C552"/>
    <w:rsid w:val="5F09ADAA"/>
    <w:rsid w:val="5F0A6F88"/>
    <w:rsid w:val="5F0A947B"/>
    <w:rsid w:val="5F0BC287"/>
    <w:rsid w:val="5F0F6FF2"/>
    <w:rsid w:val="5F10D2A4"/>
    <w:rsid w:val="5F10F30C"/>
    <w:rsid w:val="5F11C6E0"/>
    <w:rsid w:val="5F1359FB"/>
    <w:rsid w:val="5F1378C6"/>
    <w:rsid w:val="5F13B31D"/>
    <w:rsid w:val="5F143508"/>
    <w:rsid w:val="5F1755B8"/>
    <w:rsid w:val="5F1A6180"/>
    <w:rsid w:val="5F209BE6"/>
    <w:rsid w:val="5F20A9B8"/>
    <w:rsid w:val="5F21D4EF"/>
    <w:rsid w:val="5F25F68E"/>
    <w:rsid w:val="5F26B897"/>
    <w:rsid w:val="5F27E676"/>
    <w:rsid w:val="5F2C6128"/>
    <w:rsid w:val="5F2DF189"/>
    <w:rsid w:val="5F30C218"/>
    <w:rsid w:val="5F315971"/>
    <w:rsid w:val="5F32C1DE"/>
    <w:rsid w:val="5F377434"/>
    <w:rsid w:val="5F381120"/>
    <w:rsid w:val="5F39AAB4"/>
    <w:rsid w:val="5F43B6DE"/>
    <w:rsid w:val="5F454FA1"/>
    <w:rsid w:val="5F465810"/>
    <w:rsid w:val="5F46DADE"/>
    <w:rsid w:val="5F47D12B"/>
    <w:rsid w:val="5F4B1C2C"/>
    <w:rsid w:val="5F4B28D8"/>
    <w:rsid w:val="5F4BEFA5"/>
    <w:rsid w:val="5F4FE6FE"/>
    <w:rsid w:val="5F518DD1"/>
    <w:rsid w:val="5F51A023"/>
    <w:rsid w:val="5F51DA66"/>
    <w:rsid w:val="5F543091"/>
    <w:rsid w:val="5F54CFF9"/>
    <w:rsid w:val="5F55B877"/>
    <w:rsid w:val="5F597768"/>
    <w:rsid w:val="5F5A5D1D"/>
    <w:rsid w:val="5F5BC41D"/>
    <w:rsid w:val="5F5F116E"/>
    <w:rsid w:val="5F628709"/>
    <w:rsid w:val="5F65329F"/>
    <w:rsid w:val="5F660C39"/>
    <w:rsid w:val="5F661017"/>
    <w:rsid w:val="5F666535"/>
    <w:rsid w:val="5F67403C"/>
    <w:rsid w:val="5F67FB2B"/>
    <w:rsid w:val="5F6DFCA4"/>
    <w:rsid w:val="5F6FFB9B"/>
    <w:rsid w:val="5F710752"/>
    <w:rsid w:val="5F71F8F5"/>
    <w:rsid w:val="5F725D9C"/>
    <w:rsid w:val="5F74F28D"/>
    <w:rsid w:val="5F7503DF"/>
    <w:rsid w:val="5F7D4388"/>
    <w:rsid w:val="5F7DF4C4"/>
    <w:rsid w:val="5F7E3290"/>
    <w:rsid w:val="5F7FF094"/>
    <w:rsid w:val="5F82D1F9"/>
    <w:rsid w:val="5F88A0CC"/>
    <w:rsid w:val="5F89F65F"/>
    <w:rsid w:val="5F8AE101"/>
    <w:rsid w:val="5F8BD880"/>
    <w:rsid w:val="5F8E0892"/>
    <w:rsid w:val="5F8E6118"/>
    <w:rsid w:val="5F8EB457"/>
    <w:rsid w:val="5F8F46C2"/>
    <w:rsid w:val="5F90B0E1"/>
    <w:rsid w:val="5F91AA49"/>
    <w:rsid w:val="5F95872D"/>
    <w:rsid w:val="5F9D96B1"/>
    <w:rsid w:val="5F9DE89F"/>
    <w:rsid w:val="5F9E14B1"/>
    <w:rsid w:val="5FA25313"/>
    <w:rsid w:val="5FA32F07"/>
    <w:rsid w:val="5FA3DBAB"/>
    <w:rsid w:val="5FA4391E"/>
    <w:rsid w:val="5FA45BF8"/>
    <w:rsid w:val="5FA4BC6C"/>
    <w:rsid w:val="5FA8265D"/>
    <w:rsid w:val="5FA85A50"/>
    <w:rsid w:val="5FAA64C5"/>
    <w:rsid w:val="5FAA8EA3"/>
    <w:rsid w:val="5FAAE6CA"/>
    <w:rsid w:val="5FAB7B21"/>
    <w:rsid w:val="5FAC4E34"/>
    <w:rsid w:val="5FAF1AC2"/>
    <w:rsid w:val="5FB13321"/>
    <w:rsid w:val="5FB1EDB6"/>
    <w:rsid w:val="5FB2F858"/>
    <w:rsid w:val="5FB53112"/>
    <w:rsid w:val="5FB9AD74"/>
    <w:rsid w:val="5FB9D708"/>
    <w:rsid w:val="5FBC9BAD"/>
    <w:rsid w:val="5FBD4C94"/>
    <w:rsid w:val="5FC34136"/>
    <w:rsid w:val="5FC62A6D"/>
    <w:rsid w:val="5FC6C96F"/>
    <w:rsid w:val="5FC7F73B"/>
    <w:rsid w:val="5FCE5DC9"/>
    <w:rsid w:val="5FCEAD61"/>
    <w:rsid w:val="5FD1F14B"/>
    <w:rsid w:val="5FD3E322"/>
    <w:rsid w:val="5FD4591D"/>
    <w:rsid w:val="5FD48769"/>
    <w:rsid w:val="5FD53B50"/>
    <w:rsid w:val="5FD7A1B4"/>
    <w:rsid w:val="5FD9422E"/>
    <w:rsid w:val="5FDDE6A8"/>
    <w:rsid w:val="5FDE1715"/>
    <w:rsid w:val="5FE10907"/>
    <w:rsid w:val="5FE12FB4"/>
    <w:rsid w:val="5FE1F067"/>
    <w:rsid w:val="5FE2CEBA"/>
    <w:rsid w:val="5FE49802"/>
    <w:rsid w:val="5FE7AE5D"/>
    <w:rsid w:val="5FE8D5AB"/>
    <w:rsid w:val="5FEAD997"/>
    <w:rsid w:val="5FEC049C"/>
    <w:rsid w:val="5FEE6F57"/>
    <w:rsid w:val="5FEF9B9B"/>
    <w:rsid w:val="5FF0E5D6"/>
    <w:rsid w:val="5FF19F0E"/>
    <w:rsid w:val="5FF552FE"/>
    <w:rsid w:val="5FF57985"/>
    <w:rsid w:val="5FF86595"/>
    <w:rsid w:val="5FF8C305"/>
    <w:rsid w:val="5FFBA0E3"/>
    <w:rsid w:val="5FFF9E6C"/>
    <w:rsid w:val="60003898"/>
    <w:rsid w:val="6001669C"/>
    <w:rsid w:val="600440DE"/>
    <w:rsid w:val="6004DF7F"/>
    <w:rsid w:val="600751FA"/>
    <w:rsid w:val="6007561D"/>
    <w:rsid w:val="600B43F0"/>
    <w:rsid w:val="600DFD1A"/>
    <w:rsid w:val="600EFB4F"/>
    <w:rsid w:val="6010EEC2"/>
    <w:rsid w:val="6012EDEF"/>
    <w:rsid w:val="6015FD1B"/>
    <w:rsid w:val="6016530C"/>
    <w:rsid w:val="60172AC0"/>
    <w:rsid w:val="60179BE9"/>
    <w:rsid w:val="601871D6"/>
    <w:rsid w:val="6019A969"/>
    <w:rsid w:val="601E5FAB"/>
    <w:rsid w:val="601ED23F"/>
    <w:rsid w:val="601F1F5A"/>
    <w:rsid w:val="6020E151"/>
    <w:rsid w:val="60214B3D"/>
    <w:rsid w:val="60216249"/>
    <w:rsid w:val="6021AB19"/>
    <w:rsid w:val="6029E83B"/>
    <w:rsid w:val="602C617E"/>
    <w:rsid w:val="602D822B"/>
    <w:rsid w:val="602DD2B8"/>
    <w:rsid w:val="602F2392"/>
    <w:rsid w:val="602F3128"/>
    <w:rsid w:val="60300519"/>
    <w:rsid w:val="6030BBB4"/>
    <w:rsid w:val="6034FF6F"/>
    <w:rsid w:val="6037AE3A"/>
    <w:rsid w:val="6038833B"/>
    <w:rsid w:val="6038F9CE"/>
    <w:rsid w:val="6039D51E"/>
    <w:rsid w:val="603AD3B4"/>
    <w:rsid w:val="603AF38A"/>
    <w:rsid w:val="603BA1CE"/>
    <w:rsid w:val="603BDFD7"/>
    <w:rsid w:val="603BFDB0"/>
    <w:rsid w:val="603E3BE3"/>
    <w:rsid w:val="6040D0FA"/>
    <w:rsid w:val="60428334"/>
    <w:rsid w:val="60435B4D"/>
    <w:rsid w:val="6045B74A"/>
    <w:rsid w:val="6045F263"/>
    <w:rsid w:val="6047379E"/>
    <w:rsid w:val="604B6024"/>
    <w:rsid w:val="604FD7EA"/>
    <w:rsid w:val="6051A17F"/>
    <w:rsid w:val="6054F5E6"/>
    <w:rsid w:val="60576B6B"/>
    <w:rsid w:val="605BAA90"/>
    <w:rsid w:val="605D9C95"/>
    <w:rsid w:val="605EA270"/>
    <w:rsid w:val="605EE4FA"/>
    <w:rsid w:val="605EEDE2"/>
    <w:rsid w:val="605F046C"/>
    <w:rsid w:val="605F8164"/>
    <w:rsid w:val="606679E3"/>
    <w:rsid w:val="6066DBA4"/>
    <w:rsid w:val="60679ECE"/>
    <w:rsid w:val="6067D52C"/>
    <w:rsid w:val="606A84E2"/>
    <w:rsid w:val="606E1899"/>
    <w:rsid w:val="606EBF36"/>
    <w:rsid w:val="60723015"/>
    <w:rsid w:val="6072B982"/>
    <w:rsid w:val="607864A3"/>
    <w:rsid w:val="60799CA0"/>
    <w:rsid w:val="607BF1F3"/>
    <w:rsid w:val="60807B6B"/>
    <w:rsid w:val="60836441"/>
    <w:rsid w:val="60847229"/>
    <w:rsid w:val="60879B77"/>
    <w:rsid w:val="60897E44"/>
    <w:rsid w:val="608A744C"/>
    <w:rsid w:val="608DEFDE"/>
    <w:rsid w:val="608EC272"/>
    <w:rsid w:val="608FEF5C"/>
    <w:rsid w:val="609044F7"/>
    <w:rsid w:val="6091E7DF"/>
    <w:rsid w:val="6092B7F1"/>
    <w:rsid w:val="60930C17"/>
    <w:rsid w:val="6096A0DB"/>
    <w:rsid w:val="60991D5B"/>
    <w:rsid w:val="6099A480"/>
    <w:rsid w:val="609A81CA"/>
    <w:rsid w:val="609C9421"/>
    <w:rsid w:val="609D6FED"/>
    <w:rsid w:val="609ED976"/>
    <w:rsid w:val="60A0C543"/>
    <w:rsid w:val="60A16D8A"/>
    <w:rsid w:val="60A4EAA0"/>
    <w:rsid w:val="60AA2681"/>
    <w:rsid w:val="60AA6E21"/>
    <w:rsid w:val="60AABFA1"/>
    <w:rsid w:val="60AAD2DA"/>
    <w:rsid w:val="60ABE21B"/>
    <w:rsid w:val="60AE0CAA"/>
    <w:rsid w:val="60AF2146"/>
    <w:rsid w:val="60B0D0EA"/>
    <w:rsid w:val="60B10520"/>
    <w:rsid w:val="60B25B25"/>
    <w:rsid w:val="60B3A232"/>
    <w:rsid w:val="60B4F921"/>
    <w:rsid w:val="60B78C91"/>
    <w:rsid w:val="60B81129"/>
    <w:rsid w:val="60B9CD5A"/>
    <w:rsid w:val="60BA7A3B"/>
    <w:rsid w:val="60BAF453"/>
    <w:rsid w:val="60BC88F6"/>
    <w:rsid w:val="60BFD4EC"/>
    <w:rsid w:val="60C205EE"/>
    <w:rsid w:val="60C21224"/>
    <w:rsid w:val="60C3B6D7"/>
    <w:rsid w:val="60C6E976"/>
    <w:rsid w:val="60C82BBC"/>
    <w:rsid w:val="60C91889"/>
    <w:rsid w:val="60C91C64"/>
    <w:rsid w:val="60CA0911"/>
    <w:rsid w:val="60CCE16A"/>
    <w:rsid w:val="60D33AB4"/>
    <w:rsid w:val="60D442D3"/>
    <w:rsid w:val="60D8D3B6"/>
    <w:rsid w:val="60DAE345"/>
    <w:rsid w:val="60E1C7BB"/>
    <w:rsid w:val="60E38EF2"/>
    <w:rsid w:val="60E4D9BF"/>
    <w:rsid w:val="60E6F757"/>
    <w:rsid w:val="60E8AAAB"/>
    <w:rsid w:val="60EA9840"/>
    <w:rsid w:val="60F0D51D"/>
    <w:rsid w:val="60F26519"/>
    <w:rsid w:val="60F39151"/>
    <w:rsid w:val="60F39794"/>
    <w:rsid w:val="60F56FFC"/>
    <w:rsid w:val="60F5907A"/>
    <w:rsid w:val="60F81028"/>
    <w:rsid w:val="60FB5E99"/>
    <w:rsid w:val="60FB99E4"/>
    <w:rsid w:val="60FC4E75"/>
    <w:rsid w:val="60FCA896"/>
    <w:rsid w:val="60FF176D"/>
    <w:rsid w:val="6102D2E7"/>
    <w:rsid w:val="610454EE"/>
    <w:rsid w:val="610748B9"/>
    <w:rsid w:val="6107F98B"/>
    <w:rsid w:val="610827C8"/>
    <w:rsid w:val="610BA745"/>
    <w:rsid w:val="610BF6DB"/>
    <w:rsid w:val="610D788A"/>
    <w:rsid w:val="610F54DD"/>
    <w:rsid w:val="61101E1A"/>
    <w:rsid w:val="6111BF69"/>
    <w:rsid w:val="61124156"/>
    <w:rsid w:val="6113B916"/>
    <w:rsid w:val="6113F7E2"/>
    <w:rsid w:val="61171CDF"/>
    <w:rsid w:val="61176678"/>
    <w:rsid w:val="611B2693"/>
    <w:rsid w:val="611C598E"/>
    <w:rsid w:val="611CDED5"/>
    <w:rsid w:val="6121EC62"/>
    <w:rsid w:val="61228E4E"/>
    <w:rsid w:val="6122927F"/>
    <w:rsid w:val="6124DB26"/>
    <w:rsid w:val="61257D99"/>
    <w:rsid w:val="61260D5E"/>
    <w:rsid w:val="6126C5FC"/>
    <w:rsid w:val="6127CA6E"/>
    <w:rsid w:val="6128721A"/>
    <w:rsid w:val="612A5422"/>
    <w:rsid w:val="612AD570"/>
    <w:rsid w:val="612F30FA"/>
    <w:rsid w:val="6130C801"/>
    <w:rsid w:val="61322B5F"/>
    <w:rsid w:val="613799C8"/>
    <w:rsid w:val="6138CB93"/>
    <w:rsid w:val="613A5B9D"/>
    <w:rsid w:val="613C595C"/>
    <w:rsid w:val="613CA1A8"/>
    <w:rsid w:val="613D5F0D"/>
    <w:rsid w:val="613DE2F7"/>
    <w:rsid w:val="61402C81"/>
    <w:rsid w:val="614037DD"/>
    <w:rsid w:val="61439192"/>
    <w:rsid w:val="61444A0F"/>
    <w:rsid w:val="614479A9"/>
    <w:rsid w:val="61461C28"/>
    <w:rsid w:val="61465D35"/>
    <w:rsid w:val="6147C4AB"/>
    <w:rsid w:val="6148C661"/>
    <w:rsid w:val="614C33E1"/>
    <w:rsid w:val="614EE555"/>
    <w:rsid w:val="614FBC3D"/>
    <w:rsid w:val="6153D4C6"/>
    <w:rsid w:val="61565DCC"/>
    <w:rsid w:val="6156A881"/>
    <w:rsid w:val="615715C4"/>
    <w:rsid w:val="616187AD"/>
    <w:rsid w:val="61633415"/>
    <w:rsid w:val="6164227C"/>
    <w:rsid w:val="61671DFE"/>
    <w:rsid w:val="61678A9D"/>
    <w:rsid w:val="61694128"/>
    <w:rsid w:val="6169AD24"/>
    <w:rsid w:val="616DC3F1"/>
    <w:rsid w:val="616FF38D"/>
    <w:rsid w:val="6170578E"/>
    <w:rsid w:val="61707A37"/>
    <w:rsid w:val="61719651"/>
    <w:rsid w:val="61769AEB"/>
    <w:rsid w:val="6176AF12"/>
    <w:rsid w:val="61771E62"/>
    <w:rsid w:val="617954E0"/>
    <w:rsid w:val="617B048F"/>
    <w:rsid w:val="617B0F2A"/>
    <w:rsid w:val="618154A6"/>
    <w:rsid w:val="6181D135"/>
    <w:rsid w:val="6186520A"/>
    <w:rsid w:val="61889769"/>
    <w:rsid w:val="618A47A3"/>
    <w:rsid w:val="618CD4BA"/>
    <w:rsid w:val="618CF11A"/>
    <w:rsid w:val="618DE49F"/>
    <w:rsid w:val="618E5D35"/>
    <w:rsid w:val="618FF512"/>
    <w:rsid w:val="6191A51F"/>
    <w:rsid w:val="6191D357"/>
    <w:rsid w:val="6192A7A7"/>
    <w:rsid w:val="6193B262"/>
    <w:rsid w:val="6193C803"/>
    <w:rsid w:val="61952F19"/>
    <w:rsid w:val="6195B813"/>
    <w:rsid w:val="6197468E"/>
    <w:rsid w:val="6198768D"/>
    <w:rsid w:val="61999076"/>
    <w:rsid w:val="619FC236"/>
    <w:rsid w:val="61A30CB4"/>
    <w:rsid w:val="61A6CBCB"/>
    <w:rsid w:val="61A7FB65"/>
    <w:rsid w:val="61A82280"/>
    <w:rsid w:val="61A87D87"/>
    <w:rsid w:val="61A8EBAC"/>
    <w:rsid w:val="61A94CAC"/>
    <w:rsid w:val="61A95390"/>
    <w:rsid w:val="61ACBF23"/>
    <w:rsid w:val="61B0FE1A"/>
    <w:rsid w:val="61B1A4F9"/>
    <w:rsid w:val="61B52331"/>
    <w:rsid w:val="61BC19CF"/>
    <w:rsid w:val="61BCEEED"/>
    <w:rsid w:val="61C33E3C"/>
    <w:rsid w:val="61C434E5"/>
    <w:rsid w:val="61C913AD"/>
    <w:rsid w:val="61C9E38F"/>
    <w:rsid w:val="61C9F191"/>
    <w:rsid w:val="61CA9DF8"/>
    <w:rsid w:val="61CFD499"/>
    <w:rsid w:val="61CFD5A8"/>
    <w:rsid w:val="61D0DFEA"/>
    <w:rsid w:val="61D94115"/>
    <w:rsid w:val="61DA7529"/>
    <w:rsid w:val="61DD56A7"/>
    <w:rsid w:val="61DE30B6"/>
    <w:rsid w:val="61E1AA11"/>
    <w:rsid w:val="61E1BCCF"/>
    <w:rsid w:val="61E22219"/>
    <w:rsid w:val="61E51F0F"/>
    <w:rsid w:val="61E53576"/>
    <w:rsid w:val="61E5B641"/>
    <w:rsid w:val="61E63995"/>
    <w:rsid w:val="61E6D854"/>
    <w:rsid w:val="61E8BCBB"/>
    <w:rsid w:val="61EE309C"/>
    <w:rsid w:val="61F4E321"/>
    <w:rsid w:val="61F539AD"/>
    <w:rsid w:val="61F9A5DD"/>
    <w:rsid w:val="61FBBD31"/>
    <w:rsid w:val="61FC9468"/>
    <w:rsid w:val="61FE2928"/>
    <w:rsid w:val="61FFD439"/>
    <w:rsid w:val="620551B5"/>
    <w:rsid w:val="6207C3F1"/>
    <w:rsid w:val="6207DC64"/>
    <w:rsid w:val="62083902"/>
    <w:rsid w:val="620962E6"/>
    <w:rsid w:val="6209EAB3"/>
    <w:rsid w:val="620A8F97"/>
    <w:rsid w:val="620F26DF"/>
    <w:rsid w:val="6211BC58"/>
    <w:rsid w:val="6212A6CA"/>
    <w:rsid w:val="62156D95"/>
    <w:rsid w:val="621886CF"/>
    <w:rsid w:val="621B113D"/>
    <w:rsid w:val="621C0292"/>
    <w:rsid w:val="621D17B6"/>
    <w:rsid w:val="62216175"/>
    <w:rsid w:val="6223AA6E"/>
    <w:rsid w:val="6229730D"/>
    <w:rsid w:val="622BCC4C"/>
    <w:rsid w:val="622E74C2"/>
    <w:rsid w:val="622EB461"/>
    <w:rsid w:val="622FFB49"/>
    <w:rsid w:val="623082EB"/>
    <w:rsid w:val="6231C066"/>
    <w:rsid w:val="6231FE91"/>
    <w:rsid w:val="6232DBBC"/>
    <w:rsid w:val="62339189"/>
    <w:rsid w:val="62341F81"/>
    <w:rsid w:val="6234F67B"/>
    <w:rsid w:val="623A1ACD"/>
    <w:rsid w:val="623C7A47"/>
    <w:rsid w:val="623E4EA3"/>
    <w:rsid w:val="623E62CC"/>
    <w:rsid w:val="624077AD"/>
    <w:rsid w:val="6240EB36"/>
    <w:rsid w:val="62498002"/>
    <w:rsid w:val="624A0B05"/>
    <w:rsid w:val="624C5A7A"/>
    <w:rsid w:val="624DFB29"/>
    <w:rsid w:val="624E63D4"/>
    <w:rsid w:val="624E7859"/>
    <w:rsid w:val="6251AF45"/>
    <w:rsid w:val="62559BAF"/>
    <w:rsid w:val="62584A7A"/>
    <w:rsid w:val="625B3B99"/>
    <w:rsid w:val="625C78BA"/>
    <w:rsid w:val="625D3E9B"/>
    <w:rsid w:val="625EFA48"/>
    <w:rsid w:val="625F2DC1"/>
    <w:rsid w:val="62614018"/>
    <w:rsid w:val="626160F1"/>
    <w:rsid w:val="62620C47"/>
    <w:rsid w:val="6262B0E3"/>
    <w:rsid w:val="626462C9"/>
    <w:rsid w:val="62652A63"/>
    <w:rsid w:val="62655D1E"/>
    <w:rsid w:val="626581A4"/>
    <w:rsid w:val="6265C93C"/>
    <w:rsid w:val="62674E58"/>
    <w:rsid w:val="626796E5"/>
    <w:rsid w:val="6268A902"/>
    <w:rsid w:val="626C6648"/>
    <w:rsid w:val="626FC9F8"/>
    <w:rsid w:val="6271471E"/>
    <w:rsid w:val="6273C7EF"/>
    <w:rsid w:val="627405D3"/>
    <w:rsid w:val="62752AB0"/>
    <w:rsid w:val="62779520"/>
    <w:rsid w:val="627A24CE"/>
    <w:rsid w:val="627B7074"/>
    <w:rsid w:val="627BFA6E"/>
    <w:rsid w:val="627CAA22"/>
    <w:rsid w:val="627CEAA7"/>
    <w:rsid w:val="627F8895"/>
    <w:rsid w:val="627FF567"/>
    <w:rsid w:val="62800656"/>
    <w:rsid w:val="6280AA20"/>
    <w:rsid w:val="628109FA"/>
    <w:rsid w:val="628203BF"/>
    <w:rsid w:val="6285D101"/>
    <w:rsid w:val="6287F760"/>
    <w:rsid w:val="628C1349"/>
    <w:rsid w:val="628FC350"/>
    <w:rsid w:val="6293147E"/>
    <w:rsid w:val="62940302"/>
    <w:rsid w:val="6294E841"/>
    <w:rsid w:val="6296293F"/>
    <w:rsid w:val="629953A4"/>
    <w:rsid w:val="629A3ED9"/>
    <w:rsid w:val="629B1FB2"/>
    <w:rsid w:val="62A0708F"/>
    <w:rsid w:val="62A07AE2"/>
    <w:rsid w:val="62A11067"/>
    <w:rsid w:val="62A27823"/>
    <w:rsid w:val="62A84A7A"/>
    <w:rsid w:val="62AACC79"/>
    <w:rsid w:val="62AEE3C1"/>
    <w:rsid w:val="62AEFAB0"/>
    <w:rsid w:val="62B6B351"/>
    <w:rsid w:val="62B9C802"/>
    <w:rsid w:val="62BA0978"/>
    <w:rsid w:val="62C34846"/>
    <w:rsid w:val="62C35F6F"/>
    <w:rsid w:val="62C94B0B"/>
    <w:rsid w:val="62C96516"/>
    <w:rsid w:val="62CA07BE"/>
    <w:rsid w:val="62CFE725"/>
    <w:rsid w:val="62D098FF"/>
    <w:rsid w:val="62D26F3C"/>
    <w:rsid w:val="62D3C67B"/>
    <w:rsid w:val="62D7481C"/>
    <w:rsid w:val="62D8BE7F"/>
    <w:rsid w:val="62D93065"/>
    <w:rsid w:val="62D9FFFC"/>
    <w:rsid w:val="62DC9C29"/>
    <w:rsid w:val="62DE75AB"/>
    <w:rsid w:val="62DF4E61"/>
    <w:rsid w:val="62DF9ECC"/>
    <w:rsid w:val="62E0F29C"/>
    <w:rsid w:val="62E741F4"/>
    <w:rsid w:val="62E87C86"/>
    <w:rsid w:val="62EAB5B6"/>
    <w:rsid w:val="62F0872A"/>
    <w:rsid w:val="62F1566B"/>
    <w:rsid w:val="62F70F85"/>
    <w:rsid w:val="62F7E076"/>
    <w:rsid w:val="62F831E7"/>
    <w:rsid w:val="62F92CB9"/>
    <w:rsid w:val="62FE77D1"/>
    <w:rsid w:val="62FE88B4"/>
    <w:rsid w:val="62FEAFC9"/>
    <w:rsid w:val="6301859D"/>
    <w:rsid w:val="630497F4"/>
    <w:rsid w:val="63066DF8"/>
    <w:rsid w:val="6306C5F4"/>
    <w:rsid w:val="6309B122"/>
    <w:rsid w:val="630B1449"/>
    <w:rsid w:val="630B805B"/>
    <w:rsid w:val="630F20D1"/>
    <w:rsid w:val="63100910"/>
    <w:rsid w:val="6311C189"/>
    <w:rsid w:val="63132536"/>
    <w:rsid w:val="63163CCA"/>
    <w:rsid w:val="6316806B"/>
    <w:rsid w:val="631BABEA"/>
    <w:rsid w:val="631F8C0E"/>
    <w:rsid w:val="63208FBE"/>
    <w:rsid w:val="63210209"/>
    <w:rsid w:val="6323DCE7"/>
    <w:rsid w:val="6326D0AF"/>
    <w:rsid w:val="63287F2A"/>
    <w:rsid w:val="63291F8B"/>
    <w:rsid w:val="632A58B4"/>
    <w:rsid w:val="632B29F1"/>
    <w:rsid w:val="632D43DE"/>
    <w:rsid w:val="63317A28"/>
    <w:rsid w:val="6336C8F1"/>
    <w:rsid w:val="6337FFAC"/>
    <w:rsid w:val="6338DD36"/>
    <w:rsid w:val="6338DDAC"/>
    <w:rsid w:val="63391847"/>
    <w:rsid w:val="633B4C90"/>
    <w:rsid w:val="633C7A27"/>
    <w:rsid w:val="633D424D"/>
    <w:rsid w:val="633DD6BE"/>
    <w:rsid w:val="6344FD93"/>
    <w:rsid w:val="6346A14A"/>
    <w:rsid w:val="6346AAB0"/>
    <w:rsid w:val="6348FC73"/>
    <w:rsid w:val="634901E1"/>
    <w:rsid w:val="634D73FB"/>
    <w:rsid w:val="634E2B13"/>
    <w:rsid w:val="634F45AD"/>
    <w:rsid w:val="63516147"/>
    <w:rsid w:val="6351D824"/>
    <w:rsid w:val="63521666"/>
    <w:rsid w:val="63529E1E"/>
    <w:rsid w:val="6354BA91"/>
    <w:rsid w:val="635608DA"/>
    <w:rsid w:val="6356B1C2"/>
    <w:rsid w:val="6357D4D1"/>
    <w:rsid w:val="63589E2C"/>
    <w:rsid w:val="63624846"/>
    <w:rsid w:val="6363B4AB"/>
    <w:rsid w:val="63652E5B"/>
    <w:rsid w:val="6365EAEE"/>
    <w:rsid w:val="636CA45E"/>
    <w:rsid w:val="636CB399"/>
    <w:rsid w:val="636DFF75"/>
    <w:rsid w:val="636EDAF2"/>
    <w:rsid w:val="6370776D"/>
    <w:rsid w:val="6370A67B"/>
    <w:rsid w:val="63748A74"/>
    <w:rsid w:val="637C968D"/>
    <w:rsid w:val="637D18A6"/>
    <w:rsid w:val="637F92E8"/>
    <w:rsid w:val="6380BFD9"/>
    <w:rsid w:val="6380D522"/>
    <w:rsid w:val="63811BBD"/>
    <w:rsid w:val="63836FBC"/>
    <w:rsid w:val="6388B513"/>
    <w:rsid w:val="638D4530"/>
    <w:rsid w:val="638F81F1"/>
    <w:rsid w:val="6390A5AF"/>
    <w:rsid w:val="6390C6D1"/>
    <w:rsid w:val="639B81A9"/>
    <w:rsid w:val="639B976C"/>
    <w:rsid w:val="639C6AE0"/>
    <w:rsid w:val="63A21927"/>
    <w:rsid w:val="63A25AF7"/>
    <w:rsid w:val="63A61B55"/>
    <w:rsid w:val="63A65FF8"/>
    <w:rsid w:val="63A6D9C6"/>
    <w:rsid w:val="63AB5F40"/>
    <w:rsid w:val="63B1B8B7"/>
    <w:rsid w:val="63B4836E"/>
    <w:rsid w:val="63B65B7D"/>
    <w:rsid w:val="63B7C320"/>
    <w:rsid w:val="63B83A01"/>
    <w:rsid w:val="63B9D4F8"/>
    <w:rsid w:val="63BB09A2"/>
    <w:rsid w:val="63BCD6CB"/>
    <w:rsid w:val="63BEFFED"/>
    <w:rsid w:val="63C128FE"/>
    <w:rsid w:val="63C34F20"/>
    <w:rsid w:val="63C380DB"/>
    <w:rsid w:val="63C46D9A"/>
    <w:rsid w:val="63C831D2"/>
    <w:rsid w:val="63CEC6A1"/>
    <w:rsid w:val="63D02021"/>
    <w:rsid w:val="63D2DA88"/>
    <w:rsid w:val="63D30FA4"/>
    <w:rsid w:val="63D30FD3"/>
    <w:rsid w:val="63D63D66"/>
    <w:rsid w:val="63DF864E"/>
    <w:rsid w:val="63DFA224"/>
    <w:rsid w:val="63E3347D"/>
    <w:rsid w:val="63E724F3"/>
    <w:rsid w:val="63EA3D42"/>
    <w:rsid w:val="63ECB809"/>
    <w:rsid w:val="63F0A22A"/>
    <w:rsid w:val="63F4E011"/>
    <w:rsid w:val="63FA178A"/>
    <w:rsid w:val="63FB20E7"/>
    <w:rsid w:val="63FF2E5A"/>
    <w:rsid w:val="64001841"/>
    <w:rsid w:val="6400CFC0"/>
    <w:rsid w:val="64053878"/>
    <w:rsid w:val="6407E54E"/>
    <w:rsid w:val="6409571C"/>
    <w:rsid w:val="640AA13B"/>
    <w:rsid w:val="640B6AD7"/>
    <w:rsid w:val="641055A5"/>
    <w:rsid w:val="6410D76F"/>
    <w:rsid w:val="6414E4D4"/>
    <w:rsid w:val="6416459F"/>
    <w:rsid w:val="6418666C"/>
    <w:rsid w:val="6418C245"/>
    <w:rsid w:val="641A1832"/>
    <w:rsid w:val="641B2FB4"/>
    <w:rsid w:val="641DF35C"/>
    <w:rsid w:val="641E9A1A"/>
    <w:rsid w:val="641EEBAB"/>
    <w:rsid w:val="6422F858"/>
    <w:rsid w:val="642A8704"/>
    <w:rsid w:val="642B2883"/>
    <w:rsid w:val="642B8159"/>
    <w:rsid w:val="642C2B92"/>
    <w:rsid w:val="642C8B44"/>
    <w:rsid w:val="642D85D6"/>
    <w:rsid w:val="6430194A"/>
    <w:rsid w:val="64326DF4"/>
    <w:rsid w:val="64333AA6"/>
    <w:rsid w:val="64355442"/>
    <w:rsid w:val="6435D2CD"/>
    <w:rsid w:val="6435F599"/>
    <w:rsid w:val="64363867"/>
    <w:rsid w:val="64381627"/>
    <w:rsid w:val="643A0C10"/>
    <w:rsid w:val="643B8C7F"/>
    <w:rsid w:val="6443F23D"/>
    <w:rsid w:val="6446A487"/>
    <w:rsid w:val="64473FAF"/>
    <w:rsid w:val="6450F324"/>
    <w:rsid w:val="64531C9A"/>
    <w:rsid w:val="64533E41"/>
    <w:rsid w:val="6455D894"/>
    <w:rsid w:val="6456E52F"/>
    <w:rsid w:val="645BA3B6"/>
    <w:rsid w:val="645D5586"/>
    <w:rsid w:val="645E6D7E"/>
    <w:rsid w:val="64643BAA"/>
    <w:rsid w:val="64673910"/>
    <w:rsid w:val="64685D85"/>
    <w:rsid w:val="646BF693"/>
    <w:rsid w:val="646D6233"/>
    <w:rsid w:val="646D80CE"/>
    <w:rsid w:val="646E3C73"/>
    <w:rsid w:val="6473DC86"/>
    <w:rsid w:val="647648C9"/>
    <w:rsid w:val="6477B736"/>
    <w:rsid w:val="6478B01A"/>
    <w:rsid w:val="64790A3C"/>
    <w:rsid w:val="6479A925"/>
    <w:rsid w:val="647A243E"/>
    <w:rsid w:val="647BA56A"/>
    <w:rsid w:val="647CE951"/>
    <w:rsid w:val="647CF8F3"/>
    <w:rsid w:val="647FBD28"/>
    <w:rsid w:val="6487B784"/>
    <w:rsid w:val="6488E97F"/>
    <w:rsid w:val="648B3507"/>
    <w:rsid w:val="648B86BF"/>
    <w:rsid w:val="648C045A"/>
    <w:rsid w:val="648DCC05"/>
    <w:rsid w:val="648E9CA0"/>
    <w:rsid w:val="6490E128"/>
    <w:rsid w:val="6499C375"/>
    <w:rsid w:val="649A69DF"/>
    <w:rsid w:val="649CF7E0"/>
    <w:rsid w:val="649DEB57"/>
    <w:rsid w:val="649E48C4"/>
    <w:rsid w:val="649E9AE7"/>
    <w:rsid w:val="64A2B94A"/>
    <w:rsid w:val="64A3162D"/>
    <w:rsid w:val="64A50E42"/>
    <w:rsid w:val="64A59949"/>
    <w:rsid w:val="64A6AE0D"/>
    <w:rsid w:val="64A7331E"/>
    <w:rsid w:val="64A8BB9D"/>
    <w:rsid w:val="64A9269E"/>
    <w:rsid w:val="64A9861F"/>
    <w:rsid w:val="64A9CDE6"/>
    <w:rsid w:val="64AE4FD4"/>
    <w:rsid w:val="64AE6C3F"/>
    <w:rsid w:val="64B037D6"/>
    <w:rsid w:val="64B041C7"/>
    <w:rsid w:val="64B25DF8"/>
    <w:rsid w:val="64B2911C"/>
    <w:rsid w:val="64B4A0D7"/>
    <w:rsid w:val="64B54F3A"/>
    <w:rsid w:val="64BA1E6F"/>
    <w:rsid w:val="64BBF35A"/>
    <w:rsid w:val="64BCCC03"/>
    <w:rsid w:val="64BD71A3"/>
    <w:rsid w:val="64C282DD"/>
    <w:rsid w:val="64C567DF"/>
    <w:rsid w:val="64C87B14"/>
    <w:rsid w:val="64CAC1CE"/>
    <w:rsid w:val="64CACEC3"/>
    <w:rsid w:val="64CBEAF2"/>
    <w:rsid w:val="64CF0A73"/>
    <w:rsid w:val="64D3D307"/>
    <w:rsid w:val="64D3F19C"/>
    <w:rsid w:val="64D57A7A"/>
    <w:rsid w:val="64D88B0F"/>
    <w:rsid w:val="64D9698F"/>
    <w:rsid w:val="64DB7189"/>
    <w:rsid w:val="64DBFCA5"/>
    <w:rsid w:val="64DCF169"/>
    <w:rsid w:val="64DE9433"/>
    <w:rsid w:val="64DF17A0"/>
    <w:rsid w:val="64E0B405"/>
    <w:rsid w:val="64E151F9"/>
    <w:rsid w:val="64E4140A"/>
    <w:rsid w:val="64E6900D"/>
    <w:rsid w:val="64EE529B"/>
    <w:rsid w:val="64F1B377"/>
    <w:rsid w:val="64F4DEC9"/>
    <w:rsid w:val="64FAB6AA"/>
    <w:rsid w:val="64FB2751"/>
    <w:rsid w:val="64FBD5A7"/>
    <w:rsid w:val="64FC29C7"/>
    <w:rsid w:val="64FC5111"/>
    <w:rsid w:val="6501E250"/>
    <w:rsid w:val="650609DD"/>
    <w:rsid w:val="65060ADC"/>
    <w:rsid w:val="6507755B"/>
    <w:rsid w:val="6507B7C7"/>
    <w:rsid w:val="650D92D7"/>
    <w:rsid w:val="65170ECB"/>
    <w:rsid w:val="65181AA8"/>
    <w:rsid w:val="651A177B"/>
    <w:rsid w:val="651DE703"/>
    <w:rsid w:val="651E30CB"/>
    <w:rsid w:val="65219267"/>
    <w:rsid w:val="6521C421"/>
    <w:rsid w:val="65244427"/>
    <w:rsid w:val="6524DECC"/>
    <w:rsid w:val="65254B6F"/>
    <w:rsid w:val="65298B28"/>
    <w:rsid w:val="65299C4E"/>
    <w:rsid w:val="652AA8DE"/>
    <w:rsid w:val="652C616C"/>
    <w:rsid w:val="652D5E57"/>
    <w:rsid w:val="652DE87C"/>
    <w:rsid w:val="652E807E"/>
    <w:rsid w:val="652FF287"/>
    <w:rsid w:val="65308D2A"/>
    <w:rsid w:val="6532932D"/>
    <w:rsid w:val="65339C61"/>
    <w:rsid w:val="653BE10C"/>
    <w:rsid w:val="653DA7C6"/>
    <w:rsid w:val="653E9183"/>
    <w:rsid w:val="653F4038"/>
    <w:rsid w:val="653FA004"/>
    <w:rsid w:val="65402C96"/>
    <w:rsid w:val="6541D3EC"/>
    <w:rsid w:val="654BDED3"/>
    <w:rsid w:val="65594A2C"/>
    <w:rsid w:val="655A817B"/>
    <w:rsid w:val="655B77AE"/>
    <w:rsid w:val="655B90DA"/>
    <w:rsid w:val="655C6916"/>
    <w:rsid w:val="65613979"/>
    <w:rsid w:val="6562D9CB"/>
    <w:rsid w:val="656307B4"/>
    <w:rsid w:val="65665BEE"/>
    <w:rsid w:val="656837CC"/>
    <w:rsid w:val="656868A7"/>
    <w:rsid w:val="6569D582"/>
    <w:rsid w:val="656B339E"/>
    <w:rsid w:val="656B9AB1"/>
    <w:rsid w:val="656D78AF"/>
    <w:rsid w:val="656E37C6"/>
    <w:rsid w:val="656EF396"/>
    <w:rsid w:val="65700544"/>
    <w:rsid w:val="6571DF45"/>
    <w:rsid w:val="657332C6"/>
    <w:rsid w:val="657596CE"/>
    <w:rsid w:val="6576EF18"/>
    <w:rsid w:val="657BFF0A"/>
    <w:rsid w:val="657EC7A6"/>
    <w:rsid w:val="6581DD04"/>
    <w:rsid w:val="65868F58"/>
    <w:rsid w:val="6586FD9D"/>
    <w:rsid w:val="65893E5C"/>
    <w:rsid w:val="65897116"/>
    <w:rsid w:val="658A4054"/>
    <w:rsid w:val="658BB345"/>
    <w:rsid w:val="658CF60F"/>
    <w:rsid w:val="659374C3"/>
    <w:rsid w:val="659543FF"/>
    <w:rsid w:val="65954BA1"/>
    <w:rsid w:val="6596CCF0"/>
    <w:rsid w:val="65983D3F"/>
    <w:rsid w:val="659A5A11"/>
    <w:rsid w:val="659D2266"/>
    <w:rsid w:val="659D6D05"/>
    <w:rsid w:val="659FC3A7"/>
    <w:rsid w:val="65A3C35E"/>
    <w:rsid w:val="65A41F26"/>
    <w:rsid w:val="65A75AA9"/>
    <w:rsid w:val="65AA5910"/>
    <w:rsid w:val="65ABAA9F"/>
    <w:rsid w:val="65ABD09B"/>
    <w:rsid w:val="65AC074A"/>
    <w:rsid w:val="65AF7C21"/>
    <w:rsid w:val="65B6263D"/>
    <w:rsid w:val="65BFA090"/>
    <w:rsid w:val="65BFDD31"/>
    <w:rsid w:val="65C13A19"/>
    <w:rsid w:val="65C2DA78"/>
    <w:rsid w:val="65C3B37A"/>
    <w:rsid w:val="65C55EB8"/>
    <w:rsid w:val="65C63694"/>
    <w:rsid w:val="65C756DE"/>
    <w:rsid w:val="65CF1335"/>
    <w:rsid w:val="65D0D1EE"/>
    <w:rsid w:val="65D40953"/>
    <w:rsid w:val="65D9A9B5"/>
    <w:rsid w:val="65DA64CD"/>
    <w:rsid w:val="65DAFACA"/>
    <w:rsid w:val="65DD7FDB"/>
    <w:rsid w:val="65DE0CBA"/>
    <w:rsid w:val="65E026A6"/>
    <w:rsid w:val="65E03D6D"/>
    <w:rsid w:val="65E050AA"/>
    <w:rsid w:val="65E0BB83"/>
    <w:rsid w:val="65E2785C"/>
    <w:rsid w:val="65E7F5F3"/>
    <w:rsid w:val="65E88A57"/>
    <w:rsid w:val="65EE1722"/>
    <w:rsid w:val="65EE7A52"/>
    <w:rsid w:val="65F22F34"/>
    <w:rsid w:val="65F46A7F"/>
    <w:rsid w:val="65F5162C"/>
    <w:rsid w:val="65F5C27D"/>
    <w:rsid w:val="65F74406"/>
    <w:rsid w:val="65FB13A5"/>
    <w:rsid w:val="65FB419E"/>
    <w:rsid w:val="65FBC39C"/>
    <w:rsid w:val="65FC2B86"/>
    <w:rsid w:val="65FF5F53"/>
    <w:rsid w:val="6600A0A0"/>
    <w:rsid w:val="6604BE43"/>
    <w:rsid w:val="660A6CC4"/>
    <w:rsid w:val="660AB4EA"/>
    <w:rsid w:val="661037B8"/>
    <w:rsid w:val="66127A35"/>
    <w:rsid w:val="6613FDF0"/>
    <w:rsid w:val="661441B0"/>
    <w:rsid w:val="66144508"/>
    <w:rsid w:val="6615498F"/>
    <w:rsid w:val="66184913"/>
    <w:rsid w:val="66194746"/>
    <w:rsid w:val="6619D215"/>
    <w:rsid w:val="661A87B1"/>
    <w:rsid w:val="661BA84B"/>
    <w:rsid w:val="661E1AC1"/>
    <w:rsid w:val="661EDD29"/>
    <w:rsid w:val="662168C8"/>
    <w:rsid w:val="6621DA4B"/>
    <w:rsid w:val="66233E2A"/>
    <w:rsid w:val="6625262C"/>
    <w:rsid w:val="662540C5"/>
    <w:rsid w:val="6625B269"/>
    <w:rsid w:val="66277A0E"/>
    <w:rsid w:val="662A40ED"/>
    <w:rsid w:val="662AFA05"/>
    <w:rsid w:val="662F05EB"/>
    <w:rsid w:val="6630AEFF"/>
    <w:rsid w:val="6631688F"/>
    <w:rsid w:val="6631EF38"/>
    <w:rsid w:val="6634DFCF"/>
    <w:rsid w:val="66351579"/>
    <w:rsid w:val="6637317C"/>
    <w:rsid w:val="6637B405"/>
    <w:rsid w:val="66381303"/>
    <w:rsid w:val="6638F5CA"/>
    <w:rsid w:val="663945A5"/>
    <w:rsid w:val="663B010D"/>
    <w:rsid w:val="663C7272"/>
    <w:rsid w:val="663EADDE"/>
    <w:rsid w:val="663F57ED"/>
    <w:rsid w:val="6642C953"/>
    <w:rsid w:val="6643C8ED"/>
    <w:rsid w:val="6645D93A"/>
    <w:rsid w:val="664D5F6A"/>
    <w:rsid w:val="664E2A15"/>
    <w:rsid w:val="664E97B6"/>
    <w:rsid w:val="664F0C34"/>
    <w:rsid w:val="66507138"/>
    <w:rsid w:val="66576798"/>
    <w:rsid w:val="6658D229"/>
    <w:rsid w:val="665C6D24"/>
    <w:rsid w:val="665CD862"/>
    <w:rsid w:val="665CE63B"/>
    <w:rsid w:val="665FAD9B"/>
    <w:rsid w:val="666AC003"/>
    <w:rsid w:val="666D616A"/>
    <w:rsid w:val="666F53D5"/>
    <w:rsid w:val="667048B8"/>
    <w:rsid w:val="66710307"/>
    <w:rsid w:val="6672F94C"/>
    <w:rsid w:val="6673A3E8"/>
    <w:rsid w:val="6675670E"/>
    <w:rsid w:val="667A998E"/>
    <w:rsid w:val="667A9C4E"/>
    <w:rsid w:val="667ABD47"/>
    <w:rsid w:val="667ED6B3"/>
    <w:rsid w:val="667FE2E5"/>
    <w:rsid w:val="66842C55"/>
    <w:rsid w:val="668A86CF"/>
    <w:rsid w:val="6696870B"/>
    <w:rsid w:val="6697A608"/>
    <w:rsid w:val="66999F06"/>
    <w:rsid w:val="669A4EB7"/>
    <w:rsid w:val="669D54DC"/>
    <w:rsid w:val="66A3D8EC"/>
    <w:rsid w:val="66A421B6"/>
    <w:rsid w:val="66A42747"/>
    <w:rsid w:val="66A6B759"/>
    <w:rsid w:val="66A6FAB4"/>
    <w:rsid w:val="66A82A9C"/>
    <w:rsid w:val="66A9E1AB"/>
    <w:rsid w:val="66AAC0E1"/>
    <w:rsid w:val="66ABDD60"/>
    <w:rsid w:val="66AE6959"/>
    <w:rsid w:val="66B02767"/>
    <w:rsid w:val="66B0A9BC"/>
    <w:rsid w:val="66B50669"/>
    <w:rsid w:val="66B9563C"/>
    <w:rsid w:val="66BBDA27"/>
    <w:rsid w:val="66BCD848"/>
    <w:rsid w:val="66BE01A6"/>
    <w:rsid w:val="66C055D5"/>
    <w:rsid w:val="66C0AF9E"/>
    <w:rsid w:val="66C14047"/>
    <w:rsid w:val="66C1D9FC"/>
    <w:rsid w:val="66C8AAD0"/>
    <w:rsid w:val="66C908FC"/>
    <w:rsid w:val="66CB0AFF"/>
    <w:rsid w:val="66CD151A"/>
    <w:rsid w:val="66CE19E8"/>
    <w:rsid w:val="66CE6B90"/>
    <w:rsid w:val="66CF2019"/>
    <w:rsid w:val="66D2483E"/>
    <w:rsid w:val="66D39372"/>
    <w:rsid w:val="66D7926A"/>
    <w:rsid w:val="66D97827"/>
    <w:rsid w:val="66DC15B1"/>
    <w:rsid w:val="66DCAD16"/>
    <w:rsid w:val="66DEC572"/>
    <w:rsid w:val="66E08016"/>
    <w:rsid w:val="66E48C27"/>
    <w:rsid w:val="66E5F1FE"/>
    <w:rsid w:val="66E5F641"/>
    <w:rsid w:val="66E60776"/>
    <w:rsid w:val="66E6F1D9"/>
    <w:rsid w:val="66E8B408"/>
    <w:rsid w:val="66E9E19D"/>
    <w:rsid w:val="66F02C8E"/>
    <w:rsid w:val="66F13008"/>
    <w:rsid w:val="66F4A2E8"/>
    <w:rsid w:val="66F530A8"/>
    <w:rsid w:val="66F6021A"/>
    <w:rsid w:val="66F79504"/>
    <w:rsid w:val="66F9AC71"/>
    <w:rsid w:val="66FB8DEA"/>
    <w:rsid w:val="66FC5A35"/>
    <w:rsid w:val="66FE54E7"/>
    <w:rsid w:val="66FE850A"/>
    <w:rsid w:val="67014740"/>
    <w:rsid w:val="6703EDC7"/>
    <w:rsid w:val="67041B7B"/>
    <w:rsid w:val="67050E2A"/>
    <w:rsid w:val="67053189"/>
    <w:rsid w:val="67071E47"/>
    <w:rsid w:val="670776CB"/>
    <w:rsid w:val="670CC95F"/>
    <w:rsid w:val="6713CEFC"/>
    <w:rsid w:val="671638F6"/>
    <w:rsid w:val="6716BE1D"/>
    <w:rsid w:val="6718276E"/>
    <w:rsid w:val="6719F430"/>
    <w:rsid w:val="671CD385"/>
    <w:rsid w:val="671E0CE0"/>
    <w:rsid w:val="671FB853"/>
    <w:rsid w:val="67232F84"/>
    <w:rsid w:val="67259028"/>
    <w:rsid w:val="6729ACA8"/>
    <w:rsid w:val="672A8403"/>
    <w:rsid w:val="672B1EB7"/>
    <w:rsid w:val="672B45EF"/>
    <w:rsid w:val="672E865F"/>
    <w:rsid w:val="6730B083"/>
    <w:rsid w:val="67315FAC"/>
    <w:rsid w:val="6731E6D4"/>
    <w:rsid w:val="6733EA1D"/>
    <w:rsid w:val="673541CA"/>
    <w:rsid w:val="6736F805"/>
    <w:rsid w:val="67370227"/>
    <w:rsid w:val="6739D610"/>
    <w:rsid w:val="673C36FC"/>
    <w:rsid w:val="673CE2E8"/>
    <w:rsid w:val="673DFD5D"/>
    <w:rsid w:val="673F582C"/>
    <w:rsid w:val="6740E696"/>
    <w:rsid w:val="67469355"/>
    <w:rsid w:val="6747DDD4"/>
    <w:rsid w:val="6748EA1B"/>
    <w:rsid w:val="674B0CCA"/>
    <w:rsid w:val="674DB5AC"/>
    <w:rsid w:val="674F0929"/>
    <w:rsid w:val="674FA0A1"/>
    <w:rsid w:val="67505185"/>
    <w:rsid w:val="675275AE"/>
    <w:rsid w:val="6756DA31"/>
    <w:rsid w:val="675C3040"/>
    <w:rsid w:val="6764D93A"/>
    <w:rsid w:val="6764E5B6"/>
    <w:rsid w:val="67673A34"/>
    <w:rsid w:val="6767BDA1"/>
    <w:rsid w:val="676A22FA"/>
    <w:rsid w:val="676AE3E0"/>
    <w:rsid w:val="676B2D2E"/>
    <w:rsid w:val="676B9648"/>
    <w:rsid w:val="676D7B1A"/>
    <w:rsid w:val="676D7BE0"/>
    <w:rsid w:val="6773705A"/>
    <w:rsid w:val="677418B2"/>
    <w:rsid w:val="67747C7D"/>
    <w:rsid w:val="6775A9A0"/>
    <w:rsid w:val="67784108"/>
    <w:rsid w:val="6778AAB2"/>
    <w:rsid w:val="6779C2B5"/>
    <w:rsid w:val="677C57B6"/>
    <w:rsid w:val="677F9CC0"/>
    <w:rsid w:val="678052BF"/>
    <w:rsid w:val="678076EC"/>
    <w:rsid w:val="67828F62"/>
    <w:rsid w:val="6782A1D6"/>
    <w:rsid w:val="678482E1"/>
    <w:rsid w:val="6784B442"/>
    <w:rsid w:val="67858C3C"/>
    <w:rsid w:val="6785E2BE"/>
    <w:rsid w:val="6787591F"/>
    <w:rsid w:val="678938EB"/>
    <w:rsid w:val="678CA3C2"/>
    <w:rsid w:val="678D7A20"/>
    <w:rsid w:val="678F9F2C"/>
    <w:rsid w:val="67904522"/>
    <w:rsid w:val="67915FA6"/>
    <w:rsid w:val="679181CD"/>
    <w:rsid w:val="6792321E"/>
    <w:rsid w:val="6792A597"/>
    <w:rsid w:val="6799AC07"/>
    <w:rsid w:val="679BA563"/>
    <w:rsid w:val="679D3955"/>
    <w:rsid w:val="679F9073"/>
    <w:rsid w:val="67A43ED0"/>
    <w:rsid w:val="67A79385"/>
    <w:rsid w:val="67A96AA8"/>
    <w:rsid w:val="67AAE235"/>
    <w:rsid w:val="67ACA091"/>
    <w:rsid w:val="67ACEA66"/>
    <w:rsid w:val="67AE159C"/>
    <w:rsid w:val="67AFCE51"/>
    <w:rsid w:val="67B14B38"/>
    <w:rsid w:val="67B286F8"/>
    <w:rsid w:val="67B41059"/>
    <w:rsid w:val="67B420BF"/>
    <w:rsid w:val="67B45A24"/>
    <w:rsid w:val="67B4B7CA"/>
    <w:rsid w:val="67B4E968"/>
    <w:rsid w:val="67B63767"/>
    <w:rsid w:val="67BE26D9"/>
    <w:rsid w:val="67C19C4E"/>
    <w:rsid w:val="67C5F678"/>
    <w:rsid w:val="67C63AB2"/>
    <w:rsid w:val="67C920EF"/>
    <w:rsid w:val="67CABBA4"/>
    <w:rsid w:val="67CB2DAC"/>
    <w:rsid w:val="67CBBCC6"/>
    <w:rsid w:val="67D2DF12"/>
    <w:rsid w:val="67D7DE99"/>
    <w:rsid w:val="67D8F707"/>
    <w:rsid w:val="67D94D83"/>
    <w:rsid w:val="67D94E78"/>
    <w:rsid w:val="67D9A3AC"/>
    <w:rsid w:val="67DD8FCB"/>
    <w:rsid w:val="67E0751A"/>
    <w:rsid w:val="67E125D5"/>
    <w:rsid w:val="67E499A4"/>
    <w:rsid w:val="67E544C0"/>
    <w:rsid w:val="67E8E0BC"/>
    <w:rsid w:val="67EA539F"/>
    <w:rsid w:val="67EABE57"/>
    <w:rsid w:val="67EDBD2F"/>
    <w:rsid w:val="67F150C2"/>
    <w:rsid w:val="67F1A273"/>
    <w:rsid w:val="67F2C41E"/>
    <w:rsid w:val="67F32279"/>
    <w:rsid w:val="67F6007F"/>
    <w:rsid w:val="67FA5C00"/>
    <w:rsid w:val="67FB92FD"/>
    <w:rsid w:val="6800C3E2"/>
    <w:rsid w:val="68026290"/>
    <w:rsid w:val="6802DC09"/>
    <w:rsid w:val="6804A855"/>
    <w:rsid w:val="6805B957"/>
    <w:rsid w:val="6805BDE5"/>
    <w:rsid w:val="68062EEF"/>
    <w:rsid w:val="68077833"/>
    <w:rsid w:val="68087688"/>
    <w:rsid w:val="6808D42D"/>
    <w:rsid w:val="680B70CF"/>
    <w:rsid w:val="680EC222"/>
    <w:rsid w:val="68108921"/>
    <w:rsid w:val="6810BE36"/>
    <w:rsid w:val="6811B684"/>
    <w:rsid w:val="68127661"/>
    <w:rsid w:val="6813B85D"/>
    <w:rsid w:val="6815DB3D"/>
    <w:rsid w:val="6816191D"/>
    <w:rsid w:val="681695E6"/>
    <w:rsid w:val="6816F333"/>
    <w:rsid w:val="6816F611"/>
    <w:rsid w:val="6818936C"/>
    <w:rsid w:val="68196142"/>
    <w:rsid w:val="681D1AB1"/>
    <w:rsid w:val="681F4775"/>
    <w:rsid w:val="68205AB7"/>
    <w:rsid w:val="6821B648"/>
    <w:rsid w:val="68242DD7"/>
    <w:rsid w:val="68242E39"/>
    <w:rsid w:val="6824ED00"/>
    <w:rsid w:val="68255233"/>
    <w:rsid w:val="682575DA"/>
    <w:rsid w:val="68267123"/>
    <w:rsid w:val="68294B35"/>
    <w:rsid w:val="682950F7"/>
    <w:rsid w:val="68297905"/>
    <w:rsid w:val="682FC649"/>
    <w:rsid w:val="68300DAF"/>
    <w:rsid w:val="6830516B"/>
    <w:rsid w:val="6832146B"/>
    <w:rsid w:val="68341F7A"/>
    <w:rsid w:val="68357AEE"/>
    <w:rsid w:val="6837570F"/>
    <w:rsid w:val="683B448F"/>
    <w:rsid w:val="683BBE99"/>
    <w:rsid w:val="683C01E7"/>
    <w:rsid w:val="683F4D3D"/>
    <w:rsid w:val="68404A27"/>
    <w:rsid w:val="6842EABB"/>
    <w:rsid w:val="6844C45A"/>
    <w:rsid w:val="684586C0"/>
    <w:rsid w:val="6849B329"/>
    <w:rsid w:val="684C5B68"/>
    <w:rsid w:val="6856BE3D"/>
    <w:rsid w:val="685AC0C7"/>
    <w:rsid w:val="685E0A28"/>
    <w:rsid w:val="685F92AA"/>
    <w:rsid w:val="685FEF62"/>
    <w:rsid w:val="68648534"/>
    <w:rsid w:val="6866C10B"/>
    <w:rsid w:val="686DE7E2"/>
    <w:rsid w:val="686E0AF2"/>
    <w:rsid w:val="686FD0C1"/>
    <w:rsid w:val="6872FCB6"/>
    <w:rsid w:val="68744F28"/>
    <w:rsid w:val="687630E4"/>
    <w:rsid w:val="68773042"/>
    <w:rsid w:val="6878061E"/>
    <w:rsid w:val="68793BE8"/>
    <w:rsid w:val="687AF052"/>
    <w:rsid w:val="687AF9A7"/>
    <w:rsid w:val="687EF4FB"/>
    <w:rsid w:val="687F4DA1"/>
    <w:rsid w:val="688106A2"/>
    <w:rsid w:val="688151EC"/>
    <w:rsid w:val="68837330"/>
    <w:rsid w:val="68860AD2"/>
    <w:rsid w:val="688B6B80"/>
    <w:rsid w:val="688C735E"/>
    <w:rsid w:val="688D0702"/>
    <w:rsid w:val="6890CEF4"/>
    <w:rsid w:val="6890FF4F"/>
    <w:rsid w:val="689173CB"/>
    <w:rsid w:val="6895659C"/>
    <w:rsid w:val="6895AAA3"/>
    <w:rsid w:val="6896A525"/>
    <w:rsid w:val="68978A02"/>
    <w:rsid w:val="689E2EED"/>
    <w:rsid w:val="689E95A8"/>
    <w:rsid w:val="68A068A7"/>
    <w:rsid w:val="68A36164"/>
    <w:rsid w:val="68A54DFF"/>
    <w:rsid w:val="68A6F7C7"/>
    <w:rsid w:val="68A729FA"/>
    <w:rsid w:val="68A80DAA"/>
    <w:rsid w:val="68A82F31"/>
    <w:rsid w:val="68AB4DFC"/>
    <w:rsid w:val="68ACD095"/>
    <w:rsid w:val="68AF8D22"/>
    <w:rsid w:val="68B5A6F3"/>
    <w:rsid w:val="68B817C9"/>
    <w:rsid w:val="68B87924"/>
    <w:rsid w:val="68B90F18"/>
    <w:rsid w:val="68BFA540"/>
    <w:rsid w:val="68BFDB38"/>
    <w:rsid w:val="68C0B4A9"/>
    <w:rsid w:val="68C2622E"/>
    <w:rsid w:val="68C6CEB0"/>
    <w:rsid w:val="68C8BAEF"/>
    <w:rsid w:val="68C9400D"/>
    <w:rsid w:val="68CA80CB"/>
    <w:rsid w:val="68CAFC0C"/>
    <w:rsid w:val="68CC2CA1"/>
    <w:rsid w:val="68CCEEF5"/>
    <w:rsid w:val="68CD1A0E"/>
    <w:rsid w:val="68CE3790"/>
    <w:rsid w:val="68CFDFFD"/>
    <w:rsid w:val="68D021A4"/>
    <w:rsid w:val="68D3D44C"/>
    <w:rsid w:val="68D4169B"/>
    <w:rsid w:val="68D9677C"/>
    <w:rsid w:val="68D973C7"/>
    <w:rsid w:val="68DA9439"/>
    <w:rsid w:val="68DCFE85"/>
    <w:rsid w:val="68DD218B"/>
    <w:rsid w:val="68DD473B"/>
    <w:rsid w:val="68DD64EC"/>
    <w:rsid w:val="68DE4123"/>
    <w:rsid w:val="68E1F2C2"/>
    <w:rsid w:val="68E35715"/>
    <w:rsid w:val="68EB554F"/>
    <w:rsid w:val="68EC1F3C"/>
    <w:rsid w:val="68ECE27F"/>
    <w:rsid w:val="68F06376"/>
    <w:rsid w:val="68F33BF4"/>
    <w:rsid w:val="68F44C7C"/>
    <w:rsid w:val="68F4F276"/>
    <w:rsid w:val="68F5EB0E"/>
    <w:rsid w:val="68FAF38F"/>
    <w:rsid w:val="68FAF535"/>
    <w:rsid w:val="68FF51EE"/>
    <w:rsid w:val="69027F32"/>
    <w:rsid w:val="69036104"/>
    <w:rsid w:val="69056CB4"/>
    <w:rsid w:val="6908C9B6"/>
    <w:rsid w:val="690AD726"/>
    <w:rsid w:val="690F2C87"/>
    <w:rsid w:val="690FFFD0"/>
    <w:rsid w:val="6913C87E"/>
    <w:rsid w:val="6916EAEC"/>
    <w:rsid w:val="69189695"/>
    <w:rsid w:val="69190D3D"/>
    <w:rsid w:val="691A505C"/>
    <w:rsid w:val="691DED06"/>
    <w:rsid w:val="69248185"/>
    <w:rsid w:val="6925B87C"/>
    <w:rsid w:val="6926281B"/>
    <w:rsid w:val="69283324"/>
    <w:rsid w:val="692A3739"/>
    <w:rsid w:val="692C876A"/>
    <w:rsid w:val="6930A229"/>
    <w:rsid w:val="6932427D"/>
    <w:rsid w:val="69331F81"/>
    <w:rsid w:val="69332929"/>
    <w:rsid w:val="6933AA75"/>
    <w:rsid w:val="69377FEC"/>
    <w:rsid w:val="693A292A"/>
    <w:rsid w:val="693A94AF"/>
    <w:rsid w:val="693BCB3F"/>
    <w:rsid w:val="693D8E67"/>
    <w:rsid w:val="6943841C"/>
    <w:rsid w:val="69446BE9"/>
    <w:rsid w:val="69449958"/>
    <w:rsid w:val="69472B5D"/>
    <w:rsid w:val="69483866"/>
    <w:rsid w:val="6948995D"/>
    <w:rsid w:val="69490977"/>
    <w:rsid w:val="6950882B"/>
    <w:rsid w:val="69538C38"/>
    <w:rsid w:val="6954A7FB"/>
    <w:rsid w:val="6955C369"/>
    <w:rsid w:val="6957938B"/>
    <w:rsid w:val="69588347"/>
    <w:rsid w:val="6959D381"/>
    <w:rsid w:val="695BACD0"/>
    <w:rsid w:val="695C3848"/>
    <w:rsid w:val="69606B86"/>
    <w:rsid w:val="69607915"/>
    <w:rsid w:val="6961DD7A"/>
    <w:rsid w:val="69627423"/>
    <w:rsid w:val="69654E86"/>
    <w:rsid w:val="696608AC"/>
    <w:rsid w:val="696A3D01"/>
    <w:rsid w:val="696D5D18"/>
    <w:rsid w:val="6975740D"/>
    <w:rsid w:val="69790A6C"/>
    <w:rsid w:val="6981B5BD"/>
    <w:rsid w:val="6981BAEF"/>
    <w:rsid w:val="69840838"/>
    <w:rsid w:val="6984D806"/>
    <w:rsid w:val="6985A52C"/>
    <w:rsid w:val="6985B700"/>
    <w:rsid w:val="6986F0D7"/>
    <w:rsid w:val="698BF391"/>
    <w:rsid w:val="698C560A"/>
    <w:rsid w:val="698DB53C"/>
    <w:rsid w:val="698DE2A5"/>
    <w:rsid w:val="69904875"/>
    <w:rsid w:val="6992CDB1"/>
    <w:rsid w:val="699452E8"/>
    <w:rsid w:val="69956C77"/>
    <w:rsid w:val="69962DBF"/>
    <w:rsid w:val="69982B68"/>
    <w:rsid w:val="699887B0"/>
    <w:rsid w:val="6999958D"/>
    <w:rsid w:val="699BD1CA"/>
    <w:rsid w:val="69A2B38A"/>
    <w:rsid w:val="69A2E878"/>
    <w:rsid w:val="69A677E3"/>
    <w:rsid w:val="69A74130"/>
    <w:rsid w:val="69AA35A3"/>
    <w:rsid w:val="69AA6E6F"/>
    <w:rsid w:val="69AD2B2B"/>
    <w:rsid w:val="69AD8BEC"/>
    <w:rsid w:val="69B0ABD1"/>
    <w:rsid w:val="69B1EE1D"/>
    <w:rsid w:val="69B27BA1"/>
    <w:rsid w:val="69B35F84"/>
    <w:rsid w:val="69B6B671"/>
    <w:rsid w:val="69B948F4"/>
    <w:rsid w:val="69BC7768"/>
    <w:rsid w:val="69BF4A7E"/>
    <w:rsid w:val="69C10083"/>
    <w:rsid w:val="69C1B3B9"/>
    <w:rsid w:val="69C2F5B3"/>
    <w:rsid w:val="69C65835"/>
    <w:rsid w:val="69C69A67"/>
    <w:rsid w:val="69C84D2E"/>
    <w:rsid w:val="69C96AC0"/>
    <w:rsid w:val="69C9C0C0"/>
    <w:rsid w:val="69C9C43A"/>
    <w:rsid w:val="69CE8413"/>
    <w:rsid w:val="69D1B6FD"/>
    <w:rsid w:val="69D22CC4"/>
    <w:rsid w:val="69D236F3"/>
    <w:rsid w:val="69D34F6B"/>
    <w:rsid w:val="69D4B4DF"/>
    <w:rsid w:val="69D7251A"/>
    <w:rsid w:val="69D7DFB3"/>
    <w:rsid w:val="69D931D4"/>
    <w:rsid w:val="69DC26F4"/>
    <w:rsid w:val="69DD63B8"/>
    <w:rsid w:val="69E0301C"/>
    <w:rsid w:val="69E12F75"/>
    <w:rsid w:val="69E1F0C9"/>
    <w:rsid w:val="69E2104A"/>
    <w:rsid w:val="69E5560F"/>
    <w:rsid w:val="69E906F4"/>
    <w:rsid w:val="69EB2A8F"/>
    <w:rsid w:val="69EDE02D"/>
    <w:rsid w:val="69EEB8D5"/>
    <w:rsid w:val="69EF8DCD"/>
    <w:rsid w:val="69F1A408"/>
    <w:rsid w:val="69F28BB9"/>
    <w:rsid w:val="69F4EDBD"/>
    <w:rsid w:val="69F4FBBB"/>
    <w:rsid w:val="69F6E770"/>
    <w:rsid w:val="69FFCEA5"/>
    <w:rsid w:val="6A0298D6"/>
    <w:rsid w:val="6A0646EB"/>
    <w:rsid w:val="6A08077F"/>
    <w:rsid w:val="6A0BA805"/>
    <w:rsid w:val="6A0CE11A"/>
    <w:rsid w:val="6A0D68E4"/>
    <w:rsid w:val="6A0DBA49"/>
    <w:rsid w:val="6A152FDF"/>
    <w:rsid w:val="6A155678"/>
    <w:rsid w:val="6A18AC06"/>
    <w:rsid w:val="6A1E8AFA"/>
    <w:rsid w:val="6A1FF6DE"/>
    <w:rsid w:val="6A22129E"/>
    <w:rsid w:val="6A23BA85"/>
    <w:rsid w:val="6A23F0C7"/>
    <w:rsid w:val="6A24D4D4"/>
    <w:rsid w:val="6A259B76"/>
    <w:rsid w:val="6A26FAE9"/>
    <w:rsid w:val="6A27543D"/>
    <w:rsid w:val="6A281443"/>
    <w:rsid w:val="6A2A9AFF"/>
    <w:rsid w:val="6A2B8457"/>
    <w:rsid w:val="6A2DF805"/>
    <w:rsid w:val="6A2E7CA0"/>
    <w:rsid w:val="6A2F33A6"/>
    <w:rsid w:val="6A35184D"/>
    <w:rsid w:val="6A354C50"/>
    <w:rsid w:val="6A388506"/>
    <w:rsid w:val="6A3886A7"/>
    <w:rsid w:val="6A3C76F8"/>
    <w:rsid w:val="6A3F0F97"/>
    <w:rsid w:val="6A405AE1"/>
    <w:rsid w:val="6A40D95E"/>
    <w:rsid w:val="6A417901"/>
    <w:rsid w:val="6A43F4D0"/>
    <w:rsid w:val="6A456BCE"/>
    <w:rsid w:val="6A49CC4F"/>
    <w:rsid w:val="6A50A0B5"/>
    <w:rsid w:val="6A5972DF"/>
    <w:rsid w:val="6A5D2EA6"/>
    <w:rsid w:val="6A603E05"/>
    <w:rsid w:val="6A620AB5"/>
    <w:rsid w:val="6A64EDB5"/>
    <w:rsid w:val="6A6770BA"/>
    <w:rsid w:val="6A6A2DE0"/>
    <w:rsid w:val="6A6AB7E7"/>
    <w:rsid w:val="6A6ED4BA"/>
    <w:rsid w:val="6A6F127A"/>
    <w:rsid w:val="6A6F48E8"/>
    <w:rsid w:val="6A7328AB"/>
    <w:rsid w:val="6A751518"/>
    <w:rsid w:val="6A75CC92"/>
    <w:rsid w:val="6A76B8FF"/>
    <w:rsid w:val="6A779211"/>
    <w:rsid w:val="6A7D54DE"/>
    <w:rsid w:val="6A7EFE30"/>
    <w:rsid w:val="6A7F5AD8"/>
    <w:rsid w:val="6A817263"/>
    <w:rsid w:val="6A82A705"/>
    <w:rsid w:val="6A84177E"/>
    <w:rsid w:val="6A859847"/>
    <w:rsid w:val="6A860B59"/>
    <w:rsid w:val="6A87B329"/>
    <w:rsid w:val="6A87C9BF"/>
    <w:rsid w:val="6A8D2D16"/>
    <w:rsid w:val="6A93D9D9"/>
    <w:rsid w:val="6A9411C9"/>
    <w:rsid w:val="6A95388A"/>
    <w:rsid w:val="6A96B244"/>
    <w:rsid w:val="6A97C0CA"/>
    <w:rsid w:val="6A98BB29"/>
    <w:rsid w:val="6A9DC8B3"/>
    <w:rsid w:val="6A9FDC94"/>
    <w:rsid w:val="6AA7CFBF"/>
    <w:rsid w:val="6AAAC046"/>
    <w:rsid w:val="6AAACC43"/>
    <w:rsid w:val="6AAC8324"/>
    <w:rsid w:val="6AAD363D"/>
    <w:rsid w:val="6AAE2714"/>
    <w:rsid w:val="6AAEFB08"/>
    <w:rsid w:val="6AAF1FFD"/>
    <w:rsid w:val="6AB0D3D3"/>
    <w:rsid w:val="6AB4EA81"/>
    <w:rsid w:val="6AB7444E"/>
    <w:rsid w:val="6AB75089"/>
    <w:rsid w:val="6AB81E08"/>
    <w:rsid w:val="6AB82069"/>
    <w:rsid w:val="6ABB1924"/>
    <w:rsid w:val="6ABC814F"/>
    <w:rsid w:val="6ABC991C"/>
    <w:rsid w:val="6AC17DBA"/>
    <w:rsid w:val="6AC4AD11"/>
    <w:rsid w:val="6AC524D6"/>
    <w:rsid w:val="6AC61AB2"/>
    <w:rsid w:val="6AC6C169"/>
    <w:rsid w:val="6AC81812"/>
    <w:rsid w:val="6ACA7B85"/>
    <w:rsid w:val="6ACB6907"/>
    <w:rsid w:val="6ACCDA5F"/>
    <w:rsid w:val="6ACCDFEE"/>
    <w:rsid w:val="6ACE962D"/>
    <w:rsid w:val="6AD12E3E"/>
    <w:rsid w:val="6AD1C655"/>
    <w:rsid w:val="6AD2D002"/>
    <w:rsid w:val="6AD43B5E"/>
    <w:rsid w:val="6AD76226"/>
    <w:rsid w:val="6AD879C1"/>
    <w:rsid w:val="6AD930F5"/>
    <w:rsid w:val="6AD9385F"/>
    <w:rsid w:val="6AD9A694"/>
    <w:rsid w:val="6ADAC03E"/>
    <w:rsid w:val="6ADDC938"/>
    <w:rsid w:val="6ADFFFF8"/>
    <w:rsid w:val="6AE0B3B1"/>
    <w:rsid w:val="6AE0C471"/>
    <w:rsid w:val="6AE4AC6C"/>
    <w:rsid w:val="6AE666F1"/>
    <w:rsid w:val="6AE68ABA"/>
    <w:rsid w:val="6AE69652"/>
    <w:rsid w:val="6AE721B1"/>
    <w:rsid w:val="6AE93266"/>
    <w:rsid w:val="6AE9BD4C"/>
    <w:rsid w:val="6AE9E454"/>
    <w:rsid w:val="6AEA2407"/>
    <w:rsid w:val="6AEA45C3"/>
    <w:rsid w:val="6AEECC3B"/>
    <w:rsid w:val="6AEF9F6A"/>
    <w:rsid w:val="6AEFB26C"/>
    <w:rsid w:val="6AF010CE"/>
    <w:rsid w:val="6AF04502"/>
    <w:rsid w:val="6AF502F9"/>
    <w:rsid w:val="6AF5C79B"/>
    <w:rsid w:val="6AF610E6"/>
    <w:rsid w:val="6AF6B875"/>
    <w:rsid w:val="6AF7B0C4"/>
    <w:rsid w:val="6AF8779D"/>
    <w:rsid w:val="6AFCD926"/>
    <w:rsid w:val="6B002134"/>
    <w:rsid w:val="6B009740"/>
    <w:rsid w:val="6B07155A"/>
    <w:rsid w:val="6B09B4AA"/>
    <w:rsid w:val="6B0B59C3"/>
    <w:rsid w:val="6B0D7A91"/>
    <w:rsid w:val="6B0E035F"/>
    <w:rsid w:val="6B0F18DA"/>
    <w:rsid w:val="6B106576"/>
    <w:rsid w:val="6B164755"/>
    <w:rsid w:val="6B167C66"/>
    <w:rsid w:val="6B170C0E"/>
    <w:rsid w:val="6B17F34C"/>
    <w:rsid w:val="6B1F74C0"/>
    <w:rsid w:val="6B211678"/>
    <w:rsid w:val="6B226866"/>
    <w:rsid w:val="6B237C4B"/>
    <w:rsid w:val="6B23E25B"/>
    <w:rsid w:val="6B26F76D"/>
    <w:rsid w:val="6B282035"/>
    <w:rsid w:val="6B28F160"/>
    <w:rsid w:val="6B2BF50B"/>
    <w:rsid w:val="6B3085D1"/>
    <w:rsid w:val="6B32ED6D"/>
    <w:rsid w:val="6B3659B8"/>
    <w:rsid w:val="6B377487"/>
    <w:rsid w:val="6B3BD1B5"/>
    <w:rsid w:val="6B3D71A4"/>
    <w:rsid w:val="6B3DF186"/>
    <w:rsid w:val="6B3EFD36"/>
    <w:rsid w:val="6B450A2B"/>
    <w:rsid w:val="6B459668"/>
    <w:rsid w:val="6B480BEB"/>
    <w:rsid w:val="6B48256E"/>
    <w:rsid w:val="6B498E26"/>
    <w:rsid w:val="6B4BF3BB"/>
    <w:rsid w:val="6B4EA001"/>
    <w:rsid w:val="6B5177DB"/>
    <w:rsid w:val="6B52807D"/>
    <w:rsid w:val="6B57FC33"/>
    <w:rsid w:val="6B59E989"/>
    <w:rsid w:val="6B5A5182"/>
    <w:rsid w:val="6B5A5DBD"/>
    <w:rsid w:val="6B5C9945"/>
    <w:rsid w:val="6B5F2D73"/>
    <w:rsid w:val="6B5F451D"/>
    <w:rsid w:val="6B600AC3"/>
    <w:rsid w:val="6B61C3A7"/>
    <w:rsid w:val="6B61F687"/>
    <w:rsid w:val="6B63B222"/>
    <w:rsid w:val="6B64F263"/>
    <w:rsid w:val="6B6696CA"/>
    <w:rsid w:val="6B686633"/>
    <w:rsid w:val="6B6E6E05"/>
    <w:rsid w:val="6B6F2DC5"/>
    <w:rsid w:val="6B705360"/>
    <w:rsid w:val="6B712472"/>
    <w:rsid w:val="6B716D2C"/>
    <w:rsid w:val="6B737EDC"/>
    <w:rsid w:val="6B7AADDE"/>
    <w:rsid w:val="6B7E0B5E"/>
    <w:rsid w:val="6B806483"/>
    <w:rsid w:val="6B8073D5"/>
    <w:rsid w:val="6B82E634"/>
    <w:rsid w:val="6B85A6DF"/>
    <w:rsid w:val="6B87B2C4"/>
    <w:rsid w:val="6B88DC5C"/>
    <w:rsid w:val="6B8911DB"/>
    <w:rsid w:val="6B8DA3FF"/>
    <w:rsid w:val="6B8F4B4A"/>
    <w:rsid w:val="6B911E29"/>
    <w:rsid w:val="6B92A8C7"/>
    <w:rsid w:val="6B94DE72"/>
    <w:rsid w:val="6B982943"/>
    <w:rsid w:val="6B9924CD"/>
    <w:rsid w:val="6B9C1BF3"/>
    <w:rsid w:val="6B9E9730"/>
    <w:rsid w:val="6BA2920A"/>
    <w:rsid w:val="6BA3E593"/>
    <w:rsid w:val="6BA420E0"/>
    <w:rsid w:val="6BA5A032"/>
    <w:rsid w:val="6BA827C0"/>
    <w:rsid w:val="6BAA7AF4"/>
    <w:rsid w:val="6BAC5C23"/>
    <w:rsid w:val="6BADA0D4"/>
    <w:rsid w:val="6BAEB25B"/>
    <w:rsid w:val="6BAEFBDD"/>
    <w:rsid w:val="6BAFD23D"/>
    <w:rsid w:val="6BB5F36C"/>
    <w:rsid w:val="6BB70FF8"/>
    <w:rsid w:val="6BBA8E3F"/>
    <w:rsid w:val="6BBBC65C"/>
    <w:rsid w:val="6BBDACF9"/>
    <w:rsid w:val="6BBED536"/>
    <w:rsid w:val="6BC156AA"/>
    <w:rsid w:val="6BC52E8E"/>
    <w:rsid w:val="6BC54810"/>
    <w:rsid w:val="6BC6C80E"/>
    <w:rsid w:val="6BC81A88"/>
    <w:rsid w:val="6BCB2EEA"/>
    <w:rsid w:val="6BCE04E0"/>
    <w:rsid w:val="6BCE27F5"/>
    <w:rsid w:val="6BCF27AF"/>
    <w:rsid w:val="6BCF3270"/>
    <w:rsid w:val="6BD0B51C"/>
    <w:rsid w:val="6BD21026"/>
    <w:rsid w:val="6BD33DB4"/>
    <w:rsid w:val="6BD65235"/>
    <w:rsid w:val="6BD78C9E"/>
    <w:rsid w:val="6BD85D59"/>
    <w:rsid w:val="6BDB3250"/>
    <w:rsid w:val="6BDC3EFA"/>
    <w:rsid w:val="6BDD2C7D"/>
    <w:rsid w:val="6BDD4FC5"/>
    <w:rsid w:val="6BDE826A"/>
    <w:rsid w:val="6BDFBDD6"/>
    <w:rsid w:val="6BE06C2C"/>
    <w:rsid w:val="6BE4247E"/>
    <w:rsid w:val="6BE73009"/>
    <w:rsid w:val="6BE75607"/>
    <w:rsid w:val="6BE87CD6"/>
    <w:rsid w:val="6BE94E45"/>
    <w:rsid w:val="6BF06D8D"/>
    <w:rsid w:val="6BF2B789"/>
    <w:rsid w:val="6BF50CFA"/>
    <w:rsid w:val="6BF556EF"/>
    <w:rsid w:val="6BF5659F"/>
    <w:rsid w:val="6BF6C7C2"/>
    <w:rsid w:val="6BF8FA55"/>
    <w:rsid w:val="6BF91922"/>
    <w:rsid w:val="6BFB3233"/>
    <w:rsid w:val="6BFC0AE7"/>
    <w:rsid w:val="6BFC1083"/>
    <w:rsid w:val="6BFD1579"/>
    <w:rsid w:val="6BFD5FE0"/>
    <w:rsid w:val="6BFFA17B"/>
    <w:rsid w:val="6C00318D"/>
    <w:rsid w:val="6C01A2CB"/>
    <w:rsid w:val="6C05240A"/>
    <w:rsid w:val="6C0532D8"/>
    <w:rsid w:val="6C05BB82"/>
    <w:rsid w:val="6C066B0E"/>
    <w:rsid w:val="6C096CEF"/>
    <w:rsid w:val="6C0FB7C8"/>
    <w:rsid w:val="6C107AD3"/>
    <w:rsid w:val="6C17F5C8"/>
    <w:rsid w:val="6C196A02"/>
    <w:rsid w:val="6C19881C"/>
    <w:rsid w:val="6C1E5F47"/>
    <w:rsid w:val="6C2097E1"/>
    <w:rsid w:val="6C210813"/>
    <w:rsid w:val="6C2339F9"/>
    <w:rsid w:val="6C2452E5"/>
    <w:rsid w:val="6C286C11"/>
    <w:rsid w:val="6C2AADAC"/>
    <w:rsid w:val="6C2D6EFF"/>
    <w:rsid w:val="6C2FB65E"/>
    <w:rsid w:val="6C2FDD5E"/>
    <w:rsid w:val="6C306809"/>
    <w:rsid w:val="6C346416"/>
    <w:rsid w:val="6C34FC40"/>
    <w:rsid w:val="6C3B5C3D"/>
    <w:rsid w:val="6C47B794"/>
    <w:rsid w:val="6C48BEC8"/>
    <w:rsid w:val="6C49FD31"/>
    <w:rsid w:val="6C4BA512"/>
    <w:rsid w:val="6C4DBB5B"/>
    <w:rsid w:val="6C4DC538"/>
    <w:rsid w:val="6C4E4DE4"/>
    <w:rsid w:val="6C4F0562"/>
    <w:rsid w:val="6C53613C"/>
    <w:rsid w:val="6C5A7F59"/>
    <w:rsid w:val="6C5E4E9F"/>
    <w:rsid w:val="6C5EB8BF"/>
    <w:rsid w:val="6C630A7C"/>
    <w:rsid w:val="6C657D31"/>
    <w:rsid w:val="6C661995"/>
    <w:rsid w:val="6C662DE2"/>
    <w:rsid w:val="6C6730B3"/>
    <w:rsid w:val="6C68F27C"/>
    <w:rsid w:val="6C6E9478"/>
    <w:rsid w:val="6C6FFD6E"/>
    <w:rsid w:val="6C72B240"/>
    <w:rsid w:val="6C784D3B"/>
    <w:rsid w:val="6C78A097"/>
    <w:rsid w:val="6C7BF610"/>
    <w:rsid w:val="6C7D0819"/>
    <w:rsid w:val="6C7FCA38"/>
    <w:rsid w:val="6C803A0B"/>
    <w:rsid w:val="6C830E4A"/>
    <w:rsid w:val="6C8693C2"/>
    <w:rsid w:val="6C871D1D"/>
    <w:rsid w:val="6C898468"/>
    <w:rsid w:val="6C8A3197"/>
    <w:rsid w:val="6C8AF952"/>
    <w:rsid w:val="6C8C55E2"/>
    <w:rsid w:val="6C8C60E9"/>
    <w:rsid w:val="6C90F099"/>
    <w:rsid w:val="6C956669"/>
    <w:rsid w:val="6C95D032"/>
    <w:rsid w:val="6C99CF37"/>
    <w:rsid w:val="6C99D59B"/>
    <w:rsid w:val="6C9BF22A"/>
    <w:rsid w:val="6C9D9ECB"/>
    <w:rsid w:val="6C9F9646"/>
    <w:rsid w:val="6CA10E7B"/>
    <w:rsid w:val="6CA3377C"/>
    <w:rsid w:val="6CA36CE0"/>
    <w:rsid w:val="6CA41BAD"/>
    <w:rsid w:val="6CA52D48"/>
    <w:rsid w:val="6CA8B386"/>
    <w:rsid w:val="6CAF3C69"/>
    <w:rsid w:val="6CAF750C"/>
    <w:rsid w:val="6CB973A9"/>
    <w:rsid w:val="6CBDC96A"/>
    <w:rsid w:val="6CC07EEC"/>
    <w:rsid w:val="6CC11A43"/>
    <w:rsid w:val="6CC3FA1E"/>
    <w:rsid w:val="6CC57555"/>
    <w:rsid w:val="6CC82108"/>
    <w:rsid w:val="6CC8D07C"/>
    <w:rsid w:val="6CCE1655"/>
    <w:rsid w:val="6CD480DF"/>
    <w:rsid w:val="6CD602A4"/>
    <w:rsid w:val="6CD7BE51"/>
    <w:rsid w:val="6CDDF636"/>
    <w:rsid w:val="6CDEABA3"/>
    <w:rsid w:val="6CDF1DF4"/>
    <w:rsid w:val="6CE0FEDC"/>
    <w:rsid w:val="6CE1086E"/>
    <w:rsid w:val="6CE2A4D9"/>
    <w:rsid w:val="6CE34BD3"/>
    <w:rsid w:val="6CE5B09F"/>
    <w:rsid w:val="6CE5D502"/>
    <w:rsid w:val="6CE6445C"/>
    <w:rsid w:val="6CE9E93C"/>
    <w:rsid w:val="6CEBC30F"/>
    <w:rsid w:val="6CF0E999"/>
    <w:rsid w:val="6CF2DE03"/>
    <w:rsid w:val="6CF32CF8"/>
    <w:rsid w:val="6CF4A99A"/>
    <w:rsid w:val="6CF5464F"/>
    <w:rsid w:val="6CF5CE24"/>
    <w:rsid w:val="6CF6462E"/>
    <w:rsid w:val="6CF7830F"/>
    <w:rsid w:val="6CF99EF5"/>
    <w:rsid w:val="6CFA783D"/>
    <w:rsid w:val="6CFA7C64"/>
    <w:rsid w:val="6CFBCA64"/>
    <w:rsid w:val="6CFCBE6A"/>
    <w:rsid w:val="6CFD9708"/>
    <w:rsid w:val="6CFDA06F"/>
    <w:rsid w:val="6CFE36D0"/>
    <w:rsid w:val="6CFF2EEC"/>
    <w:rsid w:val="6CFFC947"/>
    <w:rsid w:val="6D03BB9E"/>
    <w:rsid w:val="6D0492D7"/>
    <w:rsid w:val="6D056E9D"/>
    <w:rsid w:val="6D059217"/>
    <w:rsid w:val="6D0D6C1A"/>
    <w:rsid w:val="6D122E96"/>
    <w:rsid w:val="6D12DADA"/>
    <w:rsid w:val="6D17C384"/>
    <w:rsid w:val="6D180A2C"/>
    <w:rsid w:val="6D19DE33"/>
    <w:rsid w:val="6D1B72E2"/>
    <w:rsid w:val="6D1FC1C5"/>
    <w:rsid w:val="6D24373F"/>
    <w:rsid w:val="6D26BCFA"/>
    <w:rsid w:val="6D26E09E"/>
    <w:rsid w:val="6D2995D4"/>
    <w:rsid w:val="6D2AEFAA"/>
    <w:rsid w:val="6D2B1BAB"/>
    <w:rsid w:val="6D30096A"/>
    <w:rsid w:val="6D300F79"/>
    <w:rsid w:val="6D33F8F3"/>
    <w:rsid w:val="6D36171B"/>
    <w:rsid w:val="6D384688"/>
    <w:rsid w:val="6D38546B"/>
    <w:rsid w:val="6D39E7A8"/>
    <w:rsid w:val="6D3A81C8"/>
    <w:rsid w:val="6D44F5AC"/>
    <w:rsid w:val="6D45749E"/>
    <w:rsid w:val="6D4697A6"/>
    <w:rsid w:val="6D47E2B3"/>
    <w:rsid w:val="6D4A2D2C"/>
    <w:rsid w:val="6D4AD173"/>
    <w:rsid w:val="6D50A4B9"/>
    <w:rsid w:val="6D539713"/>
    <w:rsid w:val="6D543046"/>
    <w:rsid w:val="6D54B252"/>
    <w:rsid w:val="6D569CA3"/>
    <w:rsid w:val="6D57E889"/>
    <w:rsid w:val="6D58F05B"/>
    <w:rsid w:val="6D5C43B6"/>
    <w:rsid w:val="6D5DDD4A"/>
    <w:rsid w:val="6D5E543A"/>
    <w:rsid w:val="6D5F25CA"/>
    <w:rsid w:val="6D65EE88"/>
    <w:rsid w:val="6D663F0B"/>
    <w:rsid w:val="6D66A2BF"/>
    <w:rsid w:val="6D66E833"/>
    <w:rsid w:val="6D68B8C0"/>
    <w:rsid w:val="6D71BE63"/>
    <w:rsid w:val="6D731106"/>
    <w:rsid w:val="6D7A2187"/>
    <w:rsid w:val="6D7DA76B"/>
    <w:rsid w:val="6D7DAF04"/>
    <w:rsid w:val="6D80A452"/>
    <w:rsid w:val="6D80A527"/>
    <w:rsid w:val="6D832668"/>
    <w:rsid w:val="6D84AB0D"/>
    <w:rsid w:val="6D84B35E"/>
    <w:rsid w:val="6D858551"/>
    <w:rsid w:val="6D85E9F8"/>
    <w:rsid w:val="6D85F4B7"/>
    <w:rsid w:val="6D87E5D3"/>
    <w:rsid w:val="6D880D75"/>
    <w:rsid w:val="6D89AB1E"/>
    <w:rsid w:val="6D8A7A5E"/>
    <w:rsid w:val="6D8B0776"/>
    <w:rsid w:val="6D8E28CB"/>
    <w:rsid w:val="6D8E9C04"/>
    <w:rsid w:val="6D92AB0B"/>
    <w:rsid w:val="6D9333C8"/>
    <w:rsid w:val="6D9407CF"/>
    <w:rsid w:val="6D980CFE"/>
    <w:rsid w:val="6D9EF4E5"/>
    <w:rsid w:val="6DA0394C"/>
    <w:rsid w:val="6DA6EDD0"/>
    <w:rsid w:val="6DAC6EF7"/>
    <w:rsid w:val="6DACC043"/>
    <w:rsid w:val="6DAD0897"/>
    <w:rsid w:val="6DB1C650"/>
    <w:rsid w:val="6DB2898B"/>
    <w:rsid w:val="6DB59E0E"/>
    <w:rsid w:val="6DB90520"/>
    <w:rsid w:val="6DB91ED1"/>
    <w:rsid w:val="6DB93B42"/>
    <w:rsid w:val="6DBA51E3"/>
    <w:rsid w:val="6DBD1821"/>
    <w:rsid w:val="6DC42496"/>
    <w:rsid w:val="6DC6FF4B"/>
    <w:rsid w:val="6DC8B26E"/>
    <w:rsid w:val="6DC995C4"/>
    <w:rsid w:val="6DCC0B45"/>
    <w:rsid w:val="6DD0CD35"/>
    <w:rsid w:val="6DD3175A"/>
    <w:rsid w:val="6DD48DF5"/>
    <w:rsid w:val="6DD66297"/>
    <w:rsid w:val="6DD6A511"/>
    <w:rsid w:val="6DD7443A"/>
    <w:rsid w:val="6DD9A370"/>
    <w:rsid w:val="6DDAF586"/>
    <w:rsid w:val="6DDB463B"/>
    <w:rsid w:val="6DDDC52C"/>
    <w:rsid w:val="6DDEE452"/>
    <w:rsid w:val="6DE0E7CD"/>
    <w:rsid w:val="6DE2859A"/>
    <w:rsid w:val="6DE2E722"/>
    <w:rsid w:val="6DE387F5"/>
    <w:rsid w:val="6DE4D3A1"/>
    <w:rsid w:val="6DE90B27"/>
    <w:rsid w:val="6DE9491F"/>
    <w:rsid w:val="6DEB4322"/>
    <w:rsid w:val="6DEE815B"/>
    <w:rsid w:val="6DF457AE"/>
    <w:rsid w:val="6DF65B35"/>
    <w:rsid w:val="6DF78B6F"/>
    <w:rsid w:val="6DF9B1A9"/>
    <w:rsid w:val="6DFA935C"/>
    <w:rsid w:val="6DFAA9B3"/>
    <w:rsid w:val="6DFC2A30"/>
    <w:rsid w:val="6DFCC493"/>
    <w:rsid w:val="6DFE09E3"/>
    <w:rsid w:val="6E01F482"/>
    <w:rsid w:val="6E0440E1"/>
    <w:rsid w:val="6E047B21"/>
    <w:rsid w:val="6E0731F2"/>
    <w:rsid w:val="6E07D921"/>
    <w:rsid w:val="6E09BE21"/>
    <w:rsid w:val="6E09E63A"/>
    <w:rsid w:val="6E0CDC07"/>
    <w:rsid w:val="6E0DE2C9"/>
    <w:rsid w:val="6E0DF493"/>
    <w:rsid w:val="6E0FE75B"/>
    <w:rsid w:val="6E171036"/>
    <w:rsid w:val="6E1982D0"/>
    <w:rsid w:val="6E1A0E93"/>
    <w:rsid w:val="6E1AFA0A"/>
    <w:rsid w:val="6E1BE526"/>
    <w:rsid w:val="6E1C5B1C"/>
    <w:rsid w:val="6E1D0CA0"/>
    <w:rsid w:val="6E1E6B25"/>
    <w:rsid w:val="6E1EEDB8"/>
    <w:rsid w:val="6E23BDCA"/>
    <w:rsid w:val="6E24B169"/>
    <w:rsid w:val="6E24CAA8"/>
    <w:rsid w:val="6E26D320"/>
    <w:rsid w:val="6E2ABEA2"/>
    <w:rsid w:val="6E2B121D"/>
    <w:rsid w:val="6E2CECC9"/>
    <w:rsid w:val="6E2ED57B"/>
    <w:rsid w:val="6E2ED69D"/>
    <w:rsid w:val="6E314175"/>
    <w:rsid w:val="6E315EE2"/>
    <w:rsid w:val="6E32BC59"/>
    <w:rsid w:val="6E358E36"/>
    <w:rsid w:val="6E36277C"/>
    <w:rsid w:val="6E365322"/>
    <w:rsid w:val="6E38C24E"/>
    <w:rsid w:val="6E38EED8"/>
    <w:rsid w:val="6E3A252C"/>
    <w:rsid w:val="6E3ADCDA"/>
    <w:rsid w:val="6E3BC69A"/>
    <w:rsid w:val="6E3BEBA7"/>
    <w:rsid w:val="6E3C3FEA"/>
    <w:rsid w:val="6E3FF107"/>
    <w:rsid w:val="6E4E218F"/>
    <w:rsid w:val="6E50AA20"/>
    <w:rsid w:val="6E53FDBE"/>
    <w:rsid w:val="6E540FA0"/>
    <w:rsid w:val="6E56D092"/>
    <w:rsid w:val="6E58BBDC"/>
    <w:rsid w:val="6E5DF592"/>
    <w:rsid w:val="6E620A26"/>
    <w:rsid w:val="6E62DD14"/>
    <w:rsid w:val="6E63831B"/>
    <w:rsid w:val="6E64418C"/>
    <w:rsid w:val="6E65C855"/>
    <w:rsid w:val="6E6786B8"/>
    <w:rsid w:val="6E6865D9"/>
    <w:rsid w:val="6E6AC55A"/>
    <w:rsid w:val="6E6BE15D"/>
    <w:rsid w:val="6E6D877D"/>
    <w:rsid w:val="6E70EFCF"/>
    <w:rsid w:val="6E7333A3"/>
    <w:rsid w:val="6E7511DE"/>
    <w:rsid w:val="6E75756F"/>
    <w:rsid w:val="6E77085C"/>
    <w:rsid w:val="6E77AE9D"/>
    <w:rsid w:val="6E78F7F1"/>
    <w:rsid w:val="6E7A1619"/>
    <w:rsid w:val="6E7F6317"/>
    <w:rsid w:val="6E802F5B"/>
    <w:rsid w:val="6E803C47"/>
    <w:rsid w:val="6E82026E"/>
    <w:rsid w:val="6E8212E0"/>
    <w:rsid w:val="6E854184"/>
    <w:rsid w:val="6E86A00C"/>
    <w:rsid w:val="6E87BC43"/>
    <w:rsid w:val="6E88C1BC"/>
    <w:rsid w:val="6E8A98C5"/>
    <w:rsid w:val="6E8BF121"/>
    <w:rsid w:val="6E8E3BB3"/>
    <w:rsid w:val="6E8E5A8D"/>
    <w:rsid w:val="6E901C53"/>
    <w:rsid w:val="6E92533E"/>
    <w:rsid w:val="6E95A4C3"/>
    <w:rsid w:val="6E95FFA8"/>
    <w:rsid w:val="6E978D6E"/>
    <w:rsid w:val="6E988EB6"/>
    <w:rsid w:val="6E9F0E57"/>
    <w:rsid w:val="6EA38446"/>
    <w:rsid w:val="6EA3A37F"/>
    <w:rsid w:val="6EA608E5"/>
    <w:rsid w:val="6EA67E0B"/>
    <w:rsid w:val="6EA7BB66"/>
    <w:rsid w:val="6EA97FDD"/>
    <w:rsid w:val="6EAB146C"/>
    <w:rsid w:val="6EABEEB0"/>
    <w:rsid w:val="6EACD056"/>
    <w:rsid w:val="6EAD0DA4"/>
    <w:rsid w:val="6EAD28F5"/>
    <w:rsid w:val="6EAF1254"/>
    <w:rsid w:val="6EAFEB51"/>
    <w:rsid w:val="6EB2243A"/>
    <w:rsid w:val="6EB2A446"/>
    <w:rsid w:val="6EB2F0D4"/>
    <w:rsid w:val="6EB6F637"/>
    <w:rsid w:val="6EB96B2E"/>
    <w:rsid w:val="6EBA3DCC"/>
    <w:rsid w:val="6EBDAE3B"/>
    <w:rsid w:val="6EC06352"/>
    <w:rsid w:val="6EC0EBD2"/>
    <w:rsid w:val="6EC1AEF6"/>
    <w:rsid w:val="6EC645B4"/>
    <w:rsid w:val="6ECC0D06"/>
    <w:rsid w:val="6ED21DA1"/>
    <w:rsid w:val="6ED2CCB9"/>
    <w:rsid w:val="6ED498D4"/>
    <w:rsid w:val="6ED8C05D"/>
    <w:rsid w:val="6ED9D39A"/>
    <w:rsid w:val="6EDD4D69"/>
    <w:rsid w:val="6EDF9296"/>
    <w:rsid w:val="6EE0BE70"/>
    <w:rsid w:val="6EE12EC4"/>
    <w:rsid w:val="6EE132D5"/>
    <w:rsid w:val="6EE144FF"/>
    <w:rsid w:val="6EE1611F"/>
    <w:rsid w:val="6EE9A0F6"/>
    <w:rsid w:val="6EEA86C7"/>
    <w:rsid w:val="6EF0FC65"/>
    <w:rsid w:val="6EF4A6B9"/>
    <w:rsid w:val="6EFA147B"/>
    <w:rsid w:val="6F05AA48"/>
    <w:rsid w:val="6F05AAC4"/>
    <w:rsid w:val="6F08E4AC"/>
    <w:rsid w:val="6F0B52C8"/>
    <w:rsid w:val="6F0CD1F2"/>
    <w:rsid w:val="6F10EA29"/>
    <w:rsid w:val="6F13D5F2"/>
    <w:rsid w:val="6F13FB10"/>
    <w:rsid w:val="6F159577"/>
    <w:rsid w:val="6F177076"/>
    <w:rsid w:val="6F1AF4C5"/>
    <w:rsid w:val="6F1B27EF"/>
    <w:rsid w:val="6F1B7397"/>
    <w:rsid w:val="6F1E240F"/>
    <w:rsid w:val="6F1EBFD9"/>
    <w:rsid w:val="6F204394"/>
    <w:rsid w:val="6F209492"/>
    <w:rsid w:val="6F21C5FF"/>
    <w:rsid w:val="6F22701E"/>
    <w:rsid w:val="6F24F4EF"/>
    <w:rsid w:val="6F279CF7"/>
    <w:rsid w:val="6F2951EB"/>
    <w:rsid w:val="6F296DC5"/>
    <w:rsid w:val="6F298B66"/>
    <w:rsid w:val="6F29CFA3"/>
    <w:rsid w:val="6F2E816A"/>
    <w:rsid w:val="6F340B01"/>
    <w:rsid w:val="6F340FD1"/>
    <w:rsid w:val="6F374FB5"/>
    <w:rsid w:val="6F38560B"/>
    <w:rsid w:val="6F408707"/>
    <w:rsid w:val="6F41D715"/>
    <w:rsid w:val="6F43E715"/>
    <w:rsid w:val="6F440CA7"/>
    <w:rsid w:val="6F4597A9"/>
    <w:rsid w:val="6F45B57C"/>
    <w:rsid w:val="6F48ED95"/>
    <w:rsid w:val="6F4B78E3"/>
    <w:rsid w:val="6F4C093E"/>
    <w:rsid w:val="6F4D1E09"/>
    <w:rsid w:val="6F4D2891"/>
    <w:rsid w:val="6F5160A0"/>
    <w:rsid w:val="6F53986C"/>
    <w:rsid w:val="6F5B352F"/>
    <w:rsid w:val="6F63E1A8"/>
    <w:rsid w:val="6F655DD5"/>
    <w:rsid w:val="6F685F21"/>
    <w:rsid w:val="6F68A032"/>
    <w:rsid w:val="6F6B6B04"/>
    <w:rsid w:val="6F6C0BFA"/>
    <w:rsid w:val="6F6D3A1B"/>
    <w:rsid w:val="6F6D4656"/>
    <w:rsid w:val="6F6DAE74"/>
    <w:rsid w:val="6F6DDCFE"/>
    <w:rsid w:val="6F6F5346"/>
    <w:rsid w:val="6F7188B0"/>
    <w:rsid w:val="6F76BD73"/>
    <w:rsid w:val="6F779FD9"/>
    <w:rsid w:val="6F785A61"/>
    <w:rsid w:val="6F799469"/>
    <w:rsid w:val="6F7F5856"/>
    <w:rsid w:val="6F80129F"/>
    <w:rsid w:val="6F823112"/>
    <w:rsid w:val="6F832630"/>
    <w:rsid w:val="6F85B245"/>
    <w:rsid w:val="6F87C97F"/>
    <w:rsid w:val="6F88E7AA"/>
    <w:rsid w:val="6F8ACFCE"/>
    <w:rsid w:val="6F8CBFD8"/>
    <w:rsid w:val="6F8E4BF6"/>
    <w:rsid w:val="6F92E5F3"/>
    <w:rsid w:val="6F93E420"/>
    <w:rsid w:val="6F97F958"/>
    <w:rsid w:val="6F9FF320"/>
    <w:rsid w:val="6FA0A24D"/>
    <w:rsid w:val="6FA22495"/>
    <w:rsid w:val="6FA3EC96"/>
    <w:rsid w:val="6FA4B25F"/>
    <w:rsid w:val="6FAA1CEB"/>
    <w:rsid w:val="6FAA7B5B"/>
    <w:rsid w:val="6FAB3C02"/>
    <w:rsid w:val="6FB01061"/>
    <w:rsid w:val="6FB07DF6"/>
    <w:rsid w:val="6FB104D9"/>
    <w:rsid w:val="6FB28155"/>
    <w:rsid w:val="6FB578C8"/>
    <w:rsid w:val="6FBD3783"/>
    <w:rsid w:val="6FBF9F67"/>
    <w:rsid w:val="6FBFEADF"/>
    <w:rsid w:val="6FC26F0A"/>
    <w:rsid w:val="6FC87F15"/>
    <w:rsid w:val="6FC9559F"/>
    <w:rsid w:val="6FC96854"/>
    <w:rsid w:val="6FCBCCBE"/>
    <w:rsid w:val="6FCC9712"/>
    <w:rsid w:val="6FD12AF6"/>
    <w:rsid w:val="6FD3B04C"/>
    <w:rsid w:val="6FD3BC9C"/>
    <w:rsid w:val="6FD891ED"/>
    <w:rsid w:val="6FDB1A92"/>
    <w:rsid w:val="6FDC58BA"/>
    <w:rsid w:val="6FE04A66"/>
    <w:rsid w:val="6FE04AB9"/>
    <w:rsid w:val="6FE16EB5"/>
    <w:rsid w:val="6FE225E0"/>
    <w:rsid w:val="6FE2451B"/>
    <w:rsid w:val="6FE27F13"/>
    <w:rsid w:val="6FE37472"/>
    <w:rsid w:val="6FE494B1"/>
    <w:rsid w:val="6FE5F8C3"/>
    <w:rsid w:val="6FE79417"/>
    <w:rsid w:val="6FE84BF0"/>
    <w:rsid w:val="6FEB2DCE"/>
    <w:rsid w:val="6FF1A2AA"/>
    <w:rsid w:val="6FF2842A"/>
    <w:rsid w:val="6FF2EB1C"/>
    <w:rsid w:val="6FF2F668"/>
    <w:rsid w:val="6FF3AD90"/>
    <w:rsid w:val="6FFA0920"/>
    <w:rsid w:val="6FFA6C78"/>
    <w:rsid w:val="6FFB29C2"/>
    <w:rsid w:val="6FFB37D7"/>
    <w:rsid w:val="6FFC1BCB"/>
    <w:rsid w:val="70044E88"/>
    <w:rsid w:val="7004D049"/>
    <w:rsid w:val="70063319"/>
    <w:rsid w:val="700A5962"/>
    <w:rsid w:val="700D8FC6"/>
    <w:rsid w:val="7010201E"/>
    <w:rsid w:val="70122F31"/>
    <w:rsid w:val="7012BA42"/>
    <w:rsid w:val="7012FC41"/>
    <w:rsid w:val="701724A1"/>
    <w:rsid w:val="7019D407"/>
    <w:rsid w:val="701C51EA"/>
    <w:rsid w:val="701D2E89"/>
    <w:rsid w:val="701F7FA5"/>
    <w:rsid w:val="70213310"/>
    <w:rsid w:val="702281DF"/>
    <w:rsid w:val="70280A15"/>
    <w:rsid w:val="702981C2"/>
    <w:rsid w:val="7032386B"/>
    <w:rsid w:val="70337E22"/>
    <w:rsid w:val="7033EF8C"/>
    <w:rsid w:val="703452CA"/>
    <w:rsid w:val="7034B8F9"/>
    <w:rsid w:val="7035B732"/>
    <w:rsid w:val="70374AC9"/>
    <w:rsid w:val="7039EC66"/>
    <w:rsid w:val="703E207A"/>
    <w:rsid w:val="703F54A7"/>
    <w:rsid w:val="70406F1E"/>
    <w:rsid w:val="70425565"/>
    <w:rsid w:val="70496C48"/>
    <w:rsid w:val="704CD9FF"/>
    <w:rsid w:val="704E86BD"/>
    <w:rsid w:val="70518C22"/>
    <w:rsid w:val="7053F341"/>
    <w:rsid w:val="7055A986"/>
    <w:rsid w:val="705737F3"/>
    <w:rsid w:val="705892F3"/>
    <w:rsid w:val="70590B1C"/>
    <w:rsid w:val="705BA72B"/>
    <w:rsid w:val="705D0E3C"/>
    <w:rsid w:val="705D2172"/>
    <w:rsid w:val="705F1D99"/>
    <w:rsid w:val="7060F514"/>
    <w:rsid w:val="70629FA9"/>
    <w:rsid w:val="7062BC6D"/>
    <w:rsid w:val="7065B474"/>
    <w:rsid w:val="7068717A"/>
    <w:rsid w:val="70703004"/>
    <w:rsid w:val="7078DA0B"/>
    <w:rsid w:val="707D5741"/>
    <w:rsid w:val="7081568C"/>
    <w:rsid w:val="70829F45"/>
    <w:rsid w:val="70842A8C"/>
    <w:rsid w:val="7085DE7B"/>
    <w:rsid w:val="70886ED1"/>
    <w:rsid w:val="7088A3FB"/>
    <w:rsid w:val="708A5B6E"/>
    <w:rsid w:val="708E6F82"/>
    <w:rsid w:val="709274D9"/>
    <w:rsid w:val="70959D10"/>
    <w:rsid w:val="7097A929"/>
    <w:rsid w:val="70998809"/>
    <w:rsid w:val="709AC4A7"/>
    <w:rsid w:val="709BE73F"/>
    <w:rsid w:val="70A039EB"/>
    <w:rsid w:val="70A198BD"/>
    <w:rsid w:val="70A26E00"/>
    <w:rsid w:val="70AD2F56"/>
    <w:rsid w:val="70AE64C7"/>
    <w:rsid w:val="70B0234F"/>
    <w:rsid w:val="70B0DB9D"/>
    <w:rsid w:val="70B1D2ED"/>
    <w:rsid w:val="70B3C87C"/>
    <w:rsid w:val="70B52685"/>
    <w:rsid w:val="70B77949"/>
    <w:rsid w:val="70BA7FEB"/>
    <w:rsid w:val="70BAA09C"/>
    <w:rsid w:val="70BABDA9"/>
    <w:rsid w:val="70BCDA5D"/>
    <w:rsid w:val="70BFB22F"/>
    <w:rsid w:val="70C0D483"/>
    <w:rsid w:val="70C40DF9"/>
    <w:rsid w:val="70C66EDA"/>
    <w:rsid w:val="70C90AB9"/>
    <w:rsid w:val="70CB3E57"/>
    <w:rsid w:val="70CB9D17"/>
    <w:rsid w:val="70D4D5C2"/>
    <w:rsid w:val="70D8C3D9"/>
    <w:rsid w:val="70DC92E3"/>
    <w:rsid w:val="70DF54A1"/>
    <w:rsid w:val="70E328EB"/>
    <w:rsid w:val="70EBA04F"/>
    <w:rsid w:val="70EEE7E9"/>
    <w:rsid w:val="70F11525"/>
    <w:rsid w:val="70F25CAE"/>
    <w:rsid w:val="70F29BA3"/>
    <w:rsid w:val="70F56E6B"/>
    <w:rsid w:val="70FAC9BF"/>
    <w:rsid w:val="70FDCB79"/>
    <w:rsid w:val="7100DF46"/>
    <w:rsid w:val="71017CA9"/>
    <w:rsid w:val="71018D66"/>
    <w:rsid w:val="7102C34D"/>
    <w:rsid w:val="710486A5"/>
    <w:rsid w:val="71048D3D"/>
    <w:rsid w:val="71091975"/>
    <w:rsid w:val="710EEF62"/>
    <w:rsid w:val="710F1C2A"/>
    <w:rsid w:val="71137A04"/>
    <w:rsid w:val="711424AC"/>
    <w:rsid w:val="7115C839"/>
    <w:rsid w:val="7116E3AE"/>
    <w:rsid w:val="71182ED7"/>
    <w:rsid w:val="7118BB6F"/>
    <w:rsid w:val="711BE203"/>
    <w:rsid w:val="711C1027"/>
    <w:rsid w:val="711CFA6C"/>
    <w:rsid w:val="711D3518"/>
    <w:rsid w:val="711F90FA"/>
    <w:rsid w:val="71207E77"/>
    <w:rsid w:val="71229DB0"/>
    <w:rsid w:val="7122E90B"/>
    <w:rsid w:val="71230EEB"/>
    <w:rsid w:val="71277951"/>
    <w:rsid w:val="712D77EB"/>
    <w:rsid w:val="71313A00"/>
    <w:rsid w:val="713836AA"/>
    <w:rsid w:val="713A11A7"/>
    <w:rsid w:val="713F94EB"/>
    <w:rsid w:val="7141DC3F"/>
    <w:rsid w:val="71455BB8"/>
    <w:rsid w:val="714575C0"/>
    <w:rsid w:val="714741B4"/>
    <w:rsid w:val="71478C79"/>
    <w:rsid w:val="7147FFE8"/>
    <w:rsid w:val="71488682"/>
    <w:rsid w:val="714A474D"/>
    <w:rsid w:val="714FB96B"/>
    <w:rsid w:val="71523A18"/>
    <w:rsid w:val="71535C6D"/>
    <w:rsid w:val="71563A3E"/>
    <w:rsid w:val="71565832"/>
    <w:rsid w:val="7157A764"/>
    <w:rsid w:val="715A480D"/>
    <w:rsid w:val="715C3FD0"/>
    <w:rsid w:val="715CEC8B"/>
    <w:rsid w:val="715D2901"/>
    <w:rsid w:val="7164895E"/>
    <w:rsid w:val="7165889C"/>
    <w:rsid w:val="7165EA4F"/>
    <w:rsid w:val="71673380"/>
    <w:rsid w:val="716AFE74"/>
    <w:rsid w:val="716C738A"/>
    <w:rsid w:val="716D3592"/>
    <w:rsid w:val="716D8608"/>
    <w:rsid w:val="716E4C66"/>
    <w:rsid w:val="716E5877"/>
    <w:rsid w:val="716F629B"/>
    <w:rsid w:val="7172E748"/>
    <w:rsid w:val="71734181"/>
    <w:rsid w:val="71738846"/>
    <w:rsid w:val="717A43C3"/>
    <w:rsid w:val="717BF743"/>
    <w:rsid w:val="717C038C"/>
    <w:rsid w:val="717C56F1"/>
    <w:rsid w:val="717CF71E"/>
    <w:rsid w:val="717E2658"/>
    <w:rsid w:val="7181C924"/>
    <w:rsid w:val="718760F0"/>
    <w:rsid w:val="71898151"/>
    <w:rsid w:val="718B97CD"/>
    <w:rsid w:val="718C6557"/>
    <w:rsid w:val="718D680C"/>
    <w:rsid w:val="71919AEA"/>
    <w:rsid w:val="7192B6DB"/>
    <w:rsid w:val="7194B8B7"/>
    <w:rsid w:val="71971309"/>
    <w:rsid w:val="7197658B"/>
    <w:rsid w:val="71991794"/>
    <w:rsid w:val="71999F5C"/>
    <w:rsid w:val="719A7B37"/>
    <w:rsid w:val="719D1467"/>
    <w:rsid w:val="71A0B223"/>
    <w:rsid w:val="71A1C380"/>
    <w:rsid w:val="71A24C14"/>
    <w:rsid w:val="71A3BE91"/>
    <w:rsid w:val="71A67C0A"/>
    <w:rsid w:val="71AAE78E"/>
    <w:rsid w:val="71AC77FF"/>
    <w:rsid w:val="71ACD65F"/>
    <w:rsid w:val="71AD4BE6"/>
    <w:rsid w:val="71AE250E"/>
    <w:rsid w:val="71AE6195"/>
    <w:rsid w:val="71AFFC33"/>
    <w:rsid w:val="71B2CBAA"/>
    <w:rsid w:val="71B5820D"/>
    <w:rsid w:val="71B5A468"/>
    <w:rsid w:val="71BA2B0F"/>
    <w:rsid w:val="71BA6CAE"/>
    <w:rsid w:val="71BB048D"/>
    <w:rsid w:val="71BBF560"/>
    <w:rsid w:val="71BF16D8"/>
    <w:rsid w:val="71C1C5D2"/>
    <w:rsid w:val="71C6E829"/>
    <w:rsid w:val="71C7CF70"/>
    <w:rsid w:val="71D09D64"/>
    <w:rsid w:val="71D74249"/>
    <w:rsid w:val="71D85967"/>
    <w:rsid w:val="71D88964"/>
    <w:rsid w:val="71DDE317"/>
    <w:rsid w:val="71DE6F49"/>
    <w:rsid w:val="71DF1098"/>
    <w:rsid w:val="71DFED56"/>
    <w:rsid w:val="71E289F9"/>
    <w:rsid w:val="71E29AE5"/>
    <w:rsid w:val="71E5AF5D"/>
    <w:rsid w:val="71E5ECBF"/>
    <w:rsid w:val="71E6B256"/>
    <w:rsid w:val="71EB98A0"/>
    <w:rsid w:val="71ECFE7A"/>
    <w:rsid w:val="71F0D0A4"/>
    <w:rsid w:val="71F1A0CA"/>
    <w:rsid w:val="71F49DDF"/>
    <w:rsid w:val="71F5B76D"/>
    <w:rsid w:val="71F6B723"/>
    <w:rsid w:val="71F91432"/>
    <w:rsid w:val="71FA0936"/>
    <w:rsid w:val="71FE8CCE"/>
    <w:rsid w:val="72053298"/>
    <w:rsid w:val="72093AC8"/>
    <w:rsid w:val="720AC79B"/>
    <w:rsid w:val="720B5D77"/>
    <w:rsid w:val="720E9184"/>
    <w:rsid w:val="72152F60"/>
    <w:rsid w:val="7217B013"/>
    <w:rsid w:val="721EE8AF"/>
    <w:rsid w:val="722DC7EE"/>
    <w:rsid w:val="722F629C"/>
    <w:rsid w:val="722F8523"/>
    <w:rsid w:val="72308196"/>
    <w:rsid w:val="7233540B"/>
    <w:rsid w:val="72343BD8"/>
    <w:rsid w:val="72351FD1"/>
    <w:rsid w:val="72385E0B"/>
    <w:rsid w:val="723B305F"/>
    <w:rsid w:val="723BBF2C"/>
    <w:rsid w:val="723F8B4F"/>
    <w:rsid w:val="7245255F"/>
    <w:rsid w:val="7245B79A"/>
    <w:rsid w:val="72469CC5"/>
    <w:rsid w:val="7247B9E4"/>
    <w:rsid w:val="7247BE2B"/>
    <w:rsid w:val="7248B4F7"/>
    <w:rsid w:val="724B7CEE"/>
    <w:rsid w:val="724FAC8F"/>
    <w:rsid w:val="72501BE3"/>
    <w:rsid w:val="7251B85A"/>
    <w:rsid w:val="7252EB07"/>
    <w:rsid w:val="72534D2C"/>
    <w:rsid w:val="725358E3"/>
    <w:rsid w:val="72562D34"/>
    <w:rsid w:val="72578024"/>
    <w:rsid w:val="725CF4B2"/>
    <w:rsid w:val="725F79DA"/>
    <w:rsid w:val="725FB228"/>
    <w:rsid w:val="72634012"/>
    <w:rsid w:val="72637E9A"/>
    <w:rsid w:val="7267FA00"/>
    <w:rsid w:val="726C1581"/>
    <w:rsid w:val="726C3D04"/>
    <w:rsid w:val="7272210F"/>
    <w:rsid w:val="72722A05"/>
    <w:rsid w:val="7273145E"/>
    <w:rsid w:val="72746124"/>
    <w:rsid w:val="7274BFF9"/>
    <w:rsid w:val="72757649"/>
    <w:rsid w:val="7275BFF1"/>
    <w:rsid w:val="7278F53E"/>
    <w:rsid w:val="727A8AEB"/>
    <w:rsid w:val="727FD5EA"/>
    <w:rsid w:val="727FE144"/>
    <w:rsid w:val="72819237"/>
    <w:rsid w:val="7282AC7D"/>
    <w:rsid w:val="72842634"/>
    <w:rsid w:val="72865F0F"/>
    <w:rsid w:val="7286DBF0"/>
    <w:rsid w:val="7286E67F"/>
    <w:rsid w:val="72880FFA"/>
    <w:rsid w:val="728864F6"/>
    <w:rsid w:val="729035D2"/>
    <w:rsid w:val="72909A2F"/>
    <w:rsid w:val="7295748A"/>
    <w:rsid w:val="7296B073"/>
    <w:rsid w:val="729C7F95"/>
    <w:rsid w:val="72A0E288"/>
    <w:rsid w:val="72A1EE15"/>
    <w:rsid w:val="72A5C3FD"/>
    <w:rsid w:val="72A6CD12"/>
    <w:rsid w:val="72A7F6D6"/>
    <w:rsid w:val="72A9F4AF"/>
    <w:rsid w:val="72ABBABB"/>
    <w:rsid w:val="72AC92A0"/>
    <w:rsid w:val="72ACE7BD"/>
    <w:rsid w:val="72AD0918"/>
    <w:rsid w:val="72B11CF6"/>
    <w:rsid w:val="72B213F5"/>
    <w:rsid w:val="72B2991A"/>
    <w:rsid w:val="72BD20FF"/>
    <w:rsid w:val="72BE4D91"/>
    <w:rsid w:val="72BEDAD9"/>
    <w:rsid w:val="72BF5D4F"/>
    <w:rsid w:val="72C14A65"/>
    <w:rsid w:val="72C15729"/>
    <w:rsid w:val="72C2423F"/>
    <w:rsid w:val="72C44B09"/>
    <w:rsid w:val="72C89F16"/>
    <w:rsid w:val="72CC8EB2"/>
    <w:rsid w:val="72CFBF58"/>
    <w:rsid w:val="72D02373"/>
    <w:rsid w:val="72D23DDE"/>
    <w:rsid w:val="72D24A5D"/>
    <w:rsid w:val="72D3E9C2"/>
    <w:rsid w:val="72D4DFEA"/>
    <w:rsid w:val="72D5FA9A"/>
    <w:rsid w:val="72D765EC"/>
    <w:rsid w:val="72D85E94"/>
    <w:rsid w:val="72D998E7"/>
    <w:rsid w:val="72D9FF38"/>
    <w:rsid w:val="72DA101B"/>
    <w:rsid w:val="72DA2824"/>
    <w:rsid w:val="72DB2D0E"/>
    <w:rsid w:val="72DDDD4D"/>
    <w:rsid w:val="72DFC2BB"/>
    <w:rsid w:val="72E11684"/>
    <w:rsid w:val="72E25249"/>
    <w:rsid w:val="72E2F202"/>
    <w:rsid w:val="72E497AB"/>
    <w:rsid w:val="72E5BC13"/>
    <w:rsid w:val="72E63223"/>
    <w:rsid w:val="72E64A65"/>
    <w:rsid w:val="72E6A997"/>
    <w:rsid w:val="72E822FE"/>
    <w:rsid w:val="72E8EA20"/>
    <w:rsid w:val="72EF3219"/>
    <w:rsid w:val="72EFD26D"/>
    <w:rsid w:val="72F27377"/>
    <w:rsid w:val="72F4765C"/>
    <w:rsid w:val="72F62606"/>
    <w:rsid w:val="72F67B05"/>
    <w:rsid w:val="72FD77BE"/>
    <w:rsid w:val="72FDAE62"/>
    <w:rsid w:val="72FE8F34"/>
    <w:rsid w:val="7300E5ED"/>
    <w:rsid w:val="73025DAA"/>
    <w:rsid w:val="73068854"/>
    <w:rsid w:val="7308F2A3"/>
    <w:rsid w:val="730B06B3"/>
    <w:rsid w:val="730C797A"/>
    <w:rsid w:val="730F4396"/>
    <w:rsid w:val="7310D260"/>
    <w:rsid w:val="7317B06E"/>
    <w:rsid w:val="7317B24E"/>
    <w:rsid w:val="73184555"/>
    <w:rsid w:val="73196077"/>
    <w:rsid w:val="731A029E"/>
    <w:rsid w:val="731C45A8"/>
    <w:rsid w:val="731CE5B9"/>
    <w:rsid w:val="731EE2D9"/>
    <w:rsid w:val="731FCC94"/>
    <w:rsid w:val="7320DC06"/>
    <w:rsid w:val="73225ED3"/>
    <w:rsid w:val="7327455E"/>
    <w:rsid w:val="7328BC39"/>
    <w:rsid w:val="732BF414"/>
    <w:rsid w:val="732D8CA2"/>
    <w:rsid w:val="7333DA60"/>
    <w:rsid w:val="73356E3B"/>
    <w:rsid w:val="73361E3B"/>
    <w:rsid w:val="7337D3DC"/>
    <w:rsid w:val="733B0DD9"/>
    <w:rsid w:val="733B9E02"/>
    <w:rsid w:val="733E0472"/>
    <w:rsid w:val="733E3FC5"/>
    <w:rsid w:val="733E6B67"/>
    <w:rsid w:val="733F8EF2"/>
    <w:rsid w:val="73439CF1"/>
    <w:rsid w:val="734615A9"/>
    <w:rsid w:val="73466B58"/>
    <w:rsid w:val="7348C4BE"/>
    <w:rsid w:val="734DAEF2"/>
    <w:rsid w:val="734F3477"/>
    <w:rsid w:val="73509797"/>
    <w:rsid w:val="73519B72"/>
    <w:rsid w:val="73535D90"/>
    <w:rsid w:val="7356AAA5"/>
    <w:rsid w:val="7358DC2D"/>
    <w:rsid w:val="735BC136"/>
    <w:rsid w:val="735E8B06"/>
    <w:rsid w:val="735F5425"/>
    <w:rsid w:val="7360D885"/>
    <w:rsid w:val="7360DE5D"/>
    <w:rsid w:val="7360F0D0"/>
    <w:rsid w:val="736324AF"/>
    <w:rsid w:val="736560CD"/>
    <w:rsid w:val="7365BB64"/>
    <w:rsid w:val="7366862A"/>
    <w:rsid w:val="73696E78"/>
    <w:rsid w:val="7370C9D2"/>
    <w:rsid w:val="73714061"/>
    <w:rsid w:val="7371E727"/>
    <w:rsid w:val="7373BFD5"/>
    <w:rsid w:val="7374DF8E"/>
    <w:rsid w:val="737585F4"/>
    <w:rsid w:val="737602B6"/>
    <w:rsid w:val="737B2765"/>
    <w:rsid w:val="737FCA82"/>
    <w:rsid w:val="7380791D"/>
    <w:rsid w:val="7381893D"/>
    <w:rsid w:val="7382453C"/>
    <w:rsid w:val="7383132B"/>
    <w:rsid w:val="73847FA9"/>
    <w:rsid w:val="73854E40"/>
    <w:rsid w:val="73863FC2"/>
    <w:rsid w:val="7386D668"/>
    <w:rsid w:val="738A927B"/>
    <w:rsid w:val="738AD6A3"/>
    <w:rsid w:val="738BE85D"/>
    <w:rsid w:val="738EC3EF"/>
    <w:rsid w:val="73909DA6"/>
    <w:rsid w:val="739B7F50"/>
    <w:rsid w:val="739F813E"/>
    <w:rsid w:val="739FE5DC"/>
    <w:rsid w:val="73A06AFA"/>
    <w:rsid w:val="73A0A3C3"/>
    <w:rsid w:val="73A22193"/>
    <w:rsid w:val="73A473E0"/>
    <w:rsid w:val="73A72DD8"/>
    <w:rsid w:val="73AF38FD"/>
    <w:rsid w:val="73AF8E4D"/>
    <w:rsid w:val="73AFFBEE"/>
    <w:rsid w:val="73B05548"/>
    <w:rsid w:val="73B576DF"/>
    <w:rsid w:val="73B8855F"/>
    <w:rsid w:val="73B9E82C"/>
    <w:rsid w:val="73BAB910"/>
    <w:rsid w:val="73BB3144"/>
    <w:rsid w:val="73BCA0E7"/>
    <w:rsid w:val="73BCF528"/>
    <w:rsid w:val="73BE2EBE"/>
    <w:rsid w:val="73BF1ADC"/>
    <w:rsid w:val="73C14F94"/>
    <w:rsid w:val="73C2936A"/>
    <w:rsid w:val="73C2D5AC"/>
    <w:rsid w:val="73C3920D"/>
    <w:rsid w:val="73C472E7"/>
    <w:rsid w:val="73C4EFA1"/>
    <w:rsid w:val="73C8BF3E"/>
    <w:rsid w:val="73CCB3F0"/>
    <w:rsid w:val="73CCF163"/>
    <w:rsid w:val="73D073DC"/>
    <w:rsid w:val="73D557E2"/>
    <w:rsid w:val="73D86E64"/>
    <w:rsid w:val="73DCD32D"/>
    <w:rsid w:val="73DD50E6"/>
    <w:rsid w:val="73E10A04"/>
    <w:rsid w:val="73E19123"/>
    <w:rsid w:val="73E559F2"/>
    <w:rsid w:val="73E6EBB7"/>
    <w:rsid w:val="73E8A87A"/>
    <w:rsid w:val="73E92CBA"/>
    <w:rsid w:val="73E973AF"/>
    <w:rsid w:val="73EC33AA"/>
    <w:rsid w:val="73ED1649"/>
    <w:rsid w:val="73ED8102"/>
    <w:rsid w:val="73F1A8EB"/>
    <w:rsid w:val="73F23DE0"/>
    <w:rsid w:val="73F52B7C"/>
    <w:rsid w:val="73F53807"/>
    <w:rsid w:val="73F610CE"/>
    <w:rsid w:val="73F6C276"/>
    <w:rsid w:val="73F70A7D"/>
    <w:rsid w:val="73F758C5"/>
    <w:rsid w:val="73F76591"/>
    <w:rsid w:val="73F86A18"/>
    <w:rsid w:val="73FA53E2"/>
    <w:rsid w:val="73FAEE74"/>
    <w:rsid w:val="73FB65B3"/>
    <w:rsid w:val="73FB674C"/>
    <w:rsid w:val="73FC2530"/>
    <w:rsid w:val="73FC5D1C"/>
    <w:rsid w:val="73FC7C34"/>
    <w:rsid w:val="7400C224"/>
    <w:rsid w:val="74030047"/>
    <w:rsid w:val="740363E8"/>
    <w:rsid w:val="7404BD00"/>
    <w:rsid w:val="7405108C"/>
    <w:rsid w:val="740687C7"/>
    <w:rsid w:val="7413062F"/>
    <w:rsid w:val="7413D172"/>
    <w:rsid w:val="7415263A"/>
    <w:rsid w:val="74186309"/>
    <w:rsid w:val="741BB584"/>
    <w:rsid w:val="741DD15D"/>
    <w:rsid w:val="741F0A3B"/>
    <w:rsid w:val="741F9DC8"/>
    <w:rsid w:val="742416C7"/>
    <w:rsid w:val="74265FB7"/>
    <w:rsid w:val="7426D9B2"/>
    <w:rsid w:val="7428C390"/>
    <w:rsid w:val="7429894B"/>
    <w:rsid w:val="7429FD86"/>
    <w:rsid w:val="742B0CDD"/>
    <w:rsid w:val="742B4784"/>
    <w:rsid w:val="742BBA0C"/>
    <w:rsid w:val="742E75A5"/>
    <w:rsid w:val="742F040D"/>
    <w:rsid w:val="743442E4"/>
    <w:rsid w:val="7436335B"/>
    <w:rsid w:val="743E9CC4"/>
    <w:rsid w:val="7440D105"/>
    <w:rsid w:val="744198FB"/>
    <w:rsid w:val="74466ED7"/>
    <w:rsid w:val="744768AF"/>
    <w:rsid w:val="7448A44A"/>
    <w:rsid w:val="744AA0EB"/>
    <w:rsid w:val="744E09DB"/>
    <w:rsid w:val="744F10BD"/>
    <w:rsid w:val="744F2859"/>
    <w:rsid w:val="74501DED"/>
    <w:rsid w:val="74509FDC"/>
    <w:rsid w:val="74518FA0"/>
    <w:rsid w:val="74542E5C"/>
    <w:rsid w:val="74558E20"/>
    <w:rsid w:val="74597763"/>
    <w:rsid w:val="745A1DF2"/>
    <w:rsid w:val="745C4941"/>
    <w:rsid w:val="745E1807"/>
    <w:rsid w:val="745FA049"/>
    <w:rsid w:val="7461B8C8"/>
    <w:rsid w:val="746464A1"/>
    <w:rsid w:val="74664D52"/>
    <w:rsid w:val="746780BD"/>
    <w:rsid w:val="7467C02F"/>
    <w:rsid w:val="746914B8"/>
    <w:rsid w:val="746934D4"/>
    <w:rsid w:val="7469E571"/>
    <w:rsid w:val="746A462C"/>
    <w:rsid w:val="746FCAFE"/>
    <w:rsid w:val="747523BD"/>
    <w:rsid w:val="74767418"/>
    <w:rsid w:val="7478891C"/>
    <w:rsid w:val="74788D63"/>
    <w:rsid w:val="7479B16C"/>
    <w:rsid w:val="747AF2F8"/>
    <w:rsid w:val="748113E9"/>
    <w:rsid w:val="7481573A"/>
    <w:rsid w:val="74820748"/>
    <w:rsid w:val="74836B9C"/>
    <w:rsid w:val="7485771D"/>
    <w:rsid w:val="7486B459"/>
    <w:rsid w:val="748711EF"/>
    <w:rsid w:val="748B7A1D"/>
    <w:rsid w:val="748DC522"/>
    <w:rsid w:val="748F8D71"/>
    <w:rsid w:val="7490ADF3"/>
    <w:rsid w:val="7491B176"/>
    <w:rsid w:val="7491D5EF"/>
    <w:rsid w:val="74946391"/>
    <w:rsid w:val="7495984A"/>
    <w:rsid w:val="749646F9"/>
    <w:rsid w:val="74982E61"/>
    <w:rsid w:val="749B71C9"/>
    <w:rsid w:val="749CB64E"/>
    <w:rsid w:val="749CC6C2"/>
    <w:rsid w:val="749D9FDA"/>
    <w:rsid w:val="749E1BFC"/>
    <w:rsid w:val="749E72F7"/>
    <w:rsid w:val="749E84F2"/>
    <w:rsid w:val="749F46B1"/>
    <w:rsid w:val="749FC0EA"/>
    <w:rsid w:val="74A4C625"/>
    <w:rsid w:val="74A7A57A"/>
    <w:rsid w:val="74A86EA5"/>
    <w:rsid w:val="74AB8101"/>
    <w:rsid w:val="74AD6F97"/>
    <w:rsid w:val="74B1D5D3"/>
    <w:rsid w:val="74B1E849"/>
    <w:rsid w:val="74B534C9"/>
    <w:rsid w:val="74B56A81"/>
    <w:rsid w:val="74B62453"/>
    <w:rsid w:val="74B83C9B"/>
    <w:rsid w:val="74B8B930"/>
    <w:rsid w:val="74BC86CE"/>
    <w:rsid w:val="74BD403E"/>
    <w:rsid w:val="74C489E3"/>
    <w:rsid w:val="74C60EFC"/>
    <w:rsid w:val="74C6ED62"/>
    <w:rsid w:val="74C739C3"/>
    <w:rsid w:val="74C88DF9"/>
    <w:rsid w:val="74CE30C7"/>
    <w:rsid w:val="74CFCD05"/>
    <w:rsid w:val="74D05E44"/>
    <w:rsid w:val="74D17EB6"/>
    <w:rsid w:val="74D22F67"/>
    <w:rsid w:val="74D376B6"/>
    <w:rsid w:val="74D6ECE5"/>
    <w:rsid w:val="74D76817"/>
    <w:rsid w:val="74D81391"/>
    <w:rsid w:val="74D9E1AF"/>
    <w:rsid w:val="74DA78DB"/>
    <w:rsid w:val="74DB0465"/>
    <w:rsid w:val="74E30036"/>
    <w:rsid w:val="74E8C456"/>
    <w:rsid w:val="74EAB441"/>
    <w:rsid w:val="74EC750F"/>
    <w:rsid w:val="74EE5FBF"/>
    <w:rsid w:val="74EF02DF"/>
    <w:rsid w:val="74EF7B67"/>
    <w:rsid w:val="74EF7D90"/>
    <w:rsid w:val="74F03E8D"/>
    <w:rsid w:val="74F204C3"/>
    <w:rsid w:val="74F2979B"/>
    <w:rsid w:val="74F3B247"/>
    <w:rsid w:val="74F3EB6B"/>
    <w:rsid w:val="74F660AA"/>
    <w:rsid w:val="74F66C9F"/>
    <w:rsid w:val="74F8ADEC"/>
    <w:rsid w:val="7501B538"/>
    <w:rsid w:val="75054A10"/>
    <w:rsid w:val="7507AF41"/>
    <w:rsid w:val="75091E2F"/>
    <w:rsid w:val="75092855"/>
    <w:rsid w:val="7509965A"/>
    <w:rsid w:val="750D22D5"/>
    <w:rsid w:val="750D78FF"/>
    <w:rsid w:val="75134D4B"/>
    <w:rsid w:val="7515488C"/>
    <w:rsid w:val="7518E045"/>
    <w:rsid w:val="751B5397"/>
    <w:rsid w:val="751D5F8C"/>
    <w:rsid w:val="75252E62"/>
    <w:rsid w:val="7527BBB3"/>
    <w:rsid w:val="752B1FFC"/>
    <w:rsid w:val="752E6584"/>
    <w:rsid w:val="7530A33C"/>
    <w:rsid w:val="75322257"/>
    <w:rsid w:val="75363E83"/>
    <w:rsid w:val="75364185"/>
    <w:rsid w:val="75376E76"/>
    <w:rsid w:val="753BD46A"/>
    <w:rsid w:val="753F611D"/>
    <w:rsid w:val="75424D0A"/>
    <w:rsid w:val="7542FE39"/>
    <w:rsid w:val="75459CA2"/>
    <w:rsid w:val="754C9334"/>
    <w:rsid w:val="754CFA0F"/>
    <w:rsid w:val="75500641"/>
    <w:rsid w:val="75515D94"/>
    <w:rsid w:val="7558AAFB"/>
    <w:rsid w:val="755E1B2B"/>
    <w:rsid w:val="7561CFFF"/>
    <w:rsid w:val="75629EAE"/>
    <w:rsid w:val="7565C084"/>
    <w:rsid w:val="7569A991"/>
    <w:rsid w:val="756C9ED3"/>
    <w:rsid w:val="7574F168"/>
    <w:rsid w:val="75751DDC"/>
    <w:rsid w:val="75758DC4"/>
    <w:rsid w:val="7575B2FF"/>
    <w:rsid w:val="7576A62B"/>
    <w:rsid w:val="757A2B6B"/>
    <w:rsid w:val="757A640E"/>
    <w:rsid w:val="757C9041"/>
    <w:rsid w:val="75819D3A"/>
    <w:rsid w:val="75831F47"/>
    <w:rsid w:val="7583A593"/>
    <w:rsid w:val="7583B079"/>
    <w:rsid w:val="75854410"/>
    <w:rsid w:val="758586BB"/>
    <w:rsid w:val="75861250"/>
    <w:rsid w:val="758994C3"/>
    <w:rsid w:val="7589AD0E"/>
    <w:rsid w:val="758A6C6B"/>
    <w:rsid w:val="758C84FF"/>
    <w:rsid w:val="758F852C"/>
    <w:rsid w:val="7590C0A8"/>
    <w:rsid w:val="75919B60"/>
    <w:rsid w:val="7591DDAE"/>
    <w:rsid w:val="7592BE9C"/>
    <w:rsid w:val="7594E20D"/>
    <w:rsid w:val="759500B9"/>
    <w:rsid w:val="7597DF07"/>
    <w:rsid w:val="7597F009"/>
    <w:rsid w:val="7598A784"/>
    <w:rsid w:val="7598C4EE"/>
    <w:rsid w:val="759A4E37"/>
    <w:rsid w:val="759A6A50"/>
    <w:rsid w:val="759BE81F"/>
    <w:rsid w:val="759C2B3A"/>
    <w:rsid w:val="759CC25E"/>
    <w:rsid w:val="759F1F59"/>
    <w:rsid w:val="75A04BAE"/>
    <w:rsid w:val="75A0F14A"/>
    <w:rsid w:val="75A8B1C0"/>
    <w:rsid w:val="75A93833"/>
    <w:rsid w:val="75A95306"/>
    <w:rsid w:val="75A9C29B"/>
    <w:rsid w:val="75AFF444"/>
    <w:rsid w:val="75B0F69B"/>
    <w:rsid w:val="75B57572"/>
    <w:rsid w:val="75BE09FC"/>
    <w:rsid w:val="75C0A5BE"/>
    <w:rsid w:val="75C2D69F"/>
    <w:rsid w:val="75C38180"/>
    <w:rsid w:val="75C4581B"/>
    <w:rsid w:val="75C83AF1"/>
    <w:rsid w:val="75CC8AE7"/>
    <w:rsid w:val="75CC8C32"/>
    <w:rsid w:val="75D108B7"/>
    <w:rsid w:val="75D33AE9"/>
    <w:rsid w:val="75D37AC4"/>
    <w:rsid w:val="75D45F35"/>
    <w:rsid w:val="75D57659"/>
    <w:rsid w:val="75D64EE4"/>
    <w:rsid w:val="75D71484"/>
    <w:rsid w:val="75D7A85D"/>
    <w:rsid w:val="75D8DA15"/>
    <w:rsid w:val="75DCD5AB"/>
    <w:rsid w:val="75E18ABA"/>
    <w:rsid w:val="75E2C073"/>
    <w:rsid w:val="75E340BE"/>
    <w:rsid w:val="75E38EC3"/>
    <w:rsid w:val="75E583DC"/>
    <w:rsid w:val="75E72133"/>
    <w:rsid w:val="75E8147F"/>
    <w:rsid w:val="75E84630"/>
    <w:rsid w:val="75E985F0"/>
    <w:rsid w:val="75EAAE67"/>
    <w:rsid w:val="75F28361"/>
    <w:rsid w:val="75F55607"/>
    <w:rsid w:val="75F5C75F"/>
    <w:rsid w:val="75F87A2C"/>
    <w:rsid w:val="75F94EB2"/>
    <w:rsid w:val="75FCBE30"/>
    <w:rsid w:val="75FF565F"/>
    <w:rsid w:val="7600333D"/>
    <w:rsid w:val="7609B818"/>
    <w:rsid w:val="760AE536"/>
    <w:rsid w:val="76123907"/>
    <w:rsid w:val="7617DF65"/>
    <w:rsid w:val="761951E2"/>
    <w:rsid w:val="761958EF"/>
    <w:rsid w:val="76198C56"/>
    <w:rsid w:val="761BA808"/>
    <w:rsid w:val="761C1494"/>
    <w:rsid w:val="761C5E2D"/>
    <w:rsid w:val="761D1BD2"/>
    <w:rsid w:val="7623225B"/>
    <w:rsid w:val="76244A02"/>
    <w:rsid w:val="76266B9C"/>
    <w:rsid w:val="76266C59"/>
    <w:rsid w:val="76267133"/>
    <w:rsid w:val="76288BC7"/>
    <w:rsid w:val="762899A7"/>
    <w:rsid w:val="7628A16F"/>
    <w:rsid w:val="7629E110"/>
    <w:rsid w:val="762BEBB8"/>
    <w:rsid w:val="76307317"/>
    <w:rsid w:val="7630E130"/>
    <w:rsid w:val="7630E6A7"/>
    <w:rsid w:val="76320F40"/>
    <w:rsid w:val="7632EEB9"/>
    <w:rsid w:val="7636001F"/>
    <w:rsid w:val="763B5DF4"/>
    <w:rsid w:val="763CABA6"/>
    <w:rsid w:val="763E0D42"/>
    <w:rsid w:val="763F70D2"/>
    <w:rsid w:val="764084A9"/>
    <w:rsid w:val="76458A11"/>
    <w:rsid w:val="76485EF4"/>
    <w:rsid w:val="76487A8F"/>
    <w:rsid w:val="764A7BA9"/>
    <w:rsid w:val="764C598A"/>
    <w:rsid w:val="764E428A"/>
    <w:rsid w:val="76539288"/>
    <w:rsid w:val="76557B5A"/>
    <w:rsid w:val="7658F1BD"/>
    <w:rsid w:val="76590E61"/>
    <w:rsid w:val="76607641"/>
    <w:rsid w:val="766122FB"/>
    <w:rsid w:val="76617EDB"/>
    <w:rsid w:val="76640780"/>
    <w:rsid w:val="76646A6B"/>
    <w:rsid w:val="766968DF"/>
    <w:rsid w:val="766C52F7"/>
    <w:rsid w:val="766CBA63"/>
    <w:rsid w:val="766E2976"/>
    <w:rsid w:val="766F1DB5"/>
    <w:rsid w:val="7670756D"/>
    <w:rsid w:val="76730389"/>
    <w:rsid w:val="7673A710"/>
    <w:rsid w:val="76747161"/>
    <w:rsid w:val="76760CD0"/>
    <w:rsid w:val="76768E82"/>
    <w:rsid w:val="76773726"/>
    <w:rsid w:val="7677557E"/>
    <w:rsid w:val="76782190"/>
    <w:rsid w:val="767A5C53"/>
    <w:rsid w:val="767AF0CA"/>
    <w:rsid w:val="7683205B"/>
    <w:rsid w:val="76856726"/>
    <w:rsid w:val="768714FD"/>
    <w:rsid w:val="768C1526"/>
    <w:rsid w:val="768E9ED3"/>
    <w:rsid w:val="768F1FED"/>
    <w:rsid w:val="768F82A8"/>
    <w:rsid w:val="76913300"/>
    <w:rsid w:val="76919EC1"/>
    <w:rsid w:val="76930E7D"/>
    <w:rsid w:val="7693716F"/>
    <w:rsid w:val="769696E8"/>
    <w:rsid w:val="7696DFE3"/>
    <w:rsid w:val="7696ED88"/>
    <w:rsid w:val="7696F7F6"/>
    <w:rsid w:val="769A10F6"/>
    <w:rsid w:val="769A8AFB"/>
    <w:rsid w:val="769E840C"/>
    <w:rsid w:val="769FC748"/>
    <w:rsid w:val="76A1FF8E"/>
    <w:rsid w:val="76A3D7B1"/>
    <w:rsid w:val="76A4D1E4"/>
    <w:rsid w:val="76A55E35"/>
    <w:rsid w:val="76AA9159"/>
    <w:rsid w:val="76AE070D"/>
    <w:rsid w:val="76B056D6"/>
    <w:rsid w:val="76B2E941"/>
    <w:rsid w:val="76B4371C"/>
    <w:rsid w:val="76B79D9C"/>
    <w:rsid w:val="76BB6F45"/>
    <w:rsid w:val="76BF47F4"/>
    <w:rsid w:val="76C06CD5"/>
    <w:rsid w:val="76C38634"/>
    <w:rsid w:val="76C44330"/>
    <w:rsid w:val="76CD9C45"/>
    <w:rsid w:val="76CFD491"/>
    <w:rsid w:val="76D070D5"/>
    <w:rsid w:val="76D10873"/>
    <w:rsid w:val="76D31593"/>
    <w:rsid w:val="76D43665"/>
    <w:rsid w:val="76D6D1C6"/>
    <w:rsid w:val="76DB1EF0"/>
    <w:rsid w:val="76DC293B"/>
    <w:rsid w:val="76DE0ACF"/>
    <w:rsid w:val="76DE5DBC"/>
    <w:rsid w:val="76DF26E1"/>
    <w:rsid w:val="76E21CCC"/>
    <w:rsid w:val="76E5441D"/>
    <w:rsid w:val="76E98CB1"/>
    <w:rsid w:val="76F3F7ED"/>
    <w:rsid w:val="76F56BD7"/>
    <w:rsid w:val="76F638DA"/>
    <w:rsid w:val="76F67A46"/>
    <w:rsid w:val="76F6A883"/>
    <w:rsid w:val="76F8FA59"/>
    <w:rsid w:val="76FBBC62"/>
    <w:rsid w:val="76FD7795"/>
    <w:rsid w:val="76FE60F0"/>
    <w:rsid w:val="76FF245B"/>
    <w:rsid w:val="770338A2"/>
    <w:rsid w:val="770745E7"/>
    <w:rsid w:val="770878DA"/>
    <w:rsid w:val="7709F054"/>
    <w:rsid w:val="770A7B6F"/>
    <w:rsid w:val="770B0219"/>
    <w:rsid w:val="770E0C5E"/>
    <w:rsid w:val="771048A7"/>
    <w:rsid w:val="77109644"/>
    <w:rsid w:val="7713D16C"/>
    <w:rsid w:val="77151908"/>
    <w:rsid w:val="77152AF2"/>
    <w:rsid w:val="771A3465"/>
    <w:rsid w:val="771BC003"/>
    <w:rsid w:val="771FA3FB"/>
    <w:rsid w:val="772117F2"/>
    <w:rsid w:val="7723BC7C"/>
    <w:rsid w:val="77249C20"/>
    <w:rsid w:val="7725AB38"/>
    <w:rsid w:val="7725BBE9"/>
    <w:rsid w:val="77277934"/>
    <w:rsid w:val="772B8636"/>
    <w:rsid w:val="772C91A3"/>
    <w:rsid w:val="77328F62"/>
    <w:rsid w:val="773728B7"/>
    <w:rsid w:val="77385778"/>
    <w:rsid w:val="773B4920"/>
    <w:rsid w:val="773C2B2B"/>
    <w:rsid w:val="773EFC50"/>
    <w:rsid w:val="773F4D57"/>
    <w:rsid w:val="7740DDD9"/>
    <w:rsid w:val="7742D20A"/>
    <w:rsid w:val="7744EE6F"/>
    <w:rsid w:val="7746DDEF"/>
    <w:rsid w:val="774A1E18"/>
    <w:rsid w:val="774A4002"/>
    <w:rsid w:val="77503AA5"/>
    <w:rsid w:val="77518536"/>
    <w:rsid w:val="77532E0B"/>
    <w:rsid w:val="7754EB13"/>
    <w:rsid w:val="7759BA6C"/>
    <w:rsid w:val="7761BA11"/>
    <w:rsid w:val="7762A090"/>
    <w:rsid w:val="7766D449"/>
    <w:rsid w:val="77692F3A"/>
    <w:rsid w:val="776956B3"/>
    <w:rsid w:val="776CF44D"/>
    <w:rsid w:val="776F05BA"/>
    <w:rsid w:val="77701CD8"/>
    <w:rsid w:val="7773DB78"/>
    <w:rsid w:val="7773F274"/>
    <w:rsid w:val="7774EA92"/>
    <w:rsid w:val="7774EF11"/>
    <w:rsid w:val="77779BCD"/>
    <w:rsid w:val="77782290"/>
    <w:rsid w:val="777B1B63"/>
    <w:rsid w:val="777C27C5"/>
    <w:rsid w:val="777CFAC0"/>
    <w:rsid w:val="77807E9D"/>
    <w:rsid w:val="77829D01"/>
    <w:rsid w:val="7782A78C"/>
    <w:rsid w:val="77830B76"/>
    <w:rsid w:val="7784CD0D"/>
    <w:rsid w:val="778E9A6B"/>
    <w:rsid w:val="778FF9DB"/>
    <w:rsid w:val="77908967"/>
    <w:rsid w:val="7791F1EA"/>
    <w:rsid w:val="7793D60D"/>
    <w:rsid w:val="7796D074"/>
    <w:rsid w:val="7798E0A0"/>
    <w:rsid w:val="779A262A"/>
    <w:rsid w:val="77A39D8C"/>
    <w:rsid w:val="77A654E1"/>
    <w:rsid w:val="77A68A63"/>
    <w:rsid w:val="77A790A9"/>
    <w:rsid w:val="77AADE5A"/>
    <w:rsid w:val="77AAE52F"/>
    <w:rsid w:val="77AB59D1"/>
    <w:rsid w:val="77ABD496"/>
    <w:rsid w:val="77AD4006"/>
    <w:rsid w:val="77ADB291"/>
    <w:rsid w:val="77AE26DA"/>
    <w:rsid w:val="77AE7C0E"/>
    <w:rsid w:val="77B233E8"/>
    <w:rsid w:val="77B4B744"/>
    <w:rsid w:val="77B56BE0"/>
    <w:rsid w:val="77B72A43"/>
    <w:rsid w:val="77B8B3D6"/>
    <w:rsid w:val="77BB5DC5"/>
    <w:rsid w:val="77BB7BA8"/>
    <w:rsid w:val="77C05671"/>
    <w:rsid w:val="77C07642"/>
    <w:rsid w:val="77C1B4EB"/>
    <w:rsid w:val="77C548D1"/>
    <w:rsid w:val="77C54990"/>
    <w:rsid w:val="77CA4666"/>
    <w:rsid w:val="77CC938F"/>
    <w:rsid w:val="77CEB626"/>
    <w:rsid w:val="77D04C77"/>
    <w:rsid w:val="77D1EEE1"/>
    <w:rsid w:val="77D256AE"/>
    <w:rsid w:val="77D2AB72"/>
    <w:rsid w:val="77D45710"/>
    <w:rsid w:val="77D4F9FC"/>
    <w:rsid w:val="77D55E5C"/>
    <w:rsid w:val="77D6242D"/>
    <w:rsid w:val="77D6A8BA"/>
    <w:rsid w:val="77D85269"/>
    <w:rsid w:val="77D9884D"/>
    <w:rsid w:val="77DA4090"/>
    <w:rsid w:val="77DBBCF7"/>
    <w:rsid w:val="77DCE5B1"/>
    <w:rsid w:val="77DDEE41"/>
    <w:rsid w:val="77E186F6"/>
    <w:rsid w:val="77E52FEC"/>
    <w:rsid w:val="77E874E7"/>
    <w:rsid w:val="77E880A9"/>
    <w:rsid w:val="77E8D9E4"/>
    <w:rsid w:val="77EDBA15"/>
    <w:rsid w:val="77EF5D48"/>
    <w:rsid w:val="77F0417D"/>
    <w:rsid w:val="77F1298D"/>
    <w:rsid w:val="77F414FE"/>
    <w:rsid w:val="77F7B4FC"/>
    <w:rsid w:val="77F7DCA7"/>
    <w:rsid w:val="77FCC134"/>
    <w:rsid w:val="77FF7BF2"/>
    <w:rsid w:val="7801C106"/>
    <w:rsid w:val="7801C6EA"/>
    <w:rsid w:val="78045CFB"/>
    <w:rsid w:val="780646FA"/>
    <w:rsid w:val="780DF630"/>
    <w:rsid w:val="780F08D9"/>
    <w:rsid w:val="78102CBE"/>
    <w:rsid w:val="7811D303"/>
    <w:rsid w:val="78128CBD"/>
    <w:rsid w:val="7819C007"/>
    <w:rsid w:val="781AD075"/>
    <w:rsid w:val="781AE3FF"/>
    <w:rsid w:val="781BB27B"/>
    <w:rsid w:val="781E4924"/>
    <w:rsid w:val="781F77FE"/>
    <w:rsid w:val="7820A439"/>
    <w:rsid w:val="7820E67F"/>
    <w:rsid w:val="78212742"/>
    <w:rsid w:val="7823CA5A"/>
    <w:rsid w:val="7828F582"/>
    <w:rsid w:val="78295196"/>
    <w:rsid w:val="782DF67F"/>
    <w:rsid w:val="782ED8FE"/>
    <w:rsid w:val="7830EA00"/>
    <w:rsid w:val="7832836C"/>
    <w:rsid w:val="783DA5E0"/>
    <w:rsid w:val="783EF52A"/>
    <w:rsid w:val="7840C917"/>
    <w:rsid w:val="7840F0FD"/>
    <w:rsid w:val="7843A641"/>
    <w:rsid w:val="7847C73E"/>
    <w:rsid w:val="78485C47"/>
    <w:rsid w:val="7850B857"/>
    <w:rsid w:val="7850D963"/>
    <w:rsid w:val="78527EDA"/>
    <w:rsid w:val="78529853"/>
    <w:rsid w:val="7852F7FB"/>
    <w:rsid w:val="78530DCB"/>
    <w:rsid w:val="78552E43"/>
    <w:rsid w:val="7855A899"/>
    <w:rsid w:val="7855AE67"/>
    <w:rsid w:val="785613E9"/>
    <w:rsid w:val="785845FA"/>
    <w:rsid w:val="78594281"/>
    <w:rsid w:val="7859AAC8"/>
    <w:rsid w:val="785A156F"/>
    <w:rsid w:val="785A89F5"/>
    <w:rsid w:val="785B8E1C"/>
    <w:rsid w:val="785DDC7A"/>
    <w:rsid w:val="785E3EC9"/>
    <w:rsid w:val="785FC825"/>
    <w:rsid w:val="78613E1D"/>
    <w:rsid w:val="7861B4D4"/>
    <w:rsid w:val="7864306B"/>
    <w:rsid w:val="786A8FE4"/>
    <w:rsid w:val="786AE4E9"/>
    <w:rsid w:val="786B3A1B"/>
    <w:rsid w:val="786BD394"/>
    <w:rsid w:val="786C6894"/>
    <w:rsid w:val="786E7D3E"/>
    <w:rsid w:val="786F329D"/>
    <w:rsid w:val="78739B44"/>
    <w:rsid w:val="78760174"/>
    <w:rsid w:val="7877022F"/>
    <w:rsid w:val="78780B30"/>
    <w:rsid w:val="7878CF25"/>
    <w:rsid w:val="7878DAAE"/>
    <w:rsid w:val="7879CA1A"/>
    <w:rsid w:val="787B42ED"/>
    <w:rsid w:val="787C68BC"/>
    <w:rsid w:val="787E0F07"/>
    <w:rsid w:val="78827550"/>
    <w:rsid w:val="78843391"/>
    <w:rsid w:val="78849450"/>
    <w:rsid w:val="788B5770"/>
    <w:rsid w:val="788D0943"/>
    <w:rsid w:val="788E2EB2"/>
    <w:rsid w:val="789484A3"/>
    <w:rsid w:val="78955216"/>
    <w:rsid w:val="7899DFFC"/>
    <w:rsid w:val="789A152F"/>
    <w:rsid w:val="789B6D8F"/>
    <w:rsid w:val="789C83D0"/>
    <w:rsid w:val="78A0D35E"/>
    <w:rsid w:val="78A1741B"/>
    <w:rsid w:val="78A886EC"/>
    <w:rsid w:val="78AAA9C1"/>
    <w:rsid w:val="78AD78B3"/>
    <w:rsid w:val="78AEA983"/>
    <w:rsid w:val="78AFE19E"/>
    <w:rsid w:val="78B258E1"/>
    <w:rsid w:val="78B2F919"/>
    <w:rsid w:val="78B4337F"/>
    <w:rsid w:val="78B604C6"/>
    <w:rsid w:val="78B8923E"/>
    <w:rsid w:val="78C00967"/>
    <w:rsid w:val="78C29950"/>
    <w:rsid w:val="78C563D7"/>
    <w:rsid w:val="78C579E9"/>
    <w:rsid w:val="78C6B243"/>
    <w:rsid w:val="78C84F54"/>
    <w:rsid w:val="78C89C9F"/>
    <w:rsid w:val="78C8A7C5"/>
    <w:rsid w:val="78C9F2BB"/>
    <w:rsid w:val="78CD5EE4"/>
    <w:rsid w:val="78D0C533"/>
    <w:rsid w:val="78D487FF"/>
    <w:rsid w:val="78D96610"/>
    <w:rsid w:val="78D9F124"/>
    <w:rsid w:val="78DBF547"/>
    <w:rsid w:val="78DE9D8B"/>
    <w:rsid w:val="78E2DCF7"/>
    <w:rsid w:val="78E3F0B1"/>
    <w:rsid w:val="78E6CDBF"/>
    <w:rsid w:val="78E74C81"/>
    <w:rsid w:val="78E91840"/>
    <w:rsid w:val="78EAD793"/>
    <w:rsid w:val="78EB32A9"/>
    <w:rsid w:val="78F03836"/>
    <w:rsid w:val="78F6E92B"/>
    <w:rsid w:val="78F7B91F"/>
    <w:rsid w:val="78F855BC"/>
    <w:rsid w:val="78F9B670"/>
    <w:rsid w:val="78FF8D5C"/>
    <w:rsid w:val="79022CF5"/>
    <w:rsid w:val="79097068"/>
    <w:rsid w:val="7909EE68"/>
    <w:rsid w:val="790AEB99"/>
    <w:rsid w:val="790BFB8A"/>
    <w:rsid w:val="790D0C66"/>
    <w:rsid w:val="790DD4E6"/>
    <w:rsid w:val="790F1C23"/>
    <w:rsid w:val="791262EC"/>
    <w:rsid w:val="7915637F"/>
    <w:rsid w:val="79159E21"/>
    <w:rsid w:val="79173FB6"/>
    <w:rsid w:val="7917A466"/>
    <w:rsid w:val="79193890"/>
    <w:rsid w:val="79194A97"/>
    <w:rsid w:val="791A2078"/>
    <w:rsid w:val="791BC11C"/>
    <w:rsid w:val="791DC42E"/>
    <w:rsid w:val="791E5845"/>
    <w:rsid w:val="791EE483"/>
    <w:rsid w:val="7925012F"/>
    <w:rsid w:val="7927B1CB"/>
    <w:rsid w:val="7927C47E"/>
    <w:rsid w:val="792AD32B"/>
    <w:rsid w:val="792BFC7C"/>
    <w:rsid w:val="792C2E65"/>
    <w:rsid w:val="792E5596"/>
    <w:rsid w:val="792FD47D"/>
    <w:rsid w:val="79328B36"/>
    <w:rsid w:val="79386928"/>
    <w:rsid w:val="793A766F"/>
    <w:rsid w:val="793C1373"/>
    <w:rsid w:val="7941AAB2"/>
    <w:rsid w:val="7941C602"/>
    <w:rsid w:val="7945EA3F"/>
    <w:rsid w:val="7946660F"/>
    <w:rsid w:val="794B5BAD"/>
    <w:rsid w:val="794BB70B"/>
    <w:rsid w:val="794C1ABB"/>
    <w:rsid w:val="794E8F77"/>
    <w:rsid w:val="79502731"/>
    <w:rsid w:val="79514C58"/>
    <w:rsid w:val="7951DCB3"/>
    <w:rsid w:val="79536474"/>
    <w:rsid w:val="79574CA7"/>
    <w:rsid w:val="795771C0"/>
    <w:rsid w:val="796021AA"/>
    <w:rsid w:val="7960A36B"/>
    <w:rsid w:val="7961FFD6"/>
    <w:rsid w:val="7963D836"/>
    <w:rsid w:val="796420F6"/>
    <w:rsid w:val="7964B2A8"/>
    <w:rsid w:val="79657594"/>
    <w:rsid w:val="7967706C"/>
    <w:rsid w:val="79684734"/>
    <w:rsid w:val="796AAD3B"/>
    <w:rsid w:val="796BE45A"/>
    <w:rsid w:val="796C1B1B"/>
    <w:rsid w:val="796CE739"/>
    <w:rsid w:val="7971928C"/>
    <w:rsid w:val="7971A7CF"/>
    <w:rsid w:val="79755716"/>
    <w:rsid w:val="797959D0"/>
    <w:rsid w:val="797AC951"/>
    <w:rsid w:val="797BA561"/>
    <w:rsid w:val="7983D7DC"/>
    <w:rsid w:val="7983E535"/>
    <w:rsid w:val="7983EFFC"/>
    <w:rsid w:val="7984EC39"/>
    <w:rsid w:val="79853151"/>
    <w:rsid w:val="7986106E"/>
    <w:rsid w:val="7988915E"/>
    <w:rsid w:val="7988F197"/>
    <w:rsid w:val="798A963D"/>
    <w:rsid w:val="798B8FB4"/>
    <w:rsid w:val="798BA447"/>
    <w:rsid w:val="798CB55C"/>
    <w:rsid w:val="798EE1A3"/>
    <w:rsid w:val="7996CBE9"/>
    <w:rsid w:val="7999614B"/>
    <w:rsid w:val="79A0BEFF"/>
    <w:rsid w:val="79A1EAEF"/>
    <w:rsid w:val="79A3479B"/>
    <w:rsid w:val="79A5358F"/>
    <w:rsid w:val="79A59E8F"/>
    <w:rsid w:val="79AC1223"/>
    <w:rsid w:val="79AE0870"/>
    <w:rsid w:val="79B3436B"/>
    <w:rsid w:val="79B550F3"/>
    <w:rsid w:val="79BC092A"/>
    <w:rsid w:val="79BEA2DB"/>
    <w:rsid w:val="79C0B64D"/>
    <w:rsid w:val="79C1C734"/>
    <w:rsid w:val="79C2C4DE"/>
    <w:rsid w:val="79C3737E"/>
    <w:rsid w:val="79C55280"/>
    <w:rsid w:val="79C604E0"/>
    <w:rsid w:val="79C67E44"/>
    <w:rsid w:val="79C7962D"/>
    <w:rsid w:val="79C9FF4A"/>
    <w:rsid w:val="79CBD18E"/>
    <w:rsid w:val="79CC1313"/>
    <w:rsid w:val="79D22E7F"/>
    <w:rsid w:val="79D2F61A"/>
    <w:rsid w:val="79D69718"/>
    <w:rsid w:val="79D82F5A"/>
    <w:rsid w:val="79DA3B71"/>
    <w:rsid w:val="79DD628E"/>
    <w:rsid w:val="79DE5C2B"/>
    <w:rsid w:val="79DEF1E9"/>
    <w:rsid w:val="79E13DD2"/>
    <w:rsid w:val="79E3636F"/>
    <w:rsid w:val="79E363EE"/>
    <w:rsid w:val="79E376F6"/>
    <w:rsid w:val="79E73CFD"/>
    <w:rsid w:val="79E76C24"/>
    <w:rsid w:val="79E8C6F1"/>
    <w:rsid w:val="79E8F422"/>
    <w:rsid w:val="79EBB3EE"/>
    <w:rsid w:val="79ECD5BB"/>
    <w:rsid w:val="79ED5E54"/>
    <w:rsid w:val="79EF208F"/>
    <w:rsid w:val="79EF65FC"/>
    <w:rsid w:val="79F37FFF"/>
    <w:rsid w:val="79F6B263"/>
    <w:rsid w:val="79F7A8E4"/>
    <w:rsid w:val="79F8ACE3"/>
    <w:rsid w:val="79FB1210"/>
    <w:rsid w:val="79FB785D"/>
    <w:rsid w:val="79FBA361"/>
    <w:rsid w:val="79FD0E7E"/>
    <w:rsid w:val="7A0054CE"/>
    <w:rsid w:val="7A009DC4"/>
    <w:rsid w:val="7A03748A"/>
    <w:rsid w:val="7A0407DD"/>
    <w:rsid w:val="7A05228C"/>
    <w:rsid w:val="7A0572A4"/>
    <w:rsid w:val="7A07B86E"/>
    <w:rsid w:val="7A0ABF71"/>
    <w:rsid w:val="7A0D0914"/>
    <w:rsid w:val="7A0E6B8B"/>
    <w:rsid w:val="7A0F46B5"/>
    <w:rsid w:val="7A161C24"/>
    <w:rsid w:val="7A1746FD"/>
    <w:rsid w:val="7A1A331A"/>
    <w:rsid w:val="7A1AD4F0"/>
    <w:rsid w:val="7A1DD0E5"/>
    <w:rsid w:val="7A218AF8"/>
    <w:rsid w:val="7A26EEE4"/>
    <w:rsid w:val="7A28D319"/>
    <w:rsid w:val="7A29E288"/>
    <w:rsid w:val="7A29FA2D"/>
    <w:rsid w:val="7A2A379B"/>
    <w:rsid w:val="7A2A6361"/>
    <w:rsid w:val="7A2BDF33"/>
    <w:rsid w:val="7A30BA81"/>
    <w:rsid w:val="7A34515C"/>
    <w:rsid w:val="7A3D1011"/>
    <w:rsid w:val="7A413F1A"/>
    <w:rsid w:val="7A419C4F"/>
    <w:rsid w:val="7A4229F6"/>
    <w:rsid w:val="7A43834C"/>
    <w:rsid w:val="7A45AE92"/>
    <w:rsid w:val="7A494914"/>
    <w:rsid w:val="7A4B4ED0"/>
    <w:rsid w:val="7A4E10B9"/>
    <w:rsid w:val="7A4E9FB1"/>
    <w:rsid w:val="7A514669"/>
    <w:rsid w:val="7A514AD4"/>
    <w:rsid w:val="7A5273E8"/>
    <w:rsid w:val="7A52D6CB"/>
    <w:rsid w:val="7A536210"/>
    <w:rsid w:val="7A554FFC"/>
    <w:rsid w:val="7A5603C2"/>
    <w:rsid w:val="7A57219C"/>
    <w:rsid w:val="7A572574"/>
    <w:rsid w:val="7A58B37B"/>
    <w:rsid w:val="7A58BAD2"/>
    <w:rsid w:val="7A5BA41B"/>
    <w:rsid w:val="7A5F69F2"/>
    <w:rsid w:val="7A60E14A"/>
    <w:rsid w:val="7A61FDC6"/>
    <w:rsid w:val="7A6360B0"/>
    <w:rsid w:val="7A642DC6"/>
    <w:rsid w:val="7A64DACB"/>
    <w:rsid w:val="7A675888"/>
    <w:rsid w:val="7A6A9FD4"/>
    <w:rsid w:val="7A6AAE63"/>
    <w:rsid w:val="7A6CE601"/>
    <w:rsid w:val="7A6E1226"/>
    <w:rsid w:val="7A709129"/>
    <w:rsid w:val="7A72EB35"/>
    <w:rsid w:val="7A75C185"/>
    <w:rsid w:val="7A76CD43"/>
    <w:rsid w:val="7A7A24F9"/>
    <w:rsid w:val="7A7A3EB6"/>
    <w:rsid w:val="7A7AA572"/>
    <w:rsid w:val="7A7B1CEC"/>
    <w:rsid w:val="7A7E26B9"/>
    <w:rsid w:val="7A816DAF"/>
    <w:rsid w:val="7A81ED0F"/>
    <w:rsid w:val="7A823BB7"/>
    <w:rsid w:val="7A826D50"/>
    <w:rsid w:val="7A849EEF"/>
    <w:rsid w:val="7A89DE08"/>
    <w:rsid w:val="7A8AEF97"/>
    <w:rsid w:val="7A8C2514"/>
    <w:rsid w:val="7A8FF544"/>
    <w:rsid w:val="7A92413B"/>
    <w:rsid w:val="7A9633EA"/>
    <w:rsid w:val="7A9922F2"/>
    <w:rsid w:val="7A99AE03"/>
    <w:rsid w:val="7A99E787"/>
    <w:rsid w:val="7A9A5B09"/>
    <w:rsid w:val="7A9EF2A0"/>
    <w:rsid w:val="7A9F003E"/>
    <w:rsid w:val="7AA0C098"/>
    <w:rsid w:val="7AA37A04"/>
    <w:rsid w:val="7AA3E751"/>
    <w:rsid w:val="7AA829B0"/>
    <w:rsid w:val="7AA8F5CA"/>
    <w:rsid w:val="7AAA7166"/>
    <w:rsid w:val="7AAB7C20"/>
    <w:rsid w:val="7AAC6976"/>
    <w:rsid w:val="7AB6B1A1"/>
    <w:rsid w:val="7AB7E5CE"/>
    <w:rsid w:val="7AB86916"/>
    <w:rsid w:val="7AB8BF51"/>
    <w:rsid w:val="7ABA2B4B"/>
    <w:rsid w:val="7ABBB6B7"/>
    <w:rsid w:val="7ABF4014"/>
    <w:rsid w:val="7AC196EF"/>
    <w:rsid w:val="7AC2E70A"/>
    <w:rsid w:val="7AC52773"/>
    <w:rsid w:val="7AC60159"/>
    <w:rsid w:val="7AC6AC27"/>
    <w:rsid w:val="7AC7BB70"/>
    <w:rsid w:val="7ACB1A6F"/>
    <w:rsid w:val="7ACCA442"/>
    <w:rsid w:val="7ACDD8F3"/>
    <w:rsid w:val="7AD1E2F1"/>
    <w:rsid w:val="7AD3517D"/>
    <w:rsid w:val="7AD37BF1"/>
    <w:rsid w:val="7AD44527"/>
    <w:rsid w:val="7ADE1AD8"/>
    <w:rsid w:val="7AE05994"/>
    <w:rsid w:val="7AE13B5C"/>
    <w:rsid w:val="7AE1A609"/>
    <w:rsid w:val="7AE39C29"/>
    <w:rsid w:val="7AE477F0"/>
    <w:rsid w:val="7AE4DBC8"/>
    <w:rsid w:val="7AE556A1"/>
    <w:rsid w:val="7AE63331"/>
    <w:rsid w:val="7AE737A2"/>
    <w:rsid w:val="7AE860FF"/>
    <w:rsid w:val="7AE8B4F7"/>
    <w:rsid w:val="7AE9F1AA"/>
    <w:rsid w:val="7AEDE6D2"/>
    <w:rsid w:val="7AEE0F26"/>
    <w:rsid w:val="7AF0E9B6"/>
    <w:rsid w:val="7AF444ED"/>
    <w:rsid w:val="7AF6EF03"/>
    <w:rsid w:val="7AF727F5"/>
    <w:rsid w:val="7AF83DBF"/>
    <w:rsid w:val="7AF841A2"/>
    <w:rsid w:val="7AFB23CD"/>
    <w:rsid w:val="7AFC108A"/>
    <w:rsid w:val="7AFD87F2"/>
    <w:rsid w:val="7B01AABE"/>
    <w:rsid w:val="7B030635"/>
    <w:rsid w:val="7B062082"/>
    <w:rsid w:val="7B08EFEE"/>
    <w:rsid w:val="7B0DA111"/>
    <w:rsid w:val="7B117B58"/>
    <w:rsid w:val="7B145011"/>
    <w:rsid w:val="7B16CD31"/>
    <w:rsid w:val="7B1C2024"/>
    <w:rsid w:val="7B1D3B96"/>
    <w:rsid w:val="7B1E2E4F"/>
    <w:rsid w:val="7B1FDB99"/>
    <w:rsid w:val="7B207AA5"/>
    <w:rsid w:val="7B2151B9"/>
    <w:rsid w:val="7B231967"/>
    <w:rsid w:val="7B24665A"/>
    <w:rsid w:val="7B2732B4"/>
    <w:rsid w:val="7B280F9E"/>
    <w:rsid w:val="7B286A6F"/>
    <w:rsid w:val="7B28DCCA"/>
    <w:rsid w:val="7B2D3129"/>
    <w:rsid w:val="7B2E7F0B"/>
    <w:rsid w:val="7B2E8EFC"/>
    <w:rsid w:val="7B2EAEE0"/>
    <w:rsid w:val="7B2F245D"/>
    <w:rsid w:val="7B2F39BD"/>
    <w:rsid w:val="7B30E879"/>
    <w:rsid w:val="7B33849E"/>
    <w:rsid w:val="7B35331F"/>
    <w:rsid w:val="7B354132"/>
    <w:rsid w:val="7B38A861"/>
    <w:rsid w:val="7B39A16A"/>
    <w:rsid w:val="7B3B018F"/>
    <w:rsid w:val="7B3B4AE3"/>
    <w:rsid w:val="7B3E09E5"/>
    <w:rsid w:val="7B41A2BE"/>
    <w:rsid w:val="7B44FAEB"/>
    <w:rsid w:val="7B461D17"/>
    <w:rsid w:val="7B477E84"/>
    <w:rsid w:val="7B4BF0A3"/>
    <w:rsid w:val="7B4D3A96"/>
    <w:rsid w:val="7B4DDA4C"/>
    <w:rsid w:val="7B4F8D14"/>
    <w:rsid w:val="7B50246C"/>
    <w:rsid w:val="7B51227C"/>
    <w:rsid w:val="7B51B3A2"/>
    <w:rsid w:val="7B52890A"/>
    <w:rsid w:val="7B538140"/>
    <w:rsid w:val="7B54BE93"/>
    <w:rsid w:val="7B569B4B"/>
    <w:rsid w:val="7B5BA79C"/>
    <w:rsid w:val="7B5D2E4E"/>
    <w:rsid w:val="7B5DCF48"/>
    <w:rsid w:val="7B607EE1"/>
    <w:rsid w:val="7B6122E1"/>
    <w:rsid w:val="7B65352A"/>
    <w:rsid w:val="7B67B36E"/>
    <w:rsid w:val="7B67EFDE"/>
    <w:rsid w:val="7B686EC7"/>
    <w:rsid w:val="7B6CFE22"/>
    <w:rsid w:val="7B6DABEC"/>
    <w:rsid w:val="7B74D8EC"/>
    <w:rsid w:val="7B76D0D3"/>
    <w:rsid w:val="7B7764FB"/>
    <w:rsid w:val="7B7EEAF1"/>
    <w:rsid w:val="7B7F700D"/>
    <w:rsid w:val="7B859391"/>
    <w:rsid w:val="7B88A316"/>
    <w:rsid w:val="7B8F3715"/>
    <w:rsid w:val="7B906346"/>
    <w:rsid w:val="7B90F6A1"/>
    <w:rsid w:val="7B91431E"/>
    <w:rsid w:val="7B976971"/>
    <w:rsid w:val="7B9E6BAF"/>
    <w:rsid w:val="7B9F519A"/>
    <w:rsid w:val="7B9F6BFC"/>
    <w:rsid w:val="7BA098E4"/>
    <w:rsid w:val="7BA1C6F5"/>
    <w:rsid w:val="7BA34AE5"/>
    <w:rsid w:val="7BA8519C"/>
    <w:rsid w:val="7BAAC690"/>
    <w:rsid w:val="7BAB3928"/>
    <w:rsid w:val="7BABECC7"/>
    <w:rsid w:val="7BAC65B8"/>
    <w:rsid w:val="7BAE2897"/>
    <w:rsid w:val="7BB3CA7B"/>
    <w:rsid w:val="7BB7C883"/>
    <w:rsid w:val="7BB87B0D"/>
    <w:rsid w:val="7BB915C9"/>
    <w:rsid w:val="7BBA4D4B"/>
    <w:rsid w:val="7BBACFC8"/>
    <w:rsid w:val="7BBB6ED6"/>
    <w:rsid w:val="7BBEC564"/>
    <w:rsid w:val="7BBEF648"/>
    <w:rsid w:val="7BBEFE1A"/>
    <w:rsid w:val="7BBFF31F"/>
    <w:rsid w:val="7BC22F64"/>
    <w:rsid w:val="7BC2842F"/>
    <w:rsid w:val="7BC4FA15"/>
    <w:rsid w:val="7BC66C9D"/>
    <w:rsid w:val="7BC6DA72"/>
    <w:rsid w:val="7BC7CDCB"/>
    <w:rsid w:val="7BCEE240"/>
    <w:rsid w:val="7BD19DB0"/>
    <w:rsid w:val="7BD1C6A9"/>
    <w:rsid w:val="7BD20F6E"/>
    <w:rsid w:val="7BD44B54"/>
    <w:rsid w:val="7BD67167"/>
    <w:rsid w:val="7BD79C9C"/>
    <w:rsid w:val="7BDB4ACE"/>
    <w:rsid w:val="7BDE025E"/>
    <w:rsid w:val="7BDE74CD"/>
    <w:rsid w:val="7BDEA22C"/>
    <w:rsid w:val="7BE30B3E"/>
    <w:rsid w:val="7BE4807F"/>
    <w:rsid w:val="7BE51975"/>
    <w:rsid w:val="7BE5D131"/>
    <w:rsid w:val="7BEA3A90"/>
    <w:rsid w:val="7BEA8AF6"/>
    <w:rsid w:val="7BEB6E58"/>
    <w:rsid w:val="7BEDB8D7"/>
    <w:rsid w:val="7BEE88F2"/>
    <w:rsid w:val="7BF02DA9"/>
    <w:rsid w:val="7BF42486"/>
    <w:rsid w:val="7BF431ED"/>
    <w:rsid w:val="7BF639D8"/>
    <w:rsid w:val="7BFCE9FC"/>
    <w:rsid w:val="7BFE3B44"/>
    <w:rsid w:val="7BFF59E5"/>
    <w:rsid w:val="7BFFA89C"/>
    <w:rsid w:val="7C049E44"/>
    <w:rsid w:val="7C04B924"/>
    <w:rsid w:val="7C054202"/>
    <w:rsid w:val="7C062F29"/>
    <w:rsid w:val="7C0936F7"/>
    <w:rsid w:val="7C0F8040"/>
    <w:rsid w:val="7C10FB43"/>
    <w:rsid w:val="7C13EF00"/>
    <w:rsid w:val="7C14795B"/>
    <w:rsid w:val="7C1A5693"/>
    <w:rsid w:val="7C1E0966"/>
    <w:rsid w:val="7C213DB2"/>
    <w:rsid w:val="7C21C4E7"/>
    <w:rsid w:val="7C24905C"/>
    <w:rsid w:val="7C297293"/>
    <w:rsid w:val="7C29C815"/>
    <w:rsid w:val="7C2D1C57"/>
    <w:rsid w:val="7C2F99B8"/>
    <w:rsid w:val="7C33D210"/>
    <w:rsid w:val="7C350ECF"/>
    <w:rsid w:val="7C352FA7"/>
    <w:rsid w:val="7C371C3C"/>
    <w:rsid w:val="7C382887"/>
    <w:rsid w:val="7C3C88B6"/>
    <w:rsid w:val="7C3E16C6"/>
    <w:rsid w:val="7C3F39B6"/>
    <w:rsid w:val="7C41E3D2"/>
    <w:rsid w:val="7C41EC34"/>
    <w:rsid w:val="7C445945"/>
    <w:rsid w:val="7C45BDC3"/>
    <w:rsid w:val="7C4B99B7"/>
    <w:rsid w:val="7C4DE81F"/>
    <w:rsid w:val="7C51BF83"/>
    <w:rsid w:val="7C522113"/>
    <w:rsid w:val="7C555547"/>
    <w:rsid w:val="7C55B886"/>
    <w:rsid w:val="7C590EFD"/>
    <w:rsid w:val="7C5943A4"/>
    <w:rsid w:val="7C5CBED8"/>
    <w:rsid w:val="7C5E3016"/>
    <w:rsid w:val="7C5E8A3D"/>
    <w:rsid w:val="7C5FFBC4"/>
    <w:rsid w:val="7C679AF6"/>
    <w:rsid w:val="7C67B66D"/>
    <w:rsid w:val="7C6B1F8B"/>
    <w:rsid w:val="7C6BCD9F"/>
    <w:rsid w:val="7C6CC44E"/>
    <w:rsid w:val="7C6DFA03"/>
    <w:rsid w:val="7C6E4EEA"/>
    <w:rsid w:val="7C705B7C"/>
    <w:rsid w:val="7C74F132"/>
    <w:rsid w:val="7C756C67"/>
    <w:rsid w:val="7C762807"/>
    <w:rsid w:val="7C7951CA"/>
    <w:rsid w:val="7C7F16EA"/>
    <w:rsid w:val="7C7F3C6B"/>
    <w:rsid w:val="7C805F2E"/>
    <w:rsid w:val="7C8236EF"/>
    <w:rsid w:val="7C82FCA9"/>
    <w:rsid w:val="7C831FC4"/>
    <w:rsid w:val="7C83C4B2"/>
    <w:rsid w:val="7C853AA2"/>
    <w:rsid w:val="7C856EB9"/>
    <w:rsid w:val="7C85943E"/>
    <w:rsid w:val="7C859910"/>
    <w:rsid w:val="7C8B5082"/>
    <w:rsid w:val="7C8F609D"/>
    <w:rsid w:val="7C94E827"/>
    <w:rsid w:val="7C96FE13"/>
    <w:rsid w:val="7C997DA9"/>
    <w:rsid w:val="7C9BA4D4"/>
    <w:rsid w:val="7C9C685D"/>
    <w:rsid w:val="7CA16BE2"/>
    <w:rsid w:val="7CA347BE"/>
    <w:rsid w:val="7CA38934"/>
    <w:rsid w:val="7CA74327"/>
    <w:rsid w:val="7CA79DDB"/>
    <w:rsid w:val="7CAAF5C7"/>
    <w:rsid w:val="7CAD15B4"/>
    <w:rsid w:val="7CAF1799"/>
    <w:rsid w:val="7CAFC62D"/>
    <w:rsid w:val="7CAFE10C"/>
    <w:rsid w:val="7CB164B5"/>
    <w:rsid w:val="7CB3D35A"/>
    <w:rsid w:val="7CB96029"/>
    <w:rsid w:val="7CB9DC20"/>
    <w:rsid w:val="7CBBD91A"/>
    <w:rsid w:val="7CBDC95C"/>
    <w:rsid w:val="7CBF6B82"/>
    <w:rsid w:val="7CC036BB"/>
    <w:rsid w:val="7CC0AD9F"/>
    <w:rsid w:val="7CC39989"/>
    <w:rsid w:val="7CC446E2"/>
    <w:rsid w:val="7CC6528D"/>
    <w:rsid w:val="7CCDAA45"/>
    <w:rsid w:val="7CCDAAE8"/>
    <w:rsid w:val="7CCE6048"/>
    <w:rsid w:val="7CD00528"/>
    <w:rsid w:val="7CDABCA6"/>
    <w:rsid w:val="7CDB8F54"/>
    <w:rsid w:val="7CDC5B22"/>
    <w:rsid w:val="7CE093B4"/>
    <w:rsid w:val="7CE347BA"/>
    <w:rsid w:val="7CE3B2E5"/>
    <w:rsid w:val="7CE4DA61"/>
    <w:rsid w:val="7CE71B46"/>
    <w:rsid w:val="7CED3233"/>
    <w:rsid w:val="7CF412F4"/>
    <w:rsid w:val="7CF49077"/>
    <w:rsid w:val="7CF52DCB"/>
    <w:rsid w:val="7CF6563B"/>
    <w:rsid w:val="7CF8570F"/>
    <w:rsid w:val="7CFD7220"/>
    <w:rsid w:val="7CFEC76D"/>
    <w:rsid w:val="7CFECC0F"/>
    <w:rsid w:val="7D06F24B"/>
    <w:rsid w:val="7D08FABD"/>
    <w:rsid w:val="7D0A2C87"/>
    <w:rsid w:val="7D0D515F"/>
    <w:rsid w:val="7D0F10C8"/>
    <w:rsid w:val="7D1460A0"/>
    <w:rsid w:val="7D17FE37"/>
    <w:rsid w:val="7D1842DA"/>
    <w:rsid w:val="7D190389"/>
    <w:rsid w:val="7D1FDB3F"/>
    <w:rsid w:val="7D200252"/>
    <w:rsid w:val="7D24767D"/>
    <w:rsid w:val="7D25CD61"/>
    <w:rsid w:val="7D2A4D60"/>
    <w:rsid w:val="7D2ABC87"/>
    <w:rsid w:val="7D2E37EC"/>
    <w:rsid w:val="7D2EB6BE"/>
    <w:rsid w:val="7D32F575"/>
    <w:rsid w:val="7D334097"/>
    <w:rsid w:val="7D33DA44"/>
    <w:rsid w:val="7D399AE3"/>
    <w:rsid w:val="7D3A2531"/>
    <w:rsid w:val="7D3E7045"/>
    <w:rsid w:val="7D3E9C68"/>
    <w:rsid w:val="7D3EEE25"/>
    <w:rsid w:val="7D405E46"/>
    <w:rsid w:val="7D4126C4"/>
    <w:rsid w:val="7D42ED05"/>
    <w:rsid w:val="7D477D89"/>
    <w:rsid w:val="7D4B4B54"/>
    <w:rsid w:val="7D4BE2AA"/>
    <w:rsid w:val="7D4DA8A9"/>
    <w:rsid w:val="7D50C8DB"/>
    <w:rsid w:val="7D514388"/>
    <w:rsid w:val="7D53A480"/>
    <w:rsid w:val="7D584A4E"/>
    <w:rsid w:val="7D5871C2"/>
    <w:rsid w:val="7D5A7D09"/>
    <w:rsid w:val="7D5E9197"/>
    <w:rsid w:val="7D61CA01"/>
    <w:rsid w:val="7D636AA7"/>
    <w:rsid w:val="7D6398A2"/>
    <w:rsid w:val="7D65EABE"/>
    <w:rsid w:val="7D67D581"/>
    <w:rsid w:val="7D68AAC7"/>
    <w:rsid w:val="7D6B088A"/>
    <w:rsid w:val="7D6EFE43"/>
    <w:rsid w:val="7D6FC655"/>
    <w:rsid w:val="7D74B09E"/>
    <w:rsid w:val="7D7649A3"/>
    <w:rsid w:val="7D7E284A"/>
    <w:rsid w:val="7D7E4AE0"/>
    <w:rsid w:val="7D81BFDD"/>
    <w:rsid w:val="7D89120B"/>
    <w:rsid w:val="7D8975E9"/>
    <w:rsid w:val="7D8C4B0F"/>
    <w:rsid w:val="7D90C902"/>
    <w:rsid w:val="7D93536A"/>
    <w:rsid w:val="7D93F3AD"/>
    <w:rsid w:val="7D946734"/>
    <w:rsid w:val="7D98BE1B"/>
    <w:rsid w:val="7D9913C0"/>
    <w:rsid w:val="7D994589"/>
    <w:rsid w:val="7D99B168"/>
    <w:rsid w:val="7D9B5731"/>
    <w:rsid w:val="7D9D9A5B"/>
    <w:rsid w:val="7D9DB87E"/>
    <w:rsid w:val="7D9DD064"/>
    <w:rsid w:val="7D9E178E"/>
    <w:rsid w:val="7DA1EE9E"/>
    <w:rsid w:val="7DA4EB80"/>
    <w:rsid w:val="7DA83C81"/>
    <w:rsid w:val="7DAA2D1C"/>
    <w:rsid w:val="7DAA8BF6"/>
    <w:rsid w:val="7DAAAD15"/>
    <w:rsid w:val="7DB17082"/>
    <w:rsid w:val="7DB24BB4"/>
    <w:rsid w:val="7DB26419"/>
    <w:rsid w:val="7DB659F0"/>
    <w:rsid w:val="7DB65EA8"/>
    <w:rsid w:val="7DB7AA75"/>
    <w:rsid w:val="7DBA8FB0"/>
    <w:rsid w:val="7DBB58B6"/>
    <w:rsid w:val="7DBDDC23"/>
    <w:rsid w:val="7DC09647"/>
    <w:rsid w:val="7DC1733E"/>
    <w:rsid w:val="7DC1E6CE"/>
    <w:rsid w:val="7DC35827"/>
    <w:rsid w:val="7DC46077"/>
    <w:rsid w:val="7DC616D9"/>
    <w:rsid w:val="7DC65842"/>
    <w:rsid w:val="7DC82068"/>
    <w:rsid w:val="7DCC6993"/>
    <w:rsid w:val="7DD39F12"/>
    <w:rsid w:val="7DD72D04"/>
    <w:rsid w:val="7DDB3C47"/>
    <w:rsid w:val="7DDBAC2A"/>
    <w:rsid w:val="7DDCFB04"/>
    <w:rsid w:val="7DDE04B3"/>
    <w:rsid w:val="7DE1CF17"/>
    <w:rsid w:val="7DE3D372"/>
    <w:rsid w:val="7DE4C5D7"/>
    <w:rsid w:val="7DE6B850"/>
    <w:rsid w:val="7DE8FDA2"/>
    <w:rsid w:val="7DEB48CB"/>
    <w:rsid w:val="7DEBF02A"/>
    <w:rsid w:val="7DED7994"/>
    <w:rsid w:val="7DEE1423"/>
    <w:rsid w:val="7DEE1B32"/>
    <w:rsid w:val="7DF20DEE"/>
    <w:rsid w:val="7DF785C7"/>
    <w:rsid w:val="7DFACADC"/>
    <w:rsid w:val="7DFAF7C0"/>
    <w:rsid w:val="7DFD708A"/>
    <w:rsid w:val="7E0174D2"/>
    <w:rsid w:val="7E052577"/>
    <w:rsid w:val="7E06E0ED"/>
    <w:rsid w:val="7E099468"/>
    <w:rsid w:val="7E09F282"/>
    <w:rsid w:val="7E0C3BEA"/>
    <w:rsid w:val="7E0DD4E5"/>
    <w:rsid w:val="7E0DF3DA"/>
    <w:rsid w:val="7E0F9B2B"/>
    <w:rsid w:val="7E0FA126"/>
    <w:rsid w:val="7E1188D6"/>
    <w:rsid w:val="7E154673"/>
    <w:rsid w:val="7E16932D"/>
    <w:rsid w:val="7E195327"/>
    <w:rsid w:val="7E1C7067"/>
    <w:rsid w:val="7E1D3D92"/>
    <w:rsid w:val="7E1D762E"/>
    <w:rsid w:val="7E1FB74D"/>
    <w:rsid w:val="7E207FF3"/>
    <w:rsid w:val="7E21146B"/>
    <w:rsid w:val="7E212725"/>
    <w:rsid w:val="7E220863"/>
    <w:rsid w:val="7E2220A3"/>
    <w:rsid w:val="7E22DCD7"/>
    <w:rsid w:val="7E25CB30"/>
    <w:rsid w:val="7E269D7E"/>
    <w:rsid w:val="7E276F0B"/>
    <w:rsid w:val="7E291D47"/>
    <w:rsid w:val="7E2A6B78"/>
    <w:rsid w:val="7E2B7076"/>
    <w:rsid w:val="7E2E6D34"/>
    <w:rsid w:val="7E2E9B92"/>
    <w:rsid w:val="7E315458"/>
    <w:rsid w:val="7E33774A"/>
    <w:rsid w:val="7E35AA2F"/>
    <w:rsid w:val="7E37992D"/>
    <w:rsid w:val="7E3A51BB"/>
    <w:rsid w:val="7E3BB7DB"/>
    <w:rsid w:val="7E3C9402"/>
    <w:rsid w:val="7E3D2125"/>
    <w:rsid w:val="7E3E9A19"/>
    <w:rsid w:val="7E3F34FF"/>
    <w:rsid w:val="7E4114D4"/>
    <w:rsid w:val="7E415422"/>
    <w:rsid w:val="7E438465"/>
    <w:rsid w:val="7E43FFB8"/>
    <w:rsid w:val="7E4721B9"/>
    <w:rsid w:val="7E487B6D"/>
    <w:rsid w:val="7E48CBAA"/>
    <w:rsid w:val="7E491C06"/>
    <w:rsid w:val="7E4AA987"/>
    <w:rsid w:val="7E4AEF9A"/>
    <w:rsid w:val="7E4D3E95"/>
    <w:rsid w:val="7E4EAEF1"/>
    <w:rsid w:val="7E4EE571"/>
    <w:rsid w:val="7E509527"/>
    <w:rsid w:val="7E51AF99"/>
    <w:rsid w:val="7E52D6DA"/>
    <w:rsid w:val="7E5423A7"/>
    <w:rsid w:val="7E55D6DE"/>
    <w:rsid w:val="7E5678C1"/>
    <w:rsid w:val="7E56A5A6"/>
    <w:rsid w:val="7E56FE05"/>
    <w:rsid w:val="7E570629"/>
    <w:rsid w:val="7E5A9FB8"/>
    <w:rsid w:val="7E5C208B"/>
    <w:rsid w:val="7E5C5895"/>
    <w:rsid w:val="7E5F07E6"/>
    <w:rsid w:val="7E5F3C62"/>
    <w:rsid w:val="7E614428"/>
    <w:rsid w:val="7E62253B"/>
    <w:rsid w:val="7E624274"/>
    <w:rsid w:val="7E690637"/>
    <w:rsid w:val="7E6954BC"/>
    <w:rsid w:val="7E6B6C56"/>
    <w:rsid w:val="7E6C9E30"/>
    <w:rsid w:val="7E6CB406"/>
    <w:rsid w:val="7E6EBD09"/>
    <w:rsid w:val="7E6FDABB"/>
    <w:rsid w:val="7E727BD6"/>
    <w:rsid w:val="7E74D16D"/>
    <w:rsid w:val="7E77E04E"/>
    <w:rsid w:val="7E81AF09"/>
    <w:rsid w:val="7E8214D5"/>
    <w:rsid w:val="7E856535"/>
    <w:rsid w:val="7E856F49"/>
    <w:rsid w:val="7E879413"/>
    <w:rsid w:val="7E8FF396"/>
    <w:rsid w:val="7E904735"/>
    <w:rsid w:val="7E91C2F9"/>
    <w:rsid w:val="7E922A8F"/>
    <w:rsid w:val="7E93E12A"/>
    <w:rsid w:val="7E955000"/>
    <w:rsid w:val="7E96C5B2"/>
    <w:rsid w:val="7E96D00F"/>
    <w:rsid w:val="7E999163"/>
    <w:rsid w:val="7E99CF36"/>
    <w:rsid w:val="7E9BFC14"/>
    <w:rsid w:val="7E9C81CE"/>
    <w:rsid w:val="7E9DE748"/>
    <w:rsid w:val="7E9DEE8C"/>
    <w:rsid w:val="7EA01975"/>
    <w:rsid w:val="7EA27AEC"/>
    <w:rsid w:val="7EA3049E"/>
    <w:rsid w:val="7EA33DBB"/>
    <w:rsid w:val="7EA520BF"/>
    <w:rsid w:val="7EA52F1B"/>
    <w:rsid w:val="7EA83E4D"/>
    <w:rsid w:val="7EADDE2E"/>
    <w:rsid w:val="7EB1CCBA"/>
    <w:rsid w:val="7EB209EE"/>
    <w:rsid w:val="7EB26D79"/>
    <w:rsid w:val="7EB4A4F8"/>
    <w:rsid w:val="7EB53E61"/>
    <w:rsid w:val="7EB63EEF"/>
    <w:rsid w:val="7EB88626"/>
    <w:rsid w:val="7EBAC395"/>
    <w:rsid w:val="7EBAC749"/>
    <w:rsid w:val="7EBCC643"/>
    <w:rsid w:val="7EBD94C6"/>
    <w:rsid w:val="7EC0BBDA"/>
    <w:rsid w:val="7EC14A09"/>
    <w:rsid w:val="7EC1FE01"/>
    <w:rsid w:val="7EC27C22"/>
    <w:rsid w:val="7EC400A0"/>
    <w:rsid w:val="7EC47EC9"/>
    <w:rsid w:val="7EC94F52"/>
    <w:rsid w:val="7ECBCC97"/>
    <w:rsid w:val="7ECD7EE8"/>
    <w:rsid w:val="7ECD8A3E"/>
    <w:rsid w:val="7ECEE9BC"/>
    <w:rsid w:val="7ED7BC8E"/>
    <w:rsid w:val="7ED7BDEE"/>
    <w:rsid w:val="7ED9CBE1"/>
    <w:rsid w:val="7EDBA145"/>
    <w:rsid w:val="7EE09B92"/>
    <w:rsid w:val="7EE2A186"/>
    <w:rsid w:val="7EE4D492"/>
    <w:rsid w:val="7EEB5902"/>
    <w:rsid w:val="7EEB6B3D"/>
    <w:rsid w:val="7EED5AA7"/>
    <w:rsid w:val="7EEDFB92"/>
    <w:rsid w:val="7EEEBAB1"/>
    <w:rsid w:val="7EF1187C"/>
    <w:rsid w:val="7EF16B40"/>
    <w:rsid w:val="7EF3A3FC"/>
    <w:rsid w:val="7EF3DE0E"/>
    <w:rsid w:val="7EF4220B"/>
    <w:rsid w:val="7EF4270D"/>
    <w:rsid w:val="7EF835CF"/>
    <w:rsid w:val="7F006ACA"/>
    <w:rsid w:val="7F04DB6E"/>
    <w:rsid w:val="7F07CAF6"/>
    <w:rsid w:val="7F08D343"/>
    <w:rsid w:val="7F09B0A8"/>
    <w:rsid w:val="7F0A4340"/>
    <w:rsid w:val="7F0A66B1"/>
    <w:rsid w:val="7F0EDB8A"/>
    <w:rsid w:val="7F1795B8"/>
    <w:rsid w:val="7F1850BC"/>
    <w:rsid w:val="7F1A0419"/>
    <w:rsid w:val="7F1DC69C"/>
    <w:rsid w:val="7F1E10D5"/>
    <w:rsid w:val="7F1E4418"/>
    <w:rsid w:val="7F260542"/>
    <w:rsid w:val="7F26572C"/>
    <w:rsid w:val="7F2DD08C"/>
    <w:rsid w:val="7F2ED0BC"/>
    <w:rsid w:val="7F2FFF9B"/>
    <w:rsid w:val="7F3311A5"/>
    <w:rsid w:val="7F33D273"/>
    <w:rsid w:val="7F34CB4A"/>
    <w:rsid w:val="7F35AEFD"/>
    <w:rsid w:val="7F3D2E8B"/>
    <w:rsid w:val="7F3D5AF6"/>
    <w:rsid w:val="7F3E8833"/>
    <w:rsid w:val="7F3F0057"/>
    <w:rsid w:val="7F4012D9"/>
    <w:rsid w:val="7F469177"/>
    <w:rsid w:val="7F469789"/>
    <w:rsid w:val="7F4716EA"/>
    <w:rsid w:val="7F4A170D"/>
    <w:rsid w:val="7F4C8A51"/>
    <w:rsid w:val="7F4F981F"/>
    <w:rsid w:val="7F4FA02A"/>
    <w:rsid w:val="7F4FBA26"/>
    <w:rsid w:val="7F5127B8"/>
    <w:rsid w:val="7F52154B"/>
    <w:rsid w:val="7F52552C"/>
    <w:rsid w:val="7F560C02"/>
    <w:rsid w:val="7F581012"/>
    <w:rsid w:val="7F586988"/>
    <w:rsid w:val="7F5A66E3"/>
    <w:rsid w:val="7F5B011B"/>
    <w:rsid w:val="7F5BA7C8"/>
    <w:rsid w:val="7F5DC2B1"/>
    <w:rsid w:val="7F60A315"/>
    <w:rsid w:val="7F61FFFE"/>
    <w:rsid w:val="7F62381A"/>
    <w:rsid w:val="7F64161B"/>
    <w:rsid w:val="7F6487CB"/>
    <w:rsid w:val="7F649B0F"/>
    <w:rsid w:val="7F6616A9"/>
    <w:rsid w:val="7F6650A8"/>
    <w:rsid w:val="7F66EE28"/>
    <w:rsid w:val="7F67ECAB"/>
    <w:rsid w:val="7F69DB9C"/>
    <w:rsid w:val="7F69FB1A"/>
    <w:rsid w:val="7F6A27C8"/>
    <w:rsid w:val="7F6F7E59"/>
    <w:rsid w:val="7F70B0CE"/>
    <w:rsid w:val="7F71D488"/>
    <w:rsid w:val="7F726384"/>
    <w:rsid w:val="7F73940D"/>
    <w:rsid w:val="7F7A87E7"/>
    <w:rsid w:val="7F7EB5F4"/>
    <w:rsid w:val="7F7F7860"/>
    <w:rsid w:val="7F831D4D"/>
    <w:rsid w:val="7F85B5D0"/>
    <w:rsid w:val="7F85E535"/>
    <w:rsid w:val="7F86236F"/>
    <w:rsid w:val="7F86CE14"/>
    <w:rsid w:val="7F87812B"/>
    <w:rsid w:val="7F894804"/>
    <w:rsid w:val="7F8DD3CC"/>
    <w:rsid w:val="7F8E7D9E"/>
    <w:rsid w:val="7F8F7C68"/>
    <w:rsid w:val="7F90C56C"/>
    <w:rsid w:val="7F91C3EF"/>
    <w:rsid w:val="7F92736A"/>
    <w:rsid w:val="7F927BBA"/>
    <w:rsid w:val="7F9A95AF"/>
    <w:rsid w:val="7F9DAB82"/>
    <w:rsid w:val="7F9EE620"/>
    <w:rsid w:val="7FA41782"/>
    <w:rsid w:val="7FA45852"/>
    <w:rsid w:val="7FA6E181"/>
    <w:rsid w:val="7FA8E286"/>
    <w:rsid w:val="7FAD17A4"/>
    <w:rsid w:val="7FB37AEF"/>
    <w:rsid w:val="7FB3F986"/>
    <w:rsid w:val="7FB477DE"/>
    <w:rsid w:val="7FB5B97B"/>
    <w:rsid w:val="7FB81B69"/>
    <w:rsid w:val="7FBADE11"/>
    <w:rsid w:val="7FBB6AE3"/>
    <w:rsid w:val="7FBC0D12"/>
    <w:rsid w:val="7FBC73EB"/>
    <w:rsid w:val="7FBE714C"/>
    <w:rsid w:val="7FC40210"/>
    <w:rsid w:val="7FC4190A"/>
    <w:rsid w:val="7FC45ECA"/>
    <w:rsid w:val="7FC51830"/>
    <w:rsid w:val="7FC58989"/>
    <w:rsid w:val="7FC7AAF1"/>
    <w:rsid w:val="7FC7C04B"/>
    <w:rsid w:val="7FC9B701"/>
    <w:rsid w:val="7FCCA3B0"/>
    <w:rsid w:val="7FCEE62A"/>
    <w:rsid w:val="7FCEEF38"/>
    <w:rsid w:val="7FD0E1D1"/>
    <w:rsid w:val="7FD228F5"/>
    <w:rsid w:val="7FD23787"/>
    <w:rsid w:val="7FD2D2C7"/>
    <w:rsid w:val="7FD362D7"/>
    <w:rsid w:val="7FD7D34F"/>
    <w:rsid w:val="7FDA12C2"/>
    <w:rsid w:val="7FDBA30D"/>
    <w:rsid w:val="7FDBF8FA"/>
    <w:rsid w:val="7FDD32B4"/>
    <w:rsid w:val="7FE0CC6A"/>
    <w:rsid w:val="7FE0D323"/>
    <w:rsid w:val="7FE1E893"/>
    <w:rsid w:val="7FE3E46D"/>
    <w:rsid w:val="7FE491D3"/>
    <w:rsid w:val="7FECA2E0"/>
    <w:rsid w:val="7FF22F39"/>
    <w:rsid w:val="7FF24A70"/>
    <w:rsid w:val="7FF34099"/>
    <w:rsid w:val="7FF54CD5"/>
    <w:rsid w:val="7FFA00E6"/>
    <w:rsid w:val="7FFB4F4D"/>
    <w:rsid w:val="7FFF91CA"/>
    <w:rsid w:val="7FFFAB8E"/>
  </w:rsids>
  <m:mathPr>
    <m:mathFont m:val="Cambria Math"/>
    <m:brkBin m:val="before"/>
    <m:brkBinSub m:val="--"/>
    <m:smallFrac m:val="0"/>
    <m:dispDef/>
    <m:lMargin m:val="0"/>
    <m:rMargin m:val="0"/>
    <m:defJc m:val="centerGroup"/>
    <m:wrapIndent m:val="1440"/>
    <m:intLim m:val="subSup"/>
    <m:naryLim m:val="undOvr"/>
  </m:mathPr>
  <w:themeFontLang w:val="fr-B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D7E17"/>
  <w15:chartTrackingRefBased/>
  <w15:docId w15:val="{BFD95432-77B9-4ADF-80D0-FC90E7AC9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29694989"/>
    <w:rPr>
      <w:lang w:val="en-GB"/>
    </w:rPr>
  </w:style>
  <w:style w:type="paragraph" w:styleId="Heading1">
    <w:name w:val="heading 1"/>
    <w:basedOn w:val="ListParagraph"/>
    <w:next w:val="Normal"/>
    <w:link w:val="Heading1Char"/>
    <w:uiPriority w:val="9"/>
    <w:qFormat/>
    <w:rsid w:val="29694989"/>
    <w:pPr>
      <w:numPr>
        <w:numId w:val="35"/>
      </w:numPr>
      <w:outlineLvl w:val="0"/>
    </w:pPr>
    <w:rPr>
      <w:b/>
      <w:bCs/>
      <w:sz w:val="28"/>
      <w:szCs w:val="28"/>
      <w:u w:val="single"/>
    </w:rPr>
  </w:style>
  <w:style w:type="paragraph" w:styleId="Heading2">
    <w:name w:val="heading 2"/>
    <w:basedOn w:val="ListParagraph"/>
    <w:next w:val="Normal"/>
    <w:link w:val="Heading2Char"/>
    <w:autoRedefine/>
    <w:uiPriority w:val="9"/>
    <w:unhideWhenUsed/>
    <w:qFormat/>
    <w:rsid w:val="004030B4"/>
    <w:pPr>
      <w:numPr>
        <w:numId w:val="20"/>
      </w:numPr>
      <w:spacing w:line="480" w:lineRule="auto"/>
      <w:jc w:val="both"/>
      <w:outlineLvl w:val="1"/>
    </w:pPr>
    <w:rPr>
      <w:rFonts w:eastAsiaTheme="minorEastAsia"/>
      <w:b/>
      <w:bCs/>
      <w:sz w:val="24"/>
      <w:szCs w:val="24"/>
      <w:lang w:val="en-US"/>
    </w:rPr>
  </w:style>
  <w:style w:type="paragraph" w:styleId="Heading3">
    <w:name w:val="heading 3"/>
    <w:basedOn w:val="Normal"/>
    <w:next w:val="Normal"/>
    <w:link w:val="Heading3Char"/>
    <w:autoRedefine/>
    <w:uiPriority w:val="9"/>
    <w:unhideWhenUsed/>
    <w:qFormat/>
    <w:rsid w:val="000C204D"/>
    <w:pPr>
      <w:jc w:val="both"/>
      <w:outlineLvl w:val="2"/>
    </w:pPr>
    <w:rPr>
      <w:i/>
      <w:iCs/>
      <w:sz w:val="24"/>
    </w:rPr>
  </w:style>
  <w:style w:type="paragraph" w:styleId="Heading4">
    <w:name w:val="heading 4"/>
    <w:basedOn w:val="Normal"/>
    <w:next w:val="Normal"/>
    <w:link w:val="Heading4Char"/>
    <w:uiPriority w:val="9"/>
    <w:unhideWhenUsed/>
    <w:qFormat/>
    <w:rsid w:val="29694989"/>
    <w:pPr>
      <w:keepNext/>
      <w:keepLines/>
      <w:spacing w:before="40" w:after="0"/>
      <w:outlineLvl w:val="3"/>
    </w:pPr>
    <w:rPr>
      <w:rFonts w:asciiTheme="majorHAnsi" w:hAnsiTheme="majorHAnsi" w:eastAsiaTheme="majorEastAsia" w:cstheme="majorBidi"/>
      <w:i/>
      <w:iCs/>
      <w:color w:val="2E74B5" w:themeColor="accent1" w:themeShade="BF"/>
    </w:rPr>
  </w:style>
  <w:style w:type="paragraph" w:styleId="Heading5">
    <w:name w:val="heading 5"/>
    <w:basedOn w:val="Normal"/>
    <w:next w:val="Normal"/>
    <w:link w:val="Heading5Char"/>
    <w:uiPriority w:val="9"/>
    <w:unhideWhenUsed/>
    <w:qFormat/>
    <w:rsid w:val="29694989"/>
    <w:pPr>
      <w:keepNext/>
      <w:keepLines/>
      <w:spacing w:before="40" w:after="0"/>
      <w:outlineLvl w:val="4"/>
    </w:pPr>
    <w:rPr>
      <w:rFonts w:asciiTheme="majorHAnsi" w:hAnsiTheme="majorHAnsi" w:eastAsiaTheme="majorEastAsia" w:cstheme="majorBidi"/>
      <w:color w:val="2E74B5" w:themeColor="accent1" w:themeShade="BF"/>
    </w:rPr>
  </w:style>
  <w:style w:type="paragraph" w:styleId="Heading6">
    <w:name w:val="heading 6"/>
    <w:basedOn w:val="Normal"/>
    <w:next w:val="Normal"/>
    <w:link w:val="Heading6Char"/>
    <w:uiPriority w:val="9"/>
    <w:unhideWhenUsed/>
    <w:qFormat/>
    <w:rsid w:val="29694989"/>
    <w:pPr>
      <w:keepNext/>
      <w:keepLines/>
      <w:spacing w:before="40" w:after="0"/>
      <w:outlineLvl w:val="5"/>
    </w:pPr>
    <w:rPr>
      <w:rFonts w:asciiTheme="majorHAnsi" w:hAnsiTheme="majorHAnsi" w:eastAsiaTheme="majorEastAsia" w:cstheme="majorBidi"/>
      <w:color w:val="1F4D78"/>
    </w:rPr>
  </w:style>
  <w:style w:type="paragraph" w:styleId="Heading7">
    <w:name w:val="heading 7"/>
    <w:basedOn w:val="Normal"/>
    <w:next w:val="Normal"/>
    <w:link w:val="Heading7Char"/>
    <w:uiPriority w:val="9"/>
    <w:unhideWhenUsed/>
    <w:qFormat/>
    <w:rsid w:val="29694989"/>
    <w:pPr>
      <w:keepNext/>
      <w:keepLines/>
      <w:spacing w:before="40" w:after="0"/>
      <w:outlineLvl w:val="6"/>
    </w:pPr>
    <w:rPr>
      <w:rFonts w:asciiTheme="majorHAnsi" w:hAnsiTheme="majorHAnsi" w:eastAsiaTheme="majorEastAsia" w:cstheme="majorBidi"/>
      <w:i/>
      <w:iCs/>
      <w:color w:val="1F4D78"/>
    </w:rPr>
  </w:style>
  <w:style w:type="paragraph" w:styleId="Heading8">
    <w:name w:val="heading 8"/>
    <w:basedOn w:val="Normal"/>
    <w:next w:val="Normal"/>
    <w:link w:val="Heading8Char"/>
    <w:uiPriority w:val="9"/>
    <w:unhideWhenUsed/>
    <w:qFormat/>
    <w:rsid w:val="29694989"/>
    <w:pPr>
      <w:keepNext/>
      <w:keepLines/>
      <w:spacing w:before="40" w:after="0"/>
      <w:outlineLvl w:val="7"/>
    </w:pPr>
    <w:rPr>
      <w:rFonts w:asciiTheme="majorHAnsi" w:hAnsiTheme="majorHAnsi" w:eastAsiaTheme="majorEastAsia" w:cstheme="majorBidi"/>
      <w:color w:val="272727"/>
      <w:sz w:val="21"/>
      <w:szCs w:val="21"/>
    </w:rPr>
  </w:style>
  <w:style w:type="paragraph" w:styleId="Heading9">
    <w:name w:val="heading 9"/>
    <w:basedOn w:val="Normal"/>
    <w:next w:val="Normal"/>
    <w:link w:val="Heading9Char"/>
    <w:uiPriority w:val="9"/>
    <w:unhideWhenUsed/>
    <w:qFormat/>
    <w:rsid w:val="29694989"/>
    <w:pPr>
      <w:keepNext/>
      <w:keepLines/>
      <w:spacing w:before="40" w:after="0"/>
      <w:outlineLvl w:val="8"/>
    </w:pPr>
    <w:rPr>
      <w:rFonts w:asciiTheme="majorHAnsi" w:hAnsiTheme="majorHAnsi" w:eastAsiaTheme="majorEastAsia" w:cstheme="majorBidi"/>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Subtitle">
    <w:name w:val="Subtitle"/>
    <w:basedOn w:val="Normal"/>
    <w:next w:val="Normal"/>
    <w:link w:val="SubtitleChar"/>
    <w:uiPriority w:val="11"/>
    <w:qFormat/>
    <w:rsid w:val="29694989"/>
    <w:pPr>
      <w:jc w:val="both"/>
    </w:pPr>
    <w:rPr>
      <w:rFonts w:eastAsiaTheme="minorEastAsia"/>
      <w:b/>
      <w:bCs/>
      <w:sz w:val="24"/>
      <w:szCs w:val="24"/>
      <w:u w:val="single"/>
    </w:rPr>
  </w:style>
  <w:style w:type="character" w:styleId="SubtitleChar" w:customStyle="1">
    <w:name w:val="Subtitle Char"/>
    <w:basedOn w:val="DefaultParagraphFont"/>
    <w:link w:val="Subtitle"/>
    <w:uiPriority w:val="11"/>
    <w:rsid w:val="29694989"/>
    <w:rPr>
      <w:rFonts w:asciiTheme="minorHAnsi" w:hAnsiTheme="minorHAnsi" w:eastAsiaTheme="minorEastAsia" w:cstheme="minorBidi"/>
      <w:b/>
      <w:bCs/>
      <w:noProof w:val="0"/>
      <w:sz w:val="24"/>
      <w:szCs w:val="24"/>
      <w:u w:val="single"/>
      <w:lang w:val="en-GB"/>
    </w:rPr>
  </w:style>
  <w:style w:type="paragraph" w:styleId="Niv1" w:customStyle="1">
    <w:name w:val="Niv1"/>
    <w:basedOn w:val="ListParagraph"/>
    <w:uiPriority w:val="1"/>
    <w:qFormat/>
    <w:rsid w:val="29694989"/>
    <w:pPr>
      <w:numPr>
        <w:numId w:val="28"/>
      </w:numPr>
      <w:tabs>
        <w:tab w:val="num" w:pos="360"/>
      </w:tabs>
      <w:jc w:val="both"/>
      <w:outlineLvl w:val="0"/>
    </w:pPr>
    <w:rPr>
      <w:rFonts w:eastAsiaTheme="minorEastAsia"/>
      <w:b/>
      <w:bCs/>
      <w:sz w:val="28"/>
      <w:szCs w:val="28"/>
      <w:lang w:eastAsia="en-GB"/>
    </w:rPr>
  </w:style>
  <w:style w:type="paragraph" w:styleId="Niv2" w:customStyle="1">
    <w:name w:val="Niv 2"/>
    <w:basedOn w:val="ListParagraph"/>
    <w:uiPriority w:val="1"/>
    <w:qFormat/>
    <w:rsid w:val="29694989"/>
    <w:pPr>
      <w:numPr>
        <w:ilvl w:val="1"/>
        <w:numId w:val="28"/>
      </w:numPr>
      <w:tabs>
        <w:tab w:val="num" w:pos="360"/>
      </w:tabs>
      <w:ind w:left="788" w:hanging="431"/>
      <w:outlineLvl w:val="1"/>
    </w:pPr>
    <w:rPr>
      <w:rFonts w:eastAsiaTheme="minorEastAsia"/>
      <w:b/>
      <w:bCs/>
      <w:sz w:val="24"/>
      <w:szCs w:val="24"/>
      <w:lang w:val="en-US"/>
    </w:rPr>
  </w:style>
  <w:style w:type="paragraph" w:styleId="Niv3" w:customStyle="1">
    <w:name w:val="Niv 3"/>
    <w:basedOn w:val="Niv1"/>
    <w:uiPriority w:val="1"/>
    <w:qFormat/>
    <w:rsid w:val="29694989"/>
    <w:pPr>
      <w:ind w:left="1225" w:hanging="505"/>
      <w:outlineLvl w:val="2"/>
    </w:pPr>
    <w:rPr>
      <w:sz w:val="24"/>
      <w:szCs w:val="24"/>
      <w:lang w:val="fr-BE"/>
    </w:rPr>
  </w:style>
  <w:style w:type="paragraph" w:styleId="ListParagraph">
    <w:name w:val="List Paragraph"/>
    <w:basedOn w:val="Normal"/>
    <w:uiPriority w:val="34"/>
    <w:qFormat/>
    <w:rsid w:val="29694989"/>
    <w:pPr>
      <w:ind w:left="720"/>
      <w:contextualSpacing/>
    </w:pPr>
  </w:style>
  <w:style w:type="character" w:styleId="Emphasis">
    <w:name w:val="Emphasis"/>
    <w:basedOn w:val="DefaultParagraphFont"/>
    <w:uiPriority w:val="20"/>
    <w:qFormat/>
    <w:rsid w:val="006B6BAC"/>
    <w:rPr>
      <w:i/>
      <w:iCs/>
    </w:rPr>
  </w:style>
  <w:style w:type="character" w:styleId="Hyperlink">
    <w:name w:val="Hyperlink"/>
    <w:basedOn w:val="DefaultParagraphFont"/>
    <w:uiPriority w:val="99"/>
    <w:unhideWhenUsed/>
    <w:rsid w:val="006B6BAC"/>
    <w:rPr>
      <w:color w:val="0000FF"/>
      <w:u w:val="single"/>
    </w:rPr>
  </w:style>
  <w:style w:type="paragraph" w:styleId="NormalWeb">
    <w:name w:val="Normal (Web)"/>
    <w:basedOn w:val="Normal"/>
    <w:uiPriority w:val="99"/>
    <w:unhideWhenUsed/>
    <w:rsid w:val="29694989"/>
    <w:pPr>
      <w:spacing w:beforeAutospacing="1" w:afterAutospacing="1"/>
    </w:pPr>
    <w:rPr>
      <w:rFonts w:ascii="Times New Roman" w:hAnsi="Times New Roman" w:cs="Times New Roman" w:eastAsiaTheme="minorEastAsia"/>
      <w:sz w:val="24"/>
      <w:szCs w:val="24"/>
      <w:lang w:eastAsia="fr-BE"/>
    </w:rPr>
  </w:style>
  <w:style w:type="paragraph" w:styleId="Bibliography">
    <w:name w:val="Bibliography"/>
    <w:basedOn w:val="Normal"/>
    <w:next w:val="Normal"/>
    <w:uiPriority w:val="37"/>
    <w:unhideWhenUsed/>
    <w:rsid w:val="29694989"/>
    <w:pPr>
      <w:spacing w:after="240" w:line="240" w:lineRule="auto"/>
    </w:pPr>
  </w:style>
  <w:style w:type="character" w:styleId="CommentReference">
    <w:name w:val="annotation reference"/>
    <w:basedOn w:val="DefaultParagraphFont"/>
    <w:uiPriority w:val="99"/>
    <w:semiHidden/>
    <w:unhideWhenUsed/>
    <w:rsid w:val="001A303B"/>
    <w:rPr>
      <w:sz w:val="16"/>
      <w:szCs w:val="16"/>
    </w:rPr>
  </w:style>
  <w:style w:type="paragraph" w:styleId="CommentText">
    <w:name w:val="annotation text"/>
    <w:basedOn w:val="Normal"/>
    <w:link w:val="CommentTextChar"/>
    <w:uiPriority w:val="99"/>
    <w:unhideWhenUsed/>
    <w:rsid w:val="29694989"/>
    <w:rPr>
      <w:sz w:val="20"/>
      <w:szCs w:val="20"/>
    </w:rPr>
  </w:style>
  <w:style w:type="character" w:styleId="CommentTextChar" w:customStyle="1">
    <w:name w:val="Comment Text Char"/>
    <w:basedOn w:val="DefaultParagraphFont"/>
    <w:link w:val="CommentText"/>
    <w:uiPriority w:val="99"/>
    <w:rsid w:val="29694989"/>
    <w:rPr>
      <w:noProof w:val="0"/>
      <w:sz w:val="20"/>
      <w:szCs w:val="20"/>
      <w:lang w:val="en-GB"/>
    </w:rPr>
  </w:style>
  <w:style w:type="paragraph" w:styleId="CommentSubject">
    <w:name w:val="annotation subject"/>
    <w:basedOn w:val="CommentText"/>
    <w:next w:val="CommentText"/>
    <w:link w:val="CommentSubjectChar"/>
    <w:uiPriority w:val="99"/>
    <w:semiHidden/>
    <w:unhideWhenUsed/>
    <w:rsid w:val="29694989"/>
    <w:rPr>
      <w:b/>
      <w:bCs/>
    </w:rPr>
  </w:style>
  <w:style w:type="character" w:styleId="CommentSubjectChar" w:customStyle="1">
    <w:name w:val="Comment Subject Char"/>
    <w:basedOn w:val="CommentTextChar"/>
    <w:link w:val="CommentSubject"/>
    <w:uiPriority w:val="99"/>
    <w:semiHidden/>
    <w:rsid w:val="29694989"/>
    <w:rPr>
      <w:b/>
      <w:bCs/>
      <w:noProof w:val="0"/>
      <w:sz w:val="20"/>
      <w:szCs w:val="20"/>
      <w:lang w:val="en-GB"/>
    </w:rPr>
  </w:style>
  <w:style w:type="paragraph" w:styleId="Header">
    <w:name w:val="header"/>
    <w:basedOn w:val="Normal"/>
    <w:link w:val="HeaderChar"/>
    <w:uiPriority w:val="99"/>
    <w:unhideWhenUsed/>
    <w:rsid w:val="29694989"/>
    <w:pPr>
      <w:tabs>
        <w:tab w:val="center" w:pos="4536"/>
        <w:tab w:val="right" w:pos="9072"/>
      </w:tabs>
      <w:spacing w:after="0"/>
    </w:pPr>
  </w:style>
  <w:style w:type="character" w:styleId="HeaderChar" w:customStyle="1">
    <w:name w:val="Header Char"/>
    <w:basedOn w:val="DefaultParagraphFont"/>
    <w:link w:val="Header"/>
    <w:uiPriority w:val="99"/>
    <w:rsid w:val="29694989"/>
    <w:rPr>
      <w:noProof w:val="0"/>
      <w:lang w:val="en-GB"/>
    </w:rPr>
  </w:style>
  <w:style w:type="paragraph" w:styleId="Footer">
    <w:name w:val="footer"/>
    <w:basedOn w:val="Normal"/>
    <w:link w:val="FooterChar"/>
    <w:uiPriority w:val="99"/>
    <w:unhideWhenUsed/>
    <w:rsid w:val="29694989"/>
    <w:pPr>
      <w:tabs>
        <w:tab w:val="center" w:pos="4536"/>
        <w:tab w:val="right" w:pos="9072"/>
      </w:tabs>
      <w:spacing w:after="0"/>
    </w:pPr>
  </w:style>
  <w:style w:type="character" w:styleId="FooterChar" w:customStyle="1">
    <w:name w:val="Footer Char"/>
    <w:basedOn w:val="DefaultParagraphFont"/>
    <w:link w:val="Footer"/>
    <w:uiPriority w:val="99"/>
    <w:rsid w:val="29694989"/>
    <w:rPr>
      <w:noProof w:val="0"/>
      <w:lang w:val="en-GB"/>
    </w:rPr>
  </w:style>
  <w:style w:type="character" w:styleId="normaltextrun" w:customStyle="1">
    <w:name w:val="normaltextrun"/>
    <w:basedOn w:val="DefaultParagraphFont"/>
    <w:rsid w:val="00D96F00"/>
  </w:style>
  <w:style w:type="character" w:styleId="result-article-authors" w:customStyle="1">
    <w:name w:val="result-article-authors"/>
    <w:basedOn w:val="DefaultParagraphFont"/>
    <w:rsid w:val="00D35C92"/>
  </w:style>
  <w:style w:type="character" w:styleId="abstract-content" w:customStyle="1">
    <w:name w:val="abstract-content"/>
    <w:basedOn w:val="DefaultParagraphFont"/>
    <w:rsid w:val="00D35C92"/>
  </w:style>
  <w:style w:type="character" w:styleId="n-viewcontainer" w:customStyle="1">
    <w:name w:val="n-viewcontainer"/>
    <w:basedOn w:val="DefaultParagraphFont"/>
    <w:uiPriority w:val="1"/>
    <w:rsid w:val="3F2A0E2C"/>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Strong">
    <w:name w:val="Strong"/>
    <w:basedOn w:val="DefaultParagraphFont"/>
    <w:uiPriority w:val="22"/>
    <w:qFormat/>
    <w:rsid w:val="008A58A0"/>
    <w:rPr>
      <w:b/>
      <w:bCs/>
    </w:rPr>
  </w:style>
  <w:style w:type="paragraph" w:styleId="paragraph" w:customStyle="1">
    <w:name w:val="paragraph"/>
    <w:basedOn w:val="Normal"/>
    <w:rsid w:val="29694989"/>
    <w:pPr>
      <w:spacing w:beforeAutospacing="1" w:afterAutospacing="1"/>
    </w:pPr>
    <w:rPr>
      <w:rFonts w:ascii="Times New Roman" w:hAnsi="Times New Roman" w:eastAsia="Times New Roman" w:cs="Times New Roman"/>
      <w:sz w:val="24"/>
      <w:szCs w:val="24"/>
      <w:lang w:eastAsia="en-GB"/>
    </w:rPr>
  </w:style>
  <w:style w:type="character" w:styleId="eop" w:customStyle="1">
    <w:name w:val="eop"/>
    <w:basedOn w:val="DefaultParagraphFont"/>
    <w:rsid w:val="00670E25"/>
  </w:style>
  <w:style w:type="table" w:styleId="PlainTable2">
    <w:name w:val="Plain Table 2"/>
    <w:basedOn w:val="TableNormal"/>
    <w:uiPriority w:val="42"/>
    <w:rsid w:val="00CA7328"/>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table" w:styleId="PlainTable3">
    <w:name w:val="Plain Table 3"/>
    <w:basedOn w:val="TableNormal"/>
    <w:uiPriority w:val="43"/>
    <w:rsid w:val="00CA7328"/>
    <w:pPr>
      <w:spacing w:after="0" w:line="240" w:lineRule="auto"/>
    </w:pPr>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hgkelc" w:customStyle="1">
    <w:name w:val="hgkelc"/>
    <w:basedOn w:val="DefaultParagraphFont"/>
    <w:rsid w:val="008D4B45"/>
  </w:style>
  <w:style w:type="table" w:styleId="PlainTable1">
    <w:name w:val="Plain Table 1"/>
    <w:basedOn w:val="TableNormal"/>
    <w:uiPriority w:val="41"/>
    <w:rsid w:val="00442284"/>
    <w:pPr>
      <w:spacing w:after="0" w:line="240" w:lineRule="auto"/>
    </w:p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eading1Char" w:customStyle="1">
    <w:name w:val="Heading 1 Char"/>
    <w:basedOn w:val="DefaultParagraphFont"/>
    <w:link w:val="Heading1"/>
    <w:uiPriority w:val="9"/>
    <w:rsid w:val="29694989"/>
    <w:rPr>
      <w:b/>
      <w:bCs/>
      <w:noProof w:val="0"/>
      <w:sz w:val="28"/>
      <w:szCs w:val="28"/>
      <w:u w:val="single"/>
      <w:lang w:val="en-GB"/>
    </w:rPr>
  </w:style>
  <w:style w:type="character" w:styleId="Heading2Char" w:customStyle="1">
    <w:name w:val="Heading 2 Char"/>
    <w:basedOn w:val="DefaultParagraphFont"/>
    <w:link w:val="Heading2"/>
    <w:uiPriority w:val="9"/>
    <w:rsid w:val="004030B4"/>
    <w:rPr>
      <w:rFonts w:eastAsiaTheme="minorEastAsia"/>
      <w:b/>
      <w:bCs/>
      <w:sz w:val="24"/>
      <w:szCs w:val="24"/>
      <w:lang w:val="en-US"/>
    </w:rPr>
  </w:style>
  <w:style w:type="character" w:styleId="Heading3Char" w:customStyle="1">
    <w:name w:val="Heading 3 Char"/>
    <w:basedOn w:val="DefaultParagraphFont"/>
    <w:link w:val="Heading3"/>
    <w:uiPriority w:val="9"/>
    <w:rsid w:val="000C204D"/>
    <w:rPr>
      <w:i/>
      <w:iCs/>
      <w:sz w:val="24"/>
      <w:lang w:val="en-GB"/>
    </w:rPr>
  </w:style>
  <w:style w:type="paragraph" w:styleId="Revision">
    <w:name w:val="Revision"/>
    <w:hidden/>
    <w:uiPriority w:val="99"/>
    <w:semiHidden/>
    <w:rsid w:val="00FB236E"/>
    <w:pPr>
      <w:spacing w:after="0" w:line="240" w:lineRule="auto"/>
    </w:pPr>
  </w:style>
  <w:style w:type="character" w:styleId="UnresolvedMention">
    <w:name w:val="Unresolved Mention"/>
    <w:basedOn w:val="DefaultParagraphFont"/>
    <w:uiPriority w:val="99"/>
    <w:semiHidden/>
    <w:unhideWhenUsed/>
    <w:rsid w:val="000F680E"/>
    <w:rPr>
      <w:color w:val="605E5C"/>
      <w:shd w:val="clear" w:color="auto" w:fill="E1DFDD"/>
    </w:rPr>
  </w:style>
  <w:style w:type="paragraph" w:styleId="Title">
    <w:name w:val="Title"/>
    <w:basedOn w:val="Normal"/>
    <w:next w:val="Normal"/>
    <w:link w:val="TitleChar"/>
    <w:uiPriority w:val="10"/>
    <w:qFormat/>
    <w:rsid w:val="29694989"/>
    <w:pPr>
      <w:spacing w:after="0"/>
      <w:contextualSpacing/>
    </w:pPr>
    <w:rPr>
      <w:rFonts w:asciiTheme="majorHAnsi" w:hAnsiTheme="majorHAnsi" w:eastAsiaTheme="majorEastAsia" w:cstheme="majorBidi"/>
      <w:sz w:val="56"/>
      <w:szCs w:val="56"/>
    </w:rPr>
  </w:style>
  <w:style w:type="paragraph" w:styleId="Quote">
    <w:name w:val="Quote"/>
    <w:basedOn w:val="Normal"/>
    <w:next w:val="Normal"/>
    <w:link w:val="QuoteChar"/>
    <w:uiPriority w:val="29"/>
    <w:qFormat/>
    <w:rsid w:val="29694989"/>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29694989"/>
    <w:pPr>
      <w:spacing w:before="360" w:after="360"/>
      <w:ind w:left="864" w:right="864"/>
      <w:jc w:val="center"/>
    </w:pPr>
    <w:rPr>
      <w:i/>
      <w:iCs/>
      <w:color w:val="5B9BD5" w:themeColor="accent1"/>
    </w:rPr>
  </w:style>
  <w:style w:type="character" w:styleId="Heading4Char" w:customStyle="1">
    <w:name w:val="Heading 4 Char"/>
    <w:basedOn w:val="DefaultParagraphFont"/>
    <w:link w:val="Heading4"/>
    <w:uiPriority w:val="9"/>
    <w:rsid w:val="29694989"/>
    <w:rPr>
      <w:rFonts w:asciiTheme="majorHAnsi" w:hAnsiTheme="majorHAnsi" w:eastAsiaTheme="majorEastAsia" w:cstheme="majorBidi"/>
      <w:i/>
      <w:iCs/>
      <w:noProof w:val="0"/>
      <w:color w:val="2E74B5" w:themeColor="accent1" w:themeShade="BF"/>
      <w:lang w:val="en-GB"/>
    </w:rPr>
  </w:style>
  <w:style w:type="character" w:styleId="Heading5Char" w:customStyle="1">
    <w:name w:val="Heading 5 Char"/>
    <w:basedOn w:val="DefaultParagraphFont"/>
    <w:link w:val="Heading5"/>
    <w:uiPriority w:val="9"/>
    <w:rsid w:val="29694989"/>
    <w:rPr>
      <w:rFonts w:asciiTheme="majorHAnsi" w:hAnsiTheme="majorHAnsi" w:eastAsiaTheme="majorEastAsia" w:cstheme="majorBidi"/>
      <w:noProof w:val="0"/>
      <w:color w:val="2E74B5" w:themeColor="accent1" w:themeShade="BF"/>
      <w:lang w:val="en-GB"/>
    </w:rPr>
  </w:style>
  <w:style w:type="character" w:styleId="Heading6Char" w:customStyle="1">
    <w:name w:val="Heading 6 Char"/>
    <w:basedOn w:val="DefaultParagraphFont"/>
    <w:link w:val="Heading6"/>
    <w:uiPriority w:val="9"/>
    <w:rsid w:val="29694989"/>
    <w:rPr>
      <w:rFonts w:asciiTheme="majorHAnsi" w:hAnsiTheme="majorHAnsi" w:eastAsiaTheme="majorEastAsia" w:cstheme="majorBidi"/>
      <w:noProof w:val="0"/>
      <w:color w:val="1F4D78"/>
      <w:lang w:val="en-GB"/>
    </w:rPr>
  </w:style>
  <w:style w:type="character" w:styleId="Heading7Char" w:customStyle="1">
    <w:name w:val="Heading 7 Char"/>
    <w:basedOn w:val="DefaultParagraphFont"/>
    <w:link w:val="Heading7"/>
    <w:uiPriority w:val="9"/>
    <w:rsid w:val="29694989"/>
    <w:rPr>
      <w:rFonts w:asciiTheme="majorHAnsi" w:hAnsiTheme="majorHAnsi" w:eastAsiaTheme="majorEastAsia" w:cstheme="majorBidi"/>
      <w:i/>
      <w:iCs/>
      <w:noProof w:val="0"/>
      <w:color w:val="1F4D78"/>
      <w:lang w:val="en-GB"/>
    </w:rPr>
  </w:style>
  <w:style w:type="character" w:styleId="Heading8Char" w:customStyle="1">
    <w:name w:val="Heading 8 Char"/>
    <w:basedOn w:val="DefaultParagraphFont"/>
    <w:link w:val="Heading8"/>
    <w:uiPriority w:val="9"/>
    <w:rsid w:val="29694989"/>
    <w:rPr>
      <w:rFonts w:asciiTheme="majorHAnsi" w:hAnsiTheme="majorHAnsi" w:eastAsiaTheme="majorEastAsia" w:cstheme="majorBidi"/>
      <w:noProof w:val="0"/>
      <w:color w:val="272727"/>
      <w:sz w:val="21"/>
      <w:szCs w:val="21"/>
      <w:lang w:val="en-GB"/>
    </w:rPr>
  </w:style>
  <w:style w:type="character" w:styleId="Heading9Char" w:customStyle="1">
    <w:name w:val="Heading 9 Char"/>
    <w:basedOn w:val="DefaultParagraphFont"/>
    <w:link w:val="Heading9"/>
    <w:uiPriority w:val="9"/>
    <w:rsid w:val="29694989"/>
    <w:rPr>
      <w:rFonts w:asciiTheme="majorHAnsi" w:hAnsiTheme="majorHAnsi" w:eastAsiaTheme="majorEastAsia" w:cstheme="majorBidi"/>
      <w:i/>
      <w:iCs/>
      <w:noProof w:val="0"/>
      <w:color w:val="272727"/>
      <w:sz w:val="21"/>
      <w:szCs w:val="21"/>
      <w:lang w:val="en-GB"/>
    </w:rPr>
  </w:style>
  <w:style w:type="character" w:styleId="TitleChar" w:customStyle="1">
    <w:name w:val="Title Char"/>
    <w:basedOn w:val="DefaultParagraphFont"/>
    <w:link w:val="Title"/>
    <w:uiPriority w:val="10"/>
    <w:rsid w:val="29694989"/>
    <w:rPr>
      <w:rFonts w:asciiTheme="majorHAnsi" w:hAnsiTheme="majorHAnsi" w:eastAsiaTheme="majorEastAsia" w:cstheme="majorBidi"/>
      <w:noProof w:val="0"/>
      <w:sz w:val="56"/>
      <w:szCs w:val="56"/>
      <w:lang w:val="en-GB"/>
    </w:rPr>
  </w:style>
  <w:style w:type="character" w:styleId="QuoteChar" w:customStyle="1">
    <w:name w:val="Quote Char"/>
    <w:basedOn w:val="DefaultParagraphFont"/>
    <w:link w:val="Quote"/>
    <w:uiPriority w:val="29"/>
    <w:rsid w:val="29694989"/>
    <w:rPr>
      <w:i/>
      <w:iCs/>
      <w:noProof w:val="0"/>
      <w:color w:val="404040" w:themeColor="text1" w:themeTint="BF"/>
      <w:lang w:val="en-GB"/>
    </w:rPr>
  </w:style>
  <w:style w:type="character" w:styleId="IntenseQuoteChar" w:customStyle="1">
    <w:name w:val="Intense Quote Char"/>
    <w:basedOn w:val="DefaultParagraphFont"/>
    <w:link w:val="IntenseQuote"/>
    <w:uiPriority w:val="30"/>
    <w:rsid w:val="29694989"/>
    <w:rPr>
      <w:i/>
      <w:iCs/>
      <w:noProof w:val="0"/>
      <w:color w:val="5B9BD5" w:themeColor="accent1"/>
      <w:lang w:val="en-GB"/>
    </w:rPr>
  </w:style>
  <w:style w:type="paragraph" w:styleId="TOC1">
    <w:name w:val="toc 1"/>
    <w:basedOn w:val="Normal"/>
    <w:next w:val="Normal"/>
    <w:uiPriority w:val="39"/>
    <w:unhideWhenUsed/>
    <w:rsid w:val="29694989"/>
    <w:pPr>
      <w:spacing w:after="100"/>
    </w:pPr>
  </w:style>
  <w:style w:type="paragraph" w:styleId="TOC2">
    <w:name w:val="toc 2"/>
    <w:basedOn w:val="Normal"/>
    <w:next w:val="Normal"/>
    <w:uiPriority w:val="39"/>
    <w:unhideWhenUsed/>
    <w:rsid w:val="29694989"/>
    <w:pPr>
      <w:spacing w:after="100"/>
      <w:ind w:left="220"/>
    </w:pPr>
  </w:style>
  <w:style w:type="paragraph" w:styleId="TOC3">
    <w:name w:val="toc 3"/>
    <w:basedOn w:val="Normal"/>
    <w:next w:val="Normal"/>
    <w:uiPriority w:val="39"/>
    <w:unhideWhenUsed/>
    <w:rsid w:val="29694989"/>
    <w:pPr>
      <w:spacing w:after="100"/>
      <w:ind w:left="440"/>
    </w:pPr>
  </w:style>
  <w:style w:type="paragraph" w:styleId="TOC4">
    <w:name w:val="toc 4"/>
    <w:basedOn w:val="Normal"/>
    <w:next w:val="Normal"/>
    <w:uiPriority w:val="39"/>
    <w:unhideWhenUsed/>
    <w:rsid w:val="29694989"/>
    <w:pPr>
      <w:spacing w:after="100"/>
      <w:ind w:left="660"/>
    </w:pPr>
  </w:style>
  <w:style w:type="paragraph" w:styleId="TOC5">
    <w:name w:val="toc 5"/>
    <w:basedOn w:val="Normal"/>
    <w:next w:val="Normal"/>
    <w:uiPriority w:val="39"/>
    <w:unhideWhenUsed/>
    <w:rsid w:val="29694989"/>
    <w:pPr>
      <w:spacing w:after="100"/>
      <w:ind w:left="880"/>
    </w:pPr>
  </w:style>
  <w:style w:type="paragraph" w:styleId="TOC6">
    <w:name w:val="toc 6"/>
    <w:basedOn w:val="Normal"/>
    <w:next w:val="Normal"/>
    <w:uiPriority w:val="39"/>
    <w:unhideWhenUsed/>
    <w:rsid w:val="29694989"/>
    <w:pPr>
      <w:spacing w:after="100"/>
      <w:ind w:left="1100"/>
    </w:pPr>
  </w:style>
  <w:style w:type="paragraph" w:styleId="TOC7">
    <w:name w:val="toc 7"/>
    <w:basedOn w:val="Normal"/>
    <w:next w:val="Normal"/>
    <w:uiPriority w:val="39"/>
    <w:unhideWhenUsed/>
    <w:rsid w:val="29694989"/>
    <w:pPr>
      <w:spacing w:after="100"/>
      <w:ind w:left="1320"/>
    </w:pPr>
  </w:style>
  <w:style w:type="paragraph" w:styleId="TOC8">
    <w:name w:val="toc 8"/>
    <w:basedOn w:val="Normal"/>
    <w:next w:val="Normal"/>
    <w:uiPriority w:val="39"/>
    <w:unhideWhenUsed/>
    <w:rsid w:val="29694989"/>
    <w:pPr>
      <w:spacing w:after="100"/>
      <w:ind w:left="1540"/>
    </w:pPr>
  </w:style>
  <w:style w:type="paragraph" w:styleId="TOC9">
    <w:name w:val="toc 9"/>
    <w:basedOn w:val="Normal"/>
    <w:next w:val="Normal"/>
    <w:uiPriority w:val="39"/>
    <w:unhideWhenUsed/>
    <w:rsid w:val="29694989"/>
    <w:pPr>
      <w:spacing w:after="100"/>
      <w:ind w:left="1760"/>
    </w:pPr>
  </w:style>
  <w:style w:type="paragraph" w:styleId="EndnoteText">
    <w:name w:val="endnote text"/>
    <w:basedOn w:val="Normal"/>
    <w:link w:val="EndnoteTextChar"/>
    <w:uiPriority w:val="99"/>
    <w:semiHidden/>
    <w:unhideWhenUsed/>
    <w:rsid w:val="29694989"/>
    <w:pPr>
      <w:spacing w:after="0"/>
    </w:pPr>
    <w:rPr>
      <w:sz w:val="20"/>
      <w:szCs w:val="20"/>
    </w:rPr>
  </w:style>
  <w:style w:type="character" w:styleId="EndnoteTextChar" w:customStyle="1">
    <w:name w:val="Endnote Text Char"/>
    <w:basedOn w:val="DefaultParagraphFont"/>
    <w:link w:val="EndnoteText"/>
    <w:uiPriority w:val="99"/>
    <w:semiHidden/>
    <w:rsid w:val="29694989"/>
    <w:rPr>
      <w:noProof w:val="0"/>
      <w:sz w:val="20"/>
      <w:szCs w:val="20"/>
      <w:lang w:val="en-GB"/>
    </w:rPr>
  </w:style>
  <w:style w:type="paragraph" w:styleId="FootnoteText">
    <w:name w:val="footnote text"/>
    <w:basedOn w:val="Normal"/>
    <w:link w:val="FootnoteTextChar"/>
    <w:uiPriority w:val="99"/>
    <w:semiHidden/>
    <w:unhideWhenUsed/>
    <w:rsid w:val="29694989"/>
    <w:pPr>
      <w:spacing w:after="0"/>
    </w:pPr>
    <w:rPr>
      <w:sz w:val="20"/>
      <w:szCs w:val="20"/>
    </w:rPr>
  </w:style>
  <w:style w:type="character" w:styleId="FootnoteTextChar" w:customStyle="1">
    <w:name w:val="Footnote Text Char"/>
    <w:basedOn w:val="DefaultParagraphFont"/>
    <w:link w:val="FootnoteText"/>
    <w:uiPriority w:val="99"/>
    <w:semiHidden/>
    <w:rsid w:val="29694989"/>
    <w:rPr>
      <w:noProof w:val="0"/>
      <w:sz w:val="20"/>
      <w:szCs w:val="20"/>
      <w:lang w:val="en-GB"/>
    </w:rPr>
  </w:style>
  <w:style w:type="paragraph" w:styleId="pf0" w:customStyle="1">
    <w:name w:val="pf0"/>
    <w:basedOn w:val="Normal"/>
    <w:rsid w:val="00B547B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B547B0"/>
    <w:rPr>
      <w:rFonts w:hint="default" w:ascii="Segoe UI" w:hAnsi="Segoe UI" w:cs="Segoe UI"/>
      <w:sz w:val="18"/>
      <w:szCs w:val="18"/>
    </w:rPr>
  </w:style>
  <w:style w:type="character" w:styleId="LineNumber">
    <w:name w:val="line number"/>
    <w:basedOn w:val="DefaultParagraphFont"/>
    <w:uiPriority w:val="99"/>
    <w:semiHidden/>
    <w:unhideWhenUsed/>
    <w:rsid w:val="005C5A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257034">
      <w:bodyDiv w:val="1"/>
      <w:marLeft w:val="0"/>
      <w:marRight w:val="0"/>
      <w:marTop w:val="0"/>
      <w:marBottom w:val="0"/>
      <w:divBdr>
        <w:top w:val="none" w:sz="0" w:space="0" w:color="auto"/>
        <w:left w:val="none" w:sz="0" w:space="0" w:color="auto"/>
        <w:bottom w:val="none" w:sz="0" w:space="0" w:color="auto"/>
        <w:right w:val="none" w:sz="0" w:space="0" w:color="auto"/>
      </w:divBdr>
      <w:divsChild>
        <w:div w:id="2043285722">
          <w:marLeft w:val="0"/>
          <w:marRight w:val="0"/>
          <w:marTop w:val="0"/>
          <w:marBottom w:val="0"/>
          <w:divBdr>
            <w:top w:val="none" w:sz="0" w:space="0" w:color="auto"/>
            <w:left w:val="none" w:sz="0" w:space="0" w:color="auto"/>
            <w:bottom w:val="none" w:sz="0" w:space="0" w:color="auto"/>
            <w:right w:val="none" w:sz="0" w:space="0" w:color="auto"/>
          </w:divBdr>
          <w:divsChild>
            <w:div w:id="521894987">
              <w:marLeft w:val="0"/>
              <w:marRight w:val="0"/>
              <w:marTop w:val="0"/>
              <w:marBottom w:val="0"/>
              <w:divBdr>
                <w:top w:val="none" w:sz="0" w:space="0" w:color="auto"/>
                <w:left w:val="none" w:sz="0" w:space="0" w:color="auto"/>
                <w:bottom w:val="none" w:sz="0" w:space="0" w:color="auto"/>
                <w:right w:val="none" w:sz="0" w:space="0" w:color="auto"/>
              </w:divBdr>
              <w:divsChild>
                <w:div w:id="1150639425">
                  <w:marLeft w:val="0"/>
                  <w:marRight w:val="0"/>
                  <w:marTop w:val="0"/>
                  <w:marBottom w:val="0"/>
                  <w:divBdr>
                    <w:top w:val="none" w:sz="0" w:space="0" w:color="auto"/>
                    <w:left w:val="none" w:sz="0" w:space="0" w:color="auto"/>
                    <w:bottom w:val="none" w:sz="0" w:space="0" w:color="auto"/>
                    <w:right w:val="none" w:sz="0" w:space="0" w:color="auto"/>
                  </w:divBdr>
                  <w:divsChild>
                    <w:div w:id="49616320">
                      <w:marLeft w:val="0"/>
                      <w:marRight w:val="0"/>
                      <w:marTop w:val="0"/>
                      <w:marBottom w:val="0"/>
                      <w:divBdr>
                        <w:top w:val="none" w:sz="0" w:space="0" w:color="auto"/>
                        <w:left w:val="none" w:sz="0" w:space="0" w:color="auto"/>
                        <w:bottom w:val="none" w:sz="0" w:space="0" w:color="auto"/>
                        <w:right w:val="none" w:sz="0" w:space="0" w:color="auto"/>
                      </w:divBdr>
                      <w:divsChild>
                        <w:div w:id="870923318">
                          <w:marLeft w:val="0"/>
                          <w:marRight w:val="0"/>
                          <w:marTop w:val="0"/>
                          <w:marBottom w:val="0"/>
                          <w:divBdr>
                            <w:top w:val="none" w:sz="0" w:space="0" w:color="auto"/>
                            <w:left w:val="none" w:sz="0" w:space="0" w:color="auto"/>
                            <w:bottom w:val="none" w:sz="0" w:space="0" w:color="auto"/>
                            <w:right w:val="none" w:sz="0" w:space="0" w:color="auto"/>
                          </w:divBdr>
                        </w:div>
                      </w:divsChild>
                    </w:div>
                    <w:div w:id="54622860">
                      <w:marLeft w:val="0"/>
                      <w:marRight w:val="0"/>
                      <w:marTop w:val="0"/>
                      <w:marBottom w:val="0"/>
                      <w:divBdr>
                        <w:top w:val="none" w:sz="0" w:space="0" w:color="auto"/>
                        <w:left w:val="none" w:sz="0" w:space="0" w:color="auto"/>
                        <w:bottom w:val="none" w:sz="0" w:space="0" w:color="auto"/>
                        <w:right w:val="none" w:sz="0" w:space="0" w:color="auto"/>
                      </w:divBdr>
                      <w:divsChild>
                        <w:div w:id="156112924">
                          <w:marLeft w:val="0"/>
                          <w:marRight w:val="0"/>
                          <w:marTop w:val="0"/>
                          <w:marBottom w:val="0"/>
                          <w:divBdr>
                            <w:top w:val="none" w:sz="0" w:space="0" w:color="auto"/>
                            <w:left w:val="none" w:sz="0" w:space="0" w:color="auto"/>
                            <w:bottom w:val="none" w:sz="0" w:space="0" w:color="auto"/>
                            <w:right w:val="none" w:sz="0" w:space="0" w:color="auto"/>
                          </w:divBdr>
                        </w:div>
                      </w:divsChild>
                    </w:div>
                    <w:div w:id="62996036">
                      <w:marLeft w:val="0"/>
                      <w:marRight w:val="0"/>
                      <w:marTop w:val="0"/>
                      <w:marBottom w:val="0"/>
                      <w:divBdr>
                        <w:top w:val="none" w:sz="0" w:space="0" w:color="auto"/>
                        <w:left w:val="none" w:sz="0" w:space="0" w:color="auto"/>
                        <w:bottom w:val="none" w:sz="0" w:space="0" w:color="auto"/>
                        <w:right w:val="none" w:sz="0" w:space="0" w:color="auto"/>
                      </w:divBdr>
                      <w:divsChild>
                        <w:div w:id="1120684808">
                          <w:marLeft w:val="0"/>
                          <w:marRight w:val="0"/>
                          <w:marTop w:val="0"/>
                          <w:marBottom w:val="0"/>
                          <w:divBdr>
                            <w:top w:val="none" w:sz="0" w:space="0" w:color="auto"/>
                            <w:left w:val="none" w:sz="0" w:space="0" w:color="auto"/>
                            <w:bottom w:val="none" w:sz="0" w:space="0" w:color="auto"/>
                            <w:right w:val="none" w:sz="0" w:space="0" w:color="auto"/>
                          </w:divBdr>
                        </w:div>
                      </w:divsChild>
                    </w:div>
                    <w:div w:id="112139115">
                      <w:marLeft w:val="0"/>
                      <w:marRight w:val="0"/>
                      <w:marTop w:val="0"/>
                      <w:marBottom w:val="0"/>
                      <w:divBdr>
                        <w:top w:val="none" w:sz="0" w:space="0" w:color="auto"/>
                        <w:left w:val="none" w:sz="0" w:space="0" w:color="auto"/>
                        <w:bottom w:val="none" w:sz="0" w:space="0" w:color="auto"/>
                        <w:right w:val="none" w:sz="0" w:space="0" w:color="auto"/>
                      </w:divBdr>
                      <w:divsChild>
                        <w:div w:id="199172325">
                          <w:marLeft w:val="0"/>
                          <w:marRight w:val="0"/>
                          <w:marTop w:val="0"/>
                          <w:marBottom w:val="0"/>
                          <w:divBdr>
                            <w:top w:val="none" w:sz="0" w:space="0" w:color="auto"/>
                            <w:left w:val="none" w:sz="0" w:space="0" w:color="auto"/>
                            <w:bottom w:val="none" w:sz="0" w:space="0" w:color="auto"/>
                            <w:right w:val="none" w:sz="0" w:space="0" w:color="auto"/>
                          </w:divBdr>
                        </w:div>
                      </w:divsChild>
                    </w:div>
                    <w:div w:id="113863571">
                      <w:marLeft w:val="0"/>
                      <w:marRight w:val="0"/>
                      <w:marTop w:val="0"/>
                      <w:marBottom w:val="0"/>
                      <w:divBdr>
                        <w:top w:val="none" w:sz="0" w:space="0" w:color="auto"/>
                        <w:left w:val="none" w:sz="0" w:space="0" w:color="auto"/>
                        <w:bottom w:val="none" w:sz="0" w:space="0" w:color="auto"/>
                        <w:right w:val="none" w:sz="0" w:space="0" w:color="auto"/>
                      </w:divBdr>
                      <w:divsChild>
                        <w:div w:id="1742210369">
                          <w:marLeft w:val="0"/>
                          <w:marRight w:val="0"/>
                          <w:marTop w:val="0"/>
                          <w:marBottom w:val="0"/>
                          <w:divBdr>
                            <w:top w:val="none" w:sz="0" w:space="0" w:color="auto"/>
                            <w:left w:val="none" w:sz="0" w:space="0" w:color="auto"/>
                            <w:bottom w:val="none" w:sz="0" w:space="0" w:color="auto"/>
                            <w:right w:val="none" w:sz="0" w:space="0" w:color="auto"/>
                          </w:divBdr>
                        </w:div>
                      </w:divsChild>
                    </w:div>
                    <w:div w:id="144511986">
                      <w:marLeft w:val="0"/>
                      <w:marRight w:val="0"/>
                      <w:marTop w:val="0"/>
                      <w:marBottom w:val="0"/>
                      <w:divBdr>
                        <w:top w:val="none" w:sz="0" w:space="0" w:color="auto"/>
                        <w:left w:val="none" w:sz="0" w:space="0" w:color="auto"/>
                        <w:bottom w:val="none" w:sz="0" w:space="0" w:color="auto"/>
                        <w:right w:val="none" w:sz="0" w:space="0" w:color="auto"/>
                      </w:divBdr>
                      <w:divsChild>
                        <w:div w:id="1548685577">
                          <w:marLeft w:val="0"/>
                          <w:marRight w:val="0"/>
                          <w:marTop w:val="0"/>
                          <w:marBottom w:val="0"/>
                          <w:divBdr>
                            <w:top w:val="none" w:sz="0" w:space="0" w:color="auto"/>
                            <w:left w:val="none" w:sz="0" w:space="0" w:color="auto"/>
                            <w:bottom w:val="none" w:sz="0" w:space="0" w:color="auto"/>
                            <w:right w:val="none" w:sz="0" w:space="0" w:color="auto"/>
                          </w:divBdr>
                        </w:div>
                      </w:divsChild>
                    </w:div>
                    <w:div w:id="157422900">
                      <w:marLeft w:val="0"/>
                      <w:marRight w:val="0"/>
                      <w:marTop w:val="0"/>
                      <w:marBottom w:val="0"/>
                      <w:divBdr>
                        <w:top w:val="none" w:sz="0" w:space="0" w:color="auto"/>
                        <w:left w:val="none" w:sz="0" w:space="0" w:color="auto"/>
                        <w:bottom w:val="none" w:sz="0" w:space="0" w:color="auto"/>
                        <w:right w:val="none" w:sz="0" w:space="0" w:color="auto"/>
                      </w:divBdr>
                      <w:divsChild>
                        <w:div w:id="2024089122">
                          <w:marLeft w:val="0"/>
                          <w:marRight w:val="0"/>
                          <w:marTop w:val="0"/>
                          <w:marBottom w:val="0"/>
                          <w:divBdr>
                            <w:top w:val="none" w:sz="0" w:space="0" w:color="auto"/>
                            <w:left w:val="none" w:sz="0" w:space="0" w:color="auto"/>
                            <w:bottom w:val="none" w:sz="0" w:space="0" w:color="auto"/>
                            <w:right w:val="none" w:sz="0" w:space="0" w:color="auto"/>
                          </w:divBdr>
                        </w:div>
                      </w:divsChild>
                    </w:div>
                    <w:div w:id="175928894">
                      <w:marLeft w:val="0"/>
                      <w:marRight w:val="0"/>
                      <w:marTop w:val="0"/>
                      <w:marBottom w:val="0"/>
                      <w:divBdr>
                        <w:top w:val="none" w:sz="0" w:space="0" w:color="auto"/>
                        <w:left w:val="none" w:sz="0" w:space="0" w:color="auto"/>
                        <w:bottom w:val="none" w:sz="0" w:space="0" w:color="auto"/>
                        <w:right w:val="none" w:sz="0" w:space="0" w:color="auto"/>
                      </w:divBdr>
                      <w:divsChild>
                        <w:div w:id="801046862">
                          <w:marLeft w:val="0"/>
                          <w:marRight w:val="0"/>
                          <w:marTop w:val="0"/>
                          <w:marBottom w:val="0"/>
                          <w:divBdr>
                            <w:top w:val="none" w:sz="0" w:space="0" w:color="auto"/>
                            <w:left w:val="none" w:sz="0" w:space="0" w:color="auto"/>
                            <w:bottom w:val="none" w:sz="0" w:space="0" w:color="auto"/>
                            <w:right w:val="none" w:sz="0" w:space="0" w:color="auto"/>
                          </w:divBdr>
                        </w:div>
                      </w:divsChild>
                    </w:div>
                    <w:div w:id="209610395">
                      <w:marLeft w:val="0"/>
                      <w:marRight w:val="0"/>
                      <w:marTop w:val="0"/>
                      <w:marBottom w:val="0"/>
                      <w:divBdr>
                        <w:top w:val="none" w:sz="0" w:space="0" w:color="auto"/>
                        <w:left w:val="none" w:sz="0" w:space="0" w:color="auto"/>
                        <w:bottom w:val="none" w:sz="0" w:space="0" w:color="auto"/>
                        <w:right w:val="none" w:sz="0" w:space="0" w:color="auto"/>
                      </w:divBdr>
                      <w:divsChild>
                        <w:div w:id="2104717724">
                          <w:marLeft w:val="0"/>
                          <w:marRight w:val="0"/>
                          <w:marTop w:val="0"/>
                          <w:marBottom w:val="0"/>
                          <w:divBdr>
                            <w:top w:val="none" w:sz="0" w:space="0" w:color="auto"/>
                            <w:left w:val="none" w:sz="0" w:space="0" w:color="auto"/>
                            <w:bottom w:val="none" w:sz="0" w:space="0" w:color="auto"/>
                            <w:right w:val="none" w:sz="0" w:space="0" w:color="auto"/>
                          </w:divBdr>
                        </w:div>
                      </w:divsChild>
                    </w:div>
                    <w:div w:id="222446006">
                      <w:marLeft w:val="0"/>
                      <w:marRight w:val="0"/>
                      <w:marTop w:val="0"/>
                      <w:marBottom w:val="0"/>
                      <w:divBdr>
                        <w:top w:val="none" w:sz="0" w:space="0" w:color="auto"/>
                        <w:left w:val="none" w:sz="0" w:space="0" w:color="auto"/>
                        <w:bottom w:val="none" w:sz="0" w:space="0" w:color="auto"/>
                        <w:right w:val="none" w:sz="0" w:space="0" w:color="auto"/>
                      </w:divBdr>
                      <w:divsChild>
                        <w:div w:id="1831829230">
                          <w:marLeft w:val="0"/>
                          <w:marRight w:val="0"/>
                          <w:marTop w:val="0"/>
                          <w:marBottom w:val="0"/>
                          <w:divBdr>
                            <w:top w:val="none" w:sz="0" w:space="0" w:color="auto"/>
                            <w:left w:val="none" w:sz="0" w:space="0" w:color="auto"/>
                            <w:bottom w:val="none" w:sz="0" w:space="0" w:color="auto"/>
                            <w:right w:val="none" w:sz="0" w:space="0" w:color="auto"/>
                          </w:divBdr>
                        </w:div>
                      </w:divsChild>
                    </w:div>
                    <w:div w:id="230580970">
                      <w:marLeft w:val="0"/>
                      <w:marRight w:val="0"/>
                      <w:marTop w:val="0"/>
                      <w:marBottom w:val="0"/>
                      <w:divBdr>
                        <w:top w:val="none" w:sz="0" w:space="0" w:color="auto"/>
                        <w:left w:val="none" w:sz="0" w:space="0" w:color="auto"/>
                        <w:bottom w:val="none" w:sz="0" w:space="0" w:color="auto"/>
                        <w:right w:val="none" w:sz="0" w:space="0" w:color="auto"/>
                      </w:divBdr>
                      <w:divsChild>
                        <w:div w:id="304046260">
                          <w:marLeft w:val="0"/>
                          <w:marRight w:val="0"/>
                          <w:marTop w:val="0"/>
                          <w:marBottom w:val="0"/>
                          <w:divBdr>
                            <w:top w:val="none" w:sz="0" w:space="0" w:color="auto"/>
                            <w:left w:val="none" w:sz="0" w:space="0" w:color="auto"/>
                            <w:bottom w:val="none" w:sz="0" w:space="0" w:color="auto"/>
                            <w:right w:val="none" w:sz="0" w:space="0" w:color="auto"/>
                          </w:divBdr>
                        </w:div>
                      </w:divsChild>
                    </w:div>
                    <w:div w:id="233010868">
                      <w:marLeft w:val="0"/>
                      <w:marRight w:val="0"/>
                      <w:marTop w:val="0"/>
                      <w:marBottom w:val="0"/>
                      <w:divBdr>
                        <w:top w:val="none" w:sz="0" w:space="0" w:color="auto"/>
                        <w:left w:val="none" w:sz="0" w:space="0" w:color="auto"/>
                        <w:bottom w:val="none" w:sz="0" w:space="0" w:color="auto"/>
                        <w:right w:val="none" w:sz="0" w:space="0" w:color="auto"/>
                      </w:divBdr>
                      <w:divsChild>
                        <w:div w:id="1255360154">
                          <w:marLeft w:val="0"/>
                          <w:marRight w:val="0"/>
                          <w:marTop w:val="0"/>
                          <w:marBottom w:val="0"/>
                          <w:divBdr>
                            <w:top w:val="none" w:sz="0" w:space="0" w:color="auto"/>
                            <w:left w:val="none" w:sz="0" w:space="0" w:color="auto"/>
                            <w:bottom w:val="none" w:sz="0" w:space="0" w:color="auto"/>
                            <w:right w:val="none" w:sz="0" w:space="0" w:color="auto"/>
                          </w:divBdr>
                        </w:div>
                      </w:divsChild>
                    </w:div>
                    <w:div w:id="237793853">
                      <w:marLeft w:val="0"/>
                      <w:marRight w:val="0"/>
                      <w:marTop w:val="0"/>
                      <w:marBottom w:val="0"/>
                      <w:divBdr>
                        <w:top w:val="none" w:sz="0" w:space="0" w:color="auto"/>
                        <w:left w:val="none" w:sz="0" w:space="0" w:color="auto"/>
                        <w:bottom w:val="none" w:sz="0" w:space="0" w:color="auto"/>
                        <w:right w:val="none" w:sz="0" w:space="0" w:color="auto"/>
                      </w:divBdr>
                      <w:divsChild>
                        <w:div w:id="1153254935">
                          <w:marLeft w:val="0"/>
                          <w:marRight w:val="0"/>
                          <w:marTop w:val="0"/>
                          <w:marBottom w:val="0"/>
                          <w:divBdr>
                            <w:top w:val="none" w:sz="0" w:space="0" w:color="auto"/>
                            <w:left w:val="none" w:sz="0" w:space="0" w:color="auto"/>
                            <w:bottom w:val="none" w:sz="0" w:space="0" w:color="auto"/>
                            <w:right w:val="none" w:sz="0" w:space="0" w:color="auto"/>
                          </w:divBdr>
                        </w:div>
                      </w:divsChild>
                    </w:div>
                    <w:div w:id="240138863">
                      <w:marLeft w:val="0"/>
                      <w:marRight w:val="0"/>
                      <w:marTop w:val="0"/>
                      <w:marBottom w:val="0"/>
                      <w:divBdr>
                        <w:top w:val="none" w:sz="0" w:space="0" w:color="auto"/>
                        <w:left w:val="none" w:sz="0" w:space="0" w:color="auto"/>
                        <w:bottom w:val="none" w:sz="0" w:space="0" w:color="auto"/>
                        <w:right w:val="none" w:sz="0" w:space="0" w:color="auto"/>
                      </w:divBdr>
                      <w:divsChild>
                        <w:div w:id="523714475">
                          <w:marLeft w:val="0"/>
                          <w:marRight w:val="0"/>
                          <w:marTop w:val="0"/>
                          <w:marBottom w:val="0"/>
                          <w:divBdr>
                            <w:top w:val="none" w:sz="0" w:space="0" w:color="auto"/>
                            <w:left w:val="none" w:sz="0" w:space="0" w:color="auto"/>
                            <w:bottom w:val="none" w:sz="0" w:space="0" w:color="auto"/>
                            <w:right w:val="none" w:sz="0" w:space="0" w:color="auto"/>
                          </w:divBdr>
                        </w:div>
                      </w:divsChild>
                    </w:div>
                    <w:div w:id="240219435">
                      <w:marLeft w:val="0"/>
                      <w:marRight w:val="0"/>
                      <w:marTop w:val="0"/>
                      <w:marBottom w:val="0"/>
                      <w:divBdr>
                        <w:top w:val="none" w:sz="0" w:space="0" w:color="auto"/>
                        <w:left w:val="none" w:sz="0" w:space="0" w:color="auto"/>
                        <w:bottom w:val="none" w:sz="0" w:space="0" w:color="auto"/>
                        <w:right w:val="none" w:sz="0" w:space="0" w:color="auto"/>
                      </w:divBdr>
                      <w:divsChild>
                        <w:div w:id="2079356713">
                          <w:marLeft w:val="0"/>
                          <w:marRight w:val="0"/>
                          <w:marTop w:val="0"/>
                          <w:marBottom w:val="0"/>
                          <w:divBdr>
                            <w:top w:val="none" w:sz="0" w:space="0" w:color="auto"/>
                            <w:left w:val="none" w:sz="0" w:space="0" w:color="auto"/>
                            <w:bottom w:val="none" w:sz="0" w:space="0" w:color="auto"/>
                            <w:right w:val="none" w:sz="0" w:space="0" w:color="auto"/>
                          </w:divBdr>
                        </w:div>
                      </w:divsChild>
                    </w:div>
                    <w:div w:id="261108016">
                      <w:marLeft w:val="0"/>
                      <w:marRight w:val="0"/>
                      <w:marTop w:val="0"/>
                      <w:marBottom w:val="0"/>
                      <w:divBdr>
                        <w:top w:val="none" w:sz="0" w:space="0" w:color="auto"/>
                        <w:left w:val="none" w:sz="0" w:space="0" w:color="auto"/>
                        <w:bottom w:val="none" w:sz="0" w:space="0" w:color="auto"/>
                        <w:right w:val="none" w:sz="0" w:space="0" w:color="auto"/>
                      </w:divBdr>
                      <w:divsChild>
                        <w:div w:id="1040587248">
                          <w:marLeft w:val="0"/>
                          <w:marRight w:val="0"/>
                          <w:marTop w:val="0"/>
                          <w:marBottom w:val="0"/>
                          <w:divBdr>
                            <w:top w:val="none" w:sz="0" w:space="0" w:color="auto"/>
                            <w:left w:val="none" w:sz="0" w:space="0" w:color="auto"/>
                            <w:bottom w:val="none" w:sz="0" w:space="0" w:color="auto"/>
                            <w:right w:val="none" w:sz="0" w:space="0" w:color="auto"/>
                          </w:divBdr>
                        </w:div>
                      </w:divsChild>
                    </w:div>
                    <w:div w:id="265773563">
                      <w:marLeft w:val="0"/>
                      <w:marRight w:val="0"/>
                      <w:marTop w:val="0"/>
                      <w:marBottom w:val="0"/>
                      <w:divBdr>
                        <w:top w:val="none" w:sz="0" w:space="0" w:color="auto"/>
                        <w:left w:val="none" w:sz="0" w:space="0" w:color="auto"/>
                        <w:bottom w:val="none" w:sz="0" w:space="0" w:color="auto"/>
                        <w:right w:val="none" w:sz="0" w:space="0" w:color="auto"/>
                      </w:divBdr>
                      <w:divsChild>
                        <w:div w:id="1003782133">
                          <w:marLeft w:val="0"/>
                          <w:marRight w:val="0"/>
                          <w:marTop w:val="0"/>
                          <w:marBottom w:val="0"/>
                          <w:divBdr>
                            <w:top w:val="none" w:sz="0" w:space="0" w:color="auto"/>
                            <w:left w:val="none" w:sz="0" w:space="0" w:color="auto"/>
                            <w:bottom w:val="none" w:sz="0" w:space="0" w:color="auto"/>
                            <w:right w:val="none" w:sz="0" w:space="0" w:color="auto"/>
                          </w:divBdr>
                        </w:div>
                      </w:divsChild>
                    </w:div>
                    <w:div w:id="279458209">
                      <w:marLeft w:val="0"/>
                      <w:marRight w:val="0"/>
                      <w:marTop w:val="0"/>
                      <w:marBottom w:val="0"/>
                      <w:divBdr>
                        <w:top w:val="none" w:sz="0" w:space="0" w:color="auto"/>
                        <w:left w:val="none" w:sz="0" w:space="0" w:color="auto"/>
                        <w:bottom w:val="none" w:sz="0" w:space="0" w:color="auto"/>
                        <w:right w:val="none" w:sz="0" w:space="0" w:color="auto"/>
                      </w:divBdr>
                      <w:divsChild>
                        <w:div w:id="945382024">
                          <w:marLeft w:val="0"/>
                          <w:marRight w:val="0"/>
                          <w:marTop w:val="0"/>
                          <w:marBottom w:val="0"/>
                          <w:divBdr>
                            <w:top w:val="none" w:sz="0" w:space="0" w:color="auto"/>
                            <w:left w:val="none" w:sz="0" w:space="0" w:color="auto"/>
                            <w:bottom w:val="none" w:sz="0" w:space="0" w:color="auto"/>
                            <w:right w:val="none" w:sz="0" w:space="0" w:color="auto"/>
                          </w:divBdr>
                        </w:div>
                      </w:divsChild>
                    </w:div>
                    <w:div w:id="284774094">
                      <w:marLeft w:val="0"/>
                      <w:marRight w:val="0"/>
                      <w:marTop w:val="0"/>
                      <w:marBottom w:val="0"/>
                      <w:divBdr>
                        <w:top w:val="none" w:sz="0" w:space="0" w:color="auto"/>
                        <w:left w:val="none" w:sz="0" w:space="0" w:color="auto"/>
                        <w:bottom w:val="none" w:sz="0" w:space="0" w:color="auto"/>
                        <w:right w:val="none" w:sz="0" w:space="0" w:color="auto"/>
                      </w:divBdr>
                      <w:divsChild>
                        <w:div w:id="642079747">
                          <w:marLeft w:val="0"/>
                          <w:marRight w:val="0"/>
                          <w:marTop w:val="0"/>
                          <w:marBottom w:val="0"/>
                          <w:divBdr>
                            <w:top w:val="none" w:sz="0" w:space="0" w:color="auto"/>
                            <w:left w:val="none" w:sz="0" w:space="0" w:color="auto"/>
                            <w:bottom w:val="none" w:sz="0" w:space="0" w:color="auto"/>
                            <w:right w:val="none" w:sz="0" w:space="0" w:color="auto"/>
                          </w:divBdr>
                        </w:div>
                      </w:divsChild>
                    </w:div>
                    <w:div w:id="285501600">
                      <w:marLeft w:val="0"/>
                      <w:marRight w:val="0"/>
                      <w:marTop w:val="0"/>
                      <w:marBottom w:val="0"/>
                      <w:divBdr>
                        <w:top w:val="none" w:sz="0" w:space="0" w:color="auto"/>
                        <w:left w:val="none" w:sz="0" w:space="0" w:color="auto"/>
                        <w:bottom w:val="none" w:sz="0" w:space="0" w:color="auto"/>
                        <w:right w:val="none" w:sz="0" w:space="0" w:color="auto"/>
                      </w:divBdr>
                      <w:divsChild>
                        <w:div w:id="239293359">
                          <w:marLeft w:val="0"/>
                          <w:marRight w:val="0"/>
                          <w:marTop w:val="0"/>
                          <w:marBottom w:val="0"/>
                          <w:divBdr>
                            <w:top w:val="none" w:sz="0" w:space="0" w:color="auto"/>
                            <w:left w:val="none" w:sz="0" w:space="0" w:color="auto"/>
                            <w:bottom w:val="none" w:sz="0" w:space="0" w:color="auto"/>
                            <w:right w:val="none" w:sz="0" w:space="0" w:color="auto"/>
                          </w:divBdr>
                        </w:div>
                      </w:divsChild>
                    </w:div>
                    <w:div w:id="288438443">
                      <w:marLeft w:val="0"/>
                      <w:marRight w:val="0"/>
                      <w:marTop w:val="0"/>
                      <w:marBottom w:val="0"/>
                      <w:divBdr>
                        <w:top w:val="none" w:sz="0" w:space="0" w:color="auto"/>
                        <w:left w:val="none" w:sz="0" w:space="0" w:color="auto"/>
                        <w:bottom w:val="none" w:sz="0" w:space="0" w:color="auto"/>
                        <w:right w:val="none" w:sz="0" w:space="0" w:color="auto"/>
                      </w:divBdr>
                      <w:divsChild>
                        <w:div w:id="960889820">
                          <w:marLeft w:val="0"/>
                          <w:marRight w:val="0"/>
                          <w:marTop w:val="0"/>
                          <w:marBottom w:val="0"/>
                          <w:divBdr>
                            <w:top w:val="none" w:sz="0" w:space="0" w:color="auto"/>
                            <w:left w:val="none" w:sz="0" w:space="0" w:color="auto"/>
                            <w:bottom w:val="none" w:sz="0" w:space="0" w:color="auto"/>
                            <w:right w:val="none" w:sz="0" w:space="0" w:color="auto"/>
                          </w:divBdr>
                        </w:div>
                      </w:divsChild>
                    </w:div>
                    <w:div w:id="297998378">
                      <w:marLeft w:val="0"/>
                      <w:marRight w:val="0"/>
                      <w:marTop w:val="0"/>
                      <w:marBottom w:val="0"/>
                      <w:divBdr>
                        <w:top w:val="none" w:sz="0" w:space="0" w:color="auto"/>
                        <w:left w:val="none" w:sz="0" w:space="0" w:color="auto"/>
                        <w:bottom w:val="none" w:sz="0" w:space="0" w:color="auto"/>
                        <w:right w:val="none" w:sz="0" w:space="0" w:color="auto"/>
                      </w:divBdr>
                      <w:divsChild>
                        <w:div w:id="1937210227">
                          <w:marLeft w:val="0"/>
                          <w:marRight w:val="0"/>
                          <w:marTop w:val="0"/>
                          <w:marBottom w:val="0"/>
                          <w:divBdr>
                            <w:top w:val="none" w:sz="0" w:space="0" w:color="auto"/>
                            <w:left w:val="none" w:sz="0" w:space="0" w:color="auto"/>
                            <w:bottom w:val="none" w:sz="0" w:space="0" w:color="auto"/>
                            <w:right w:val="none" w:sz="0" w:space="0" w:color="auto"/>
                          </w:divBdr>
                        </w:div>
                      </w:divsChild>
                    </w:div>
                    <w:div w:id="323557779">
                      <w:marLeft w:val="0"/>
                      <w:marRight w:val="0"/>
                      <w:marTop w:val="0"/>
                      <w:marBottom w:val="0"/>
                      <w:divBdr>
                        <w:top w:val="none" w:sz="0" w:space="0" w:color="auto"/>
                        <w:left w:val="none" w:sz="0" w:space="0" w:color="auto"/>
                        <w:bottom w:val="none" w:sz="0" w:space="0" w:color="auto"/>
                        <w:right w:val="none" w:sz="0" w:space="0" w:color="auto"/>
                      </w:divBdr>
                      <w:divsChild>
                        <w:div w:id="2102871696">
                          <w:marLeft w:val="0"/>
                          <w:marRight w:val="0"/>
                          <w:marTop w:val="0"/>
                          <w:marBottom w:val="0"/>
                          <w:divBdr>
                            <w:top w:val="none" w:sz="0" w:space="0" w:color="auto"/>
                            <w:left w:val="none" w:sz="0" w:space="0" w:color="auto"/>
                            <w:bottom w:val="none" w:sz="0" w:space="0" w:color="auto"/>
                            <w:right w:val="none" w:sz="0" w:space="0" w:color="auto"/>
                          </w:divBdr>
                        </w:div>
                      </w:divsChild>
                    </w:div>
                    <w:div w:id="330374700">
                      <w:marLeft w:val="0"/>
                      <w:marRight w:val="0"/>
                      <w:marTop w:val="0"/>
                      <w:marBottom w:val="0"/>
                      <w:divBdr>
                        <w:top w:val="none" w:sz="0" w:space="0" w:color="auto"/>
                        <w:left w:val="none" w:sz="0" w:space="0" w:color="auto"/>
                        <w:bottom w:val="none" w:sz="0" w:space="0" w:color="auto"/>
                        <w:right w:val="none" w:sz="0" w:space="0" w:color="auto"/>
                      </w:divBdr>
                      <w:divsChild>
                        <w:div w:id="1225407459">
                          <w:marLeft w:val="0"/>
                          <w:marRight w:val="0"/>
                          <w:marTop w:val="0"/>
                          <w:marBottom w:val="0"/>
                          <w:divBdr>
                            <w:top w:val="none" w:sz="0" w:space="0" w:color="auto"/>
                            <w:left w:val="none" w:sz="0" w:space="0" w:color="auto"/>
                            <w:bottom w:val="none" w:sz="0" w:space="0" w:color="auto"/>
                            <w:right w:val="none" w:sz="0" w:space="0" w:color="auto"/>
                          </w:divBdr>
                        </w:div>
                      </w:divsChild>
                    </w:div>
                    <w:div w:id="341710218">
                      <w:marLeft w:val="0"/>
                      <w:marRight w:val="0"/>
                      <w:marTop w:val="0"/>
                      <w:marBottom w:val="0"/>
                      <w:divBdr>
                        <w:top w:val="none" w:sz="0" w:space="0" w:color="auto"/>
                        <w:left w:val="none" w:sz="0" w:space="0" w:color="auto"/>
                        <w:bottom w:val="none" w:sz="0" w:space="0" w:color="auto"/>
                        <w:right w:val="none" w:sz="0" w:space="0" w:color="auto"/>
                      </w:divBdr>
                      <w:divsChild>
                        <w:div w:id="2057466201">
                          <w:marLeft w:val="0"/>
                          <w:marRight w:val="0"/>
                          <w:marTop w:val="0"/>
                          <w:marBottom w:val="0"/>
                          <w:divBdr>
                            <w:top w:val="none" w:sz="0" w:space="0" w:color="auto"/>
                            <w:left w:val="none" w:sz="0" w:space="0" w:color="auto"/>
                            <w:bottom w:val="none" w:sz="0" w:space="0" w:color="auto"/>
                            <w:right w:val="none" w:sz="0" w:space="0" w:color="auto"/>
                          </w:divBdr>
                        </w:div>
                      </w:divsChild>
                    </w:div>
                    <w:div w:id="342441784">
                      <w:marLeft w:val="0"/>
                      <w:marRight w:val="0"/>
                      <w:marTop w:val="0"/>
                      <w:marBottom w:val="0"/>
                      <w:divBdr>
                        <w:top w:val="none" w:sz="0" w:space="0" w:color="auto"/>
                        <w:left w:val="none" w:sz="0" w:space="0" w:color="auto"/>
                        <w:bottom w:val="none" w:sz="0" w:space="0" w:color="auto"/>
                        <w:right w:val="none" w:sz="0" w:space="0" w:color="auto"/>
                      </w:divBdr>
                      <w:divsChild>
                        <w:div w:id="1666784028">
                          <w:marLeft w:val="0"/>
                          <w:marRight w:val="0"/>
                          <w:marTop w:val="0"/>
                          <w:marBottom w:val="0"/>
                          <w:divBdr>
                            <w:top w:val="none" w:sz="0" w:space="0" w:color="auto"/>
                            <w:left w:val="none" w:sz="0" w:space="0" w:color="auto"/>
                            <w:bottom w:val="none" w:sz="0" w:space="0" w:color="auto"/>
                            <w:right w:val="none" w:sz="0" w:space="0" w:color="auto"/>
                          </w:divBdr>
                        </w:div>
                      </w:divsChild>
                    </w:div>
                    <w:div w:id="363483566">
                      <w:marLeft w:val="0"/>
                      <w:marRight w:val="0"/>
                      <w:marTop w:val="0"/>
                      <w:marBottom w:val="0"/>
                      <w:divBdr>
                        <w:top w:val="none" w:sz="0" w:space="0" w:color="auto"/>
                        <w:left w:val="none" w:sz="0" w:space="0" w:color="auto"/>
                        <w:bottom w:val="none" w:sz="0" w:space="0" w:color="auto"/>
                        <w:right w:val="none" w:sz="0" w:space="0" w:color="auto"/>
                      </w:divBdr>
                      <w:divsChild>
                        <w:div w:id="1346591457">
                          <w:marLeft w:val="0"/>
                          <w:marRight w:val="0"/>
                          <w:marTop w:val="0"/>
                          <w:marBottom w:val="0"/>
                          <w:divBdr>
                            <w:top w:val="none" w:sz="0" w:space="0" w:color="auto"/>
                            <w:left w:val="none" w:sz="0" w:space="0" w:color="auto"/>
                            <w:bottom w:val="none" w:sz="0" w:space="0" w:color="auto"/>
                            <w:right w:val="none" w:sz="0" w:space="0" w:color="auto"/>
                          </w:divBdr>
                        </w:div>
                      </w:divsChild>
                    </w:div>
                    <w:div w:id="390233305">
                      <w:marLeft w:val="0"/>
                      <w:marRight w:val="0"/>
                      <w:marTop w:val="0"/>
                      <w:marBottom w:val="0"/>
                      <w:divBdr>
                        <w:top w:val="none" w:sz="0" w:space="0" w:color="auto"/>
                        <w:left w:val="none" w:sz="0" w:space="0" w:color="auto"/>
                        <w:bottom w:val="none" w:sz="0" w:space="0" w:color="auto"/>
                        <w:right w:val="none" w:sz="0" w:space="0" w:color="auto"/>
                      </w:divBdr>
                      <w:divsChild>
                        <w:div w:id="2046175462">
                          <w:marLeft w:val="0"/>
                          <w:marRight w:val="0"/>
                          <w:marTop w:val="0"/>
                          <w:marBottom w:val="0"/>
                          <w:divBdr>
                            <w:top w:val="none" w:sz="0" w:space="0" w:color="auto"/>
                            <w:left w:val="none" w:sz="0" w:space="0" w:color="auto"/>
                            <w:bottom w:val="none" w:sz="0" w:space="0" w:color="auto"/>
                            <w:right w:val="none" w:sz="0" w:space="0" w:color="auto"/>
                          </w:divBdr>
                        </w:div>
                      </w:divsChild>
                    </w:div>
                    <w:div w:id="400180409">
                      <w:marLeft w:val="0"/>
                      <w:marRight w:val="0"/>
                      <w:marTop w:val="0"/>
                      <w:marBottom w:val="0"/>
                      <w:divBdr>
                        <w:top w:val="none" w:sz="0" w:space="0" w:color="auto"/>
                        <w:left w:val="none" w:sz="0" w:space="0" w:color="auto"/>
                        <w:bottom w:val="none" w:sz="0" w:space="0" w:color="auto"/>
                        <w:right w:val="none" w:sz="0" w:space="0" w:color="auto"/>
                      </w:divBdr>
                      <w:divsChild>
                        <w:div w:id="660694584">
                          <w:marLeft w:val="0"/>
                          <w:marRight w:val="0"/>
                          <w:marTop w:val="0"/>
                          <w:marBottom w:val="0"/>
                          <w:divBdr>
                            <w:top w:val="none" w:sz="0" w:space="0" w:color="auto"/>
                            <w:left w:val="none" w:sz="0" w:space="0" w:color="auto"/>
                            <w:bottom w:val="none" w:sz="0" w:space="0" w:color="auto"/>
                            <w:right w:val="none" w:sz="0" w:space="0" w:color="auto"/>
                          </w:divBdr>
                        </w:div>
                      </w:divsChild>
                    </w:div>
                    <w:div w:id="404422862">
                      <w:marLeft w:val="0"/>
                      <w:marRight w:val="0"/>
                      <w:marTop w:val="0"/>
                      <w:marBottom w:val="0"/>
                      <w:divBdr>
                        <w:top w:val="none" w:sz="0" w:space="0" w:color="auto"/>
                        <w:left w:val="none" w:sz="0" w:space="0" w:color="auto"/>
                        <w:bottom w:val="none" w:sz="0" w:space="0" w:color="auto"/>
                        <w:right w:val="none" w:sz="0" w:space="0" w:color="auto"/>
                      </w:divBdr>
                      <w:divsChild>
                        <w:div w:id="912352650">
                          <w:marLeft w:val="0"/>
                          <w:marRight w:val="0"/>
                          <w:marTop w:val="0"/>
                          <w:marBottom w:val="0"/>
                          <w:divBdr>
                            <w:top w:val="none" w:sz="0" w:space="0" w:color="auto"/>
                            <w:left w:val="none" w:sz="0" w:space="0" w:color="auto"/>
                            <w:bottom w:val="none" w:sz="0" w:space="0" w:color="auto"/>
                            <w:right w:val="none" w:sz="0" w:space="0" w:color="auto"/>
                          </w:divBdr>
                        </w:div>
                      </w:divsChild>
                    </w:div>
                    <w:div w:id="417823268">
                      <w:marLeft w:val="0"/>
                      <w:marRight w:val="0"/>
                      <w:marTop w:val="0"/>
                      <w:marBottom w:val="0"/>
                      <w:divBdr>
                        <w:top w:val="none" w:sz="0" w:space="0" w:color="auto"/>
                        <w:left w:val="none" w:sz="0" w:space="0" w:color="auto"/>
                        <w:bottom w:val="none" w:sz="0" w:space="0" w:color="auto"/>
                        <w:right w:val="none" w:sz="0" w:space="0" w:color="auto"/>
                      </w:divBdr>
                      <w:divsChild>
                        <w:div w:id="664623644">
                          <w:marLeft w:val="0"/>
                          <w:marRight w:val="0"/>
                          <w:marTop w:val="0"/>
                          <w:marBottom w:val="0"/>
                          <w:divBdr>
                            <w:top w:val="none" w:sz="0" w:space="0" w:color="auto"/>
                            <w:left w:val="none" w:sz="0" w:space="0" w:color="auto"/>
                            <w:bottom w:val="none" w:sz="0" w:space="0" w:color="auto"/>
                            <w:right w:val="none" w:sz="0" w:space="0" w:color="auto"/>
                          </w:divBdr>
                        </w:div>
                      </w:divsChild>
                    </w:div>
                    <w:div w:id="427624281">
                      <w:marLeft w:val="0"/>
                      <w:marRight w:val="0"/>
                      <w:marTop w:val="0"/>
                      <w:marBottom w:val="0"/>
                      <w:divBdr>
                        <w:top w:val="none" w:sz="0" w:space="0" w:color="auto"/>
                        <w:left w:val="none" w:sz="0" w:space="0" w:color="auto"/>
                        <w:bottom w:val="none" w:sz="0" w:space="0" w:color="auto"/>
                        <w:right w:val="none" w:sz="0" w:space="0" w:color="auto"/>
                      </w:divBdr>
                      <w:divsChild>
                        <w:div w:id="2101176154">
                          <w:marLeft w:val="0"/>
                          <w:marRight w:val="0"/>
                          <w:marTop w:val="0"/>
                          <w:marBottom w:val="0"/>
                          <w:divBdr>
                            <w:top w:val="none" w:sz="0" w:space="0" w:color="auto"/>
                            <w:left w:val="none" w:sz="0" w:space="0" w:color="auto"/>
                            <w:bottom w:val="none" w:sz="0" w:space="0" w:color="auto"/>
                            <w:right w:val="none" w:sz="0" w:space="0" w:color="auto"/>
                          </w:divBdr>
                        </w:div>
                      </w:divsChild>
                    </w:div>
                    <w:div w:id="429204706">
                      <w:marLeft w:val="0"/>
                      <w:marRight w:val="0"/>
                      <w:marTop w:val="0"/>
                      <w:marBottom w:val="0"/>
                      <w:divBdr>
                        <w:top w:val="none" w:sz="0" w:space="0" w:color="auto"/>
                        <w:left w:val="none" w:sz="0" w:space="0" w:color="auto"/>
                        <w:bottom w:val="none" w:sz="0" w:space="0" w:color="auto"/>
                        <w:right w:val="none" w:sz="0" w:space="0" w:color="auto"/>
                      </w:divBdr>
                      <w:divsChild>
                        <w:div w:id="721826506">
                          <w:marLeft w:val="0"/>
                          <w:marRight w:val="0"/>
                          <w:marTop w:val="0"/>
                          <w:marBottom w:val="0"/>
                          <w:divBdr>
                            <w:top w:val="none" w:sz="0" w:space="0" w:color="auto"/>
                            <w:left w:val="none" w:sz="0" w:space="0" w:color="auto"/>
                            <w:bottom w:val="none" w:sz="0" w:space="0" w:color="auto"/>
                            <w:right w:val="none" w:sz="0" w:space="0" w:color="auto"/>
                          </w:divBdr>
                        </w:div>
                      </w:divsChild>
                    </w:div>
                    <w:div w:id="439229718">
                      <w:marLeft w:val="0"/>
                      <w:marRight w:val="0"/>
                      <w:marTop w:val="0"/>
                      <w:marBottom w:val="0"/>
                      <w:divBdr>
                        <w:top w:val="none" w:sz="0" w:space="0" w:color="auto"/>
                        <w:left w:val="none" w:sz="0" w:space="0" w:color="auto"/>
                        <w:bottom w:val="none" w:sz="0" w:space="0" w:color="auto"/>
                        <w:right w:val="none" w:sz="0" w:space="0" w:color="auto"/>
                      </w:divBdr>
                      <w:divsChild>
                        <w:div w:id="350887065">
                          <w:marLeft w:val="0"/>
                          <w:marRight w:val="0"/>
                          <w:marTop w:val="0"/>
                          <w:marBottom w:val="0"/>
                          <w:divBdr>
                            <w:top w:val="none" w:sz="0" w:space="0" w:color="auto"/>
                            <w:left w:val="none" w:sz="0" w:space="0" w:color="auto"/>
                            <w:bottom w:val="none" w:sz="0" w:space="0" w:color="auto"/>
                            <w:right w:val="none" w:sz="0" w:space="0" w:color="auto"/>
                          </w:divBdr>
                        </w:div>
                      </w:divsChild>
                    </w:div>
                    <w:div w:id="451051279">
                      <w:marLeft w:val="0"/>
                      <w:marRight w:val="0"/>
                      <w:marTop w:val="0"/>
                      <w:marBottom w:val="0"/>
                      <w:divBdr>
                        <w:top w:val="none" w:sz="0" w:space="0" w:color="auto"/>
                        <w:left w:val="none" w:sz="0" w:space="0" w:color="auto"/>
                        <w:bottom w:val="none" w:sz="0" w:space="0" w:color="auto"/>
                        <w:right w:val="none" w:sz="0" w:space="0" w:color="auto"/>
                      </w:divBdr>
                      <w:divsChild>
                        <w:div w:id="507672158">
                          <w:marLeft w:val="0"/>
                          <w:marRight w:val="0"/>
                          <w:marTop w:val="0"/>
                          <w:marBottom w:val="0"/>
                          <w:divBdr>
                            <w:top w:val="none" w:sz="0" w:space="0" w:color="auto"/>
                            <w:left w:val="none" w:sz="0" w:space="0" w:color="auto"/>
                            <w:bottom w:val="none" w:sz="0" w:space="0" w:color="auto"/>
                            <w:right w:val="none" w:sz="0" w:space="0" w:color="auto"/>
                          </w:divBdr>
                        </w:div>
                      </w:divsChild>
                    </w:div>
                    <w:div w:id="454182669">
                      <w:marLeft w:val="0"/>
                      <w:marRight w:val="0"/>
                      <w:marTop w:val="0"/>
                      <w:marBottom w:val="0"/>
                      <w:divBdr>
                        <w:top w:val="none" w:sz="0" w:space="0" w:color="auto"/>
                        <w:left w:val="none" w:sz="0" w:space="0" w:color="auto"/>
                        <w:bottom w:val="none" w:sz="0" w:space="0" w:color="auto"/>
                        <w:right w:val="none" w:sz="0" w:space="0" w:color="auto"/>
                      </w:divBdr>
                      <w:divsChild>
                        <w:div w:id="1811360475">
                          <w:marLeft w:val="0"/>
                          <w:marRight w:val="0"/>
                          <w:marTop w:val="0"/>
                          <w:marBottom w:val="0"/>
                          <w:divBdr>
                            <w:top w:val="none" w:sz="0" w:space="0" w:color="auto"/>
                            <w:left w:val="none" w:sz="0" w:space="0" w:color="auto"/>
                            <w:bottom w:val="none" w:sz="0" w:space="0" w:color="auto"/>
                            <w:right w:val="none" w:sz="0" w:space="0" w:color="auto"/>
                          </w:divBdr>
                        </w:div>
                      </w:divsChild>
                    </w:div>
                    <w:div w:id="454907394">
                      <w:marLeft w:val="0"/>
                      <w:marRight w:val="0"/>
                      <w:marTop w:val="0"/>
                      <w:marBottom w:val="0"/>
                      <w:divBdr>
                        <w:top w:val="none" w:sz="0" w:space="0" w:color="auto"/>
                        <w:left w:val="none" w:sz="0" w:space="0" w:color="auto"/>
                        <w:bottom w:val="none" w:sz="0" w:space="0" w:color="auto"/>
                        <w:right w:val="none" w:sz="0" w:space="0" w:color="auto"/>
                      </w:divBdr>
                      <w:divsChild>
                        <w:div w:id="122620295">
                          <w:marLeft w:val="0"/>
                          <w:marRight w:val="0"/>
                          <w:marTop w:val="0"/>
                          <w:marBottom w:val="0"/>
                          <w:divBdr>
                            <w:top w:val="none" w:sz="0" w:space="0" w:color="auto"/>
                            <w:left w:val="none" w:sz="0" w:space="0" w:color="auto"/>
                            <w:bottom w:val="none" w:sz="0" w:space="0" w:color="auto"/>
                            <w:right w:val="none" w:sz="0" w:space="0" w:color="auto"/>
                          </w:divBdr>
                        </w:div>
                      </w:divsChild>
                    </w:div>
                    <w:div w:id="460732737">
                      <w:marLeft w:val="0"/>
                      <w:marRight w:val="0"/>
                      <w:marTop w:val="0"/>
                      <w:marBottom w:val="0"/>
                      <w:divBdr>
                        <w:top w:val="none" w:sz="0" w:space="0" w:color="auto"/>
                        <w:left w:val="none" w:sz="0" w:space="0" w:color="auto"/>
                        <w:bottom w:val="none" w:sz="0" w:space="0" w:color="auto"/>
                        <w:right w:val="none" w:sz="0" w:space="0" w:color="auto"/>
                      </w:divBdr>
                      <w:divsChild>
                        <w:div w:id="359212018">
                          <w:marLeft w:val="0"/>
                          <w:marRight w:val="0"/>
                          <w:marTop w:val="0"/>
                          <w:marBottom w:val="0"/>
                          <w:divBdr>
                            <w:top w:val="none" w:sz="0" w:space="0" w:color="auto"/>
                            <w:left w:val="none" w:sz="0" w:space="0" w:color="auto"/>
                            <w:bottom w:val="none" w:sz="0" w:space="0" w:color="auto"/>
                            <w:right w:val="none" w:sz="0" w:space="0" w:color="auto"/>
                          </w:divBdr>
                        </w:div>
                      </w:divsChild>
                    </w:div>
                    <w:div w:id="474958536">
                      <w:marLeft w:val="0"/>
                      <w:marRight w:val="0"/>
                      <w:marTop w:val="0"/>
                      <w:marBottom w:val="0"/>
                      <w:divBdr>
                        <w:top w:val="none" w:sz="0" w:space="0" w:color="auto"/>
                        <w:left w:val="none" w:sz="0" w:space="0" w:color="auto"/>
                        <w:bottom w:val="none" w:sz="0" w:space="0" w:color="auto"/>
                        <w:right w:val="none" w:sz="0" w:space="0" w:color="auto"/>
                      </w:divBdr>
                      <w:divsChild>
                        <w:div w:id="959725470">
                          <w:marLeft w:val="0"/>
                          <w:marRight w:val="0"/>
                          <w:marTop w:val="0"/>
                          <w:marBottom w:val="0"/>
                          <w:divBdr>
                            <w:top w:val="none" w:sz="0" w:space="0" w:color="auto"/>
                            <w:left w:val="none" w:sz="0" w:space="0" w:color="auto"/>
                            <w:bottom w:val="none" w:sz="0" w:space="0" w:color="auto"/>
                            <w:right w:val="none" w:sz="0" w:space="0" w:color="auto"/>
                          </w:divBdr>
                        </w:div>
                      </w:divsChild>
                    </w:div>
                    <w:div w:id="484666205">
                      <w:marLeft w:val="0"/>
                      <w:marRight w:val="0"/>
                      <w:marTop w:val="0"/>
                      <w:marBottom w:val="0"/>
                      <w:divBdr>
                        <w:top w:val="none" w:sz="0" w:space="0" w:color="auto"/>
                        <w:left w:val="none" w:sz="0" w:space="0" w:color="auto"/>
                        <w:bottom w:val="none" w:sz="0" w:space="0" w:color="auto"/>
                        <w:right w:val="none" w:sz="0" w:space="0" w:color="auto"/>
                      </w:divBdr>
                      <w:divsChild>
                        <w:div w:id="1743795565">
                          <w:marLeft w:val="0"/>
                          <w:marRight w:val="0"/>
                          <w:marTop w:val="0"/>
                          <w:marBottom w:val="0"/>
                          <w:divBdr>
                            <w:top w:val="none" w:sz="0" w:space="0" w:color="auto"/>
                            <w:left w:val="none" w:sz="0" w:space="0" w:color="auto"/>
                            <w:bottom w:val="none" w:sz="0" w:space="0" w:color="auto"/>
                            <w:right w:val="none" w:sz="0" w:space="0" w:color="auto"/>
                          </w:divBdr>
                        </w:div>
                      </w:divsChild>
                    </w:div>
                    <w:div w:id="515190065">
                      <w:marLeft w:val="0"/>
                      <w:marRight w:val="0"/>
                      <w:marTop w:val="0"/>
                      <w:marBottom w:val="0"/>
                      <w:divBdr>
                        <w:top w:val="none" w:sz="0" w:space="0" w:color="auto"/>
                        <w:left w:val="none" w:sz="0" w:space="0" w:color="auto"/>
                        <w:bottom w:val="none" w:sz="0" w:space="0" w:color="auto"/>
                        <w:right w:val="none" w:sz="0" w:space="0" w:color="auto"/>
                      </w:divBdr>
                      <w:divsChild>
                        <w:div w:id="1212155858">
                          <w:marLeft w:val="0"/>
                          <w:marRight w:val="0"/>
                          <w:marTop w:val="0"/>
                          <w:marBottom w:val="0"/>
                          <w:divBdr>
                            <w:top w:val="none" w:sz="0" w:space="0" w:color="auto"/>
                            <w:left w:val="none" w:sz="0" w:space="0" w:color="auto"/>
                            <w:bottom w:val="none" w:sz="0" w:space="0" w:color="auto"/>
                            <w:right w:val="none" w:sz="0" w:space="0" w:color="auto"/>
                          </w:divBdr>
                        </w:div>
                      </w:divsChild>
                    </w:div>
                    <w:div w:id="528030134">
                      <w:marLeft w:val="0"/>
                      <w:marRight w:val="0"/>
                      <w:marTop w:val="0"/>
                      <w:marBottom w:val="0"/>
                      <w:divBdr>
                        <w:top w:val="none" w:sz="0" w:space="0" w:color="auto"/>
                        <w:left w:val="none" w:sz="0" w:space="0" w:color="auto"/>
                        <w:bottom w:val="none" w:sz="0" w:space="0" w:color="auto"/>
                        <w:right w:val="none" w:sz="0" w:space="0" w:color="auto"/>
                      </w:divBdr>
                      <w:divsChild>
                        <w:div w:id="1454204943">
                          <w:marLeft w:val="0"/>
                          <w:marRight w:val="0"/>
                          <w:marTop w:val="0"/>
                          <w:marBottom w:val="0"/>
                          <w:divBdr>
                            <w:top w:val="none" w:sz="0" w:space="0" w:color="auto"/>
                            <w:left w:val="none" w:sz="0" w:space="0" w:color="auto"/>
                            <w:bottom w:val="none" w:sz="0" w:space="0" w:color="auto"/>
                            <w:right w:val="none" w:sz="0" w:space="0" w:color="auto"/>
                          </w:divBdr>
                        </w:div>
                      </w:divsChild>
                    </w:div>
                    <w:div w:id="528178010">
                      <w:marLeft w:val="0"/>
                      <w:marRight w:val="0"/>
                      <w:marTop w:val="0"/>
                      <w:marBottom w:val="0"/>
                      <w:divBdr>
                        <w:top w:val="none" w:sz="0" w:space="0" w:color="auto"/>
                        <w:left w:val="none" w:sz="0" w:space="0" w:color="auto"/>
                        <w:bottom w:val="none" w:sz="0" w:space="0" w:color="auto"/>
                        <w:right w:val="none" w:sz="0" w:space="0" w:color="auto"/>
                      </w:divBdr>
                      <w:divsChild>
                        <w:div w:id="535433191">
                          <w:marLeft w:val="0"/>
                          <w:marRight w:val="0"/>
                          <w:marTop w:val="0"/>
                          <w:marBottom w:val="0"/>
                          <w:divBdr>
                            <w:top w:val="none" w:sz="0" w:space="0" w:color="auto"/>
                            <w:left w:val="none" w:sz="0" w:space="0" w:color="auto"/>
                            <w:bottom w:val="none" w:sz="0" w:space="0" w:color="auto"/>
                            <w:right w:val="none" w:sz="0" w:space="0" w:color="auto"/>
                          </w:divBdr>
                        </w:div>
                      </w:divsChild>
                    </w:div>
                    <w:div w:id="534930501">
                      <w:marLeft w:val="0"/>
                      <w:marRight w:val="0"/>
                      <w:marTop w:val="0"/>
                      <w:marBottom w:val="0"/>
                      <w:divBdr>
                        <w:top w:val="none" w:sz="0" w:space="0" w:color="auto"/>
                        <w:left w:val="none" w:sz="0" w:space="0" w:color="auto"/>
                        <w:bottom w:val="none" w:sz="0" w:space="0" w:color="auto"/>
                        <w:right w:val="none" w:sz="0" w:space="0" w:color="auto"/>
                      </w:divBdr>
                      <w:divsChild>
                        <w:div w:id="881861815">
                          <w:marLeft w:val="0"/>
                          <w:marRight w:val="0"/>
                          <w:marTop w:val="0"/>
                          <w:marBottom w:val="0"/>
                          <w:divBdr>
                            <w:top w:val="none" w:sz="0" w:space="0" w:color="auto"/>
                            <w:left w:val="none" w:sz="0" w:space="0" w:color="auto"/>
                            <w:bottom w:val="none" w:sz="0" w:space="0" w:color="auto"/>
                            <w:right w:val="none" w:sz="0" w:space="0" w:color="auto"/>
                          </w:divBdr>
                        </w:div>
                      </w:divsChild>
                    </w:div>
                    <w:div w:id="542912175">
                      <w:marLeft w:val="0"/>
                      <w:marRight w:val="0"/>
                      <w:marTop w:val="0"/>
                      <w:marBottom w:val="0"/>
                      <w:divBdr>
                        <w:top w:val="none" w:sz="0" w:space="0" w:color="auto"/>
                        <w:left w:val="none" w:sz="0" w:space="0" w:color="auto"/>
                        <w:bottom w:val="none" w:sz="0" w:space="0" w:color="auto"/>
                        <w:right w:val="none" w:sz="0" w:space="0" w:color="auto"/>
                      </w:divBdr>
                      <w:divsChild>
                        <w:div w:id="1880971267">
                          <w:marLeft w:val="0"/>
                          <w:marRight w:val="0"/>
                          <w:marTop w:val="0"/>
                          <w:marBottom w:val="0"/>
                          <w:divBdr>
                            <w:top w:val="none" w:sz="0" w:space="0" w:color="auto"/>
                            <w:left w:val="none" w:sz="0" w:space="0" w:color="auto"/>
                            <w:bottom w:val="none" w:sz="0" w:space="0" w:color="auto"/>
                            <w:right w:val="none" w:sz="0" w:space="0" w:color="auto"/>
                          </w:divBdr>
                        </w:div>
                      </w:divsChild>
                    </w:div>
                    <w:div w:id="570314395">
                      <w:marLeft w:val="0"/>
                      <w:marRight w:val="0"/>
                      <w:marTop w:val="0"/>
                      <w:marBottom w:val="0"/>
                      <w:divBdr>
                        <w:top w:val="none" w:sz="0" w:space="0" w:color="auto"/>
                        <w:left w:val="none" w:sz="0" w:space="0" w:color="auto"/>
                        <w:bottom w:val="none" w:sz="0" w:space="0" w:color="auto"/>
                        <w:right w:val="none" w:sz="0" w:space="0" w:color="auto"/>
                      </w:divBdr>
                      <w:divsChild>
                        <w:div w:id="52001555">
                          <w:marLeft w:val="0"/>
                          <w:marRight w:val="0"/>
                          <w:marTop w:val="0"/>
                          <w:marBottom w:val="0"/>
                          <w:divBdr>
                            <w:top w:val="none" w:sz="0" w:space="0" w:color="auto"/>
                            <w:left w:val="none" w:sz="0" w:space="0" w:color="auto"/>
                            <w:bottom w:val="none" w:sz="0" w:space="0" w:color="auto"/>
                            <w:right w:val="none" w:sz="0" w:space="0" w:color="auto"/>
                          </w:divBdr>
                        </w:div>
                      </w:divsChild>
                    </w:div>
                    <w:div w:id="579220205">
                      <w:marLeft w:val="0"/>
                      <w:marRight w:val="0"/>
                      <w:marTop w:val="0"/>
                      <w:marBottom w:val="0"/>
                      <w:divBdr>
                        <w:top w:val="none" w:sz="0" w:space="0" w:color="auto"/>
                        <w:left w:val="none" w:sz="0" w:space="0" w:color="auto"/>
                        <w:bottom w:val="none" w:sz="0" w:space="0" w:color="auto"/>
                        <w:right w:val="none" w:sz="0" w:space="0" w:color="auto"/>
                      </w:divBdr>
                      <w:divsChild>
                        <w:div w:id="1738672286">
                          <w:marLeft w:val="0"/>
                          <w:marRight w:val="0"/>
                          <w:marTop w:val="0"/>
                          <w:marBottom w:val="0"/>
                          <w:divBdr>
                            <w:top w:val="none" w:sz="0" w:space="0" w:color="auto"/>
                            <w:left w:val="none" w:sz="0" w:space="0" w:color="auto"/>
                            <w:bottom w:val="none" w:sz="0" w:space="0" w:color="auto"/>
                            <w:right w:val="none" w:sz="0" w:space="0" w:color="auto"/>
                          </w:divBdr>
                        </w:div>
                      </w:divsChild>
                    </w:div>
                    <w:div w:id="584613023">
                      <w:marLeft w:val="0"/>
                      <w:marRight w:val="0"/>
                      <w:marTop w:val="0"/>
                      <w:marBottom w:val="0"/>
                      <w:divBdr>
                        <w:top w:val="none" w:sz="0" w:space="0" w:color="auto"/>
                        <w:left w:val="none" w:sz="0" w:space="0" w:color="auto"/>
                        <w:bottom w:val="none" w:sz="0" w:space="0" w:color="auto"/>
                        <w:right w:val="none" w:sz="0" w:space="0" w:color="auto"/>
                      </w:divBdr>
                      <w:divsChild>
                        <w:div w:id="1486582599">
                          <w:marLeft w:val="0"/>
                          <w:marRight w:val="0"/>
                          <w:marTop w:val="0"/>
                          <w:marBottom w:val="0"/>
                          <w:divBdr>
                            <w:top w:val="none" w:sz="0" w:space="0" w:color="auto"/>
                            <w:left w:val="none" w:sz="0" w:space="0" w:color="auto"/>
                            <w:bottom w:val="none" w:sz="0" w:space="0" w:color="auto"/>
                            <w:right w:val="none" w:sz="0" w:space="0" w:color="auto"/>
                          </w:divBdr>
                        </w:div>
                      </w:divsChild>
                    </w:div>
                    <w:div w:id="586888867">
                      <w:marLeft w:val="0"/>
                      <w:marRight w:val="0"/>
                      <w:marTop w:val="0"/>
                      <w:marBottom w:val="0"/>
                      <w:divBdr>
                        <w:top w:val="none" w:sz="0" w:space="0" w:color="auto"/>
                        <w:left w:val="none" w:sz="0" w:space="0" w:color="auto"/>
                        <w:bottom w:val="none" w:sz="0" w:space="0" w:color="auto"/>
                        <w:right w:val="none" w:sz="0" w:space="0" w:color="auto"/>
                      </w:divBdr>
                      <w:divsChild>
                        <w:div w:id="218826790">
                          <w:marLeft w:val="0"/>
                          <w:marRight w:val="0"/>
                          <w:marTop w:val="0"/>
                          <w:marBottom w:val="0"/>
                          <w:divBdr>
                            <w:top w:val="none" w:sz="0" w:space="0" w:color="auto"/>
                            <w:left w:val="none" w:sz="0" w:space="0" w:color="auto"/>
                            <w:bottom w:val="none" w:sz="0" w:space="0" w:color="auto"/>
                            <w:right w:val="none" w:sz="0" w:space="0" w:color="auto"/>
                          </w:divBdr>
                        </w:div>
                      </w:divsChild>
                    </w:div>
                    <w:div w:id="589000818">
                      <w:marLeft w:val="0"/>
                      <w:marRight w:val="0"/>
                      <w:marTop w:val="0"/>
                      <w:marBottom w:val="0"/>
                      <w:divBdr>
                        <w:top w:val="none" w:sz="0" w:space="0" w:color="auto"/>
                        <w:left w:val="none" w:sz="0" w:space="0" w:color="auto"/>
                        <w:bottom w:val="none" w:sz="0" w:space="0" w:color="auto"/>
                        <w:right w:val="none" w:sz="0" w:space="0" w:color="auto"/>
                      </w:divBdr>
                      <w:divsChild>
                        <w:div w:id="2043165180">
                          <w:marLeft w:val="0"/>
                          <w:marRight w:val="0"/>
                          <w:marTop w:val="0"/>
                          <w:marBottom w:val="0"/>
                          <w:divBdr>
                            <w:top w:val="none" w:sz="0" w:space="0" w:color="auto"/>
                            <w:left w:val="none" w:sz="0" w:space="0" w:color="auto"/>
                            <w:bottom w:val="none" w:sz="0" w:space="0" w:color="auto"/>
                            <w:right w:val="none" w:sz="0" w:space="0" w:color="auto"/>
                          </w:divBdr>
                        </w:div>
                      </w:divsChild>
                    </w:div>
                    <w:div w:id="589778074">
                      <w:marLeft w:val="0"/>
                      <w:marRight w:val="0"/>
                      <w:marTop w:val="0"/>
                      <w:marBottom w:val="0"/>
                      <w:divBdr>
                        <w:top w:val="none" w:sz="0" w:space="0" w:color="auto"/>
                        <w:left w:val="none" w:sz="0" w:space="0" w:color="auto"/>
                        <w:bottom w:val="none" w:sz="0" w:space="0" w:color="auto"/>
                        <w:right w:val="none" w:sz="0" w:space="0" w:color="auto"/>
                      </w:divBdr>
                      <w:divsChild>
                        <w:div w:id="1319729291">
                          <w:marLeft w:val="0"/>
                          <w:marRight w:val="0"/>
                          <w:marTop w:val="0"/>
                          <w:marBottom w:val="0"/>
                          <w:divBdr>
                            <w:top w:val="none" w:sz="0" w:space="0" w:color="auto"/>
                            <w:left w:val="none" w:sz="0" w:space="0" w:color="auto"/>
                            <w:bottom w:val="none" w:sz="0" w:space="0" w:color="auto"/>
                            <w:right w:val="none" w:sz="0" w:space="0" w:color="auto"/>
                          </w:divBdr>
                        </w:div>
                      </w:divsChild>
                    </w:div>
                    <w:div w:id="600457347">
                      <w:marLeft w:val="0"/>
                      <w:marRight w:val="0"/>
                      <w:marTop w:val="0"/>
                      <w:marBottom w:val="0"/>
                      <w:divBdr>
                        <w:top w:val="none" w:sz="0" w:space="0" w:color="auto"/>
                        <w:left w:val="none" w:sz="0" w:space="0" w:color="auto"/>
                        <w:bottom w:val="none" w:sz="0" w:space="0" w:color="auto"/>
                        <w:right w:val="none" w:sz="0" w:space="0" w:color="auto"/>
                      </w:divBdr>
                      <w:divsChild>
                        <w:div w:id="633145222">
                          <w:marLeft w:val="0"/>
                          <w:marRight w:val="0"/>
                          <w:marTop w:val="0"/>
                          <w:marBottom w:val="0"/>
                          <w:divBdr>
                            <w:top w:val="none" w:sz="0" w:space="0" w:color="auto"/>
                            <w:left w:val="none" w:sz="0" w:space="0" w:color="auto"/>
                            <w:bottom w:val="none" w:sz="0" w:space="0" w:color="auto"/>
                            <w:right w:val="none" w:sz="0" w:space="0" w:color="auto"/>
                          </w:divBdr>
                        </w:div>
                      </w:divsChild>
                    </w:div>
                    <w:div w:id="602104427">
                      <w:marLeft w:val="0"/>
                      <w:marRight w:val="0"/>
                      <w:marTop w:val="0"/>
                      <w:marBottom w:val="0"/>
                      <w:divBdr>
                        <w:top w:val="none" w:sz="0" w:space="0" w:color="auto"/>
                        <w:left w:val="none" w:sz="0" w:space="0" w:color="auto"/>
                        <w:bottom w:val="none" w:sz="0" w:space="0" w:color="auto"/>
                        <w:right w:val="none" w:sz="0" w:space="0" w:color="auto"/>
                      </w:divBdr>
                      <w:divsChild>
                        <w:div w:id="395587228">
                          <w:marLeft w:val="0"/>
                          <w:marRight w:val="0"/>
                          <w:marTop w:val="0"/>
                          <w:marBottom w:val="0"/>
                          <w:divBdr>
                            <w:top w:val="none" w:sz="0" w:space="0" w:color="auto"/>
                            <w:left w:val="none" w:sz="0" w:space="0" w:color="auto"/>
                            <w:bottom w:val="none" w:sz="0" w:space="0" w:color="auto"/>
                            <w:right w:val="none" w:sz="0" w:space="0" w:color="auto"/>
                          </w:divBdr>
                        </w:div>
                      </w:divsChild>
                    </w:div>
                    <w:div w:id="602225251">
                      <w:marLeft w:val="0"/>
                      <w:marRight w:val="0"/>
                      <w:marTop w:val="0"/>
                      <w:marBottom w:val="0"/>
                      <w:divBdr>
                        <w:top w:val="none" w:sz="0" w:space="0" w:color="auto"/>
                        <w:left w:val="none" w:sz="0" w:space="0" w:color="auto"/>
                        <w:bottom w:val="none" w:sz="0" w:space="0" w:color="auto"/>
                        <w:right w:val="none" w:sz="0" w:space="0" w:color="auto"/>
                      </w:divBdr>
                      <w:divsChild>
                        <w:div w:id="993528427">
                          <w:marLeft w:val="0"/>
                          <w:marRight w:val="0"/>
                          <w:marTop w:val="0"/>
                          <w:marBottom w:val="0"/>
                          <w:divBdr>
                            <w:top w:val="none" w:sz="0" w:space="0" w:color="auto"/>
                            <w:left w:val="none" w:sz="0" w:space="0" w:color="auto"/>
                            <w:bottom w:val="none" w:sz="0" w:space="0" w:color="auto"/>
                            <w:right w:val="none" w:sz="0" w:space="0" w:color="auto"/>
                          </w:divBdr>
                        </w:div>
                      </w:divsChild>
                    </w:div>
                    <w:div w:id="611479185">
                      <w:marLeft w:val="0"/>
                      <w:marRight w:val="0"/>
                      <w:marTop w:val="0"/>
                      <w:marBottom w:val="0"/>
                      <w:divBdr>
                        <w:top w:val="none" w:sz="0" w:space="0" w:color="auto"/>
                        <w:left w:val="none" w:sz="0" w:space="0" w:color="auto"/>
                        <w:bottom w:val="none" w:sz="0" w:space="0" w:color="auto"/>
                        <w:right w:val="none" w:sz="0" w:space="0" w:color="auto"/>
                      </w:divBdr>
                      <w:divsChild>
                        <w:div w:id="1646467271">
                          <w:marLeft w:val="0"/>
                          <w:marRight w:val="0"/>
                          <w:marTop w:val="0"/>
                          <w:marBottom w:val="0"/>
                          <w:divBdr>
                            <w:top w:val="none" w:sz="0" w:space="0" w:color="auto"/>
                            <w:left w:val="none" w:sz="0" w:space="0" w:color="auto"/>
                            <w:bottom w:val="none" w:sz="0" w:space="0" w:color="auto"/>
                            <w:right w:val="none" w:sz="0" w:space="0" w:color="auto"/>
                          </w:divBdr>
                        </w:div>
                      </w:divsChild>
                    </w:div>
                    <w:div w:id="641235235">
                      <w:marLeft w:val="0"/>
                      <w:marRight w:val="0"/>
                      <w:marTop w:val="0"/>
                      <w:marBottom w:val="0"/>
                      <w:divBdr>
                        <w:top w:val="none" w:sz="0" w:space="0" w:color="auto"/>
                        <w:left w:val="none" w:sz="0" w:space="0" w:color="auto"/>
                        <w:bottom w:val="none" w:sz="0" w:space="0" w:color="auto"/>
                        <w:right w:val="none" w:sz="0" w:space="0" w:color="auto"/>
                      </w:divBdr>
                      <w:divsChild>
                        <w:div w:id="1759254344">
                          <w:marLeft w:val="0"/>
                          <w:marRight w:val="0"/>
                          <w:marTop w:val="0"/>
                          <w:marBottom w:val="0"/>
                          <w:divBdr>
                            <w:top w:val="none" w:sz="0" w:space="0" w:color="auto"/>
                            <w:left w:val="none" w:sz="0" w:space="0" w:color="auto"/>
                            <w:bottom w:val="none" w:sz="0" w:space="0" w:color="auto"/>
                            <w:right w:val="none" w:sz="0" w:space="0" w:color="auto"/>
                          </w:divBdr>
                        </w:div>
                      </w:divsChild>
                    </w:div>
                    <w:div w:id="644433838">
                      <w:marLeft w:val="0"/>
                      <w:marRight w:val="0"/>
                      <w:marTop w:val="0"/>
                      <w:marBottom w:val="0"/>
                      <w:divBdr>
                        <w:top w:val="none" w:sz="0" w:space="0" w:color="auto"/>
                        <w:left w:val="none" w:sz="0" w:space="0" w:color="auto"/>
                        <w:bottom w:val="none" w:sz="0" w:space="0" w:color="auto"/>
                        <w:right w:val="none" w:sz="0" w:space="0" w:color="auto"/>
                      </w:divBdr>
                      <w:divsChild>
                        <w:div w:id="728504903">
                          <w:marLeft w:val="0"/>
                          <w:marRight w:val="0"/>
                          <w:marTop w:val="0"/>
                          <w:marBottom w:val="0"/>
                          <w:divBdr>
                            <w:top w:val="none" w:sz="0" w:space="0" w:color="auto"/>
                            <w:left w:val="none" w:sz="0" w:space="0" w:color="auto"/>
                            <w:bottom w:val="none" w:sz="0" w:space="0" w:color="auto"/>
                            <w:right w:val="none" w:sz="0" w:space="0" w:color="auto"/>
                          </w:divBdr>
                        </w:div>
                      </w:divsChild>
                    </w:div>
                    <w:div w:id="647171177">
                      <w:marLeft w:val="0"/>
                      <w:marRight w:val="0"/>
                      <w:marTop w:val="0"/>
                      <w:marBottom w:val="0"/>
                      <w:divBdr>
                        <w:top w:val="none" w:sz="0" w:space="0" w:color="auto"/>
                        <w:left w:val="none" w:sz="0" w:space="0" w:color="auto"/>
                        <w:bottom w:val="none" w:sz="0" w:space="0" w:color="auto"/>
                        <w:right w:val="none" w:sz="0" w:space="0" w:color="auto"/>
                      </w:divBdr>
                      <w:divsChild>
                        <w:div w:id="410002729">
                          <w:marLeft w:val="0"/>
                          <w:marRight w:val="0"/>
                          <w:marTop w:val="0"/>
                          <w:marBottom w:val="0"/>
                          <w:divBdr>
                            <w:top w:val="none" w:sz="0" w:space="0" w:color="auto"/>
                            <w:left w:val="none" w:sz="0" w:space="0" w:color="auto"/>
                            <w:bottom w:val="none" w:sz="0" w:space="0" w:color="auto"/>
                            <w:right w:val="none" w:sz="0" w:space="0" w:color="auto"/>
                          </w:divBdr>
                        </w:div>
                      </w:divsChild>
                    </w:div>
                    <w:div w:id="676544468">
                      <w:marLeft w:val="0"/>
                      <w:marRight w:val="0"/>
                      <w:marTop w:val="0"/>
                      <w:marBottom w:val="0"/>
                      <w:divBdr>
                        <w:top w:val="none" w:sz="0" w:space="0" w:color="auto"/>
                        <w:left w:val="none" w:sz="0" w:space="0" w:color="auto"/>
                        <w:bottom w:val="none" w:sz="0" w:space="0" w:color="auto"/>
                        <w:right w:val="none" w:sz="0" w:space="0" w:color="auto"/>
                      </w:divBdr>
                      <w:divsChild>
                        <w:div w:id="1005716668">
                          <w:marLeft w:val="0"/>
                          <w:marRight w:val="0"/>
                          <w:marTop w:val="0"/>
                          <w:marBottom w:val="0"/>
                          <w:divBdr>
                            <w:top w:val="none" w:sz="0" w:space="0" w:color="auto"/>
                            <w:left w:val="none" w:sz="0" w:space="0" w:color="auto"/>
                            <w:bottom w:val="none" w:sz="0" w:space="0" w:color="auto"/>
                            <w:right w:val="none" w:sz="0" w:space="0" w:color="auto"/>
                          </w:divBdr>
                        </w:div>
                      </w:divsChild>
                    </w:div>
                    <w:div w:id="698746322">
                      <w:marLeft w:val="0"/>
                      <w:marRight w:val="0"/>
                      <w:marTop w:val="0"/>
                      <w:marBottom w:val="0"/>
                      <w:divBdr>
                        <w:top w:val="none" w:sz="0" w:space="0" w:color="auto"/>
                        <w:left w:val="none" w:sz="0" w:space="0" w:color="auto"/>
                        <w:bottom w:val="none" w:sz="0" w:space="0" w:color="auto"/>
                        <w:right w:val="none" w:sz="0" w:space="0" w:color="auto"/>
                      </w:divBdr>
                      <w:divsChild>
                        <w:div w:id="1586569623">
                          <w:marLeft w:val="0"/>
                          <w:marRight w:val="0"/>
                          <w:marTop w:val="0"/>
                          <w:marBottom w:val="0"/>
                          <w:divBdr>
                            <w:top w:val="none" w:sz="0" w:space="0" w:color="auto"/>
                            <w:left w:val="none" w:sz="0" w:space="0" w:color="auto"/>
                            <w:bottom w:val="none" w:sz="0" w:space="0" w:color="auto"/>
                            <w:right w:val="none" w:sz="0" w:space="0" w:color="auto"/>
                          </w:divBdr>
                        </w:div>
                      </w:divsChild>
                    </w:div>
                    <w:div w:id="715202716">
                      <w:marLeft w:val="0"/>
                      <w:marRight w:val="0"/>
                      <w:marTop w:val="0"/>
                      <w:marBottom w:val="0"/>
                      <w:divBdr>
                        <w:top w:val="none" w:sz="0" w:space="0" w:color="auto"/>
                        <w:left w:val="none" w:sz="0" w:space="0" w:color="auto"/>
                        <w:bottom w:val="none" w:sz="0" w:space="0" w:color="auto"/>
                        <w:right w:val="none" w:sz="0" w:space="0" w:color="auto"/>
                      </w:divBdr>
                      <w:divsChild>
                        <w:div w:id="2005934617">
                          <w:marLeft w:val="0"/>
                          <w:marRight w:val="0"/>
                          <w:marTop w:val="0"/>
                          <w:marBottom w:val="0"/>
                          <w:divBdr>
                            <w:top w:val="none" w:sz="0" w:space="0" w:color="auto"/>
                            <w:left w:val="none" w:sz="0" w:space="0" w:color="auto"/>
                            <w:bottom w:val="none" w:sz="0" w:space="0" w:color="auto"/>
                            <w:right w:val="none" w:sz="0" w:space="0" w:color="auto"/>
                          </w:divBdr>
                        </w:div>
                      </w:divsChild>
                    </w:div>
                    <w:div w:id="736123517">
                      <w:marLeft w:val="0"/>
                      <w:marRight w:val="0"/>
                      <w:marTop w:val="0"/>
                      <w:marBottom w:val="0"/>
                      <w:divBdr>
                        <w:top w:val="none" w:sz="0" w:space="0" w:color="auto"/>
                        <w:left w:val="none" w:sz="0" w:space="0" w:color="auto"/>
                        <w:bottom w:val="none" w:sz="0" w:space="0" w:color="auto"/>
                        <w:right w:val="none" w:sz="0" w:space="0" w:color="auto"/>
                      </w:divBdr>
                      <w:divsChild>
                        <w:div w:id="1573662080">
                          <w:marLeft w:val="0"/>
                          <w:marRight w:val="0"/>
                          <w:marTop w:val="0"/>
                          <w:marBottom w:val="0"/>
                          <w:divBdr>
                            <w:top w:val="none" w:sz="0" w:space="0" w:color="auto"/>
                            <w:left w:val="none" w:sz="0" w:space="0" w:color="auto"/>
                            <w:bottom w:val="none" w:sz="0" w:space="0" w:color="auto"/>
                            <w:right w:val="none" w:sz="0" w:space="0" w:color="auto"/>
                          </w:divBdr>
                        </w:div>
                      </w:divsChild>
                    </w:div>
                    <w:div w:id="756093290">
                      <w:marLeft w:val="0"/>
                      <w:marRight w:val="0"/>
                      <w:marTop w:val="0"/>
                      <w:marBottom w:val="0"/>
                      <w:divBdr>
                        <w:top w:val="none" w:sz="0" w:space="0" w:color="auto"/>
                        <w:left w:val="none" w:sz="0" w:space="0" w:color="auto"/>
                        <w:bottom w:val="none" w:sz="0" w:space="0" w:color="auto"/>
                        <w:right w:val="none" w:sz="0" w:space="0" w:color="auto"/>
                      </w:divBdr>
                      <w:divsChild>
                        <w:div w:id="250433473">
                          <w:marLeft w:val="0"/>
                          <w:marRight w:val="0"/>
                          <w:marTop w:val="0"/>
                          <w:marBottom w:val="0"/>
                          <w:divBdr>
                            <w:top w:val="none" w:sz="0" w:space="0" w:color="auto"/>
                            <w:left w:val="none" w:sz="0" w:space="0" w:color="auto"/>
                            <w:bottom w:val="none" w:sz="0" w:space="0" w:color="auto"/>
                            <w:right w:val="none" w:sz="0" w:space="0" w:color="auto"/>
                          </w:divBdr>
                        </w:div>
                      </w:divsChild>
                    </w:div>
                    <w:div w:id="756906735">
                      <w:marLeft w:val="0"/>
                      <w:marRight w:val="0"/>
                      <w:marTop w:val="0"/>
                      <w:marBottom w:val="0"/>
                      <w:divBdr>
                        <w:top w:val="none" w:sz="0" w:space="0" w:color="auto"/>
                        <w:left w:val="none" w:sz="0" w:space="0" w:color="auto"/>
                        <w:bottom w:val="none" w:sz="0" w:space="0" w:color="auto"/>
                        <w:right w:val="none" w:sz="0" w:space="0" w:color="auto"/>
                      </w:divBdr>
                      <w:divsChild>
                        <w:div w:id="315495947">
                          <w:marLeft w:val="0"/>
                          <w:marRight w:val="0"/>
                          <w:marTop w:val="0"/>
                          <w:marBottom w:val="0"/>
                          <w:divBdr>
                            <w:top w:val="none" w:sz="0" w:space="0" w:color="auto"/>
                            <w:left w:val="none" w:sz="0" w:space="0" w:color="auto"/>
                            <w:bottom w:val="none" w:sz="0" w:space="0" w:color="auto"/>
                            <w:right w:val="none" w:sz="0" w:space="0" w:color="auto"/>
                          </w:divBdr>
                        </w:div>
                      </w:divsChild>
                    </w:div>
                    <w:div w:id="763459906">
                      <w:marLeft w:val="0"/>
                      <w:marRight w:val="0"/>
                      <w:marTop w:val="0"/>
                      <w:marBottom w:val="0"/>
                      <w:divBdr>
                        <w:top w:val="none" w:sz="0" w:space="0" w:color="auto"/>
                        <w:left w:val="none" w:sz="0" w:space="0" w:color="auto"/>
                        <w:bottom w:val="none" w:sz="0" w:space="0" w:color="auto"/>
                        <w:right w:val="none" w:sz="0" w:space="0" w:color="auto"/>
                      </w:divBdr>
                      <w:divsChild>
                        <w:div w:id="1584559724">
                          <w:marLeft w:val="0"/>
                          <w:marRight w:val="0"/>
                          <w:marTop w:val="0"/>
                          <w:marBottom w:val="0"/>
                          <w:divBdr>
                            <w:top w:val="none" w:sz="0" w:space="0" w:color="auto"/>
                            <w:left w:val="none" w:sz="0" w:space="0" w:color="auto"/>
                            <w:bottom w:val="none" w:sz="0" w:space="0" w:color="auto"/>
                            <w:right w:val="none" w:sz="0" w:space="0" w:color="auto"/>
                          </w:divBdr>
                        </w:div>
                      </w:divsChild>
                    </w:div>
                    <w:div w:id="764230182">
                      <w:marLeft w:val="0"/>
                      <w:marRight w:val="0"/>
                      <w:marTop w:val="0"/>
                      <w:marBottom w:val="0"/>
                      <w:divBdr>
                        <w:top w:val="none" w:sz="0" w:space="0" w:color="auto"/>
                        <w:left w:val="none" w:sz="0" w:space="0" w:color="auto"/>
                        <w:bottom w:val="none" w:sz="0" w:space="0" w:color="auto"/>
                        <w:right w:val="none" w:sz="0" w:space="0" w:color="auto"/>
                      </w:divBdr>
                      <w:divsChild>
                        <w:div w:id="127170419">
                          <w:marLeft w:val="0"/>
                          <w:marRight w:val="0"/>
                          <w:marTop w:val="0"/>
                          <w:marBottom w:val="0"/>
                          <w:divBdr>
                            <w:top w:val="none" w:sz="0" w:space="0" w:color="auto"/>
                            <w:left w:val="none" w:sz="0" w:space="0" w:color="auto"/>
                            <w:bottom w:val="none" w:sz="0" w:space="0" w:color="auto"/>
                            <w:right w:val="none" w:sz="0" w:space="0" w:color="auto"/>
                          </w:divBdr>
                        </w:div>
                      </w:divsChild>
                    </w:div>
                    <w:div w:id="779908619">
                      <w:marLeft w:val="0"/>
                      <w:marRight w:val="0"/>
                      <w:marTop w:val="0"/>
                      <w:marBottom w:val="0"/>
                      <w:divBdr>
                        <w:top w:val="none" w:sz="0" w:space="0" w:color="auto"/>
                        <w:left w:val="none" w:sz="0" w:space="0" w:color="auto"/>
                        <w:bottom w:val="none" w:sz="0" w:space="0" w:color="auto"/>
                        <w:right w:val="none" w:sz="0" w:space="0" w:color="auto"/>
                      </w:divBdr>
                      <w:divsChild>
                        <w:div w:id="2078089813">
                          <w:marLeft w:val="0"/>
                          <w:marRight w:val="0"/>
                          <w:marTop w:val="0"/>
                          <w:marBottom w:val="0"/>
                          <w:divBdr>
                            <w:top w:val="none" w:sz="0" w:space="0" w:color="auto"/>
                            <w:left w:val="none" w:sz="0" w:space="0" w:color="auto"/>
                            <w:bottom w:val="none" w:sz="0" w:space="0" w:color="auto"/>
                            <w:right w:val="none" w:sz="0" w:space="0" w:color="auto"/>
                          </w:divBdr>
                        </w:div>
                      </w:divsChild>
                    </w:div>
                    <w:div w:id="780145660">
                      <w:marLeft w:val="0"/>
                      <w:marRight w:val="0"/>
                      <w:marTop w:val="0"/>
                      <w:marBottom w:val="0"/>
                      <w:divBdr>
                        <w:top w:val="none" w:sz="0" w:space="0" w:color="auto"/>
                        <w:left w:val="none" w:sz="0" w:space="0" w:color="auto"/>
                        <w:bottom w:val="none" w:sz="0" w:space="0" w:color="auto"/>
                        <w:right w:val="none" w:sz="0" w:space="0" w:color="auto"/>
                      </w:divBdr>
                      <w:divsChild>
                        <w:div w:id="1733115349">
                          <w:marLeft w:val="0"/>
                          <w:marRight w:val="0"/>
                          <w:marTop w:val="0"/>
                          <w:marBottom w:val="0"/>
                          <w:divBdr>
                            <w:top w:val="none" w:sz="0" w:space="0" w:color="auto"/>
                            <w:left w:val="none" w:sz="0" w:space="0" w:color="auto"/>
                            <w:bottom w:val="none" w:sz="0" w:space="0" w:color="auto"/>
                            <w:right w:val="none" w:sz="0" w:space="0" w:color="auto"/>
                          </w:divBdr>
                        </w:div>
                      </w:divsChild>
                    </w:div>
                    <w:div w:id="784037614">
                      <w:marLeft w:val="0"/>
                      <w:marRight w:val="0"/>
                      <w:marTop w:val="0"/>
                      <w:marBottom w:val="0"/>
                      <w:divBdr>
                        <w:top w:val="none" w:sz="0" w:space="0" w:color="auto"/>
                        <w:left w:val="none" w:sz="0" w:space="0" w:color="auto"/>
                        <w:bottom w:val="none" w:sz="0" w:space="0" w:color="auto"/>
                        <w:right w:val="none" w:sz="0" w:space="0" w:color="auto"/>
                      </w:divBdr>
                      <w:divsChild>
                        <w:div w:id="45682573">
                          <w:marLeft w:val="0"/>
                          <w:marRight w:val="0"/>
                          <w:marTop w:val="0"/>
                          <w:marBottom w:val="0"/>
                          <w:divBdr>
                            <w:top w:val="none" w:sz="0" w:space="0" w:color="auto"/>
                            <w:left w:val="none" w:sz="0" w:space="0" w:color="auto"/>
                            <w:bottom w:val="none" w:sz="0" w:space="0" w:color="auto"/>
                            <w:right w:val="none" w:sz="0" w:space="0" w:color="auto"/>
                          </w:divBdr>
                        </w:div>
                      </w:divsChild>
                    </w:div>
                    <w:div w:id="798494905">
                      <w:marLeft w:val="0"/>
                      <w:marRight w:val="0"/>
                      <w:marTop w:val="0"/>
                      <w:marBottom w:val="0"/>
                      <w:divBdr>
                        <w:top w:val="none" w:sz="0" w:space="0" w:color="auto"/>
                        <w:left w:val="none" w:sz="0" w:space="0" w:color="auto"/>
                        <w:bottom w:val="none" w:sz="0" w:space="0" w:color="auto"/>
                        <w:right w:val="none" w:sz="0" w:space="0" w:color="auto"/>
                      </w:divBdr>
                      <w:divsChild>
                        <w:div w:id="1655181971">
                          <w:marLeft w:val="0"/>
                          <w:marRight w:val="0"/>
                          <w:marTop w:val="0"/>
                          <w:marBottom w:val="0"/>
                          <w:divBdr>
                            <w:top w:val="none" w:sz="0" w:space="0" w:color="auto"/>
                            <w:left w:val="none" w:sz="0" w:space="0" w:color="auto"/>
                            <w:bottom w:val="none" w:sz="0" w:space="0" w:color="auto"/>
                            <w:right w:val="none" w:sz="0" w:space="0" w:color="auto"/>
                          </w:divBdr>
                        </w:div>
                      </w:divsChild>
                    </w:div>
                    <w:div w:id="808397381">
                      <w:marLeft w:val="0"/>
                      <w:marRight w:val="0"/>
                      <w:marTop w:val="0"/>
                      <w:marBottom w:val="0"/>
                      <w:divBdr>
                        <w:top w:val="none" w:sz="0" w:space="0" w:color="auto"/>
                        <w:left w:val="none" w:sz="0" w:space="0" w:color="auto"/>
                        <w:bottom w:val="none" w:sz="0" w:space="0" w:color="auto"/>
                        <w:right w:val="none" w:sz="0" w:space="0" w:color="auto"/>
                      </w:divBdr>
                      <w:divsChild>
                        <w:div w:id="1862739648">
                          <w:marLeft w:val="0"/>
                          <w:marRight w:val="0"/>
                          <w:marTop w:val="0"/>
                          <w:marBottom w:val="0"/>
                          <w:divBdr>
                            <w:top w:val="none" w:sz="0" w:space="0" w:color="auto"/>
                            <w:left w:val="none" w:sz="0" w:space="0" w:color="auto"/>
                            <w:bottom w:val="none" w:sz="0" w:space="0" w:color="auto"/>
                            <w:right w:val="none" w:sz="0" w:space="0" w:color="auto"/>
                          </w:divBdr>
                        </w:div>
                      </w:divsChild>
                    </w:div>
                    <w:div w:id="808665029">
                      <w:marLeft w:val="0"/>
                      <w:marRight w:val="0"/>
                      <w:marTop w:val="0"/>
                      <w:marBottom w:val="0"/>
                      <w:divBdr>
                        <w:top w:val="none" w:sz="0" w:space="0" w:color="auto"/>
                        <w:left w:val="none" w:sz="0" w:space="0" w:color="auto"/>
                        <w:bottom w:val="none" w:sz="0" w:space="0" w:color="auto"/>
                        <w:right w:val="none" w:sz="0" w:space="0" w:color="auto"/>
                      </w:divBdr>
                      <w:divsChild>
                        <w:div w:id="180360471">
                          <w:marLeft w:val="0"/>
                          <w:marRight w:val="0"/>
                          <w:marTop w:val="0"/>
                          <w:marBottom w:val="0"/>
                          <w:divBdr>
                            <w:top w:val="none" w:sz="0" w:space="0" w:color="auto"/>
                            <w:left w:val="none" w:sz="0" w:space="0" w:color="auto"/>
                            <w:bottom w:val="none" w:sz="0" w:space="0" w:color="auto"/>
                            <w:right w:val="none" w:sz="0" w:space="0" w:color="auto"/>
                          </w:divBdr>
                        </w:div>
                      </w:divsChild>
                    </w:div>
                    <w:div w:id="810443971">
                      <w:marLeft w:val="0"/>
                      <w:marRight w:val="0"/>
                      <w:marTop w:val="0"/>
                      <w:marBottom w:val="0"/>
                      <w:divBdr>
                        <w:top w:val="none" w:sz="0" w:space="0" w:color="auto"/>
                        <w:left w:val="none" w:sz="0" w:space="0" w:color="auto"/>
                        <w:bottom w:val="none" w:sz="0" w:space="0" w:color="auto"/>
                        <w:right w:val="none" w:sz="0" w:space="0" w:color="auto"/>
                      </w:divBdr>
                      <w:divsChild>
                        <w:div w:id="1928465373">
                          <w:marLeft w:val="0"/>
                          <w:marRight w:val="0"/>
                          <w:marTop w:val="0"/>
                          <w:marBottom w:val="0"/>
                          <w:divBdr>
                            <w:top w:val="none" w:sz="0" w:space="0" w:color="auto"/>
                            <w:left w:val="none" w:sz="0" w:space="0" w:color="auto"/>
                            <w:bottom w:val="none" w:sz="0" w:space="0" w:color="auto"/>
                            <w:right w:val="none" w:sz="0" w:space="0" w:color="auto"/>
                          </w:divBdr>
                        </w:div>
                      </w:divsChild>
                    </w:div>
                    <w:div w:id="816994290">
                      <w:marLeft w:val="0"/>
                      <w:marRight w:val="0"/>
                      <w:marTop w:val="0"/>
                      <w:marBottom w:val="0"/>
                      <w:divBdr>
                        <w:top w:val="none" w:sz="0" w:space="0" w:color="auto"/>
                        <w:left w:val="none" w:sz="0" w:space="0" w:color="auto"/>
                        <w:bottom w:val="none" w:sz="0" w:space="0" w:color="auto"/>
                        <w:right w:val="none" w:sz="0" w:space="0" w:color="auto"/>
                      </w:divBdr>
                      <w:divsChild>
                        <w:div w:id="1054616830">
                          <w:marLeft w:val="0"/>
                          <w:marRight w:val="0"/>
                          <w:marTop w:val="0"/>
                          <w:marBottom w:val="0"/>
                          <w:divBdr>
                            <w:top w:val="none" w:sz="0" w:space="0" w:color="auto"/>
                            <w:left w:val="none" w:sz="0" w:space="0" w:color="auto"/>
                            <w:bottom w:val="none" w:sz="0" w:space="0" w:color="auto"/>
                            <w:right w:val="none" w:sz="0" w:space="0" w:color="auto"/>
                          </w:divBdr>
                        </w:div>
                      </w:divsChild>
                    </w:div>
                    <w:div w:id="826824979">
                      <w:marLeft w:val="0"/>
                      <w:marRight w:val="0"/>
                      <w:marTop w:val="0"/>
                      <w:marBottom w:val="0"/>
                      <w:divBdr>
                        <w:top w:val="none" w:sz="0" w:space="0" w:color="auto"/>
                        <w:left w:val="none" w:sz="0" w:space="0" w:color="auto"/>
                        <w:bottom w:val="none" w:sz="0" w:space="0" w:color="auto"/>
                        <w:right w:val="none" w:sz="0" w:space="0" w:color="auto"/>
                      </w:divBdr>
                      <w:divsChild>
                        <w:div w:id="1590040852">
                          <w:marLeft w:val="0"/>
                          <w:marRight w:val="0"/>
                          <w:marTop w:val="0"/>
                          <w:marBottom w:val="0"/>
                          <w:divBdr>
                            <w:top w:val="none" w:sz="0" w:space="0" w:color="auto"/>
                            <w:left w:val="none" w:sz="0" w:space="0" w:color="auto"/>
                            <w:bottom w:val="none" w:sz="0" w:space="0" w:color="auto"/>
                            <w:right w:val="none" w:sz="0" w:space="0" w:color="auto"/>
                          </w:divBdr>
                        </w:div>
                      </w:divsChild>
                    </w:div>
                    <w:div w:id="832718380">
                      <w:marLeft w:val="0"/>
                      <w:marRight w:val="0"/>
                      <w:marTop w:val="0"/>
                      <w:marBottom w:val="0"/>
                      <w:divBdr>
                        <w:top w:val="none" w:sz="0" w:space="0" w:color="auto"/>
                        <w:left w:val="none" w:sz="0" w:space="0" w:color="auto"/>
                        <w:bottom w:val="none" w:sz="0" w:space="0" w:color="auto"/>
                        <w:right w:val="none" w:sz="0" w:space="0" w:color="auto"/>
                      </w:divBdr>
                      <w:divsChild>
                        <w:div w:id="105657472">
                          <w:marLeft w:val="0"/>
                          <w:marRight w:val="0"/>
                          <w:marTop w:val="0"/>
                          <w:marBottom w:val="0"/>
                          <w:divBdr>
                            <w:top w:val="none" w:sz="0" w:space="0" w:color="auto"/>
                            <w:left w:val="none" w:sz="0" w:space="0" w:color="auto"/>
                            <w:bottom w:val="none" w:sz="0" w:space="0" w:color="auto"/>
                            <w:right w:val="none" w:sz="0" w:space="0" w:color="auto"/>
                          </w:divBdr>
                        </w:div>
                      </w:divsChild>
                    </w:div>
                    <w:div w:id="833187980">
                      <w:marLeft w:val="0"/>
                      <w:marRight w:val="0"/>
                      <w:marTop w:val="0"/>
                      <w:marBottom w:val="0"/>
                      <w:divBdr>
                        <w:top w:val="none" w:sz="0" w:space="0" w:color="auto"/>
                        <w:left w:val="none" w:sz="0" w:space="0" w:color="auto"/>
                        <w:bottom w:val="none" w:sz="0" w:space="0" w:color="auto"/>
                        <w:right w:val="none" w:sz="0" w:space="0" w:color="auto"/>
                      </w:divBdr>
                      <w:divsChild>
                        <w:div w:id="1838031599">
                          <w:marLeft w:val="0"/>
                          <w:marRight w:val="0"/>
                          <w:marTop w:val="0"/>
                          <w:marBottom w:val="0"/>
                          <w:divBdr>
                            <w:top w:val="none" w:sz="0" w:space="0" w:color="auto"/>
                            <w:left w:val="none" w:sz="0" w:space="0" w:color="auto"/>
                            <w:bottom w:val="none" w:sz="0" w:space="0" w:color="auto"/>
                            <w:right w:val="none" w:sz="0" w:space="0" w:color="auto"/>
                          </w:divBdr>
                        </w:div>
                      </w:divsChild>
                    </w:div>
                    <w:div w:id="850803549">
                      <w:marLeft w:val="0"/>
                      <w:marRight w:val="0"/>
                      <w:marTop w:val="0"/>
                      <w:marBottom w:val="0"/>
                      <w:divBdr>
                        <w:top w:val="none" w:sz="0" w:space="0" w:color="auto"/>
                        <w:left w:val="none" w:sz="0" w:space="0" w:color="auto"/>
                        <w:bottom w:val="none" w:sz="0" w:space="0" w:color="auto"/>
                        <w:right w:val="none" w:sz="0" w:space="0" w:color="auto"/>
                      </w:divBdr>
                      <w:divsChild>
                        <w:div w:id="729883041">
                          <w:marLeft w:val="0"/>
                          <w:marRight w:val="0"/>
                          <w:marTop w:val="0"/>
                          <w:marBottom w:val="0"/>
                          <w:divBdr>
                            <w:top w:val="none" w:sz="0" w:space="0" w:color="auto"/>
                            <w:left w:val="none" w:sz="0" w:space="0" w:color="auto"/>
                            <w:bottom w:val="none" w:sz="0" w:space="0" w:color="auto"/>
                            <w:right w:val="none" w:sz="0" w:space="0" w:color="auto"/>
                          </w:divBdr>
                        </w:div>
                      </w:divsChild>
                    </w:div>
                    <w:div w:id="855078918">
                      <w:marLeft w:val="0"/>
                      <w:marRight w:val="0"/>
                      <w:marTop w:val="0"/>
                      <w:marBottom w:val="0"/>
                      <w:divBdr>
                        <w:top w:val="none" w:sz="0" w:space="0" w:color="auto"/>
                        <w:left w:val="none" w:sz="0" w:space="0" w:color="auto"/>
                        <w:bottom w:val="none" w:sz="0" w:space="0" w:color="auto"/>
                        <w:right w:val="none" w:sz="0" w:space="0" w:color="auto"/>
                      </w:divBdr>
                      <w:divsChild>
                        <w:div w:id="104272398">
                          <w:marLeft w:val="0"/>
                          <w:marRight w:val="0"/>
                          <w:marTop w:val="0"/>
                          <w:marBottom w:val="0"/>
                          <w:divBdr>
                            <w:top w:val="none" w:sz="0" w:space="0" w:color="auto"/>
                            <w:left w:val="none" w:sz="0" w:space="0" w:color="auto"/>
                            <w:bottom w:val="none" w:sz="0" w:space="0" w:color="auto"/>
                            <w:right w:val="none" w:sz="0" w:space="0" w:color="auto"/>
                          </w:divBdr>
                        </w:div>
                      </w:divsChild>
                    </w:div>
                    <w:div w:id="861170345">
                      <w:marLeft w:val="0"/>
                      <w:marRight w:val="0"/>
                      <w:marTop w:val="0"/>
                      <w:marBottom w:val="0"/>
                      <w:divBdr>
                        <w:top w:val="none" w:sz="0" w:space="0" w:color="auto"/>
                        <w:left w:val="none" w:sz="0" w:space="0" w:color="auto"/>
                        <w:bottom w:val="none" w:sz="0" w:space="0" w:color="auto"/>
                        <w:right w:val="none" w:sz="0" w:space="0" w:color="auto"/>
                      </w:divBdr>
                      <w:divsChild>
                        <w:div w:id="1709137484">
                          <w:marLeft w:val="0"/>
                          <w:marRight w:val="0"/>
                          <w:marTop w:val="0"/>
                          <w:marBottom w:val="0"/>
                          <w:divBdr>
                            <w:top w:val="none" w:sz="0" w:space="0" w:color="auto"/>
                            <w:left w:val="none" w:sz="0" w:space="0" w:color="auto"/>
                            <w:bottom w:val="none" w:sz="0" w:space="0" w:color="auto"/>
                            <w:right w:val="none" w:sz="0" w:space="0" w:color="auto"/>
                          </w:divBdr>
                        </w:div>
                      </w:divsChild>
                    </w:div>
                    <w:div w:id="866137203">
                      <w:marLeft w:val="0"/>
                      <w:marRight w:val="0"/>
                      <w:marTop w:val="0"/>
                      <w:marBottom w:val="0"/>
                      <w:divBdr>
                        <w:top w:val="none" w:sz="0" w:space="0" w:color="auto"/>
                        <w:left w:val="none" w:sz="0" w:space="0" w:color="auto"/>
                        <w:bottom w:val="none" w:sz="0" w:space="0" w:color="auto"/>
                        <w:right w:val="none" w:sz="0" w:space="0" w:color="auto"/>
                      </w:divBdr>
                      <w:divsChild>
                        <w:div w:id="779301496">
                          <w:marLeft w:val="0"/>
                          <w:marRight w:val="0"/>
                          <w:marTop w:val="0"/>
                          <w:marBottom w:val="0"/>
                          <w:divBdr>
                            <w:top w:val="none" w:sz="0" w:space="0" w:color="auto"/>
                            <w:left w:val="none" w:sz="0" w:space="0" w:color="auto"/>
                            <w:bottom w:val="none" w:sz="0" w:space="0" w:color="auto"/>
                            <w:right w:val="none" w:sz="0" w:space="0" w:color="auto"/>
                          </w:divBdr>
                        </w:div>
                      </w:divsChild>
                    </w:div>
                    <w:div w:id="896624332">
                      <w:marLeft w:val="0"/>
                      <w:marRight w:val="0"/>
                      <w:marTop w:val="0"/>
                      <w:marBottom w:val="0"/>
                      <w:divBdr>
                        <w:top w:val="none" w:sz="0" w:space="0" w:color="auto"/>
                        <w:left w:val="none" w:sz="0" w:space="0" w:color="auto"/>
                        <w:bottom w:val="none" w:sz="0" w:space="0" w:color="auto"/>
                        <w:right w:val="none" w:sz="0" w:space="0" w:color="auto"/>
                      </w:divBdr>
                      <w:divsChild>
                        <w:div w:id="1463965433">
                          <w:marLeft w:val="0"/>
                          <w:marRight w:val="0"/>
                          <w:marTop w:val="0"/>
                          <w:marBottom w:val="0"/>
                          <w:divBdr>
                            <w:top w:val="none" w:sz="0" w:space="0" w:color="auto"/>
                            <w:left w:val="none" w:sz="0" w:space="0" w:color="auto"/>
                            <w:bottom w:val="none" w:sz="0" w:space="0" w:color="auto"/>
                            <w:right w:val="none" w:sz="0" w:space="0" w:color="auto"/>
                          </w:divBdr>
                        </w:div>
                      </w:divsChild>
                    </w:div>
                    <w:div w:id="910046697">
                      <w:marLeft w:val="0"/>
                      <w:marRight w:val="0"/>
                      <w:marTop w:val="0"/>
                      <w:marBottom w:val="0"/>
                      <w:divBdr>
                        <w:top w:val="none" w:sz="0" w:space="0" w:color="auto"/>
                        <w:left w:val="none" w:sz="0" w:space="0" w:color="auto"/>
                        <w:bottom w:val="none" w:sz="0" w:space="0" w:color="auto"/>
                        <w:right w:val="none" w:sz="0" w:space="0" w:color="auto"/>
                      </w:divBdr>
                      <w:divsChild>
                        <w:div w:id="1804345321">
                          <w:marLeft w:val="0"/>
                          <w:marRight w:val="0"/>
                          <w:marTop w:val="0"/>
                          <w:marBottom w:val="0"/>
                          <w:divBdr>
                            <w:top w:val="none" w:sz="0" w:space="0" w:color="auto"/>
                            <w:left w:val="none" w:sz="0" w:space="0" w:color="auto"/>
                            <w:bottom w:val="none" w:sz="0" w:space="0" w:color="auto"/>
                            <w:right w:val="none" w:sz="0" w:space="0" w:color="auto"/>
                          </w:divBdr>
                        </w:div>
                      </w:divsChild>
                    </w:div>
                    <w:div w:id="922180555">
                      <w:marLeft w:val="0"/>
                      <w:marRight w:val="0"/>
                      <w:marTop w:val="0"/>
                      <w:marBottom w:val="0"/>
                      <w:divBdr>
                        <w:top w:val="none" w:sz="0" w:space="0" w:color="auto"/>
                        <w:left w:val="none" w:sz="0" w:space="0" w:color="auto"/>
                        <w:bottom w:val="none" w:sz="0" w:space="0" w:color="auto"/>
                        <w:right w:val="none" w:sz="0" w:space="0" w:color="auto"/>
                      </w:divBdr>
                      <w:divsChild>
                        <w:div w:id="673653073">
                          <w:marLeft w:val="0"/>
                          <w:marRight w:val="0"/>
                          <w:marTop w:val="0"/>
                          <w:marBottom w:val="0"/>
                          <w:divBdr>
                            <w:top w:val="none" w:sz="0" w:space="0" w:color="auto"/>
                            <w:left w:val="none" w:sz="0" w:space="0" w:color="auto"/>
                            <w:bottom w:val="none" w:sz="0" w:space="0" w:color="auto"/>
                            <w:right w:val="none" w:sz="0" w:space="0" w:color="auto"/>
                          </w:divBdr>
                        </w:div>
                      </w:divsChild>
                    </w:div>
                    <w:div w:id="926646081">
                      <w:marLeft w:val="0"/>
                      <w:marRight w:val="0"/>
                      <w:marTop w:val="0"/>
                      <w:marBottom w:val="0"/>
                      <w:divBdr>
                        <w:top w:val="none" w:sz="0" w:space="0" w:color="auto"/>
                        <w:left w:val="none" w:sz="0" w:space="0" w:color="auto"/>
                        <w:bottom w:val="none" w:sz="0" w:space="0" w:color="auto"/>
                        <w:right w:val="none" w:sz="0" w:space="0" w:color="auto"/>
                      </w:divBdr>
                      <w:divsChild>
                        <w:div w:id="34699324">
                          <w:marLeft w:val="0"/>
                          <w:marRight w:val="0"/>
                          <w:marTop w:val="0"/>
                          <w:marBottom w:val="0"/>
                          <w:divBdr>
                            <w:top w:val="none" w:sz="0" w:space="0" w:color="auto"/>
                            <w:left w:val="none" w:sz="0" w:space="0" w:color="auto"/>
                            <w:bottom w:val="none" w:sz="0" w:space="0" w:color="auto"/>
                            <w:right w:val="none" w:sz="0" w:space="0" w:color="auto"/>
                          </w:divBdr>
                        </w:div>
                      </w:divsChild>
                    </w:div>
                    <w:div w:id="950087843">
                      <w:marLeft w:val="0"/>
                      <w:marRight w:val="0"/>
                      <w:marTop w:val="0"/>
                      <w:marBottom w:val="0"/>
                      <w:divBdr>
                        <w:top w:val="none" w:sz="0" w:space="0" w:color="auto"/>
                        <w:left w:val="none" w:sz="0" w:space="0" w:color="auto"/>
                        <w:bottom w:val="none" w:sz="0" w:space="0" w:color="auto"/>
                        <w:right w:val="none" w:sz="0" w:space="0" w:color="auto"/>
                      </w:divBdr>
                      <w:divsChild>
                        <w:div w:id="1787038786">
                          <w:marLeft w:val="0"/>
                          <w:marRight w:val="0"/>
                          <w:marTop w:val="0"/>
                          <w:marBottom w:val="0"/>
                          <w:divBdr>
                            <w:top w:val="none" w:sz="0" w:space="0" w:color="auto"/>
                            <w:left w:val="none" w:sz="0" w:space="0" w:color="auto"/>
                            <w:bottom w:val="none" w:sz="0" w:space="0" w:color="auto"/>
                            <w:right w:val="none" w:sz="0" w:space="0" w:color="auto"/>
                          </w:divBdr>
                        </w:div>
                      </w:divsChild>
                    </w:div>
                    <w:div w:id="953250526">
                      <w:marLeft w:val="0"/>
                      <w:marRight w:val="0"/>
                      <w:marTop w:val="0"/>
                      <w:marBottom w:val="0"/>
                      <w:divBdr>
                        <w:top w:val="none" w:sz="0" w:space="0" w:color="auto"/>
                        <w:left w:val="none" w:sz="0" w:space="0" w:color="auto"/>
                        <w:bottom w:val="none" w:sz="0" w:space="0" w:color="auto"/>
                        <w:right w:val="none" w:sz="0" w:space="0" w:color="auto"/>
                      </w:divBdr>
                      <w:divsChild>
                        <w:div w:id="1525244593">
                          <w:marLeft w:val="0"/>
                          <w:marRight w:val="0"/>
                          <w:marTop w:val="0"/>
                          <w:marBottom w:val="0"/>
                          <w:divBdr>
                            <w:top w:val="none" w:sz="0" w:space="0" w:color="auto"/>
                            <w:left w:val="none" w:sz="0" w:space="0" w:color="auto"/>
                            <w:bottom w:val="none" w:sz="0" w:space="0" w:color="auto"/>
                            <w:right w:val="none" w:sz="0" w:space="0" w:color="auto"/>
                          </w:divBdr>
                        </w:div>
                      </w:divsChild>
                    </w:div>
                    <w:div w:id="956331526">
                      <w:marLeft w:val="0"/>
                      <w:marRight w:val="0"/>
                      <w:marTop w:val="0"/>
                      <w:marBottom w:val="0"/>
                      <w:divBdr>
                        <w:top w:val="none" w:sz="0" w:space="0" w:color="auto"/>
                        <w:left w:val="none" w:sz="0" w:space="0" w:color="auto"/>
                        <w:bottom w:val="none" w:sz="0" w:space="0" w:color="auto"/>
                        <w:right w:val="none" w:sz="0" w:space="0" w:color="auto"/>
                      </w:divBdr>
                      <w:divsChild>
                        <w:div w:id="414981150">
                          <w:marLeft w:val="0"/>
                          <w:marRight w:val="0"/>
                          <w:marTop w:val="0"/>
                          <w:marBottom w:val="0"/>
                          <w:divBdr>
                            <w:top w:val="none" w:sz="0" w:space="0" w:color="auto"/>
                            <w:left w:val="none" w:sz="0" w:space="0" w:color="auto"/>
                            <w:bottom w:val="none" w:sz="0" w:space="0" w:color="auto"/>
                            <w:right w:val="none" w:sz="0" w:space="0" w:color="auto"/>
                          </w:divBdr>
                        </w:div>
                      </w:divsChild>
                    </w:div>
                    <w:div w:id="957375370">
                      <w:marLeft w:val="0"/>
                      <w:marRight w:val="0"/>
                      <w:marTop w:val="0"/>
                      <w:marBottom w:val="0"/>
                      <w:divBdr>
                        <w:top w:val="none" w:sz="0" w:space="0" w:color="auto"/>
                        <w:left w:val="none" w:sz="0" w:space="0" w:color="auto"/>
                        <w:bottom w:val="none" w:sz="0" w:space="0" w:color="auto"/>
                        <w:right w:val="none" w:sz="0" w:space="0" w:color="auto"/>
                      </w:divBdr>
                      <w:divsChild>
                        <w:div w:id="1732804568">
                          <w:marLeft w:val="0"/>
                          <w:marRight w:val="0"/>
                          <w:marTop w:val="0"/>
                          <w:marBottom w:val="0"/>
                          <w:divBdr>
                            <w:top w:val="none" w:sz="0" w:space="0" w:color="auto"/>
                            <w:left w:val="none" w:sz="0" w:space="0" w:color="auto"/>
                            <w:bottom w:val="none" w:sz="0" w:space="0" w:color="auto"/>
                            <w:right w:val="none" w:sz="0" w:space="0" w:color="auto"/>
                          </w:divBdr>
                        </w:div>
                      </w:divsChild>
                    </w:div>
                    <w:div w:id="961111050">
                      <w:marLeft w:val="0"/>
                      <w:marRight w:val="0"/>
                      <w:marTop w:val="0"/>
                      <w:marBottom w:val="0"/>
                      <w:divBdr>
                        <w:top w:val="none" w:sz="0" w:space="0" w:color="auto"/>
                        <w:left w:val="none" w:sz="0" w:space="0" w:color="auto"/>
                        <w:bottom w:val="none" w:sz="0" w:space="0" w:color="auto"/>
                        <w:right w:val="none" w:sz="0" w:space="0" w:color="auto"/>
                      </w:divBdr>
                      <w:divsChild>
                        <w:div w:id="639000811">
                          <w:marLeft w:val="0"/>
                          <w:marRight w:val="0"/>
                          <w:marTop w:val="0"/>
                          <w:marBottom w:val="0"/>
                          <w:divBdr>
                            <w:top w:val="none" w:sz="0" w:space="0" w:color="auto"/>
                            <w:left w:val="none" w:sz="0" w:space="0" w:color="auto"/>
                            <w:bottom w:val="none" w:sz="0" w:space="0" w:color="auto"/>
                            <w:right w:val="none" w:sz="0" w:space="0" w:color="auto"/>
                          </w:divBdr>
                        </w:div>
                      </w:divsChild>
                    </w:div>
                    <w:div w:id="978075984">
                      <w:marLeft w:val="0"/>
                      <w:marRight w:val="0"/>
                      <w:marTop w:val="0"/>
                      <w:marBottom w:val="0"/>
                      <w:divBdr>
                        <w:top w:val="none" w:sz="0" w:space="0" w:color="auto"/>
                        <w:left w:val="none" w:sz="0" w:space="0" w:color="auto"/>
                        <w:bottom w:val="none" w:sz="0" w:space="0" w:color="auto"/>
                        <w:right w:val="none" w:sz="0" w:space="0" w:color="auto"/>
                      </w:divBdr>
                      <w:divsChild>
                        <w:div w:id="1684430909">
                          <w:marLeft w:val="0"/>
                          <w:marRight w:val="0"/>
                          <w:marTop w:val="0"/>
                          <w:marBottom w:val="0"/>
                          <w:divBdr>
                            <w:top w:val="none" w:sz="0" w:space="0" w:color="auto"/>
                            <w:left w:val="none" w:sz="0" w:space="0" w:color="auto"/>
                            <w:bottom w:val="none" w:sz="0" w:space="0" w:color="auto"/>
                            <w:right w:val="none" w:sz="0" w:space="0" w:color="auto"/>
                          </w:divBdr>
                        </w:div>
                      </w:divsChild>
                    </w:div>
                    <w:div w:id="979113353">
                      <w:marLeft w:val="0"/>
                      <w:marRight w:val="0"/>
                      <w:marTop w:val="0"/>
                      <w:marBottom w:val="0"/>
                      <w:divBdr>
                        <w:top w:val="none" w:sz="0" w:space="0" w:color="auto"/>
                        <w:left w:val="none" w:sz="0" w:space="0" w:color="auto"/>
                        <w:bottom w:val="none" w:sz="0" w:space="0" w:color="auto"/>
                        <w:right w:val="none" w:sz="0" w:space="0" w:color="auto"/>
                      </w:divBdr>
                      <w:divsChild>
                        <w:div w:id="880484532">
                          <w:marLeft w:val="0"/>
                          <w:marRight w:val="0"/>
                          <w:marTop w:val="0"/>
                          <w:marBottom w:val="0"/>
                          <w:divBdr>
                            <w:top w:val="none" w:sz="0" w:space="0" w:color="auto"/>
                            <w:left w:val="none" w:sz="0" w:space="0" w:color="auto"/>
                            <w:bottom w:val="none" w:sz="0" w:space="0" w:color="auto"/>
                            <w:right w:val="none" w:sz="0" w:space="0" w:color="auto"/>
                          </w:divBdr>
                        </w:div>
                      </w:divsChild>
                    </w:div>
                    <w:div w:id="982080287">
                      <w:marLeft w:val="0"/>
                      <w:marRight w:val="0"/>
                      <w:marTop w:val="0"/>
                      <w:marBottom w:val="0"/>
                      <w:divBdr>
                        <w:top w:val="none" w:sz="0" w:space="0" w:color="auto"/>
                        <w:left w:val="none" w:sz="0" w:space="0" w:color="auto"/>
                        <w:bottom w:val="none" w:sz="0" w:space="0" w:color="auto"/>
                        <w:right w:val="none" w:sz="0" w:space="0" w:color="auto"/>
                      </w:divBdr>
                      <w:divsChild>
                        <w:div w:id="1121923901">
                          <w:marLeft w:val="0"/>
                          <w:marRight w:val="0"/>
                          <w:marTop w:val="0"/>
                          <w:marBottom w:val="0"/>
                          <w:divBdr>
                            <w:top w:val="none" w:sz="0" w:space="0" w:color="auto"/>
                            <w:left w:val="none" w:sz="0" w:space="0" w:color="auto"/>
                            <w:bottom w:val="none" w:sz="0" w:space="0" w:color="auto"/>
                            <w:right w:val="none" w:sz="0" w:space="0" w:color="auto"/>
                          </w:divBdr>
                        </w:div>
                      </w:divsChild>
                    </w:div>
                    <w:div w:id="985090991">
                      <w:marLeft w:val="0"/>
                      <w:marRight w:val="0"/>
                      <w:marTop w:val="0"/>
                      <w:marBottom w:val="0"/>
                      <w:divBdr>
                        <w:top w:val="none" w:sz="0" w:space="0" w:color="auto"/>
                        <w:left w:val="none" w:sz="0" w:space="0" w:color="auto"/>
                        <w:bottom w:val="none" w:sz="0" w:space="0" w:color="auto"/>
                        <w:right w:val="none" w:sz="0" w:space="0" w:color="auto"/>
                      </w:divBdr>
                      <w:divsChild>
                        <w:div w:id="925188232">
                          <w:marLeft w:val="0"/>
                          <w:marRight w:val="0"/>
                          <w:marTop w:val="0"/>
                          <w:marBottom w:val="0"/>
                          <w:divBdr>
                            <w:top w:val="none" w:sz="0" w:space="0" w:color="auto"/>
                            <w:left w:val="none" w:sz="0" w:space="0" w:color="auto"/>
                            <w:bottom w:val="none" w:sz="0" w:space="0" w:color="auto"/>
                            <w:right w:val="none" w:sz="0" w:space="0" w:color="auto"/>
                          </w:divBdr>
                        </w:div>
                      </w:divsChild>
                    </w:div>
                    <w:div w:id="987246345">
                      <w:marLeft w:val="0"/>
                      <w:marRight w:val="0"/>
                      <w:marTop w:val="0"/>
                      <w:marBottom w:val="0"/>
                      <w:divBdr>
                        <w:top w:val="none" w:sz="0" w:space="0" w:color="auto"/>
                        <w:left w:val="none" w:sz="0" w:space="0" w:color="auto"/>
                        <w:bottom w:val="none" w:sz="0" w:space="0" w:color="auto"/>
                        <w:right w:val="none" w:sz="0" w:space="0" w:color="auto"/>
                      </w:divBdr>
                      <w:divsChild>
                        <w:div w:id="1571232231">
                          <w:marLeft w:val="0"/>
                          <w:marRight w:val="0"/>
                          <w:marTop w:val="0"/>
                          <w:marBottom w:val="0"/>
                          <w:divBdr>
                            <w:top w:val="none" w:sz="0" w:space="0" w:color="auto"/>
                            <w:left w:val="none" w:sz="0" w:space="0" w:color="auto"/>
                            <w:bottom w:val="none" w:sz="0" w:space="0" w:color="auto"/>
                            <w:right w:val="none" w:sz="0" w:space="0" w:color="auto"/>
                          </w:divBdr>
                        </w:div>
                      </w:divsChild>
                    </w:div>
                    <w:div w:id="990716851">
                      <w:marLeft w:val="0"/>
                      <w:marRight w:val="0"/>
                      <w:marTop w:val="0"/>
                      <w:marBottom w:val="0"/>
                      <w:divBdr>
                        <w:top w:val="none" w:sz="0" w:space="0" w:color="auto"/>
                        <w:left w:val="none" w:sz="0" w:space="0" w:color="auto"/>
                        <w:bottom w:val="none" w:sz="0" w:space="0" w:color="auto"/>
                        <w:right w:val="none" w:sz="0" w:space="0" w:color="auto"/>
                      </w:divBdr>
                      <w:divsChild>
                        <w:div w:id="1147893236">
                          <w:marLeft w:val="0"/>
                          <w:marRight w:val="0"/>
                          <w:marTop w:val="0"/>
                          <w:marBottom w:val="0"/>
                          <w:divBdr>
                            <w:top w:val="none" w:sz="0" w:space="0" w:color="auto"/>
                            <w:left w:val="none" w:sz="0" w:space="0" w:color="auto"/>
                            <w:bottom w:val="none" w:sz="0" w:space="0" w:color="auto"/>
                            <w:right w:val="none" w:sz="0" w:space="0" w:color="auto"/>
                          </w:divBdr>
                        </w:div>
                      </w:divsChild>
                    </w:div>
                    <w:div w:id="1001347440">
                      <w:marLeft w:val="0"/>
                      <w:marRight w:val="0"/>
                      <w:marTop w:val="0"/>
                      <w:marBottom w:val="0"/>
                      <w:divBdr>
                        <w:top w:val="none" w:sz="0" w:space="0" w:color="auto"/>
                        <w:left w:val="none" w:sz="0" w:space="0" w:color="auto"/>
                        <w:bottom w:val="none" w:sz="0" w:space="0" w:color="auto"/>
                        <w:right w:val="none" w:sz="0" w:space="0" w:color="auto"/>
                      </w:divBdr>
                      <w:divsChild>
                        <w:div w:id="752749927">
                          <w:marLeft w:val="0"/>
                          <w:marRight w:val="0"/>
                          <w:marTop w:val="0"/>
                          <w:marBottom w:val="0"/>
                          <w:divBdr>
                            <w:top w:val="none" w:sz="0" w:space="0" w:color="auto"/>
                            <w:left w:val="none" w:sz="0" w:space="0" w:color="auto"/>
                            <w:bottom w:val="none" w:sz="0" w:space="0" w:color="auto"/>
                            <w:right w:val="none" w:sz="0" w:space="0" w:color="auto"/>
                          </w:divBdr>
                        </w:div>
                      </w:divsChild>
                    </w:div>
                    <w:div w:id="1028219508">
                      <w:marLeft w:val="0"/>
                      <w:marRight w:val="0"/>
                      <w:marTop w:val="0"/>
                      <w:marBottom w:val="0"/>
                      <w:divBdr>
                        <w:top w:val="none" w:sz="0" w:space="0" w:color="auto"/>
                        <w:left w:val="none" w:sz="0" w:space="0" w:color="auto"/>
                        <w:bottom w:val="none" w:sz="0" w:space="0" w:color="auto"/>
                        <w:right w:val="none" w:sz="0" w:space="0" w:color="auto"/>
                      </w:divBdr>
                      <w:divsChild>
                        <w:div w:id="1873611918">
                          <w:marLeft w:val="0"/>
                          <w:marRight w:val="0"/>
                          <w:marTop w:val="0"/>
                          <w:marBottom w:val="0"/>
                          <w:divBdr>
                            <w:top w:val="none" w:sz="0" w:space="0" w:color="auto"/>
                            <w:left w:val="none" w:sz="0" w:space="0" w:color="auto"/>
                            <w:bottom w:val="none" w:sz="0" w:space="0" w:color="auto"/>
                            <w:right w:val="none" w:sz="0" w:space="0" w:color="auto"/>
                          </w:divBdr>
                        </w:div>
                      </w:divsChild>
                    </w:div>
                    <w:div w:id="1033530003">
                      <w:marLeft w:val="0"/>
                      <w:marRight w:val="0"/>
                      <w:marTop w:val="0"/>
                      <w:marBottom w:val="0"/>
                      <w:divBdr>
                        <w:top w:val="none" w:sz="0" w:space="0" w:color="auto"/>
                        <w:left w:val="none" w:sz="0" w:space="0" w:color="auto"/>
                        <w:bottom w:val="none" w:sz="0" w:space="0" w:color="auto"/>
                        <w:right w:val="none" w:sz="0" w:space="0" w:color="auto"/>
                      </w:divBdr>
                      <w:divsChild>
                        <w:div w:id="959990744">
                          <w:marLeft w:val="0"/>
                          <w:marRight w:val="0"/>
                          <w:marTop w:val="0"/>
                          <w:marBottom w:val="0"/>
                          <w:divBdr>
                            <w:top w:val="none" w:sz="0" w:space="0" w:color="auto"/>
                            <w:left w:val="none" w:sz="0" w:space="0" w:color="auto"/>
                            <w:bottom w:val="none" w:sz="0" w:space="0" w:color="auto"/>
                            <w:right w:val="none" w:sz="0" w:space="0" w:color="auto"/>
                          </w:divBdr>
                        </w:div>
                      </w:divsChild>
                    </w:div>
                    <w:div w:id="1035085619">
                      <w:marLeft w:val="0"/>
                      <w:marRight w:val="0"/>
                      <w:marTop w:val="0"/>
                      <w:marBottom w:val="0"/>
                      <w:divBdr>
                        <w:top w:val="none" w:sz="0" w:space="0" w:color="auto"/>
                        <w:left w:val="none" w:sz="0" w:space="0" w:color="auto"/>
                        <w:bottom w:val="none" w:sz="0" w:space="0" w:color="auto"/>
                        <w:right w:val="none" w:sz="0" w:space="0" w:color="auto"/>
                      </w:divBdr>
                      <w:divsChild>
                        <w:div w:id="1900896344">
                          <w:marLeft w:val="0"/>
                          <w:marRight w:val="0"/>
                          <w:marTop w:val="0"/>
                          <w:marBottom w:val="0"/>
                          <w:divBdr>
                            <w:top w:val="none" w:sz="0" w:space="0" w:color="auto"/>
                            <w:left w:val="none" w:sz="0" w:space="0" w:color="auto"/>
                            <w:bottom w:val="none" w:sz="0" w:space="0" w:color="auto"/>
                            <w:right w:val="none" w:sz="0" w:space="0" w:color="auto"/>
                          </w:divBdr>
                        </w:div>
                      </w:divsChild>
                    </w:div>
                    <w:div w:id="1044672591">
                      <w:marLeft w:val="0"/>
                      <w:marRight w:val="0"/>
                      <w:marTop w:val="0"/>
                      <w:marBottom w:val="0"/>
                      <w:divBdr>
                        <w:top w:val="none" w:sz="0" w:space="0" w:color="auto"/>
                        <w:left w:val="none" w:sz="0" w:space="0" w:color="auto"/>
                        <w:bottom w:val="none" w:sz="0" w:space="0" w:color="auto"/>
                        <w:right w:val="none" w:sz="0" w:space="0" w:color="auto"/>
                      </w:divBdr>
                      <w:divsChild>
                        <w:div w:id="363790711">
                          <w:marLeft w:val="0"/>
                          <w:marRight w:val="0"/>
                          <w:marTop w:val="0"/>
                          <w:marBottom w:val="0"/>
                          <w:divBdr>
                            <w:top w:val="none" w:sz="0" w:space="0" w:color="auto"/>
                            <w:left w:val="none" w:sz="0" w:space="0" w:color="auto"/>
                            <w:bottom w:val="none" w:sz="0" w:space="0" w:color="auto"/>
                            <w:right w:val="none" w:sz="0" w:space="0" w:color="auto"/>
                          </w:divBdr>
                        </w:div>
                      </w:divsChild>
                    </w:div>
                    <w:div w:id="1061517389">
                      <w:marLeft w:val="0"/>
                      <w:marRight w:val="0"/>
                      <w:marTop w:val="0"/>
                      <w:marBottom w:val="0"/>
                      <w:divBdr>
                        <w:top w:val="none" w:sz="0" w:space="0" w:color="auto"/>
                        <w:left w:val="none" w:sz="0" w:space="0" w:color="auto"/>
                        <w:bottom w:val="none" w:sz="0" w:space="0" w:color="auto"/>
                        <w:right w:val="none" w:sz="0" w:space="0" w:color="auto"/>
                      </w:divBdr>
                      <w:divsChild>
                        <w:div w:id="855729714">
                          <w:marLeft w:val="0"/>
                          <w:marRight w:val="0"/>
                          <w:marTop w:val="0"/>
                          <w:marBottom w:val="0"/>
                          <w:divBdr>
                            <w:top w:val="none" w:sz="0" w:space="0" w:color="auto"/>
                            <w:left w:val="none" w:sz="0" w:space="0" w:color="auto"/>
                            <w:bottom w:val="none" w:sz="0" w:space="0" w:color="auto"/>
                            <w:right w:val="none" w:sz="0" w:space="0" w:color="auto"/>
                          </w:divBdr>
                        </w:div>
                      </w:divsChild>
                    </w:div>
                    <w:div w:id="1101029243">
                      <w:marLeft w:val="0"/>
                      <w:marRight w:val="0"/>
                      <w:marTop w:val="0"/>
                      <w:marBottom w:val="0"/>
                      <w:divBdr>
                        <w:top w:val="none" w:sz="0" w:space="0" w:color="auto"/>
                        <w:left w:val="none" w:sz="0" w:space="0" w:color="auto"/>
                        <w:bottom w:val="none" w:sz="0" w:space="0" w:color="auto"/>
                        <w:right w:val="none" w:sz="0" w:space="0" w:color="auto"/>
                      </w:divBdr>
                      <w:divsChild>
                        <w:div w:id="791287551">
                          <w:marLeft w:val="0"/>
                          <w:marRight w:val="0"/>
                          <w:marTop w:val="0"/>
                          <w:marBottom w:val="0"/>
                          <w:divBdr>
                            <w:top w:val="none" w:sz="0" w:space="0" w:color="auto"/>
                            <w:left w:val="none" w:sz="0" w:space="0" w:color="auto"/>
                            <w:bottom w:val="none" w:sz="0" w:space="0" w:color="auto"/>
                            <w:right w:val="none" w:sz="0" w:space="0" w:color="auto"/>
                          </w:divBdr>
                        </w:div>
                      </w:divsChild>
                    </w:div>
                    <w:div w:id="1102264192">
                      <w:marLeft w:val="0"/>
                      <w:marRight w:val="0"/>
                      <w:marTop w:val="0"/>
                      <w:marBottom w:val="0"/>
                      <w:divBdr>
                        <w:top w:val="none" w:sz="0" w:space="0" w:color="auto"/>
                        <w:left w:val="none" w:sz="0" w:space="0" w:color="auto"/>
                        <w:bottom w:val="none" w:sz="0" w:space="0" w:color="auto"/>
                        <w:right w:val="none" w:sz="0" w:space="0" w:color="auto"/>
                      </w:divBdr>
                      <w:divsChild>
                        <w:div w:id="672414375">
                          <w:marLeft w:val="0"/>
                          <w:marRight w:val="0"/>
                          <w:marTop w:val="0"/>
                          <w:marBottom w:val="0"/>
                          <w:divBdr>
                            <w:top w:val="none" w:sz="0" w:space="0" w:color="auto"/>
                            <w:left w:val="none" w:sz="0" w:space="0" w:color="auto"/>
                            <w:bottom w:val="none" w:sz="0" w:space="0" w:color="auto"/>
                            <w:right w:val="none" w:sz="0" w:space="0" w:color="auto"/>
                          </w:divBdr>
                        </w:div>
                      </w:divsChild>
                    </w:div>
                    <w:div w:id="1107433842">
                      <w:marLeft w:val="0"/>
                      <w:marRight w:val="0"/>
                      <w:marTop w:val="0"/>
                      <w:marBottom w:val="0"/>
                      <w:divBdr>
                        <w:top w:val="none" w:sz="0" w:space="0" w:color="auto"/>
                        <w:left w:val="none" w:sz="0" w:space="0" w:color="auto"/>
                        <w:bottom w:val="none" w:sz="0" w:space="0" w:color="auto"/>
                        <w:right w:val="none" w:sz="0" w:space="0" w:color="auto"/>
                      </w:divBdr>
                      <w:divsChild>
                        <w:div w:id="388923249">
                          <w:marLeft w:val="0"/>
                          <w:marRight w:val="0"/>
                          <w:marTop w:val="0"/>
                          <w:marBottom w:val="0"/>
                          <w:divBdr>
                            <w:top w:val="none" w:sz="0" w:space="0" w:color="auto"/>
                            <w:left w:val="none" w:sz="0" w:space="0" w:color="auto"/>
                            <w:bottom w:val="none" w:sz="0" w:space="0" w:color="auto"/>
                            <w:right w:val="none" w:sz="0" w:space="0" w:color="auto"/>
                          </w:divBdr>
                        </w:div>
                      </w:divsChild>
                    </w:div>
                    <w:div w:id="1115370289">
                      <w:marLeft w:val="0"/>
                      <w:marRight w:val="0"/>
                      <w:marTop w:val="0"/>
                      <w:marBottom w:val="0"/>
                      <w:divBdr>
                        <w:top w:val="none" w:sz="0" w:space="0" w:color="auto"/>
                        <w:left w:val="none" w:sz="0" w:space="0" w:color="auto"/>
                        <w:bottom w:val="none" w:sz="0" w:space="0" w:color="auto"/>
                        <w:right w:val="none" w:sz="0" w:space="0" w:color="auto"/>
                      </w:divBdr>
                      <w:divsChild>
                        <w:div w:id="109666663">
                          <w:marLeft w:val="0"/>
                          <w:marRight w:val="0"/>
                          <w:marTop w:val="0"/>
                          <w:marBottom w:val="0"/>
                          <w:divBdr>
                            <w:top w:val="none" w:sz="0" w:space="0" w:color="auto"/>
                            <w:left w:val="none" w:sz="0" w:space="0" w:color="auto"/>
                            <w:bottom w:val="none" w:sz="0" w:space="0" w:color="auto"/>
                            <w:right w:val="none" w:sz="0" w:space="0" w:color="auto"/>
                          </w:divBdr>
                        </w:div>
                      </w:divsChild>
                    </w:div>
                    <w:div w:id="1118261831">
                      <w:marLeft w:val="0"/>
                      <w:marRight w:val="0"/>
                      <w:marTop w:val="0"/>
                      <w:marBottom w:val="0"/>
                      <w:divBdr>
                        <w:top w:val="none" w:sz="0" w:space="0" w:color="auto"/>
                        <w:left w:val="none" w:sz="0" w:space="0" w:color="auto"/>
                        <w:bottom w:val="none" w:sz="0" w:space="0" w:color="auto"/>
                        <w:right w:val="none" w:sz="0" w:space="0" w:color="auto"/>
                      </w:divBdr>
                      <w:divsChild>
                        <w:div w:id="1017930707">
                          <w:marLeft w:val="0"/>
                          <w:marRight w:val="0"/>
                          <w:marTop w:val="0"/>
                          <w:marBottom w:val="0"/>
                          <w:divBdr>
                            <w:top w:val="none" w:sz="0" w:space="0" w:color="auto"/>
                            <w:left w:val="none" w:sz="0" w:space="0" w:color="auto"/>
                            <w:bottom w:val="none" w:sz="0" w:space="0" w:color="auto"/>
                            <w:right w:val="none" w:sz="0" w:space="0" w:color="auto"/>
                          </w:divBdr>
                        </w:div>
                      </w:divsChild>
                    </w:div>
                    <w:div w:id="1137643748">
                      <w:marLeft w:val="0"/>
                      <w:marRight w:val="0"/>
                      <w:marTop w:val="0"/>
                      <w:marBottom w:val="0"/>
                      <w:divBdr>
                        <w:top w:val="none" w:sz="0" w:space="0" w:color="auto"/>
                        <w:left w:val="none" w:sz="0" w:space="0" w:color="auto"/>
                        <w:bottom w:val="none" w:sz="0" w:space="0" w:color="auto"/>
                        <w:right w:val="none" w:sz="0" w:space="0" w:color="auto"/>
                      </w:divBdr>
                      <w:divsChild>
                        <w:div w:id="1477650800">
                          <w:marLeft w:val="0"/>
                          <w:marRight w:val="0"/>
                          <w:marTop w:val="0"/>
                          <w:marBottom w:val="0"/>
                          <w:divBdr>
                            <w:top w:val="none" w:sz="0" w:space="0" w:color="auto"/>
                            <w:left w:val="none" w:sz="0" w:space="0" w:color="auto"/>
                            <w:bottom w:val="none" w:sz="0" w:space="0" w:color="auto"/>
                            <w:right w:val="none" w:sz="0" w:space="0" w:color="auto"/>
                          </w:divBdr>
                        </w:div>
                      </w:divsChild>
                    </w:div>
                    <w:div w:id="1145702205">
                      <w:marLeft w:val="0"/>
                      <w:marRight w:val="0"/>
                      <w:marTop w:val="0"/>
                      <w:marBottom w:val="0"/>
                      <w:divBdr>
                        <w:top w:val="none" w:sz="0" w:space="0" w:color="auto"/>
                        <w:left w:val="none" w:sz="0" w:space="0" w:color="auto"/>
                        <w:bottom w:val="none" w:sz="0" w:space="0" w:color="auto"/>
                        <w:right w:val="none" w:sz="0" w:space="0" w:color="auto"/>
                      </w:divBdr>
                      <w:divsChild>
                        <w:div w:id="1517159556">
                          <w:marLeft w:val="0"/>
                          <w:marRight w:val="0"/>
                          <w:marTop w:val="0"/>
                          <w:marBottom w:val="0"/>
                          <w:divBdr>
                            <w:top w:val="none" w:sz="0" w:space="0" w:color="auto"/>
                            <w:left w:val="none" w:sz="0" w:space="0" w:color="auto"/>
                            <w:bottom w:val="none" w:sz="0" w:space="0" w:color="auto"/>
                            <w:right w:val="none" w:sz="0" w:space="0" w:color="auto"/>
                          </w:divBdr>
                        </w:div>
                      </w:divsChild>
                    </w:div>
                    <w:div w:id="1147624267">
                      <w:marLeft w:val="0"/>
                      <w:marRight w:val="0"/>
                      <w:marTop w:val="0"/>
                      <w:marBottom w:val="0"/>
                      <w:divBdr>
                        <w:top w:val="none" w:sz="0" w:space="0" w:color="auto"/>
                        <w:left w:val="none" w:sz="0" w:space="0" w:color="auto"/>
                        <w:bottom w:val="none" w:sz="0" w:space="0" w:color="auto"/>
                        <w:right w:val="none" w:sz="0" w:space="0" w:color="auto"/>
                      </w:divBdr>
                      <w:divsChild>
                        <w:div w:id="754669589">
                          <w:marLeft w:val="0"/>
                          <w:marRight w:val="0"/>
                          <w:marTop w:val="0"/>
                          <w:marBottom w:val="0"/>
                          <w:divBdr>
                            <w:top w:val="none" w:sz="0" w:space="0" w:color="auto"/>
                            <w:left w:val="none" w:sz="0" w:space="0" w:color="auto"/>
                            <w:bottom w:val="none" w:sz="0" w:space="0" w:color="auto"/>
                            <w:right w:val="none" w:sz="0" w:space="0" w:color="auto"/>
                          </w:divBdr>
                        </w:div>
                      </w:divsChild>
                    </w:div>
                    <w:div w:id="1151602598">
                      <w:marLeft w:val="0"/>
                      <w:marRight w:val="0"/>
                      <w:marTop w:val="0"/>
                      <w:marBottom w:val="0"/>
                      <w:divBdr>
                        <w:top w:val="none" w:sz="0" w:space="0" w:color="auto"/>
                        <w:left w:val="none" w:sz="0" w:space="0" w:color="auto"/>
                        <w:bottom w:val="none" w:sz="0" w:space="0" w:color="auto"/>
                        <w:right w:val="none" w:sz="0" w:space="0" w:color="auto"/>
                      </w:divBdr>
                      <w:divsChild>
                        <w:div w:id="947471760">
                          <w:marLeft w:val="0"/>
                          <w:marRight w:val="0"/>
                          <w:marTop w:val="0"/>
                          <w:marBottom w:val="0"/>
                          <w:divBdr>
                            <w:top w:val="none" w:sz="0" w:space="0" w:color="auto"/>
                            <w:left w:val="none" w:sz="0" w:space="0" w:color="auto"/>
                            <w:bottom w:val="none" w:sz="0" w:space="0" w:color="auto"/>
                            <w:right w:val="none" w:sz="0" w:space="0" w:color="auto"/>
                          </w:divBdr>
                        </w:div>
                      </w:divsChild>
                    </w:div>
                    <w:div w:id="1166477982">
                      <w:marLeft w:val="0"/>
                      <w:marRight w:val="0"/>
                      <w:marTop w:val="0"/>
                      <w:marBottom w:val="0"/>
                      <w:divBdr>
                        <w:top w:val="none" w:sz="0" w:space="0" w:color="auto"/>
                        <w:left w:val="none" w:sz="0" w:space="0" w:color="auto"/>
                        <w:bottom w:val="none" w:sz="0" w:space="0" w:color="auto"/>
                        <w:right w:val="none" w:sz="0" w:space="0" w:color="auto"/>
                      </w:divBdr>
                      <w:divsChild>
                        <w:div w:id="208881023">
                          <w:marLeft w:val="0"/>
                          <w:marRight w:val="0"/>
                          <w:marTop w:val="0"/>
                          <w:marBottom w:val="0"/>
                          <w:divBdr>
                            <w:top w:val="none" w:sz="0" w:space="0" w:color="auto"/>
                            <w:left w:val="none" w:sz="0" w:space="0" w:color="auto"/>
                            <w:bottom w:val="none" w:sz="0" w:space="0" w:color="auto"/>
                            <w:right w:val="none" w:sz="0" w:space="0" w:color="auto"/>
                          </w:divBdr>
                        </w:div>
                      </w:divsChild>
                    </w:div>
                    <w:div w:id="1172767492">
                      <w:marLeft w:val="0"/>
                      <w:marRight w:val="0"/>
                      <w:marTop w:val="0"/>
                      <w:marBottom w:val="0"/>
                      <w:divBdr>
                        <w:top w:val="none" w:sz="0" w:space="0" w:color="auto"/>
                        <w:left w:val="none" w:sz="0" w:space="0" w:color="auto"/>
                        <w:bottom w:val="none" w:sz="0" w:space="0" w:color="auto"/>
                        <w:right w:val="none" w:sz="0" w:space="0" w:color="auto"/>
                      </w:divBdr>
                      <w:divsChild>
                        <w:div w:id="1880782965">
                          <w:marLeft w:val="0"/>
                          <w:marRight w:val="0"/>
                          <w:marTop w:val="0"/>
                          <w:marBottom w:val="0"/>
                          <w:divBdr>
                            <w:top w:val="none" w:sz="0" w:space="0" w:color="auto"/>
                            <w:left w:val="none" w:sz="0" w:space="0" w:color="auto"/>
                            <w:bottom w:val="none" w:sz="0" w:space="0" w:color="auto"/>
                            <w:right w:val="none" w:sz="0" w:space="0" w:color="auto"/>
                          </w:divBdr>
                        </w:div>
                      </w:divsChild>
                    </w:div>
                    <w:div w:id="1191262036">
                      <w:marLeft w:val="0"/>
                      <w:marRight w:val="0"/>
                      <w:marTop w:val="0"/>
                      <w:marBottom w:val="0"/>
                      <w:divBdr>
                        <w:top w:val="none" w:sz="0" w:space="0" w:color="auto"/>
                        <w:left w:val="none" w:sz="0" w:space="0" w:color="auto"/>
                        <w:bottom w:val="none" w:sz="0" w:space="0" w:color="auto"/>
                        <w:right w:val="none" w:sz="0" w:space="0" w:color="auto"/>
                      </w:divBdr>
                      <w:divsChild>
                        <w:div w:id="696583043">
                          <w:marLeft w:val="0"/>
                          <w:marRight w:val="0"/>
                          <w:marTop w:val="0"/>
                          <w:marBottom w:val="0"/>
                          <w:divBdr>
                            <w:top w:val="none" w:sz="0" w:space="0" w:color="auto"/>
                            <w:left w:val="none" w:sz="0" w:space="0" w:color="auto"/>
                            <w:bottom w:val="none" w:sz="0" w:space="0" w:color="auto"/>
                            <w:right w:val="none" w:sz="0" w:space="0" w:color="auto"/>
                          </w:divBdr>
                        </w:div>
                      </w:divsChild>
                    </w:div>
                    <w:div w:id="1195075681">
                      <w:marLeft w:val="0"/>
                      <w:marRight w:val="0"/>
                      <w:marTop w:val="0"/>
                      <w:marBottom w:val="0"/>
                      <w:divBdr>
                        <w:top w:val="none" w:sz="0" w:space="0" w:color="auto"/>
                        <w:left w:val="none" w:sz="0" w:space="0" w:color="auto"/>
                        <w:bottom w:val="none" w:sz="0" w:space="0" w:color="auto"/>
                        <w:right w:val="none" w:sz="0" w:space="0" w:color="auto"/>
                      </w:divBdr>
                      <w:divsChild>
                        <w:div w:id="1344817476">
                          <w:marLeft w:val="0"/>
                          <w:marRight w:val="0"/>
                          <w:marTop w:val="0"/>
                          <w:marBottom w:val="0"/>
                          <w:divBdr>
                            <w:top w:val="none" w:sz="0" w:space="0" w:color="auto"/>
                            <w:left w:val="none" w:sz="0" w:space="0" w:color="auto"/>
                            <w:bottom w:val="none" w:sz="0" w:space="0" w:color="auto"/>
                            <w:right w:val="none" w:sz="0" w:space="0" w:color="auto"/>
                          </w:divBdr>
                        </w:div>
                      </w:divsChild>
                    </w:div>
                    <w:div w:id="1225064866">
                      <w:marLeft w:val="0"/>
                      <w:marRight w:val="0"/>
                      <w:marTop w:val="0"/>
                      <w:marBottom w:val="0"/>
                      <w:divBdr>
                        <w:top w:val="none" w:sz="0" w:space="0" w:color="auto"/>
                        <w:left w:val="none" w:sz="0" w:space="0" w:color="auto"/>
                        <w:bottom w:val="none" w:sz="0" w:space="0" w:color="auto"/>
                        <w:right w:val="none" w:sz="0" w:space="0" w:color="auto"/>
                      </w:divBdr>
                      <w:divsChild>
                        <w:div w:id="1282104392">
                          <w:marLeft w:val="0"/>
                          <w:marRight w:val="0"/>
                          <w:marTop w:val="0"/>
                          <w:marBottom w:val="0"/>
                          <w:divBdr>
                            <w:top w:val="none" w:sz="0" w:space="0" w:color="auto"/>
                            <w:left w:val="none" w:sz="0" w:space="0" w:color="auto"/>
                            <w:bottom w:val="none" w:sz="0" w:space="0" w:color="auto"/>
                            <w:right w:val="none" w:sz="0" w:space="0" w:color="auto"/>
                          </w:divBdr>
                        </w:div>
                      </w:divsChild>
                    </w:div>
                    <w:div w:id="1238786514">
                      <w:marLeft w:val="0"/>
                      <w:marRight w:val="0"/>
                      <w:marTop w:val="0"/>
                      <w:marBottom w:val="0"/>
                      <w:divBdr>
                        <w:top w:val="none" w:sz="0" w:space="0" w:color="auto"/>
                        <w:left w:val="none" w:sz="0" w:space="0" w:color="auto"/>
                        <w:bottom w:val="none" w:sz="0" w:space="0" w:color="auto"/>
                        <w:right w:val="none" w:sz="0" w:space="0" w:color="auto"/>
                      </w:divBdr>
                      <w:divsChild>
                        <w:div w:id="1420517445">
                          <w:marLeft w:val="0"/>
                          <w:marRight w:val="0"/>
                          <w:marTop w:val="0"/>
                          <w:marBottom w:val="0"/>
                          <w:divBdr>
                            <w:top w:val="none" w:sz="0" w:space="0" w:color="auto"/>
                            <w:left w:val="none" w:sz="0" w:space="0" w:color="auto"/>
                            <w:bottom w:val="none" w:sz="0" w:space="0" w:color="auto"/>
                            <w:right w:val="none" w:sz="0" w:space="0" w:color="auto"/>
                          </w:divBdr>
                        </w:div>
                      </w:divsChild>
                    </w:div>
                    <w:div w:id="1267153285">
                      <w:marLeft w:val="0"/>
                      <w:marRight w:val="0"/>
                      <w:marTop w:val="0"/>
                      <w:marBottom w:val="0"/>
                      <w:divBdr>
                        <w:top w:val="none" w:sz="0" w:space="0" w:color="auto"/>
                        <w:left w:val="none" w:sz="0" w:space="0" w:color="auto"/>
                        <w:bottom w:val="none" w:sz="0" w:space="0" w:color="auto"/>
                        <w:right w:val="none" w:sz="0" w:space="0" w:color="auto"/>
                      </w:divBdr>
                      <w:divsChild>
                        <w:div w:id="1089152815">
                          <w:marLeft w:val="0"/>
                          <w:marRight w:val="0"/>
                          <w:marTop w:val="0"/>
                          <w:marBottom w:val="0"/>
                          <w:divBdr>
                            <w:top w:val="none" w:sz="0" w:space="0" w:color="auto"/>
                            <w:left w:val="none" w:sz="0" w:space="0" w:color="auto"/>
                            <w:bottom w:val="none" w:sz="0" w:space="0" w:color="auto"/>
                            <w:right w:val="none" w:sz="0" w:space="0" w:color="auto"/>
                          </w:divBdr>
                        </w:div>
                      </w:divsChild>
                    </w:div>
                    <w:div w:id="1293513027">
                      <w:marLeft w:val="0"/>
                      <w:marRight w:val="0"/>
                      <w:marTop w:val="0"/>
                      <w:marBottom w:val="0"/>
                      <w:divBdr>
                        <w:top w:val="none" w:sz="0" w:space="0" w:color="auto"/>
                        <w:left w:val="none" w:sz="0" w:space="0" w:color="auto"/>
                        <w:bottom w:val="none" w:sz="0" w:space="0" w:color="auto"/>
                        <w:right w:val="none" w:sz="0" w:space="0" w:color="auto"/>
                      </w:divBdr>
                      <w:divsChild>
                        <w:div w:id="1392918915">
                          <w:marLeft w:val="0"/>
                          <w:marRight w:val="0"/>
                          <w:marTop w:val="0"/>
                          <w:marBottom w:val="0"/>
                          <w:divBdr>
                            <w:top w:val="none" w:sz="0" w:space="0" w:color="auto"/>
                            <w:left w:val="none" w:sz="0" w:space="0" w:color="auto"/>
                            <w:bottom w:val="none" w:sz="0" w:space="0" w:color="auto"/>
                            <w:right w:val="none" w:sz="0" w:space="0" w:color="auto"/>
                          </w:divBdr>
                        </w:div>
                      </w:divsChild>
                    </w:div>
                    <w:div w:id="1313876032">
                      <w:marLeft w:val="0"/>
                      <w:marRight w:val="0"/>
                      <w:marTop w:val="0"/>
                      <w:marBottom w:val="0"/>
                      <w:divBdr>
                        <w:top w:val="none" w:sz="0" w:space="0" w:color="auto"/>
                        <w:left w:val="none" w:sz="0" w:space="0" w:color="auto"/>
                        <w:bottom w:val="none" w:sz="0" w:space="0" w:color="auto"/>
                        <w:right w:val="none" w:sz="0" w:space="0" w:color="auto"/>
                      </w:divBdr>
                      <w:divsChild>
                        <w:div w:id="1979646945">
                          <w:marLeft w:val="0"/>
                          <w:marRight w:val="0"/>
                          <w:marTop w:val="0"/>
                          <w:marBottom w:val="0"/>
                          <w:divBdr>
                            <w:top w:val="none" w:sz="0" w:space="0" w:color="auto"/>
                            <w:left w:val="none" w:sz="0" w:space="0" w:color="auto"/>
                            <w:bottom w:val="none" w:sz="0" w:space="0" w:color="auto"/>
                            <w:right w:val="none" w:sz="0" w:space="0" w:color="auto"/>
                          </w:divBdr>
                        </w:div>
                      </w:divsChild>
                    </w:div>
                    <w:div w:id="1315715047">
                      <w:marLeft w:val="0"/>
                      <w:marRight w:val="0"/>
                      <w:marTop w:val="0"/>
                      <w:marBottom w:val="0"/>
                      <w:divBdr>
                        <w:top w:val="none" w:sz="0" w:space="0" w:color="auto"/>
                        <w:left w:val="none" w:sz="0" w:space="0" w:color="auto"/>
                        <w:bottom w:val="none" w:sz="0" w:space="0" w:color="auto"/>
                        <w:right w:val="none" w:sz="0" w:space="0" w:color="auto"/>
                      </w:divBdr>
                      <w:divsChild>
                        <w:div w:id="845679652">
                          <w:marLeft w:val="0"/>
                          <w:marRight w:val="0"/>
                          <w:marTop w:val="0"/>
                          <w:marBottom w:val="0"/>
                          <w:divBdr>
                            <w:top w:val="none" w:sz="0" w:space="0" w:color="auto"/>
                            <w:left w:val="none" w:sz="0" w:space="0" w:color="auto"/>
                            <w:bottom w:val="none" w:sz="0" w:space="0" w:color="auto"/>
                            <w:right w:val="none" w:sz="0" w:space="0" w:color="auto"/>
                          </w:divBdr>
                        </w:div>
                      </w:divsChild>
                    </w:div>
                    <w:div w:id="1354530799">
                      <w:marLeft w:val="0"/>
                      <w:marRight w:val="0"/>
                      <w:marTop w:val="0"/>
                      <w:marBottom w:val="0"/>
                      <w:divBdr>
                        <w:top w:val="none" w:sz="0" w:space="0" w:color="auto"/>
                        <w:left w:val="none" w:sz="0" w:space="0" w:color="auto"/>
                        <w:bottom w:val="none" w:sz="0" w:space="0" w:color="auto"/>
                        <w:right w:val="none" w:sz="0" w:space="0" w:color="auto"/>
                      </w:divBdr>
                      <w:divsChild>
                        <w:div w:id="1361928204">
                          <w:marLeft w:val="0"/>
                          <w:marRight w:val="0"/>
                          <w:marTop w:val="0"/>
                          <w:marBottom w:val="0"/>
                          <w:divBdr>
                            <w:top w:val="none" w:sz="0" w:space="0" w:color="auto"/>
                            <w:left w:val="none" w:sz="0" w:space="0" w:color="auto"/>
                            <w:bottom w:val="none" w:sz="0" w:space="0" w:color="auto"/>
                            <w:right w:val="none" w:sz="0" w:space="0" w:color="auto"/>
                          </w:divBdr>
                        </w:div>
                      </w:divsChild>
                    </w:div>
                    <w:div w:id="1376734151">
                      <w:marLeft w:val="0"/>
                      <w:marRight w:val="0"/>
                      <w:marTop w:val="0"/>
                      <w:marBottom w:val="0"/>
                      <w:divBdr>
                        <w:top w:val="none" w:sz="0" w:space="0" w:color="auto"/>
                        <w:left w:val="none" w:sz="0" w:space="0" w:color="auto"/>
                        <w:bottom w:val="none" w:sz="0" w:space="0" w:color="auto"/>
                        <w:right w:val="none" w:sz="0" w:space="0" w:color="auto"/>
                      </w:divBdr>
                      <w:divsChild>
                        <w:div w:id="545412124">
                          <w:marLeft w:val="0"/>
                          <w:marRight w:val="0"/>
                          <w:marTop w:val="0"/>
                          <w:marBottom w:val="0"/>
                          <w:divBdr>
                            <w:top w:val="none" w:sz="0" w:space="0" w:color="auto"/>
                            <w:left w:val="none" w:sz="0" w:space="0" w:color="auto"/>
                            <w:bottom w:val="none" w:sz="0" w:space="0" w:color="auto"/>
                            <w:right w:val="none" w:sz="0" w:space="0" w:color="auto"/>
                          </w:divBdr>
                        </w:div>
                      </w:divsChild>
                    </w:div>
                    <w:div w:id="1406218210">
                      <w:marLeft w:val="0"/>
                      <w:marRight w:val="0"/>
                      <w:marTop w:val="0"/>
                      <w:marBottom w:val="0"/>
                      <w:divBdr>
                        <w:top w:val="none" w:sz="0" w:space="0" w:color="auto"/>
                        <w:left w:val="none" w:sz="0" w:space="0" w:color="auto"/>
                        <w:bottom w:val="none" w:sz="0" w:space="0" w:color="auto"/>
                        <w:right w:val="none" w:sz="0" w:space="0" w:color="auto"/>
                      </w:divBdr>
                      <w:divsChild>
                        <w:div w:id="1964801472">
                          <w:marLeft w:val="0"/>
                          <w:marRight w:val="0"/>
                          <w:marTop w:val="0"/>
                          <w:marBottom w:val="0"/>
                          <w:divBdr>
                            <w:top w:val="none" w:sz="0" w:space="0" w:color="auto"/>
                            <w:left w:val="none" w:sz="0" w:space="0" w:color="auto"/>
                            <w:bottom w:val="none" w:sz="0" w:space="0" w:color="auto"/>
                            <w:right w:val="none" w:sz="0" w:space="0" w:color="auto"/>
                          </w:divBdr>
                        </w:div>
                      </w:divsChild>
                    </w:div>
                    <w:div w:id="1428651824">
                      <w:marLeft w:val="0"/>
                      <w:marRight w:val="0"/>
                      <w:marTop w:val="0"/>
                      <w:marBottom w:val="0"/>
                      <w:divBdr>
                        <w:top w:val="none" w:sz="0" w:space="0" w:color="auto"/>
                        <w:left w:val="none" w:sz="0" w:space="0" w:color="auto"/>
                        <w:bottom w:val="none" w:sz="0" w:space="0" w:color="auto"/>
                        <w:right w:val="none" w:sz="0" w:space="0" w:color="auto"/>
                      </w:divBdr>
                      <w:divsChild>
                        <w:div w:id="1568026956">
                          <w:marLeft w:val="0"/>
                          <w:marRight w:val="0"/>
                          <w:marTop w:val="0"/>
                          <w:marBottom w:val="0"/>
                          <w:divBdr>
                            <w:top w:val="none" w:sz="0" w:space="0" w:color="auto"/>
                            <w:left w:val="none" w:sz="0" w:space="0" w:color="auto"/>
                            <w:bottom w:val="none" w:sz="0" w:space="0" w:color="auto"/>
                            <w:right w:val="none" w:sz="0" w:space="0" w:color="auto"/>
                          </w:divBdr>
                        </w:div>
                      </w:divsChild>
                    </w:div>
                    <w:div w:id="1434324465">
                      <w:marLeft w:val="0"/>
                      <w:marRight w:val="0"/>
                      <w:marTop w:val="0"/>
                      <w:marBottom w:val="0"/>
                      <w:divBdr>
                        <w:top w:val="none" w:sz="0" w:space="0" w:color="auto"/>
                        <w:left w:val="none" w:sz="0" w:space="0" w:color="auto"/>
                        <w:bottom w:val="none" w:sz="0" w:space="0" w:color="auto"/>
                        <w:right w:val="none" w:sz="0" w:space="0" w:color="auto"/>
                      </w:divBdr>
                      <w:divsChild>
                        <w:div w:id="1394816499">
                          <w:marLeft w:val="0"/>
                          <w:marRight w:val="0"/>
                          <w:marTop w:val="0"/>
                          <w:marBottom w:val="0"/>
                          <w:divBdr>
                            <w:top w:val="none" w:sz="0" w:space="0" w:color="auto"/>
                            <w:left w:val="none" w:sz="0" w:space="0" w:color="auto"/>
                            <w:bottom w:val="none" w:sz="0" w:space="0" w:color="auto"/>
                            <w:right w:val="none" w:sz="0" w:space="0" w:color="auto"/>
                          </w:divBdr>
                        </w:div>
                      </w:divsChild>
                    </w:div>
                    <w:div w:id="1438137124">
                      <w:marLeft w:val="0"/>
                      <w:marRight w:val="0"/>
                      <w:marTop w:val="0"/>
                      <w:marBottom w:val="0"/>
                      <w:divBdr>
                        <w:top w:val="none" w:sz="0" w:space="0" w:color="auto"/>
                        <w:left w:val="none" w:sz="0" w:space="0" w:color="auto"/>
                        <w:bottom w:val="none" w:sz="0" w:space="0" w:color="auto"/>
                        <w:right w:val="none" w:sz="0" w:space="0" w:color="auto"/>
                      </w:divBdr>
                      <w:divsChild>
                        <w:div w:id="2080320487">
                          <w:marLeft w:val="0"/>
                          <w:marRight w:val="0"/>
                          <w:marTop w:val="0"/>
                          <w:marBottom w:val="0"/>
                          <w:divBdr>
                            <w:top w:val="none" w:sz="0" w:space="0" w:color="auto"/>
                            <w:left w:val="none" w:sz="0" w:space="0" w:color="auto"/>
                            <w:bottom w:val="none" w:sz="0" w:space="0" w:color="auto"/>
                            <w:right w:val="none" w:sz="0" w:space="0" w:color="auto"/>
                          </w:divBdr>
                        </w:div>
                      </w:divsChild>
                    </w:div>
                    <w:div w:id="1442608248">
                      <w:marLeft w:val="0"/>
                      <w:marRight w:val="0"/>
                      <w:marTop w:val="0"/>
                      <w:marBottom w:val="0"/>
                      <w:divBdr>
                        <w:top w:val="none" w:sz="0" w:space="0" w:color="auto"/>
                        <w:left w:val="none" w:sz="0" w:space="0" w:color="auto"/>
                        <w:bottom w:val="none" w:sz="0" w:space="0" w:color="auto"/>
                        <w:right w:val="none" w:sz="0" w:space="0" w:color="auto"/>
                      </w:divBdr>
                      <w:divsChild>
                        <w:div w:id="832180124">
                          <w:marLeft w:val="0"/>
                          <w:marRight w:val="0"/>
                          <w:marTop w:val="0"/>
                          <w:marBottom w:val="0"/>
                          <w:divBdr>
                            <w:top w:val="none" w:sz="0" w:space="0" w:color="auto"/>
                            <w:left w:val="none" w:sz="0" w:space="0" w:color="auto"/>
                            <w:bottom w:val="none" w:sz="0" w:space="0" w:color="auto"/>
                            <w:right w:val="none" w:sz="0" w:space="0" w:color="auto"/>
                          </w:divBdr>
                        </w:div>
                      </w:divsChild>
                    </w:div>
                    <w:div w:id="1449162042">
                      <w:marLeft w:val="0"/>
                      <w:marRight w:val="0"/>
                      <w:marTop w:val="0"/>
                      <w:marBottom w:val="0"/>
                      <w:divBdr>
                        <w:top w:val="none" w:sz="0" w:space="0" w:color="auto"/>
                        <w:left w:val="none" w:sz="0" w:space="0" w:color="auto"/>
                        <w:bottom w:val="none" w:sz="0" w:space="0" w:color="auto"/>
                        <w:right w:val="none" w:sz="0" w:space="0" w:color="auto"/>
                      </w:divBdr>
                      <w:divsChild>
                        <w:div w:id="244341301">
                          <w:marLeft w:val="0"/>
                          <w:marRight w:val="0"/>
                          <w:marTop w:val="0"/>
                          <w:marBottom w:val="0"/>
                          <w:divBdr>
                            <w:top w:val="none" w:sz="0" w:space="0" w:color="auto"/>
                            <w:left w:val="none" w:sz="0" w:space="0" w:color="auto"/>
                            <w:bottom w:val="none" w:sz="0" w:space="0" w:color="auto"/>
                            <w:right w:val="none" w:sz="0" w:space="0" w:color="auto"/>
                          </w:divBdr>
                        </w:div>
                      </w:divsChild>
                    </w:div>
                    <w:div w:id="1464694536">
                      <w:marLeft w:val="0"/>
                      <w:marRight w:val="0"/>
                      <w:marTop w:val="0"/>
                      <w:marBottom w:val="0"/>
                      <w:divBdr>
                        <w:top w:val="none" w:sz="0" w:space="0" w:color="auto"/>
                        <w:left w:val="none" w:sz="0" w:space="0" w:color="auto"/>
                        <w:bottom w:val="none" w:sz="0" w:space="0" w:color="auto"/>
                        <w:right w:val="none" w:sz="0" w:space="0" w:color="auto"/>
                      </w:divBdr>
                      <w:divsChild>
                        <w:div w:id="1638946941">
                          <w:marLeft w:val="0"/>
                          <w:marRight w:val="0"/>
                          <w:marTop w:val="0"/>
                          <w:marBottom w:val="0"/>
                          <w:divBdr>
                            <w:top w:val="none" w:sz="0" w:space="0" w:color="auto"/>
                            <w:left w:val="none" w:sz="0" w:space="0" w:color="auto"/>
                            <w:bottom w:val="none" w:sz="0" w:space="0" w:color="auto"/>
                            <w:right w:val="none" w:sz="0" w:space="0" w:color="auto"/>
                          </w:divBdr>
                        </w:div>
                      </w:divsChild>
                    </w:div>
                    <w:div w:id="1478182820">
                      <w:marLeft w:val="0"/>
                      <w:marRight w:val="0"/>
                      <w:marTop w:val="0"/>
                      <w:marBottom w:val="0"/>
                      <w:divBdr>
                        <w:top w:val="none" w:sz="0" w:space="0" w:color="auto"/>
                        <w:left w:val="none" w:sz="0" w:space="0" w:color="auto"/>
                        <w:bottom w:val="none" w:sz="0" w:space="0" w:color="auto"/>
                        <w:right w:val="none" w:sz="0" w:space="0" w:color="auto"/>
                      </w:divBdr>
                      <w:divsChild>
                        <w:div w:id="403649078">
                          <w:marLeft w:val="0"/>
                          <w:marRight w:val="0"/>
                          <w:marTop w:val="0"/>
                          <w:marBottom w:val="0"/>
                          <w:divBdr>
                            <w:top w:val="none" w:sz="0" w:space="0" w:color="auto"/>
                            <w:left w:val="none" w:sz="0" w:space="0" w:color="auto"/>
                            <w:bottom w:val="none" w:sz="0" w:space="0" w:color="auto"/>
                            <w:right w:val="none" w:sz="0" w:space="0" w:color="auto"/>
                          </w:divBdr>
                        </w:div>
                      </w:divsChild>
                    </w:div>
                    <w:div w:id="1507478032">
                      <w:marLeft w:val="0"/>
                      <w:marRight w:val="0"/>
                      <w:marTop w:val="0"/>
                      <w:marBottom w:val="0"/>
                      <w:divBdr>
                        <w:top w:val="none" w:sz="0" w:space="0" w:color="auto"/>
                        <w:left w:val="none" w:sz="0" w:space="0" w:color="auto"/>
                        <w:bottom w:val="none" w:sz="0" w:space="0" w:color="auto"/>
                        <w:right w:val="none" w:sz="0" w:space="0" w:color="auto"/>
                      </w:divBdr>
                      <w:divsChild>
                        <w:div w:id="1438331259">
                          <w:marLeft w:val="0"/>
                          <w:marRight w:val="0"/>
                          <w:marTop w:val="0"/>
                          <w:marBottom w:val="0"/>
                          <w:divBdr>
                            <w:top w:val="none" w:sz="0" w:space="0" w:color="auto"/>
                            <w:left w:val="none" w:sz="0" w:space="0" w:color="auto"/>
                            <w:bottom w:val="none" w:sz="0" w:space="0" w:color="auto"/>
                            <w:right w:val="none" w:sz="0" w:space="0" w:color="auto"/>
                          </w:divBdr>
                        </w:div>
                      </w:divsChild>
                    </w:div>
                    <w:div w:id="1516380981">
                      <w:marLeft w:val="0"/>
                      <w:marRight w:val="0"/>
                      <w:marTop w:val="0"/>
                      <w:marBottom w:val="0"/>
                      <w:divBdr>
                        <w:top w:val="none" w:sz="0" w:space="0" w:color="auto"/>
                        <w:left w:val="none" w:sz="0" w:space="0" w:color="auto"/>
                        <w:bottom w:val="none" w:sz="0" w:space="0" w:color="auto"/>
                        <w:right w:val="none" w:sz="0" w:space="0" w:color="auto"/>
                      </w:divBdr>
                      <w:divsChild>
                        <w:div w:id="366223471">
                          <w:marLeft w:val="0"/>
                          <w:marRight w:val="0"/>
                          <w:marTop w:val="0"/>
                          <w:marBottom w:val="0"/>
                          <w:divBdr>
                            <w:top w:val="none" w:sz="0" w:space="0" w:color="auto"/>
                            <w:left w:val="none" w:sz="0" w:space="0" w:color="auto"/>
                            <w:bottom w:val="none" w:sz="0" w:space="0" w:color="auto"/>
                            <w:right w:val="none" w:sz="0" w:space="0" w:color="auto"/>
                          </w:divBdr>
                        </w:div>
                      </w:divsChild>
                    </w:div>
                    <w:div w:id="1542399709">
                      <w:marLeft w:val="0"/>
                      <w:marRight w:val="0"/>
                      <w:marTop w:val="0"/>
                      <w:marBottom w:val="0"/>
                      <w:divBdr>
                        <w:top w:val="none" w:sz="0" w:space="0" w:color="auto"/>
                        <w:left w:val="none" w:sz="0" w:space="0" w:color="auto"/>
                        <w:bottom w:val="none" w:sz="0" w:space="0" w:color="auto"/>
                        <w:right w:val="none" w:sz="0" w:space="0" w:color="auto"/>
                      </w:divBdr>
                      <w:divsChild>
                        <w:div w:id="821773222">
                          <w:marLeft w:val="0"/>
                          <w:marRight w:val="0"/>
                          <w:marTop w:val="0"/>
                          <w:marBottom w:val="0"/>
                          <w:divBdr>
                            <w:top w:val="none" w:sz="0" w:space="0" w:color="auto"/>
                            <w:left w:val="none" w:sz="0" w:space="0" w:color="auto"/>
                            <w:bottom w:val="none" w:sz="0" w:space="0" w:color="auto"/>
                            <w:right w:val="none" w:sz="0" w:space="0" w:color="auto"/>
                          </w:divBdr>
                        </w:div>
                      </w:divsChild>
                    </w:div>
                    <w:div w:id="1551721398">
                      <w:marLeft w:val="0"/>
                      <w:marRight w:val="0"/>
                      <w:marTop w:val="0"/>
                      <w:marBottom w:val="0"/>
                      <w:divBdr>
                        <w:top w:val="none" w:sz="0" w:space="0" w:color="auto"/>
                        <w:left w:val="none" w:sz="0" w:space="0" w:color="auto"/>
                        <w:bottom w:val="none" w:sz="0" w:space="0" w:color="auto"/>
                        <w:right w:val="none" w:sz="0" w:space="0" w:color="auto"/>
                      </w:divBdr>
                      <w:divsChild>
                        <w:div w:id="1995525388">
                          <w:marLeft w:val="0"/>
                          <w:marRight w:val="0"/>
                          <w:marTop w:val="0"/>
                          <w:marBottom w:val="0"/>
                          <w:divBdr>
                            <w:top w:val="none" w:sz="0" w:space="0" w:color="auto"/>
                            <w:left w:val="none" w:sz="0" w:space="0" w:color="auto"/>
                            <w:bottom w:val="none" w:sz="0" w:space="0" w:color="auto"/>
                            <w:right w:val="none" w:sz="0" w:space="0" w:color="auto"/>
                          </w:divBdr>
                        </w:div>
                      </w:divsChild>
                    </w:div>
                    <w:div w:id="1560941587">
                      <w:marLeft w:val="0"/>
                      <w:marRight w:val="0"/>
                      <w:marTop w:val="0"/>
                      <w:marBottom w:val="0"/>
                      <w:divBdr>
                        <w:top w:val="none" w:sz="0" w:space="0" w:color="auto"/>
                        <w:left w:val="none" w:sz="0" w:space="0" w:color="auto"/>
                        <w:bottom w:val="none" w:sz="0" w:space="0" w:color="auto"/>
                        <w:right w:val="none" w:sz="0" w:space="0" w:color="auto"/>
                      </w:divBdr>
                      <w:divsChild>
                        <w:div w:id="538276384">
                          <w:marLeft w:val="0"/>
                          <w:marRight w:val="0"/>
                          <w:marTop w:val="0"/>
                          <w:marBottom w:val="0"/>
                          <w:divBdr>
                            <w:top w:val="none" w:sz="0" w:space="0" w:color="auto"/>
                            <w:left w:val="none" w:sz="0" w:space="0" w:color="auto"/>
                            <w:bottom w:val="none" w:sz="0" w:space="0" w:color="auto"/>
                            <w:right w:val="none" w:sz="0" w:space="0" w:color="auto"/>
                          </w:divBdr>
                        </w:div>
                      </w:divsChild>
                    </w:div>
                    <w:div w:id="1563172799">
                      <w:marLeft w:val="0"/>
                      <w:marRight w:val="0"/>
                      <w:marTop w:val="0"/>
                      <w:marBottom w:val="0"/>
                      <w:divBdr>
                        <w:top w:val="none" w:sz="0" w:space="0" w:color="auto"/>
                        <w:left w:val="none" w:sz="0" w:space="0" w:color="auto"/>
                        <w:bottom w:val="none" w:sz="0" w:space="0" w:color="auto"/>
                        <w:right w:val="none" w:sz="0" w:space="0" w:color="auto"/>
                      </w:divBdr>
                      <w:divsChild>
                        <w:div w:id="434137037">
                          <w:marLeft w:val="0"/>
                          <w:marRight w:val="0"/>
                          <w:marTop w:val="0"/>
                          <w:marBottom w:val="0"/>
                          <w:divBdr>
                            <w:top w:val="none" w:sz="0" w:space="0" w:color="auto"/>
                            <w:left w:val="none" w:sz="0" w:space="0" w:color="auto"/>
                            <w:bottom w:val="none" w:sz="0" w:space="0" w:color="auto"/>
                            <w:right w:val="none" w:sz="0" w:space="0" w:color="auto"/>
                          </w:divBdr>
                        </w:div>
                      </w:divsChild>
                    </w:div>
                    <w:div w:id="1569926545">
                      <w:marLeft w:val="0"/>
                      <w:marRight w:val="0"/>
                      <w:marTop w:val="0"/>
                      <w:marBottom w:val="0"/>
                      <w:divBdr>
                        <w:top w:val="none" w:sz="0" w:space="0" w:color="auto"/>
                        <w:left w:val="none" w:sz="0" w:space="0" w:color="auto"/>
                        <w:bottom w:val="none" w:sz="0" w:space="0" w:color="auto"/>
                        <w:right w:val="none" w:sz="0" w:space="0" w:color="auto"/>
                      </w:divBdr>
                      <w:divsChild>
                        <w:div w:id="385375324">
                          <w:marLeft w:val="0"/>
                          <w:marRight w:val="0"/>
                          <w:marTop w:val="0"/>
                          <w:marBottom w:val="0"/>
                          <w:divBdr>
                            <w:top w:val="none" w:sz="0" w:space="0" w:color="auto"/>
                            <w:left w:val="none" w:sz="0" w:space="0" w:color="auto"/>
                            <w:bottom w:val="none" w:sz="0" w:space="0" w:color="auto"/>
                            <w:right w:val="none" w:sz="0" w:space="0" w:color="auto"/>
                          </w:divBdr>
                        </w:div>
                      </w:divsChild>
                    </w:div>
                    <w:div w:id="1583753800">
                      <w:marLeft w:val="0"/>
                      <w:marRight w:val="0"/>
                      <w:marTop w:val="0"/>
                      <w:marBottom w:val="0"/>
                      <w:divBdr>
                        <w:top w:val="none" w:sz="0" w:space="0" w:color="auto"/>
                        <w:left w:val="none" w:sz="0" w:space="0" w:color="auto"/>
                        <w:bottom w:val="none" w:sz="0" w:space="0" w:color="auto"/>
                        <w:right w:val="none" w:sz="0" w:space="0" w:color="auto"/>
                      </w:divBdr>
                      <w:divsChild>
                        <w:div w:id="622855297">
                          <w:marLeft w:val="0"/>
                          <w:marRight w:val="0"/>
                          <w:marTop w:val="0"/>
                          <w:marBottom w:val="0"/>
                          <w:divBdr>
                            <w:top w:val="none" w:sz="0" w:space="0" w:color="auto"/>
                            <w:left w:val="none" w:sz="0" w:space="0" w:color="auto"/>
                            <w:bottom w:val="none" w:sz="0" w:space="0" w:color="auto"/>
                            <w:right w:val="none" w:sz="0" w:space="0" w:color="auto"/>
                          </w:divBdr>
                        </w:div>
                      </w:divsChild>
                    </w:div>
                    <w:div w:id="1623074858">
                      <w:marLeft w:val="0"/>
                      <w:marRight w:val="0"/>
                      <w:marTop w:val="0"/>
                      <w:marBottom w:val="0"/>
                      <w:divBdr>
                        <w:top w:val="none" w:sz="0" w:space="0" w:color="auto"/>
                        <w:left w:val="none" w:sz="0" w:space="0" w:color="auto"/>
                        <w:bottom w:val="none" w:sz="0" w:space="0" w:color="auto"/>
                        <w:right w:val="none" w:sz="0" w:space="0" w:color="auto"/>
                      </w:divBdr>
                      <w:divsChild>
                        <w:div w:id="2041473267">
                          <w:marLeft w:val="0"/>
                          <w:marRight w:val="0"/>
                          <w:marTop w:val="0"/>
                          <w:marBottom w:val="0"/>
                          <w:divBdr>
                            <w:top w:val="none" w:sz="0" w:space="0" w:color="auto"/>
                            <w:left w:val="none" w:sz="0" w:space="0" w:color="auto"/>
                            <w:bottom w:val="none" w:sz="0" w:space="0" w:color="auto"/>
                            <w:right w:val="none" w:sz="0" w:space="0" w:color="auto"/>
                          </w:divBdr>
                        </w:div>
                      </w:divsChild>
                    </w:div>
                    <w:div w:id="1639141388">
                      <w:marLeft w:val="0"/>
                      <w:marRight w:val="0"/>
                      <w:marTop w:val="0"/>
                      <w:marBottom w:val="0"/>
                      <w:divBdr>
                        <w:top w:val="none" w:sz="0" w:space="0" w:color="auto"/>
                        <w:left w:val="none" w:sz="0" w:space="0" w:color="auto"/>
                        <w:bottom w:val="none" w:sz="0" w:space="0" w:color="auto"/>
                        <w:right w:val="none" w:sz="0" w:space="0" w:color="auto"/>
                      </w:divBdr>
                      <w:divsChild>
                        <w:div w:id="1605531162">
                          <w:marLeft w:val="0"/>
                          <w:marRight w:val="0"/>
                          <w:marTop w:val="0"/>
                          <w:marBottom w:val="0"/>
                          <w:divBdr>
                            <w:top w:val="none" w:sz="0" w:space="0" w:color="auto"/>
                            <w:left w:val="none" w:sz="0" w:space="0" w:color="auto"/>
                            <w:bottom w:val="none" w:sz="0" w:space="0" w:color="auto"/>
                            <w:right w:val="none" w:sz="0" w:space="0" w:color="auto"/>
                          </w:divBdr>
                        </w:div>
                      </w:divsChild>
                    </w:div>
                    <w:div w:id="1643844843">
                      <w:marLeft w:val="0"/>
                      <w:marRight w:val="0"/>
                      <w:marTop w:val="0"/>
                      <w:marBottom w:val="0"/>
                      <w:divBdr>
                        <w:top w:val="none" w:sz="0" w:space="0" w:color="auto"/>
                        <w:left w:val="none" w:sz="0" w:space="0" w:color="auto"/>
                        <w:bottom w:val="none" w:sz="0" w:space="0" w:color="auto"/>
                        <w:right w:val="none" w:sz="0" w:space="0" w:color="auto"/>
                      </w:divBdr>
                      <w:divsChild>
                        <w:div w:id="751779099">
                          <w:marLeft w:val="0"/>
                          <w:marRight w:val="0"/>
                          <w:marTop w:val="0"/>
                          <w:marBottom w:val="0"/>
                          <w:divBdr>
                            <w:top w:val="none" w:sz="0" w:space="0" w:color="auto"/>
                            <w:left w:val="none" w:sz="0" w:space="0" w:color="auto"/>
                            <w:bottom w:val="none" w:sz="0" w:space="0" w:color="auto"/>
                            <w:right w:val="none" w:sz="0" w:space="0" w:color="auto"/>
                          </w:divBdr>
                        </w:div>
                      </w:divsChild>
                    </w:div>
                    <w:div w:id="1649091140">
                      <w:marLeft w:val="0"/>
                      <w:marRight w:val="0"/>
                      <w:marTop w:val="0"/>
                      <w:marBottom w:val="0"/>
                      <w:divBdr>
                        <w:top w:val="none" w:sz="0" w:space="0" w:color="auto"/>
                        <w:left w:val="none" w:sz="0" w:space="0" w:color="auto"/>
                        <w:bottom w:val="none" w:sz="0" w:space="0" w:color="auto"/>
                        <w:right w:val="none" w:sz="0" w:space="0" w:color="auto"/>
                      </w:divBdr>
                      <w:divsChild>
                        <w:div w:id="1779641386">
                          <w:marLeft w:val="0"/>
                          <w:marRight w:val="0"/>
                          <w:marTop w:val="0"/>
                          <w:marBottom w:val="0"/>
                          <w:divBdr>
                            <w:top w:val="none" w:sz="0" w:space="0" w:color="auto"/>
                            <w:left w:val="none" w:sz="0" w:space="0" w:color="auto"/>
                            <w:bottom w:val="none" w:sz="0" w:space="0" w:color="auto"/>
                            <w:right w:val="none" w:sz="0" w:space="0" w:color="auto"/>
                          </w:divBdr>
                        </w:div>
                      </w:divsChild>
                    </w:div>
                    <w:div w:id="1677804082">
                      <w:marLeft w:val="0"/>
                      <w:marRight w:val="0"/>
                      <w:marTop w:val="0"/>
                      <w:marBottom w:val="0"/>
                      <w:divBdr>
                        <w:top w:val="none" w:sz="0" w:space="0" w:color="auto"/>
                        <w:left w:val="none" w:sz="0" w:space="0" w:color="auto"/>
                        <w:bottom w:val="none" w:sz="0" w:space="0" w:color="auto"/>
                        <w:right w:val="none" w:sz="0" w:space="0" w:color="auto"/>
                      </w:divBdr>
                      <w:divsChild>
                        <w:div w:id="2057848412">
                          <w:marLeft w:val="0"/>
                          <w:marRight w:val="0"/>
                          <w:marTop w:val="0"/>
                          <w:marBottom w:val="0"/>
                          <w:divBdr>
                            <w:top w:val="none" w:sz="0" w:space="0" w:color="auto"/>
                            <w:left w:val="none" w:sz="0" w:space="0" w:color="auto"/>
                            <w:bottom w:val="none" w:sz="0" w:space="0" w:color="auto"/>
                            <w:right w:val="none" w:sz="0" w:space="0" w:color="auto"/>
                          </w:divBdr>
                        </w:div>
                      </w:divsChild>
                    </w:div>
                    <w:div w:id="1686128420">
                      <w:marLeft w:val="0"/>
                      <w:marRight w:val="0"/>
                      <w:marTop w:val="0"/>
                      <w:marBottom w:val="0"/>
                      <w:divBdr>
                        <w:top w:val="none" w:sz="0" w:space="0" w:color="auto"/>
                        <w:left w:val="none" w:sz="0" w:space="0" w:color="auto"/>
                        <w:bottom w:val="none" w:sz="0" w:space="0" w:color="auto"/>
                        <w:right w:val="none" w:sz="0" w:space="0" w:color="auto"/>
                      </w:divBdr>
                      <w:divsChild>
                        <w:div w:id="100074662">
                          <w:marLeft w:val="0"/>
                          <w:marRight w:val="0"/>
                          <w:marTop w:val="0"/>
                          <w:marBottom w:val="0"/>
                          <w:divBdr>
                            <w:top w:val="none" w:sz="0" w:space="0" w:color="auto"/>
                            <w:left w:val="none" w:sz="0" w:space="0" w:color="auto"/>
                            <w:bottom w:val="none" w:sz="0" w:space="0" w:color="auto"/>
                            <w:right w:val="none" w:sz="0" w:space="0" w:color="auto"/>
                          </w:divBdr>
                        </w:div>
                      </w:divsChild>
                    </w:div>
                    <w:div w:id="1690329505">
                      <w:marLeft w:val="0"/>
                      <w:marRight w:val="0"/>
                      <w:marTop w:val="0"/>
                      <w:marBottom w:val="0"/>
                      <w:divBdr>
                        <w:top w:val="none" w:sz="0" w:space="0" w:color="auto"/>
                        <w:left w:val="none" w:sz="0" w:space="0" w:color="auto"/>
                        <w:bottom w:val="none" w:sz="0" w:space="0" w:color="auto"/>
                        <w:right w:val="none" w:sz="0" w:space="0" w:color="auto"/>
                      </w:divBdr>
                      <w:divsChild>
                        <w:div w:id="1325815556">
                          <w:marLeft w:val="0"/>
                          <w:marRight w:val="0"/>
                          <w:marTop w:val="0"/>
                          <w:marBottom w:val="0"/>
                          <w:divBdr>
                            <w:top w:val="none" w:sz="0" w:space="0" w:color="auto"/>
                            <w:left w:val="none" w:sz="0" w:space="0" w:color="auto"/>
                            <w:bottom w:val="none" w:sz="0" w:space="0" w:color="auto"/>
                            <w:right w:val="none" w:sz="0" w:space="0" w:color="auto"/>
                          </w:divBdr>
                        </w:div>
                      </w:divsChild>
                    </w:div>
                    <w:div w:id="1692489915">
                      <w:marLeft w:val="0"/>
                      <w:marRight w:val="0"/>
                      <w:marTop w:val="0"/>
                      <w:marBottom w:val="0"/>
                      <w:divBdr>
                        <w:top w:val="none" w:sz="0" w:space="0" w:color="auto"/>
                        <w:left w:val="none" w:sz="0" w:space="0" w:color="auto"/>
                        <w:bottom w:val="none" w:sz="0" w:space="0" w:color="auto"/>
                        <w:right w:val="none" w:sz="0" w:space="0" w:color="auto"/>
                      </w:divBdr>
                      <w:divsChild>
                        <w:div w:id="348603903">
                          <w:marLeft w:val="0"/>
                          <w:marRight w:val="0"/>
                          <w:marTop w:val="0"/>
                          <w:marBottom w:val="0"/>
                          <w:divBdr>
                            <w:top w:val="none" w:sz="0" w:space="0" w:color="auto"/>
                            <w:left w:val="none" w:sz="0" w:space="0" w:color="auto"/>
                            <w:bottom w:val="none" w:sz="0" w:space="0" w:color="auto"/>
                            <w:right w:val="none" w:sz="0" w:space="0" w:color="auto"/>
                          </w:divBdr>
                        </w:div>
                      </w:divsChild>
                    </w:div>
                    <w:div w:id="1718355163">
                      <w:marLeft w:val="0"/>
                      <w:marRight w:val="0"/>
                      <w:marTop w:val="0"/>
                      <w:marBottom w:val="0"/>
                      <w:divBdr>
                        <w:top w:val="none" w:sz="0" w:space="0" w:color="auto"/>
                        <w:left w:val="none" w:sz="0" w:space="0" w:color="auto"/>
                        <w:bottom w:val="none" w:sz="0" w:space="0" w:color="auto"/>
                        <w:right w:val="none" w:sz="0" w:space="0" w:color="auto"/>
                      </w:divBdr>
                      <w:divsChild>
                        <w:div w:id="769007541">
                          <w:marLeft w:val="0"/>
                          <w:marRight w:val="0"/>
                          <w:marTop w:val="0"/>
                          <w:marBottom w:val="0"/>
                          <w:divBdr>
                            <w:top w:val="none" w:sz="0" w:space="0" w:color="auto"/>
                            <w:left w:val="none" w:sz="0" w:space="0" w:color="auto"/>
                            <w:bottom w:val="none" w:sz="0" w:space="0" w:color="auto"/>
                            <w:right w:val="none" w:sz="0" w:space="0" w:color="auto"/>
                          </w:divBdr>
                        </w:div>
                      </w:divsChild>
                    </w:div>
                    <w:div w:id="1725332525">
                      <w:marLeft w:val="0"/>
                      <w:marRight w:val="0"/>
                      <w:marTop w:val="0"/>
                      <w:marBottom w:val="0"/>
                      <w:divBdr>
                        <w:top w:val="none" w:sz="0" w:space="0" w:color="auto"/>
                        <w:left w:val="none" w:sz="0" w:space="0" w:color="auto"/>
                        <w:bottom w:val="none" w:sz="0" w:space="0" w:color="auto"/>
                        <w:right w:val="none" w:sz="0" w:space="0" w:color="auto"/>
                      </w:divBdr>
                      <w:divsChild>
                        <w:div w:id="1896382422">
                          <w:marLeft w:val="0"/>
                          <w:marRight w:val="0"/>
                          <w:marTop w:val="0"/>
                          <w:marBottom w:val="0"/>
                          <w:divBdr>
                            <w:top w:val="none" w:sz="0" w:space="0" w:color="auto"/>
                            <w:left w:val="none" w:sz="0" w:space="0" w:color="auto"/>
                            <w:bottom w:val="none" w:sz="0" w:space="0" w:color="auto"/>
                            <w:right w:val="none" w:sz="0" w:space="0" w:color="auto"/>
                          </w:divBdr>
                        </w:div>
                      </w:divsChild>
                    </w:div>
                    <w:div w:id="1727486817">
                      <w:marLeft w:val="0"/>
                      <w:marRight w:val="0"/>
                      <w:marTop w:val="0"/>
                      <w:marBottom w:val="0"/>
                      <w:divBdr>
                        <w:top w:val="none" w:sz="0" w:space="0" w:color="auto"/>
                        <w:left w:val="none" w:sz="0" w:space="0" w:color="auto"/>
                        <w:bottom w:val="none" w:sz="0" w:space="0" w:color="auto"/>
                        <w:right w:val="none" w:sz="0" w:space="0" w:color="auto"/>
                      </w:divBdr>
                      <w:divsChild>
                        <w:div w:id="1844275684">
                          <w:marLeft w:val="0"/>
                          <w:marRight w:val="0"/>
                          <w:marTop w:val="0"/>
                          <w:marBottom w:val="0"/>
                          <w:divBdr>
                            <w:top w:val="none" w:sz="0" w:space="0" w:color="auto"/>
                            <w:left w:val="none" w:sz="0" w:space="0" w:color="auto"/>
                            <w:bottom w:val="none" w:sz="0" w:space="0" w:color="auto"/>
                            <w:right w:val="none" w:sz="0" w:space="0" w:color="auto"/>
                          </w:divBdr>
                        </w:div>
                      </w:divsChild>
                    </w:div>
                    <w:div w:id="1731994695">
                      <w:marLeft w:val="0"/>
                      <w:marRight w:val="0"/>
                      <w:marTop w:val="0"/>
                      <w:marBottom w:val="0"/>
                      <w:divBdr>
                        <w:top w:val="none" w:sz="0" w:space="0" w:color="auto"/>
                        <w:left w:val="none" w:sz="0" w:space="0" w:color="auto"/>
                        <w:bottom w:val="none" w:sz="0" w:space="0" w:color="auto"/>
                        <w:right w:val="none" w:sz="0" w:space="0" w:color="auto"/>
                      </w:divBdr>
                      <w:divsChild>
                        <w:div w:id="283536297">
                          <w:marLeft w:val="0"/>
                          <w:marRight w:val="0"/>
                          <w:marTop w:val="0"/>
                          <w:marBottom w:val="0"/>
                          <w:divBdr>
                            <w:top w:val="none" w:sz="0" w:space="0" w:color="auto"/>
                            <w:left w:val="none" w:sz="0" w:space="0" w:color="auto"/>
                            <w:bottom w:val="none" w:sz="0" w:space="0" w:color="auto"/>
                            <w:right w:val="none" w:sz="0" w:space="0" w:color="auto"/>
                          </w:divBdr>
                        </w:div>
                      </w:divsChild>
                    </w:div>
                    <w:div w:id="1734429064">
                      <w:marLeft w:val="0"/>
                      <w:marRight w:val="0"/>
                      <w:marTop w:val="0"/>
                      <w:marBottom w:val="0"/>
                      <w:divBdr>
                        <w:top w:val="none" w:sz="0" w:space="0" w:color="auto"/>
                        <w:left w:val="none" w:sz="0" w:space="0" w:color="auto"/>
                        <w:bottom w:val="none" w:sz="0" w:space="0" w:color="auto"/>
                        <w:right w:val="none" w:sz="0" w:space="0" w:color="auto"/>
                      </w:divBdr>
                      <w:divsChild>
                        <w:div w:id="1902523435">
                          <w:marLeft w:val="0"/>
                          <w:marRight w:val="0"/>
                          <w:marTop w:val="0"/>
                          <w:marBottom w:val="0"/>
                          <w:divBdr>
                            <w:top w:val="none" w:sz="0" w:space="0" w:color="auto"/>
                            <w:left w:val="none" w:sz="0" w:space="0" w:color="auto"/>
                            <w:bottom w:val="none" w:sz="0" w:space="0" w:color="auto"/>
                            <w:right w:val="none" w:sz="0" w:space="0" w:color="auto"/>
                          </w:divBdr>
                        </w:div>
                      </w:divsChild>
                    </w:div>
                    <w:div w:id="1742294368">
                      <w:marLeft w:val="0"/>
                      <w:marRight w:val="0"/>
                      <w:marTop w:val="0"/>
                      <w:marBottom w:val="0"/>
                      <w:divBdr>
                        <w:top w:val="none" w:sz="0" w:space="0" w:color="auto"/>
                        <w:left w:val="none" w:sz="0" w:space="0" w:color="auto"/>
                        <w:bottom w:val="none" w:sz="0" w:space="0" w:color="auto"/>
                        <w:right w:val="none" w:sz="0" w:space="0" w:color="auto"/>
                      </w:divBdr>
                      <w:divsChild>
                        <w:div w:id="453671804">
                          <w:marLeft w:val="0"/>
                          <w:marRight w:val="0"/>
                          <w:marTop w:val="0"/>
                          <w:marBottom w:val="0"/>
                          <w:divBdr>
                            <w:top w:val="none" w:sz="0" w:space="0" w:color="auto"/>
                            <w:left w:val="none" w:sz="0" w:space="0" w:color="auto"/>
                            <w:bottom w:val="none" w:sz="0" w:space="0" w:color="auto"/>
                            <w:right w:val="none" w:sz="0" w:space="0" w:color="auto"/>
                          </w:divBdr>
                        </w:div>
                      </w:divsChild>
                    </w:div>
                    <w:div w:id="1755475688">
                      <w:marLeft w:val="0"/>
                      <w:marRight w:val="0"/>
                      <w:marTop w:val="0"/>
                      <w:marBottom w:val="0"/>
                      <w:divBdr>
                        <w:top w:val="none" w:sz="0" w:space="0" w:color="auto"/>
                        <w:left w:val="none" w:sz="0" w:space="0" w:color="auto"/>
                        <w:bottom w:val="none" w:sz="0" w:space="0" w:color="auto"/>
                        <w:right w:val="none" w:sz="0" w:space="0" w:color="auto"/>
                      </w:divBdr>
                      <w:divsChild>
                        <w:div w:id="682434972">
                          <w:marLeft w:val="0"/>
                          <w:marRight w:val="0"/>
                          <w:marTop w:val="0"/>
                          <w:marBottom w:val="0"/>
                          <w:divBdr>
                            <w:top w:val="none" w:sz="0" w:space="0" w:color="auto"/>
                            <w:left w:val="none" w:sz="0" w:space="0" w:color="auto"/>
                            <w:bottom w:val="none" w:sz="0" w:space="0" w:color="auto"/>
                            <w:right w:val="none" w:sz="0" w:space="0" w:color="auto"/>
                          </w:divBdr>
                        </w:div>
                      </w:divsChild>
                    </w:div>
                    <w:div w:id="1771272202">
                      <w:marLeft w:val="0"/>
                      <w:marRight w:val="0"/>
                      <w:marTop w:val="0"/>
                      <w:marBottom w:val="0"/>
                      <w:divBdr>
                        <w:top w:val="none" w:sz="0" w:space="0" w:color="auto"/>
                        <w:left w:val="none" w:sz="0" w:space="0" w:color="auto"/>
                        <w:bottom w:val="none" w:sz="0" w:space="0" w:color="auto"/>
                        <w:right w:val="none" w:sz="0" w:space="0" w:color="auto"/>
                      </w:divBdr>
                      <w:divsChild>
                        <w:div w:id="1778790499">
                          <w:marLeft w:val="0"/>
                          <w:marRight w:val="0"/>
                          <w:marTop w:val="0"/>
                          <w:marBottom w:val="0"/>
                          <w:divBdr>
                            <w:top w:val="none" w:sz="0" w:space="0" w:color="auto"/>
                            <w:left w:val="none" w:sz="0" w:space="0" w:color="auto"/>
                            <w:bottom w:val="none" w:sz="0" w:space="0" w:color="auto"/>
                            <w:right w:val="none" w:sz="0" w:space="0" w:color="auto"/>
                          </w:divBdr>
                        </w:div>
                      </w:divsChild>
                    </w:div>
                    <w:div w:id="1778717782">
                      <w:marLeft w:val="0"/>
                      <w:marRight w:val="0"/>
                      <w:marTop w:val="0"/>
                      <w:marBottom w:val="0"/>
                      <w:divBdr>
                        <w:top w:val="none" w:sz="0" w:space="0" w:color="auto"/>
                        <w:left w:val="none" w:sz="0" w:space="0" w:color="auto"/>
                        <w:bottom w:val="none" w:sz="0" w:space="0" w:color="auto"/>
                        <w:right w:val="none" w:sz="0" w:space="0" w:color="auto"/>
                      </w:divBdr>
                      <w:divsChild>
                        <w:div w:id="1472556272">
                          <w:marLeft w:val="0"/>
                          <w:marRight w:val="0"/>
                          <w:marTop w:val="0"/>
                          <w:marBottom w:val="0"/>
                          <w:divBdr>
                            <w:top w:val="none" w:sz="0" w:space="0" w:color="auto"/>
                            <w:left w:val="none" w:sz="0" w:space="0" w:color="auto"/>
                            <w:bottom w:val="none" w:sz="0" w:space="0" w:color="auto"/>
                            <w:right w:val="none" w:sz="0" w:space="0" w:color="auto"/>
                          </w:divBdr>
                        </w:div>
                      </w:divsChild>
                    </w:div>
                    <w:div w:id="1780563518">
                      <w:marLeft w:val="0"/>
                      <w:marRight w:val="0"/>
                      <w:marTop w:val="0"/>
                      <w:marBottom w:val="0"/>
                      <w:divBdr>
                        <w:top w:val="none" w:sz="0" w:space="0" w:color="auto"/>
                        <w:left w:val="none" w:sz="0" w:space="0" w:color="auto"/>
                        <w:bottom w:val="none" w:sz="0" w:space="0" w:color="auto"/>
                        <w:right w:val="none" w:sz="0" w:space="0" w:color="auto"/>
                      </w:divBdr>
                      <w:divsChild>
                        <w:div w:id="1302998936">
                          <w:marLeft w:val="0"/>
                          <w:marRight w:val="0"/>
                          <w:marTop w:val="0"/>
                          <w:marBottom w:val="0"/>
                          <w:divBdr>
                            <w:top w:val="none" w:sz="0" w:space="0" w:color="auto"/>
                            <w:left w:val="none" w:sz="0" w:space="0" w:color="auto"/>
                            <w:bottom w:val="none" w:sz="0" w:space="0" w:color="auto"/>
                            <w:right w:val="none" w:sz="0" w:space="0" w:color="auto"/>
                          </w:divBdr>
                        </w:div>
                      </w:divsChild>
                    </w:div>
                    <w:div w:id="1796289935">
                      <w:marLeft w:val="0"/>
                      <w:marRight w:val="0"/>
                      <w:marTop w:val="0"/>
                      <w:marBottom w:val="0"/>
                      <w:divBdr>
                        <w:top w:val="none" w:sz="0" w:space="0" w:color="auto"/>
                        <w:left w:val="none" w:sz="0" w:space="0" w:color="auto"/>
                        <w:bottom w:val="none" w:sz="0" w:space="0" w:color="auto"/>
                        <w:right w:val="none" w:sz="0" w:space="0" w:color="auto"/>
                      </w:divBdr>
                      <w:divsChild>
                        <w:div w:id="987319925">
                          <w:marLeft w:val="0"/>
                          <w:marRight w:val="0"/>
                          <w:marTop w:val="0"/>
                          <w:marBottom w:val="0"/>
                          <w:divBdr>
                            <w:top w:val="none" w:sz="0" w:space="0" w:color="auto"/>
                            <w:left w:val="none" w:sz="0" w:space="0" w:color="auto"/>
                            <w:bottom w:val="none" w:sz="0" w:space="0" w:color="auto"/>
                            <w:right w:val="none" w:sz="0" w:space="0" w:color="auto"/>
                          </w:divBdr>
                        </w:div>
                      </w:divsChild>
                    </w:div>
                    <w:div w:id="1806852813">
                      <w:marLeft w:val="0"/>
                      <w:marRight w:val="0"/>
                      <w:marTop w:val="0"/>
                      <w:marBottom w:val="0"/>
                      <w:divBdr>
                        <w:top w:val="none" w:sz="0" w:space="0" w:color="auto"/>
                        <w:left w:val="none" w:sz="0" w:space="0" w:color="auto"/>
                        <w:bottom w:val="none" w:sz="0" w:space="0" w:color="auto"/>
                        <w:right w:val="none" w:sz="0" w:space="0" w:color="auto"/>
                      </w:divBdr>
                      <w:divsChild>
                        <w:div w:id="681934832">
                          <w:marLeft w:val="0"/>
                          <w:marRight w:val="0"/>
                          <w:marTop w:val="0"/>
                          <w:marBottom w:val="0"/>
                          <w:divBdr>
                            <w:top w:val="none" w:sz="0" w:space="0" w:color="auto"/>
                            <w:left w:val="none" w:sz="0" w:space="0" w:color="auto"/>
                            <w:bottom w:val="none" w:sz="0" w:space="0" w:color="auto"/>
                            <w:right w:val="none" w:sz="0" w:space="0" w:color="auto"/>
                          </w:divBdr>
                        </w:div>
                        <w:div w:id="1090546445">
                          <w:marLeft w:val="0"/>
                          <w:marRight w:val="0"/>
                          <w:marTop w:val="0"/>
                          <w:marBottom w:val="0"/>
                          <w:divBdr>
                            <w:top w:val="none" w:sz="0" w:space="0" w:color="auto"/>
                            <w:left w:val="none" w:sz="0" w:space="0" w:color="auto"/>
                            <w:bottom w:val="none" w:sz="0" w:space="0" w:color="auto"/>
                            <w:right w:val="none" w:sz="0" w:space="0" w:color="auto"/>
                          </w:divBdr>
                        </w:div>
                      </w:divsChild>
                    </w:div>
                    <w:div w:id="1810901199">
                      <w:marLeft w:val="0"/>
                      <w:marRight w:val="0"/>
                      <w:marTop w:val="0"/>
                      <w:marBottom w:val="0"/>
                      <w:divBdr>
                        <w:top w:val="none" w:sz="0" w:space="0" w:color="auto"/>
                        <w:left w:val="none" w:sz="0" w:space="0" w:color="auto"/>
                        <w:bottom w:val="none" w:sz="0" w:space="0" w:color="auto"/>
                        <w:right w:val="none" w:sz="0" w:space="0" w:color="auto"/>
                      </w:divBdr>
                      <w:divsChild>
                        <w:div w:id="856502792">
                          <w:marLeft w:val="0"/>
                          <w:marRight w:val="0"/>
                          <w:marTop w:val="0"/>
                          <w:marBottom w:val="0"/>
                          <w:divBdr>
                            <w:top w:val="none" w:sz="0" w:space="0" w:color="auto"/>
                            <w:left w:val="none" w:sz="0" w:space="0" w:color="auto"/>
                            <w:bottom w:val="none" w:sz="0" w:space="0" w:color="auto"/>
                            <w:right w:val="none" w:sz="0" w:space="0" w:color="auto"/>
                          </w:divBdr>
                        </w:div>
                      </w:divsChild>
                    </w:div>
                    <w:div w:id="1829981313">
                      <w:marLeft w:val="0"/>
                      <w:marRight w:val="0"/>
                      <w:marTop w:val="0"/>
                      <w:marBottom w:val="0"/>
                      <w:divBdr>
                        <w:top w:val="none" w:sz="0" w:space="0" w:color="auto"/>
                        <w:left w:val="none" w:sz="0" w:space="0" w:color="auto"/>
                        <w:bottom w:val="none" w:sz="0" w:space="0" w:color="auto"/>
                        <w:right w:val="none" w:sz="0" w:space="0" w:color="auto"/>
                      </w:divBdr>
                      <w:divsChild>
                        <w:div w:id="1168208143">
                          <w:marLeft w:val="0"/>
                          <w:marRight w:val="0"/>
                          <w:marTop w:val="0"/>
                          <w:marBottom w:val="0"/>
                          <w:divBdr>
                            <w:top w:val="none" w:sz="0" w:space="0" w:color="auto"/>
                            <w:left w:val="none" w:sz="0" w:space="0" w:color="auto"/>
                            <w:bottom w:val="none" w:sz="0" w:space="0" w:color="auto"/>
                            <w:right w:val="none" w:sz="0" w:space="0" w:color="auto"/>
                          </w:divBdr>
                        </w:div>
                      </w:divsChild>
                    </w:div>
                    <w:div w:id="1838224355">
                      <w:marLeft w:val="0"/>
                      <w:marRight w:val="0"/>
                      <w:marTop w:val="0"/>
                      <w:marBottom w:val="0"/>
                      <w:divBdr>
                        <w:top w:val="none" w:sz="0" w:space="0" w:color="auto"/>
                        <w:left w:val="none" w:sz="0" w:space="0" w:color="auto"/>
                        <w:bottom w:val="none" w:sz="0" w:space="0" w:color="auto"/>
                        <w:right w:val="none" w:sz="0" w:space="0" w:color="auto"/>
                      </w:divBdr>
                      <w:divsChild>
                        <w:div w:id="543100391">
                          <w:marLeft w:val="0"/>
                          <w:marRight w:val="0"/>
                          <w:marTop w:val="0"/>
                          <w:marBottom w:val="0"/>
                          <w:divBdr>
                            <w:top w:val="none" w:sz="0" w:space="0" w:color="auto"/>
                            <w:left w:val="none" w:sz="0" w:space="0" w:color="auto"/>
                            <w:bottom w:val="none" w:sz="0" w:space="0" w:color="auto"/>
                            <w:right w:val="none" w:sz="0" w:space="0" w:color="auto"/>
                          </w:divBdr>
                        </w:div>
                      </w:divsChild>
                    </w:div>
                    <w:div w:id="1841768842">
                      <w:marLeft w:val="0"/>
                      <w:marRight w:val="0"/>
                      <w:marTop w:val="0"/>
                      <w:marBottom w:val="0"/>
                      <w:divBdr>
                        <w:top w:val="none" w:sz="0" w:space="0" w:color="auto"/>
                        <w:left w:val="none" w:sz="0" w:space="0" w:color="auto"/>
                        <w:bottom w:val="none" w:sz="0" w:space="0" w:color="auto"/>
                        <w:right w:val="none" w:sz="0" w:space="0" w:color="auto"/>
                      </w:divBdr>
                      <w:divsChild>
                        <w:div w:id="374738444">
                          <w:marLeft w:val="0"/>
                          <w:marRight w:val="0"/>
                          <w:marTop w:val="0"/>
                          <w:marBottom w:val="0"/>
                          <w:divBdr>
                            <w:top w:val="none" w:sz="0" w:space="0" w:color="auto"/>
                            <w:left w:val="none" w:sz="0" w:space="0" w:color="auto"/>
                            <w:bottom w:val="none" w:sz="0" w:space="0" w:color="auto"/>
                            <w:right w:val="none" w:sz="0" w:space="0" w:color="auto"/>
                          </w:divBdr>
                        </w:div>
                      </w:divsChild>
                    </w:div>
                    <w:div w:id="1863123712">
                      <w:marLeft w:val="0"/>
                      <w:marRight w:val="0"/>
                      <w:marTop w:val="0"/>
                      <w:marBottom w:val="0"/>
                      <w:divBdr>
                        <w:top w:val="none" w:sz="0" w:space="0" w:color="auto"/>
                        <w:left w:val="none" w:sz="0" w:space="0" w:color="auto"/>
                        <w:bottom w:val="none" w:sz="0" w:space="0" w:color="auto"/>
                        <w:right w:val="none" w:sz="0" w:space="0" w:color="auto"/>
                      </w:divBdr>
                      <w:divsChild>
                        <w:div w:id="1957979569">
                          <w:marLeft w:val="0"/>
                          <w:marRight w:val="0"/>
                          <w:marTop w:val="0"/>
                          <w:marBottom w:val="0"/>
                          <w:divBdr>
                            <w:top w:val="none" w:sz="0" w:space="0" w:color="auto"/>
                            <w:left w:val="none" w:sz="0" w:space="0" w:color="auto"/>
                            <w:bottom w:val="none" w:sz="0" w:space="0" w:color="auto"/>
                            <w:right w:val="none" w:sz="0" w:space="0" w:color="auto"/>
                          </w:divBdr>
                        </w:div>
                      </w:divsChild>
                    </w:div>
                    <w:div w:id="1870988340">
                      <w:marLeft w:val="0"/>
                      <w:marRight w:val="0"/>
                      <w:marTop w:val="0"/>
                      <w:marBottom w:val="0"/>
                      <w:divBdr>
                        <w:top w:val="none" w:sz="0" w:space="0" w:color="auto"/>
                        <w:left w:val="none" w:sz="0" w:space="0" w:color="auto"/>
                        <w:bottom w:val="none" w:sz="0" w:space="0" w:color="auto"/>
                        <w:right w:val="none" w:sz="0" w:space="0" w:color="auto"/>
                      </w:divBdr>
                      <w:divsChild>
                        <w:div w:id="1608535515">
                          <w:marLeft w:val="0"/>
                          <w:marRight w:val="0"/>
                          <w:marTop w:val="0"/>
                          <w:marBottom w:val="0"/>
                          <w:divBdr>
                            <w:top w:val="none" w:sz="0" w:space="0" w:color="auto"/>
                            <w:left w:val="none" w:sz="0" w:space="0" w:color="auto"/>
                            <w:bottom w:val="none" w:sz="0" w:space="0" w:color="auto"/>
                            <w:right w:val="none" w:sz="0" w:space="0" w:color="auto"/>
                          </w:divBdr>
                        </w:div>
                      </w:divsChild>
                    </w:div>
                    <w:div w:id="1873612711">
                      <w:marLeft w:val="0"/>
                      <w:marRight w:val="0"/>
                      <w:marTop w:val="0"/>
                      <w:marBottom w:val="0"/>
                      <w:divBdr>
                        <w:top w:val="none" w:sz="0" w:space="0" w:color="auto"/>
                        <w:left w:val="none" w:sz="0" w:space="0" w:color="auto"/>
                        <w:bottom w:val="none" w:sz="0" w:space="0" w:color="auto"/>
                        <w:right w:val="none" w:sz="0" w:space="0" w:color="auto"/>
                      </w:divBdr>
                      <w:divsChild>
                        <w:div w:id="1923878302">
                          <w:marLeft w:val="0"/>
                          <w:marRight w:val="0"/>
                          <w:marTop w:val="0"/>
                          <w:marBottom w:val="0"/>
                          <w:divBdr>
                            <w:top w:val="none" w:sz="0" w:space="0" w:color="auto"/>
                            <w:left w:val="none" w:sz="0" w:space="0" w:color="auto"/>
                            <w:bottom w:val="none" w:sz="0" w:space="0" w:color="auto"/>
                            <w:right w:val="none" w:sz="0" w:space="0" w:color="auto"/>
                          </w:divBdr>
                        </w:div>
                      </w:divsChild>
                    </w:div>
                    <w:div w:id="1891529896">
                      <w:marLeft w:val="0"/>
                      <w:marRight w:val="0"/>
                      <w:marTop w:val="0"/>
                      <w:marBottom w:val="0"/>
                      <w:divBdr>
                        <w:top w:val="none" w:sz="0" w:space="0" w:color="auto"/>
                        <w:left w:val="none" w:sz="0" w:space="0" w:color="auto"/>
                        <w:bottom w:val="none" w:sz="0" w:space="0" w:color="auto"/>
                        <w:right w:val="none" w:sz="0" w:space="0" w:color="auto"/>
                      </w:divBdr>
                      <w:divsChild>
                        <w:div w:id="1575551396">
                          <w:marLeft w:val="0"/>
                          <w:marRight w:val="0"/>
                          <w:marTop w:val="0"/>
                          <w:marBottom w:val="0"/>
                          <w:divBdr>
                            <w:top w:val="none" w:sz="0" w:space="0" w:color="auto"/>
                            <w:left w:val="none" w:sz="0" w:space="0" w:color="auto"/>
                            <w:bottom w:val="none" w:sz="0" w:space="0" w:color="auto"/>
                            <w:right w:val="none" w:sz="0" w:space="0" w:color="auto"/>
                          </w:divBdr>
                        </w:div>
                      </w:divsChild>
                    </w:div>
                    <w:div w:id="1896231287">
                      <w:marLeft w:val="0"/>
                      <w:marRight w:val="0"/>
                      <w:marTop w:val="0"/>
                      <w:marBottom w:val="0"/>
                      <w:divBdr>
                        <w:top w:val="none" w:sz="0" w:space="0" w:color="auto"/>
                        <w:left w:val="none" w:sz="0" w:space="0" w:color="auto"/>
                        <w:bottom w:val="none" w:sz="0" w:space="0" w:color="auto"/>
                        <w:right w:val="none" w:sz="0" w:space="0" w:color="auto"/>
                      </w:divBdr>
                      <w:divsChild>
                        <w:div w:id="354620684">
                          <w:marLeft w:val="0"/>
                          <w:marRight w:val="0"/>
                          <w:marTop w:val="0"/>
                          <w:marBottom w:val="0"/>
                          <w:divBdr>
                            <w:top w:val="none" w:sz="0" w:space="0" w:color="auto"/>
                            <w:left w:val="none" w:sz="0" w:space="0" w:color="auto"/>
                            <w:bottom w:val="none" w:sz="0" w:space="0" w:color="auto"/>
                            <w:right w:val="none" w:sz="0" w:space="0" w:color="auto"/>
                          </w:divBdr>
                        </w:div>
                      </w:divsChild>
                    </w:div>
                    <w:div w:id="1900556946">
                      <w:marLeft w:val="0"/>
                      <w:marRight w:val="0"/>
                      <w:marTop w:val="0"/>
                      <w:marBottom w:val="0"/>
                      <w:divBdr>
                        <w:top w:val="none" w:sz="0" w:space="0" w:color="auto"/>
                        <w:left w:val="none" w:sz="0" w:space="0" w:color="auto"/>
                        <w:bottom w:val="none" w:sz="0" w:space="0" w:color="auto"/>
                        <w:right w:val="none" w:sz="0" w:space="0" w:color="auto"/>
                      </w:divBdr>
                      <w:divsChild>
                        <w:div w:id="896237269">
                          <w:marLeft w:val="0"/>
                          <w:marRight w:val="0"/>
                          <w:marTop w:val="0"/>
                          <w:marBottom w:val="0"/>
                          <w:divBdr>
                            <w:top w:val="none" w:sz="0" w:space="0" w:color="auto"/>
                            <w:left w:val="none" w:sz="0" w:space="0" w:color="auto"/>
                            <w:bottom w:val="none" w:sz="0" w:space="0" w:color="auto"/>
                            <w:right w:val="none" w:sz="0" w:space="0" w:color="auto"/>
                          </w:divBdr>
                        </w:div>
                      </w:divsChild>
                    </w:div>
                    <w:div w:id="1901864517">
                      <w:marLeft w:val="0"/>
                      <w:marRight w:val="0"/>
                      <w:marTop w:val="0"/>
                      <w:marBottom w:val="0"/>
                      <w:divBdr>
                        <w:top w:val="none" w:sz="0" w:space="0" w:color="auto"/>
                        <w:left w:val="none" w:sz="0" w:space="0" w:color="auto"/>
                        <w:bottom w:val="none" w:sz="0" w:space="0" w:color="auto"/>
                        <w:right w:val="none" w:sz="0" w:space="0" w:color="auto"/>
                      </w:divBdr>
                      <w:divsChild>
                        <w:div w:id="97411702">
                          <w:marLeft w:val="0"/>
                          <w:marRight w:val="0"/>
                          <w:marTop w:val="0"/>
                          <w:marBottom w:val="0"/>
                          <w:divBdr>
                            <w:top w:val="none" w:sz="0" w:space="0" w:color="auto"/>
                            <w:left w:val="none" w:sz="0" w:space="0" w:color="auto"/>
                            <w:bottom w:val="none" w:sz="0" w:space="0" w:color="auto"/>
                            <w:right w:val="none" w:sz="0" w:space="0" w:color="auto"/>
                          </w:divBdr>
                        </w:div>
                      </w:divsChild>
                    </w:div>
                    <w:div w:id="1909873827">
                      <w:marLeft w:val="0"/>
                      <w:marRight w:val="0"/>
                      <w:marTop w:val="0"/>
                      <w:marBottom w:val="0"/>
                      <w:divBdr>
                        <w:top w:val="none" w:sz="0" w:space="0" w:color="auto"/>
                        <w:left w:val="none" w:sz="0" w:space="0" w:color="auto"/>
                        <w:bottom w:val="none" w:sz="0" w:space="0" w:color="auto"/>
                        <w:right w:val="none" w:sz="0" w:space="0" w:color="auto"/>
                      </w:divBdr>
                      <w:divsChild>
                        <w:div w:id="1877501655">
                          <w:marLeft w:val="0"/>
                          <w:marRight w:val="0"/>
                          <w:marTop w:val="0"/>
                          <w:marBottom w:val="0"/>
                          <w:divBdr>
                            <w:top w:val="none" w:sz="0" w:space="0" w:color="auto"/>
                            <w:left w:val="none" w:sz="0" w:space="0" w:color="auto"/>
                            <w:bottom w:val="none" w:sz="0" w:space="0" w:color="auto"/>
                            <w:right w:val="none" w:sz="0" w:space="0" w:color="auto"/>
                          </w:divBdr>
                        </w:div>
                      </w:divsChild>
                    </w:div>
                    <w:div w:id="1923028472">
                      <w:marLeft w:val="0"/>
                      <w:marRight w:val="0"/>
                      <w:marTop w:val="0"/>
                      <w:marBottom w:val="0"/>
                      <w:divBdr>
                        <w:top w:val="none" w:sz="0" w:space="0" w:color="auto"/>
                        <w:left w:val="none" w:sz="0" w:space="0" w:color="auto"/>
                        <w:bottom w:val="none" w:sz="0" w:space="0" w:color="auto"/>
                        <w:right w:val="none" w:sz="0" w:space="0" w:color="auto"/>
                      </w:divBdr>
                      <w:divsChild>
                        <w:div w:id="694113249">
                          <w:marLeft w:val="0"/>
                          <w:marRight w:val="0"/>
                          <w:marTop w:val="0"/>
                          <w:marBottom w:val="0"/>
                          <w:divBdr>
                            <w:top w:val="none" w:sz="0" w:space="0" w:color="auto"/>
                            <w:left w:val="none" w:sz="0" w:space="0" w:color="auto"/>
                            <w:bottom w:val="none" w:sz="0" w:space="0" w:color="auto"/>
                            <w:right w:val="none" w:sz="0" w:space="0" w:color="auto"/>
                          </w:divBdr>
                        </w:div>
                      </w:divsChild>
                    </w:div>
                    <w:div w:id="1929271067">
                      <w:marLeft w:val="0"/>
                      <w:marRight w:val="0"/>
                      <w:marTop w:val="0"/>
                      <w:marBottom w:val="0"/>
                      <w:divBdr>
                        <w:top w:val="none" w:sz="0" w:space="0" w:color="auto"/>
                        <w:left w:val="none" w:sz="0" w:space="0" w:color="auto"/>
                        <w:bottom w:val="none" w:sz="0" w:space="0" w:color="auto"/>
                        <w:right w:val="none" w:sz="0" w:space="0" w:color="auto"/>
                      </w:divBdr>
                      <w:divsChild>
                        <w:div w:id="527182524">
                          <w:marLeft w:val="0"/>
                          <w:marRight w:val="0"/>
                          <w:marTop w:val="0"/>
                          <w:marBottom w:val="0"/>
                          <w:divBdr>
                            <w:top w:val="none" w:sz="0" w:space="0" w:color="auto"/>
                            <w:left w:val="none" w:sz="0" w:space="0" w:color="auto"/>
                            <w:bottom w:val="none" w:sz="0" w:space="0" w:color="auto"/>
                            <w:right w:val="none" w:sz="0" w:space="0" w:color="auto"/>
                          </w:divBdr>
                        </w:div>
                      </w:divsChild>
                    </w:div>
                    <w:div w:id="1940678479">
                      <w:marLeft w:val="0"/>
                      <w:marRight w:val="0"/>
                      <w:marTop w:val="0"/>
                      <w:marBottom w:val="0"/>
                      <w:divBdr>
                        <w:top w:val="none" w:sz="0" w:space="0" w:color="auto"/>
                        <w:left w:val="none" w:sz="0" w:space="0" w:color="auto"/>
                        <w:bottom w:val="none" w:sz="0" w:space="0" w:color="auto"/>
                        <w:right w:val="none" w:sz="0" w:space="0" w:color="auto"/>
                      </w:divBdr>
                      <w:divsChild>
                        <w:div w:id="1069882580">
                          <w:marLeft w:val="0"/>
                          <w:marRight w:val="0"/>
                          <w:marTop w:val="0"/>
                          <w:marBottom w:val="0"/>
                          <w:divBdr>
                            <w:top w:val="none" w:sz="0" w:space="0" w:color="auto"/>
                            <w:left w:val="none" w:sz="0" w:space="0" w:color="auto"/>
                            <w:bottom w:val="none" w:sz="0" w:space="0" w:color="auto"/>
                            <w:right w:val="none" w:sz="0" w:space="0" w:color="auto"/>
                          </w:divBdr>
                        </w:div>
                      </w:divsChild>
                    </w:div>
                    <w:div w:id="1949658538">
                      <w:marLeft w:val="0"/>
                      <w:marRight w:val="0"/>
                      <w:marTop w:val="0"/>
                      <w:marBottom w:val="0"/>
                      <w:divBdr>
                        <w:top w:val="none" w:sz="0" w:space="0" w:color="auto"/>
                        <w:left w:val="none" w:sz="0" w:space="0" w:color="auto"/>
                        <w:bottom w:val="none" w:sz="0" w:space="0" w:color="auto"/>
                        <w:right w:val="none" w:sz="0" w:space="0" w:color="auto"/>
                      </w:divBdr>
                      <w:divsChild>
                        <w:div w:id="1486044094">
                          <w:marLeft w:val="0"/>
                          <w:marRight w:val="0"/>
                          <w:marTop w:val="0"/>
                          <w:marBottom w:val="0"/>
                          <w:divBdr>
                            <w:top w:val="none" w:sz="0" w:space="0" w:color="auto"/>
                            <w:left w:val="none" w:sz="0" w:space="0" w:color="auto"/>
                            <w:bottom w:val="none" w:sz="0" w:space="0" w:color="auto"/>
                            <w:right w:val="none" w:sz="0" w:space="0" w:color="auto"/>
                          </w:divBdr>
                        </w:div>
                      </w:divsChild>
                    </w:div>
                    <w:div w:id="1981380569">
                      <w:marLeft w:val="0"/>
                      <w:marRight w:val="0"/>
                      <w:marTop w:val="0"/>
                      <w:marBottom w:val="0"/>
                      <w:divBdr>
                        <w:top w:val="none" w:sz="0" w:space="0" w:color="auto"/>
                        <w:left w:val="none" w:sz="0" w:space="0" w:color="auto"/>
                        <w:bottom w:val="none" w:sz="0" w:space="0" w:color="auto"/>
                        <w:right w:val="none" w:sz="0" w:space="0" w:color="auto"/>
                      </w:divBdr>
                      <w:divsChild>
                        <w:div w:id="346248124">
                          <w:marLeft w:val="0"/>
                          <w:marRight w:val="0"/>
                          <w:marTop w:val="0"/>
                          <w:marBottom w:val="0"/>
                          <w:divBdr>
                            <w:top w:val="none" w:sz="0" w:space="0" w:color="auto"/>
                            <w:left w:val="none" w:sz="0" w:space="0" w:color="auto"/>
                            <w:bottom w:val="none" w:sz="0" w:space="0" w:color="auto"/>
                            <w:right w:val="none" w:sz="0" w:space="0" w:color="auto"/>
                          </w:divBdr>
                        </w:div>
                      </w:divsChild>
                    </w:div>
                    <w:div w:id="1988583987">
                      <w:marLeft w:val="0"/>
                      <w:marRight w:val="0"/>
                      <w:marTop w:val="0"/>
                      <w:marBottom w:val="0"/>
                      <w:divBdr>
                        <w:top w:val="none" w:sz="0" w:space="0" w:color="auto"/>
                        <w:left w:val="none" w:sz="0" w:space="0" w:color="auto"/>
                        <w:bottom w:val="none" w:sz="0" w:space="0" w:color="auto"/>
                        <w:right w:val="none" w:sz="0" w:space="0" w:color="auto"/>
                      </w:divBdr>
                      <w:divsChild>
                        <w:div w:id="52511572">
                          <w:marLeft w:val="0"/>
                          <w:marRight w:val="0"/>
                          <w:marTop w:val="0"/>
                          <w:marBottom w:val="0"/>
                          <w:divBdr>
                            <w:top w:val="none" w:sz="0" w:space="0" w:color="auto"/>
                            <w:left w:val="none" w:sz="0" w:space="0" w:color="auto"/>
                            <w:bottom w:val="none" w:sz="0" w:space="0" w:color="auto"/>
                            <w:right w:val="none" w:sz="0" w:space="0" w:color="auto"/>
                          </w:divBdr>
                        </w:div>
                      </w:divsChild>
                    </w:div>
                    <w:div w:id="1995406303">
                      <w:marLeft w:val="0"/>
                      <w:marRight w:val="0"/>
                      <w:marTop w:val="0"/>
                      <w:marBottom w:val="0"/>
                      <w:divBdr>
                        <w:top w:val="none" w:sz="0" w:space="0" w:color="auto"/>
                        <w:left w:val="none" w:sz="0" w:space="0" w:color="auto"/>
                        <w:bottom w:val="none" w:sz="0" w:space="0" w:color="auto"/>
                        <w:right w:val="none" w:sz="0" w:space="0" w:color="auto"/>
                      </w:divBdr>
                      <w:divsChild>
                        <w:div w:id="140781017">
                          <w:marLeft w:val="0"/>
                          <w:marRight w:val="0"/>
                          <w:marTop w:val="0"/>
                          <w:marBottom w:val="0"/>
                          <w:divBdr>
                            <w:top w:val="none" w:sz="0" w:space="0" w:color="auto"/>
                            <w:left w:val="none" w:sz="0" w:space="0" w:color="auto"/>
                            <w:bottom w:val="none" w:sz="0" w:space="0" w:color="auto"/>
                            <w:right w:val="none" w:sz="0" w:space="0" w:color="auto"/>
                          </w:divBdr>
                        </w:div>
                      </w:divsChild>
                    </w:div>
                    <w:div w:id="1999922192">
                      <w:marLeft w:val="0"/>
                      <w:marRight w:val="0"/>
                      <w:marTop w:val="0"/>
                      <w:marBottom w:val="0"/>
                      <w:divBdr>
                        <w:top w:val="none" w:sz="0" w:space="0" w:color="auto"/>
                        <w:left w:val="none" w:sz="0" w:space="0" w:color="auto"/>
                        <w:bottom w:val="none" w:sz="0" w:space="0" w:color="auto"/>
                        <w:right w:val="none" w:sz="0" w:space="0" w:color="auto"/>
                      </w:divBdr>
                      <w:divsChild>
                        <w:div w:id="537594053">
                          <w:marLeft w:val="0"/>
                          <w:marRight w:val="0"/>
                          <w:marTop w:val="0"/>
                          <w:marBottom w:val="0"/>
                          <w:divBdr>
                            <w:top w:val="none" w:sz="0" w:space="0" w:color="auto"/>
                            <w:left w:val="none" w:sz="0" w:space="0" w:color="auto"/>
                            <w:bottom w:val="none" w:sz="0" w:space="0" w:color="auto"/>
                            <w:right w:val="none" w:sz="0" w:space="0" w:color="auto"/>
                          </w:divBdr>
                        </w:div>
                      </w:divsChild>
                    </w:div>
                    <w:div w:id="2012830467">
                      <w:marLeft w:val="0"/>
                      <w:marRight w:val="0"/>
                      <w:marTop w:val="0"/>
                      <w:marBottom w:val="0"/>
                      <w:divBdr>
                        <w:top w:val="none" w:sz="0" w:space="0" w:color="auto"/>
                        <w:left w:val="none" w:sz="0" w:space="0" w:color="auto"/>
                        <w:bottom w:val="none" w:sz="0" w:space="0" w:color="auto"/>
                        <w:right w:val="none" w:sz="0" w:space="0" w:color="auto"/>
                      </w:divBdr>
                      <w:divsChild>
                        <w:div w:id="289825845">
                          <w:marLeft w:val="0"/>
                          <w:marRight w:val="0"/>
                          <w:marTop w:val="0"/>
                          <w:marBottom w:val="0"/>
                          <w:divBdr>
                            <w:top w:val="none" w:sz="0" w:space="0" w:color="auto"/>
                            <w:left w:val="none" w:sz="0" w:space="0" w:color="auto"/>
                            <w:bottom w:val="none" w:sz="0" w:space="0" w:color="auto"/>
                            <w:right w:val="none" w:sz="0" w:space="0" w:color="auto"/>
                          </w:divBdr>
                        </w:div>
                      </w:divsChild>
                    </w:div>
                    <w:div w:id="2036541852">
                      <w:marLeft w:val="0"/>
                      <w:marRight w:val="0"/>
                      <w:marTop w:val="0"/>
                      <w:marBottom w:val="0"/>
                      <w:divBdr>
                        <w:top w:val="none" w:sz="0" w:space="0" w:color="auto"/>
                        <w:left w:val="none" w:sz="0" w:space="0" w:color="auto"/>
                        <w:bottom w:val="none" w:sz="0" w:space="0" w:color="auto"/>
                        <w:right w:val="none" w:sz="0" w:space="0" w:color="auto"/>
                      </w:divBdr>
                      <w:divsChild>
                        <w:div w:id="1689526261">
                          <w:marLeft w:val="0"/>
                          <w:marRight w:val="0"/>
                          <w:marTop w:val="0"/>
                          <w:marBottom w:val="0"/>
                          <w:divBdr>
                            <w:top w:val="none" w:sz="0" w:space="0" w:color="auto"/>
                            <w:left w:val="none" w:sz="0" w:space="0" w:color="auto"/>
                            <w:bottom w:val="none" w:sz="0" w:space="0" w:color="auto"/>
                            <w:right w:val="none" w:sz="0" w:space="0" w:color="auto"/>
                          </w:divBdr>
                        </w:div>
                      </w:divsChild>
                    </w:div>
                    <w:div w:id="2074694159">
                      <w:marLeft w:val="0"/>
                      <w:marRight w:val="0"/>
                      <w:marTop w:val="0"/>
                      <w:marBottom w:val="0"/>
                      <w:divBdr>
                        <w:top w:val="none" w:sz="0" w:space="0" w:color="auto"/>
                        <w:left w:val="none" w:sz="0" w:space="0" w:color="auto"/>
                        <w:bottom w:val="none" w:sz="0" w:space="0" w:color="auto"/>
                        <w:right w:val="none" w:sz="0" w:space="0" w:color="auto"/>
                      </w:divBdr>
                      <w:divsChild>
                        <w:div w:id="1607467431">
                          <w:marLeft w:val="0"/>
                          <w:marRight w:val="0"/>
                          <w:marTop w:val="0"/>
                          <w:marBottom w:val="0"/>
                          <w:divBdr>
                            <w:top w:val="none" w:sz="0" w:space="0" w:color="auto"/>
                            <w:left w:val="none" w:sz="0" w:space="0" w:color="auto"/>
                            <w:bottom w:val="none" w:sz="0" w:space="0" w:color="auto"/>
                            <w:right w:val="none" w:sz="0" w:space="0" w:color="auto"/>
                          </w:divBdr>
                        </w:div>
                      </w:divsChild>
                    </w:div>
                    <w:div w:id="2076275440">
                      <w:marLeft w:val="0"/>
                      <w:marRight w:val="0"/>
                      <w:marTop w:val="0"/>
                      <w:marBottom w:val="0"/>
                      <w:divBdr>
                        <w:top w:val="none" w:sz="0" w:space="0" w:color="auto"/>
                        <w:left w:val="none" w:sz="0" w:space="0" w:color="auto"/>
                        <w:bottom w:val="none" w:sz="0" w:space="0" w:color="auto"/>
                        <w:right w:val="none" w:sz="0" w:space="0" w:color="auto"/>
                      </w:divBdr>
                      <w:divsChild>
                        <w:div w:id="1209298925">
                          <w:marLeft w:val="0"/>
                          <w:marRight w:val="0"/>
                          <w:marTop w:val="0"/>
                          <w:marBottom w:val="0"/>
                          <w:divBdr>
                            <w:top w:val="none" w:sz="0" w:space="0" w:color="auto"/>
                            <w:left w:val="none" w:sz="0" w:space="0" w:color="auto"/>
                            <w:bottom w:val="none" w:sz="0" w:space="0" w:color="auto"/>
                            <w:right w:val="none" w:sz="0" w:space="0" w:color="auto"/>
                          </w:divBdr>
                        </w:div>
                      </w:divsChild>
                    </w:div>
                    <w:div w:id="2076926528">
                      <w:marLeft w:val="0"/>
                      <w:marRight w:val="0"/>
                      <w:marTop w:val="0"/>
                      <w:marBottom w:val="0"/>
                      <w:divBdr>
                        <w:top w:val="none" w:sz="0" w:space="0" w:color="auto"/>
                        <w:left w:val="none" w:sz="0" w:space="0" w:color="auto"/>
                        <w:bottom w:val="none" w:sz="0" w:space="0" w:color="auto"/>
                        <w:right w:val="none" w:sz="0" w:space="0" w:color="auto"/>
                      </w:divBdr>
                      <w:divsChild>
                        <w:div w:id="1623687130">
                          <w:marLeft w:val="0"/>
                          <w:marRight w:val="0"/>
                          <w:marTop w:val="0"/>
                          <w:marBottom w:val="0"/>
                          <w:divBdr>
                            <w:top w:val="none" w:sz="0" w:space="0" w:color="auto"/>
                            <w:left w:val="none" w:sz="0" w:space="0" w:color="auto"/>
                            <w:bottom w:val="none" w:sz="0" w:space="0" w:color="auto"/>
                            <w:right w:val="none" w:sz="0" w:space="0" w:color="auto"/>
                          </w:divBdr>
                        </w:div>
                      </w:divsChild>
                    </w:div>
                    <w:div w:id="2080054355">
                      <w:marLeft w:val="0"/>
                      <w:marRight w:val="0"/>
                      <w:marTop w:val="0"/>
                      <w:marBottom w:val="0"/>
                      <w:divBdr>
                        <w:top w:val="none" w:sz="0" w:space="0" w:color="auto"/>
                        <w:left w:val="none" w:sz="0" w:space="0" w:color="auto"/>
                        <w:bottom w:val="none" w:sz="0" w:space="0" w:color="auto"/>
                        <w:right w:val="none" w:sz="0" w:space="0" w:color="auto"/>
                      </w:divBdr>
                      <w:divsChild>
                        <w:div w:id="1639072479">
                          <w:marLeft w:val="0"/>
                          <w:marRight w:val="0"/>
                          <w:marTop w:val="0"/>
                          <w:marBottom w:val="0"/>
                          <w:divBdr>
                            <w:top w:val="none" w:sz="0" w:space="0" w:color="auto"/>
                            <w:left w:val="none" w:sz="0" w:space="0" w:color="auto"/>
                            <w:bottom w:val="none" w:sz="0" w:space="0" w:color="auto"/>
                            <w:right w:val="none" w:sz="0" w:space="0" w:color="auto"/>
                          </w:divBdr>
                        </w:div>
                      </w:divsChild>
                    </w:div>
                    <w:div w:id="2083597369">
                      <w:marLeft w:val="0"/>
                      <w:marRight w:val="0"/>
                      <w:marTop w:val="0"/>
                      <w:marBottom w:val="0"/>
                      <w:divBdr>
                        <w:top w:val="none" w:sz="0" w:space="0" w:color="auto"/>
                        <w:left w:val="none" w:sz="0" w:space="0" w:color="auto"/>
                        <w:bottom w:val="none" w:sz="0" w:space="0" w:color="auto"/>
                        <w:right w:val="none" w:sz="0" w:space="0" w:color="auto"/>
                      </w:divBdr>
                      <w:divsChild>
                        <w:div w:id="748817542">
                          <w:marLeft w:val="0"/>
                          <w:marRight w:val="0"/>
                          <w:marTop w:val="0"/>
                          <w:marBottom w:val="0"/>
                          <w:divBdr>
                            <w:top w:val="none" w:sz="0" w:space="0" w:color="auto"/>
                            <w:left w:val="none" w:sz="0" w:space="0" w:color="auto"/>
                            <w:bottom w:val="none" w:sz="0" w:space="0" w:color="auto"/>
                            <w:right w:val="none" w:sz="0" w:space="0" w:color="auto"/>
                          </w:divBdr>
                        </w:div>
                      </w:divsChild>
                    </w:div>
                    <w:div w:id="2084906633">
                      <w:marLeft w:val="0"/>
                      <w:marRight w:val="0"/>
                      <w:marTop w:val="0"/>
                      <w:marBottom w:val="0"/>
                      <w:divBdr>
                        <w:top w:val="none" w:sz="0" w:space="0" w:color="auto"/>
                        <w:left w:val="none" w:sz="0" w:space="0" w:color="auto"/>
                        <w:bottom w:val="none" w:sz="0" w:space="0" w:color="auto"/>
                        <w:right w:val="none" w:sz="0" w:space="0" w:color="auto"/>
                      </w:divBdr>
                      <w:divsChild>
                        <w:div w:id="853494739">
                          <w:marLeft w:val="0"/>
                          <w:marRight w:val="0"/>
                          <w:marTop w:val="0"/>
                          <w:marBottom w:val="0"/>
                          <w:divBdr>
                            <w:top w:val="none" w:sz="0" w:space="0" w:color="auto"/>
                            <w:left w:val="none" w:sz="0" w:space="0" w:color="auto"/>
                            <w:bottom w:val="none" w:sz="0" w:space="0" w:color="auto"/>
                            <w:right w:val="none" w:sz="0" w:space="0" w:color="auto"/>
                          </w:divBdr>
                        </w:div>
                      </w:divsChild>
                    </w:div>
                    <w:div w:id="2085713454">
                      <w:marLeft w:val="0"/>
                      <w:marRight w:val="0"/>
                      <w:marTop w:val="0"/>
                      <w:marBottom w:val="0"/>
                      <w:divBdr>
                        <w:top w:val="none" w:sz="0" w:space="0" w:color="auto"/>
                        <w:left w:val="none" w:sz="0" w:space="0" w:color="auto"/>
                        <w:bottom w:val="none" w:sz="0" w:space="0" w:color="auto"/>
                        <w:right w:val="none" w:sz="0" w:space="0" w:color="auto"/>
                      </w:divBdr>
                      <w:divsChild>
                        <w:div w:id="1271401449">
                          <w:marLeft w:val="0"/>
                          <w:marRight w:val="0"/>
                          <w:marTop w:val="0"/>
                          <w:marBottom w:val="0"/>
                          <w:divBdr>
                            <w:top w:val="none" w:sz="0" w:space="0" w:color="auto"/>
                            <w:left w:val="none" w:sz="0" w:space="0" w:color="auto"/>
                            <w:bottom w:val="none" w:sz="0" w:space="0" w:color="auto"/>
                            <w:right w:val="none" w:sz="0" w:space="0" w:color="auto"/>
                          </w:divBdr>
                        </w:div>
                      </w:divsChild>
                    </w:div>
                    <w:div w:id="2113474788">
                      <w:marLeft w:val="0"/>
                      <w:marRight w:val="0"/>
                      <w:marTop w:val="0"/>
                      <w:marBottom w:val="0"/>
                      <w:divBdr>
                        <w:top w:val="none" w:sz="0" w:space="0" w:color="auto"/>
                        <w:left w:val="none" w:sz="0" w:space="0" w:color="auto"/>
                        <w:bottom w:val="none" w:sz="0" w:space="0" w:color="auto"/>
                        <w:right w:val="none" w:sz="0" w:space="0" w:color="auto"/>
                      </w:divBdr>
                      <w:divsChild>
                        <w:div w:id="268858132">
                          <w:marLeft w:val="0"/>
                          <w:marRight w:val="0"/>
                          <w:marTop w:val="0"/>
                          <w:marBottom w:val="0"/>
                          <w:divBdr>
                            <w:top w:val="none" w:sz="0" w:space="0" w:color="auto"/>
                            <w:left w:val="none" w:sz="0" w:space="0" w:color="auto"/>
                            <w:bottom w:val="none" w:sz="0" w:space="0" w:color="auto"/>
                            <w:right w:val="none" w:sz="0" w:space="0" w:color="auto"/>
                          </w:divBdr>
                        </w:div>
                      </w:divsChild>
                    </w:div>
                    <w:div w:id="2115444180">
                      <w:marLeft w:val="0"/>
                      <w:marRight w:val="0"/>
                      <w:marTop w:val="0"/>
                      <w:marBottom w:val="0"/>
                      <w:divBdr>
                        <w:top w:val="none" w:sz="0" w:space="0" w:color="auto"/>
                        <w:left w:val="none" w:sz="0" w:space="0" w:color="auto"/>
                        <w:bottom w:val="none" w:sz="0" w:space="0" w:color="auto"/>
                        <w:right w:val="none" w:sz="0" w:space="0" w:color="auto"/>
                      </w:divBdr>
                      <w:divsChild>
                        <w:div w:id="627783203">
                          <w:marLeft w:val="0"/>
                          <w:marRight w:val="0"/>
                          <w:marTop w:val="0"/>
                          <w:marBottom w:val="0"/>
                          <w:divBdr>
                            <w:top w:val="none" w:sz="0" w:space="0" w:color="auto"/>
                            <w:left w:val="none" w:sz="0" w:space="0" w:color="auto"/>
                            <w:bottom w:val="none" w:sz="0" w:space="0" w:color="auto"/>
                            <w:right w:val="none" w:sz="0" w:space="0" w:color="auto"/>
                          </w:divBdr>
                        </w:div>
                      </w:divsChild>
                    </w:div>
                    <w:div w:id="2121997296">
                      <w:marLeft w:val="0"/>
                      <w:marRight w:val="0"/>
                      <w:marTop w:val="0"/>
                      <w:marBottom w:val="0"/>
                      <w:divBdr>
                        <w:top w:val="none" w:sz="0" w:space="0" w:color="auto"/>
                        <w:left w:val="none" w:sz="0" w:space="0" w:color="auto"/>
                        <w:bottom w:val="none" w:sz="0" w:space="0" w:color="auto"/>
                        <w:right w:val="none" w:sz="0" w:space="0" w:color="auto"/>
                      </w:divBdr>
                      <w:divsChild>
                        <w:div w:id="29911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48219">
      <w:bodyDiv w:val="1"/>
      <w:marLeft w:val="0"/>
      <w:marRight w:val="0"/>
      <w:marTop w:val="0"/>
      <w:marBottom w:val="0"/>
      <w:divBdr>
        <w:top w:val="none" w:sz="0" w:space="0" w:color="auto"/>
        <w:left w:val="none" w:sz="0" w:space="0" w:color="auto"/>
        <w:bottom w:val="none" w:sz="0" w:space="0" w:color="auto"/>
        <w:right w:val="none" w:sz="0" w:space="0" w:color="auto"/>
      </w:divBdr>
    </w:div>
    <w:div w:id="174155114">
      <w:bodyDiv w:val="1"/>
      <w:marLeft w:val="0"/>
      <w:marRight w:val="0"/>
      <w:marTop w:val="0"/>
      <w:marBottom w:val="0"/>
      <w:divBdr>
        <w:top w:val="none" w:sz="0" w:space="0" w:color="auto"/>
        <w:left w:val="none" w:sz="0" w:space="0" w:color="auto"/>
        <w:bottom w:val="none" w:sz="0" w:space="0" w:color="auto"/>
        <w:right w:val="none" w:sz="0" w:space="0" w:color="auto"/>
      </w:divBdr>
    </w:div>
    <w:div w:id="201866432">
      <w:bodyDiv w:val="1"/>
      <w:marLeft w:val="0"/>
      <w:marRight w:val="0"/>
      <w:marTop w:val="0"/>
      <w:marBottom w:val="0"/>
      <w:divBdr>
        <w:top w:val="none" w:sz="0" w:space="0" w:color="auto"/>
        <w:left w:val="none" w:sz="0" w:space="0" w:color="auto"/>
        <w:bottom w:val="none" w:sz="0" w:space="0" w:color="auto"/>
        <w:right w:val="none" w:sz="0" w:space="0" w:color="auto"/>
      </w:divBdr>
    </w:div>
    <w:div w:id="232736121">
      <w:bodyDiv w:val="1"/>
      <w:marLeft w:val="0"/>
      <w:marRight w:val="0"/>
      <w:marTop w:val="0"/>
      <w:marBottom w:val="0"/>
      <w:divBdr>
        <w:top w:val="none" w:sz="0" w:space="0" w:color="auto"/>
        <w:left w:val="none" w:sz="0" w:space="0" w:color="auto"/>
        <w:bottom w:val="none" w:sz="0" w:space="0" w:color="auto"/>
        <w:right w:val="none" w:sz="0" w:space="0" w:color="auto"/>
      </w:divBdr>
      <w:divsChild>
        <w:div w:id="1013604449">
          <w:marLeft w:val="0"/>
          <w:marRight w:val="0"/>
          <w:marTop w:val="0"/>
          <w:marBottom w:val="0"/>
          <w:divBdr>
            <w:top w:val="none" w:sz="0" w:space="0" w:color="auto"/>
            <w:left w:val="none" w:sz="0" w:space="0" w:color="auto"/>
            <w:bottom w:val="none" w:sz="0" w:space="0" w:color="auto"/>
            <w:right w:val="none" w:sz="0" w:space="0" w:color="auto"/>
          </w:divBdr>
        </w:div>
      </w:divsChild>
    </w:div>
    <w:div w:id="347760501">
      <w:bodyDiv w:val="1"/>
      <w:marLeft w:val="0"/>
      <w:marRight w:val="0"/>
      <w:marTop w:val="0"/>
      <w:marBottom w:val="0"/>
      <w:divBdr>
        <w:top w:val="none" w:sz="0" w:space="0" w:color="auto"/>
        <w:left w:val="none" w:sz="0" w:space="0" w:color="auto"/>
        <w:bottom w:val="none" w:sz="0" w:space="0" w:color="auto"/>
        <w:right w:val="none" w:sz="0" w:space="0" w:color="auto"/>
      </w:divBdr>
    </w:div>
    <w:div w:id="492795856">
      <w:bodyDiv w:val="1"/>
      <w:marLeft w:val="0"/>
      <w:marRight w:val="0"/>
      <w:marTop w:val="0"/>
      <w:marBottom w:val="0"/>
      <w:divBdr>
        <w:top w:val="none" w:sz="0" w:space="0" w:color="auto"/>
        <w:left w:val="none" w:sz="0" w:space="0" w:color="auto"/>
        <w:bottom w:val="none" w:sz="0" w:space="0" w:color="auto"/>
        <w:right w:val="none" w:sz="0" w:space="0" w:color="auto"/>
      </w:divBdr>
    </w:div>
    <w:div w:id="545221834">
      <w:bodyDiv w:val="1"/>
      <w:marLeft w:val="0"/>
      <w:marRight w:val="0"/>
      <w:marTop w:val="0"/>
      <w:marBottom w:val="0"/>
      <w:divBdr>
        <w:top w:val="none" w:sz="0" w:space="0" w:color="auto"/>
        <w:left w:val="none" w:sz="0" w:space="0" w:color="auto"/>
        <w:bottom w:val="none" w:sz="0" w:space="0" w:color="auto"/>
        <w:right w:val="none" w:sz="0" w:space="0" w:color="auto"/>
      </w:divBdr>
      <w:divsChild>
        <w:div w:id="323243077">
          <w:marLeft w:val="0"/>
          <w:marRight w:val="0"/>
          <w:marTop w:val="0"/>
          <w:marBottom w:val="0"/>
          <w:divBdr>
            <w:top w:val="none" w:sz="0" w:space="0" w:color="auto"/>
            <w:left w:val="none" w:sz="0" w:space="0" w:color="auto"/>
            <w:bottom w:val="none" w:sz="0" w:space="0" w:color="auto"/>
            <w:right w:val="none" w:sz="0" w:space="0" w:color="auto"/>
          </w:divBdr>
          <w:divsChild>
            <w:div w:id="1229223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523172">
      <w:bodyDiv w:val="1"/>
      <w:marLeft w:val="0"/>
      <w:marRight w:val="0"/>
      <w:marTop w:val="0"/>
      <w:marBottom w:val="0"/>
      <w:divBdr>
        <w:top w:val="none" w:sz="0" w:space="0" w:color="auto"/>
        <w:left w:val="none" w:sz="0" w:space="0" w:color="auto"/>
        <w:bottom w:val="none" w:sz="0" w:space="0" w:color="auto"/>
        <w:right w:val="none" w:sz="0" w:space="0" w:color="auto"/>
      </w:divBdr>
      <w:divsChild>
        <w:div w:id="1270815637">
          <w:marLeft w:val="0"/>
          <w:marRight w:val="0"/>
          <w:marTop w:val="0"/>
          <w:marBottom w:val="0"/>
          <w:divBdr>
            <w:top w:val="none" w:sz="0" w:space="0" w:color="auto"/>
            <w:left w:val="none" w:sz="0" w:space="0" w:color="auto"/>
            <w:bottom w:val="none" w:sz="0" w:space="0" w:color="auto"/>
            <w:right w:val="none" w:sz="0" w:space="0" w:color="auto"/>
          </w:divBdr>
          <w:divsChild>
            <w:div w:id="83226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183730">
      <w:bodyDiv w:val="1"/>
      <w:marLeft w:val="0"/>
      <w:marRight w:val="0"/>
      <w:marTop w:val="0"/>
      <w:marBottom w:val="0"/>
      <w:divBdr>
        <w:top w:val="none" w:sz="0" w:space="0" w:color="auto"/>
        <w:left w:val="none" w:sz="0" w:space="0" w:color="auto"/>
        <w:bottom w:val="none" w:sz="0" w:space="0" w:color="auto"/>
        <w:right w:val="none" w:sz="0" w:space="0" w:color="auto"/>
      </w:divBdr>
      <w:divsChild>
        <w:div w:id="1938439964">
          <w:marLeft w:val="0"/>
          <w:marRight w:val="0"/>
          <w:marTop w:val="0"/>
          <w:marBottom w:val="0"/>
          <w:divBdr>
            <w:top w:val="none" w:sz="0" w:space="0" w:color="auto"/>
            <w:left w:val="none" w:sz="0" w:space="0" w:color="auto"/>
            <w:bottom w:val="none" w:sz="0" w:space="0" w:color="auto"/>
            <w:right w:val="none" w:sz="0" w:space="0" w:color="auto"/>
          </w:divBdr>
          <w:divsChild>
            <w:div w:id="96947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534243">
      <w:bodyDiv w:val="1"/>
      <w:marLeft w:val="0"/>
      <w:marRight w:val="0"/>
      <w:marTop w:val="0"/>
      <w:marBottom w:val="0"/>
      <w:divBdr>
        <w:top w:val="none" w:sz="0" w:space="0" w:color="auto"/>
        <w:left w:val="none" w:sz="0" w:space="0" w:color="auto"/>
        <w:bottom w:val="none" w:sz="0" w:space="0" w:color="auto"/>
        <w:right w:val="none" w:sz="0" w:space="0" w:color="auto"/>
      </w:divBdr>
      <w:divsChild>
        <w:div w:id="172690627">
          <w:marLeft w:val="0"/>
          <w:marRight w:val="0"/>
          <w:marTop w:val="0"/>
          <w:marBottom w:val="0"/>
          <w:divBdr>
            <w:top w:val="none" w:sz="0" w:space="0" w:color="auto"/>
            <w:left w:val="none" w:sz="0" w:space="0" w:color="auto"/>
            <w:bottom w:val="none" w:sz="0" w:space="0" w:color="auto"/>
            <w:right w:val="none" w:sz="0" w:space="0" w:color="auto"/>
          </w:divBdr>
          <w:divsChild>
            <w:div w:id="106051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416091">
      <w:bodyDiv w:val="1"/>
      <w:marLeft w:val="0"/>
      <w:marRight w:val="0"/>
      <w:marTop w:val="0"/>
      <w:marBottom w:val="0"/>
      <w:divBdr>
        <w:top w:val="none" w:sz="0" w:space="0" w:color="auto"/>
        <w:left w:val="none" w:sz="0" w:space="0" w:color="auto"/>
        <w:bottom w:val="none" w:sz="0" w:space="0" w:color="auto"/>
        <w:right w:val="none" w:sz="0" w:space="0" w:color="auto"/>
      </w:divBdr>
    </w:div>
    <w:div w:id="692613155">
      <w:bodyDiv w:val="1"/>
      <w:marLeft w:val="0"/>
      <w:marRight w:val="0"/>
      <w:marTop w:val="0"/>
      <w:marBottom w:val="0"/>
      <w:divBdr>
        <w:top w:val="none" w:sz="0" w:space="0" w:color="auto"/>
        <w:left w:val="none" w:sz="0" w:space="0" w:color="auto"/>
        <w:bottom w:val="none" w:sz="0" w:space="0" w:color="auto"/>
        <w:right w:val="none" w:sz="0" w:space="0" w:color="auto"/>
      </w:divBdr>
    </w:div>
    <w:div w:id="706954253">
      <w:bodyDiv w:val="1"/>
      <w:marLeft w:val="0"/>
      <w:marRight w:val="0"/>
      <w:marTop w:val="0"/>
      <w:marBottom w:val="0"/>
      <w:divBdr>
        <w:top w:val="none" w:sz="0" w:space="0" w:color="auto"/>
        <w:left w:val="none" w:sz="0" w:space="0" w:color="auto"/>
        <w:bottom w:val="none" w:sz="0" w:space="0" w:color="auto"/>
        <w:right w:val="none" w:sz="0" w:space="0" w:color="auto"/>
      </w:divBdr>
      <w:divsChild>
        <w:div w:id="1570725522">
          <w:marLeft w:val="0"/>
          <w:marRight w:val="0"/>
          <w:marTop w:val="0"/>
          <w:marBottom w:val="0"/>
          <w:divBdr>
            <w:top w:val="none" w:sz="0" w:space="0" w:color="auto"/>
            <w:left w:val="none" w:sz="0" w:space="0" w:color="auto"/>
            <w:bottom w:val="none" w:sz="0" w:space="0" w:color="auto"/>
            <w:right w:val="none" w:sz="0" w:space="0" w:color="auto"/>
          </w:divBdr>
        </w:div>
      </w:divsChild>
    </w:div>
    <w:div w:id="763189893">
      <w:bodyDiv w:val="1"/>
      <w:marLeft w:val="0"/>
      <w:marRight w:val="0"/>
      <w:marTop w:val="0"/>
      <w:marBottom w:val="0"/>
      <w:divBdr>
        <w:top w:val="none" w:sz="0" w:space="0" w:color="auto"/>
        <w:left w:val="none" w:sz="0" w:space="0" w:color="auto"/>
        <w:bottom w:val="none" w:sz="0" w:space="0" w:color="auto"/>
        <w:right w:val="none" w:sz="0" w:space="0" w:color="auto"/>
      </w:divBdr>
      <w:divsChild>
        <w:div w:id="127555511">
          <w:marLeft w:val="0"/>
          <w:marRight w:val="0"/>
          <w:marTop w:val="0"/>
          <w:marBottom w:val="0"/>
          <w:divBdr>
            <w:top w:val="none" w:sz="0" w:space="0" w:color="auto"/>
            <w:left w:val="none" w:sz="0" w:space="0" w:color="auto"/>
            <w:bottom w:val="none" w:sz="0" w:space="0" w:color="auto"/>
            <w:right w:val="none" w:sz="0" w:space="0" w:color="auto"/>
          </w:divBdr>
          <w:divsChild>
            <w:div w:id="1887331158">
              <w:marLeft w:val="0"/>
              <w:marRight w:val="0"/>
              <w:marTop w:val="0"/>
              <w:marBottom w:val="0"/>
              <w:divBdr>
                <w:top w:val="none" w:sz="0" w:space="0" w:color="auto"/>
                <w:left w:val="none" w:sz="0" w:space="0" w:color="auto"/>
                <w:bottom w:val="none" w:sz="0" w:space="0" w:color="auto"/>
                <w:right w:val="none" w:sz="0" w:space="0" w:color="auto"/>
              </w:divBdr>
              <w:divsChild>
                <w:div w:id="286863463">
                  <w:marLeft w:val="0"/>
                  <w:marRight w:val="0"/>
                  <w:marTop w:val="0"/>
                  <w:marBottom w:val="0"/>
                  <w:divBdr>
                    <w:top w:val="none" w:sz="0" w:space="0" w:color="auto"/>
                    <w:left w:val="none" w:sz="0" w:space="0" w:color="auto"/>
                    <w:bottom w:val="none" w:sz="0" w:space="0" w:color="auto"/>
                    <w:right w:val="none" w:sz="0" w:space="0" w:color="auto"/>
                  </w:divBdr>
                  <w:divsChild>
                    <w:div w:id="35468706">
                      <w:marLeft w:val="0"/>
                      <w:marRight w:val="0"/>
                      <w:marTop w:val="0"/>
                      <w:marBottom w:val="0"/>
                      <w:divBdr>
                        <w:top w:val="none" w:sz="0" w:space="0" w:color="auto"/>
                        <w:left w:val="none" w:sz="0" w:space="0" w:color="auto"/>
                        <w:bottom w:val="none" w:sz="0" w:space="0" w:color="auto"/>
                        <w:right w:val="none" w:sz="0" w:space="0" w:color="auto"/>
                      </w:divBdr>
                      <w:divsChild>
                        <w:div w:id="916675190">
                          <w:marLeft w:val="0"/>
                          <w:marRight w:val="0"/>
                          <w:marTop w:val="0"/>
                          <w:marBottom w:val="0"/>
                          <w:divBdr>
                            <w:top w:val="none" w:sz="0" w:space="0" w:color="auto"/>
                            <w:left w:val="none" w:sz="0" w:space="0" w:color="auto"/>
                            <w:bottom w:val="none" w:sz="0" w:space="0" w:color="auto"/>
                            <w:right w:val="none" w:sz="0" w:space="0" w:color="auto"/>
                          </w:divBdr>
                        </w:div>
                      </w:divsChild>
                    </w:div>
                    <w:div w:id="40180545">
                      <w:marLeft w:val="0"/>
                      <w:marRight w:val="0"/>
                      <w:marTop w:val="0"/>
                      <w:marBottom w:val="0"/>
                      <w:divBdr>
                        <w:top w:val="none" w:sz="0" w:space="0" w:color="auto"/>
                        <w:left w:val="none" w:sz="0" w:space="0" w:color="auto"/>
                        <w:bottom w:val="none" w:sz="0" w:space="0" w:color="auto"/>
                        <w:right w:val="none" w:sz="0" w:space="0" w:color="auto"/>
                      </w:divBdr>
                      <w:divsChild>
                        <w:div w:id="218907256">
                          <w:marLeft w:val="0"/>
                          <w:marRight w:val="0"/>
                          <w:marTop w:val="0"/>
                          <w:marBottom w:val="0"/>
                          <w:divBdr>
                            <w:top w:val="none" w:sz="0" w:space="0" w:color="auto"/>
                            <w:left w:val="none" w:sz="0" w:space="0" w:color="auto"/>
                            <w:bottom w:val="none" w:sz="0" w:space="0" w:color="auto"/>
                            <w:right w:val="none" w:sz="0" w:space="0" w:color="auto"/>
                          </w:divBdr>
                        </w:div>
                      </w:divsChild>
                    </w:div>
                    <w:div w:id="45225223">
                      <w:marLeft w:val="0"/>
                      <w:marRight w:val="0"/>
                      <w:marTop w:val="0"/>
                      <w:marBottom w:val="0"/>
                      <w:divBdr>
                        <w:top w:val="none" w:sz="0" w:space="0" w:color="auto"/>
                        <w:left w:val="none" w:sz="0" w:space="0" w:color="auto"/>
                        <w:bottom w:val="none" w:sz="0" w:space="0" w:color="auto"/>
                        <w:right w:val="none" w:sz="0" w:space="0" w:color="auto"/>
                      </w:divBdr>
                      <w:divsChild>
                        <w:div w:id="1086077215">
                          <w:marLeft w:val="0"/>
                          <w:marRight w:val="0"/>
                          <w:marTop w:val="0"/>
                          <w:marBottom w:val="0"/>
                          <w:divBdr>
                            <w:top w:val="none" w:sz="0" w:space="0" w:color="auto"/>
                            <w:left w:val="none" w:sz="0" w:space="0" w:color="auto"/>
                            <w:bottom w:val="none" w:sz="0" w:space="0" w:color="auto"/>
                            <w:right w:val="none" w:sz="0" w:space="0" w:color="auto"/>
                          </w:divBdr>
                        </w:div>
                      </w:divsChild>
                    </w:div>
                    <w:div w:id="52823892">
                      <w:marLeft w:val="0"/>
                      <w:marRight w:val="0"/>
                      <w:marTop w:val="0"/>
                      <w:marBottom w:val="0"/>
                      <w:divBdr>
                        <w:top w:val="none" w:sz="0" w:space="0" w:color="auto"/>
                        <w:left w:val="none" w:sz="0" w:space="0" w:color="auto"/>
                        <w:bottom w:val="none" w:sz="0" w:space="0" w:color="auto"/>
                        <w:right w:val="none" w:sz="0" w:space="0" w:color="auto"/>
                      </w:divBdr>
                      <w:divsChild>
                        <w:div w:id="2063021747">
                          <w:marLeft w:val="0"/>
                          <w:marRight w:val="0"/>
                          <w:marTop w:val="0"/>
                          <w:marBottom w:val="0"/>
                          <w:divBdr>
                            <w:top w:val="none" w:sz="0" w:space="0" w:color="auto"/>
                            <w:left w:val="none" w:sz="0" w:space="0" w:color="auto"/>
                            <w:bottom w:val="none" w:sz="0" w:space="0" w:color="auto"/>
                            <w:right w:val="none" w:sz="0" w:space="0" w:color="auto"/>
                          </w:divBdr>
                        </w:div>
                      </w:divsChild>
                    </w:div>
                    <w:div w:id="55780511">
                      <w:marLeft w:val="0"/>
                      <w:marRight w:val="0"/>
                      <w:marTop w:val="0"/>
                      <w:marBottom w:val="0"/>
                      <w:divBdr>
                        <w:top w:val="none" w:sz="0" w:space="0" w:color="auto"/>
                        <w:left w:val="none" w:sz="0" w:space="0" w:color="auto"/>
                        <w:bottom w:val="none" w:sz="0" w:space="0" w:color="auto"/>
                        <w:right w:val="none" w:sz="0" w:space="0" w:color="auto"/>
                      </w:divBdr>
                      <w:divsChild>
                        <w:div w:id="424768453">
                          <w:marLeft w:val="0"/>
                          <w:marRight w:val="0"/>
                          <w:marTop w:val="0"/>
                          <w:marBottom w:val="0"/>
                          <w:divBdr>
                            <w:top w:val="none" w:sz="0" w:space="0" w:color="auto"/>
                            <w:left w:val="none" w:sz="0" w:space="0" w:color="auto"/>
                            <w:bottom w:val="none" w:sz="0" w:space="0" w:color="auto"/>
                            <w:right w:val="none" w:sz="0" w:space="0" w:color="auto"/>
                          </w:divBdr>
                        </w:div>
                      </w:divsChild>
                    </w:div>
                    <w:div w:id="57410911">
                      <w:marLeft w:val="0"/>
                      <w:marRight w:val="0"/>
                      <w:marTop w:val="0"/>
                      <w:marBottom w:val="0"/>
                      <w:divBdr>
                        <w:top w:val="none" w:sz="0" w:space="0" w:color="auto"/>
                        <w:left w:val="none" w:sz="0" w:space="0" w:color="auto"/>
                        <w:bottom w:val="none" w:sz="0" w:space="0" w:color="auto"/>
                        <w:right w:val="none" w:sz="0" w:space="0" w:color="auto"/>
                      </w:divBdr>
                      <w:divsChild>
                        <w:div w:id="791630116">
                          <w:marLeft w:val="0"/>
                          <w:marRight w:val="0"/>
                          <w:marTop w:val="0"/>
                          <w:marBottom w:val="0"/>
                          <w:divBdr>
                            <w:top w:val="none" w:sz="0" w:space="0" w:color="auto"/>
                            <w:left w:val="none" w:sz="0" w:space="0" w:color="auto"/>
                            <w:bottom w:val="none" w:sz="0" w:space="0" w:color="auto"/>
                            <w:right w:val="none" w:sz="0" w:space="0" w:color="auto"/>
                          </w:divBdr>
                        </w:div>
                      </w:divsChild>
                    </w:div>
                    <w:div w:id="57941670">
                      <w:marLeft w:val="0"/>
                      <w:marRight w:val="0"/>
                      <w:marTop w:val="0"/>
                      <w:marBottom w:val="0"/>
                      <w:divBdr>
                        <w:top w:val="none" w:sz="0" w:space="0" w:color="auto"/>
                        <w:left w:val="none" w:sz="0" w:space="0" w:color="auto"/>
                        <w:bottom w:val="none" w:sz="0" w:space="0" w:color="auto"/>
                        <w:right w:val="none" w:sz="0" w:space="0" w:color="auto"/>
                      </w:divBdr>
                      <w:divsChild>
                        <w:div w:id="695739691">
                          <w:marLeft w:val="0"/>
                          <w:marRight w:val="0"/>
                          <w:marTop w:val="0"/>
                          <w:marBottom w:val="0"/>
                          <w:divBdr>
                            <w:top w:val="none" w:sz="0" w:space="0" w:color="auto"/>
                            <w:left w:val="none" w:sz="0" w:space="0" w:color="auto"/>
                            <w:bottom w:val="none" w:sz="0" w:space="0" w:color="auto"/>
                            <w:right w:val="none" w:sz="0" w:space="0" w:color="auto"/>
                          </w:divBdr>
                        </w:div>
                      </w:divsChild>
                    </w:div>
                    <w:div w:id="64912618">
                      <w:marLeft w:val="0"/>
                      <w:marRight w:val="0"/>
                      <w:marTop w:val="0"/>
                      <w:marBottom w:val="0"/>
                      <w:divBdr>
                        <w:top w:val="none" w:sz="0" w:space="0" w:color="auto"/>
                        <w:left w:val="none" w:sz="0" w:space="0" w:color="auto"/>
                        <w:bottom w:val="none" w:sz="0" w:space="0" w:color="auto"/>
                        <w:right w:val="none" w:sz="0" w:space="0" w:color="auto"/>
                      </w:divBdr>
                      <w:divsChild>
                        <w:div w:id="1053387547">
                          <w:marLeft w:val="0"/>
                          <w:marRight w:val="0"/>
                          <w:marTop w:val="0"/>
                          <w:marBottom w:val="0"/>
                          <w:divBdr>
                            <w:top w:val="none" w:sz="0" w:space="0" w:color="auto"/>
                            <w:left w:val="none" w:sz="0" w:space="0" w:color="auto"/>
                            <w:bottom w:val="none" w:sz="0" w:space="0" w:color="auto"/>
                            <w:right w:val="none" w:sz="0" w:space="0" w:color="auto"/>
                          </w:divBdr>
                        </w:div>
                      </w:divsChild>
                    </w:div>
                    <w:div w:id="81227404">
                      <w:marLeft w:val="0"/>
                      <w:marRight w:val="0"/>
                      <w:marTop w:val="0"/>
                      <w:marBottom w:val="0"/>
                      <w:divBdr>
                        <w:top w:val="none" w:sz="0" w:space="0" w:color="auto"/>
                        <w:left w:val="none" w:sz="0" w:space="0" w:color="auto"/>
                        <w:bottom w:val="none" w:sz="0" w:space="0" w:color="auto"/>
                        <w:right w:val="none" w:sz="0" w:space="0" w:color="auto"/>
                      </w:divBdr>
                      <w:divsChild>
                        <w:div w:id="1057053562">
                          <w:marLeft w:val="0"/>
                          <w:marRight w:val="0"/>
                          <w:marTop w:val="0"/>
                          <w:marBottom w:val="0"/>
                          <w:divBdr>
                            <w:top w:val="none" w:sz="0" w:space="0" w:color="auto"/>
                            <w:left w:val="none" w:sz="0" w:space="0" w:color="auto"/>
                            <w:bottom w:val="none" w:sz="0" w:space="0" w:color="auto"/>
                            <w:right w:val="none" w:sz="0" w:space="0" w:color="auto"/>
                          </w:divBdr>
                        </w:div>
                      </w:divsChild>
                    </w:div>
                    <w:div w:id="87699288">
                      <w:marLeft w:val="0"/>
                      <w:marRight w:val="0"/>
                      <w:marTop w:val="0"/>
                      <w:marBottom w:val="0"/>
                      <w:divBdr>
                        <w:top w:val="none" w:sz="0" w:space="0" w:color="auto"/>
                        <w:left w:val="none" w:sz="0" w:space="0" w:color="auto"/>
                        <w:bottom w:val="none" w:sz="0" w:space="0" w:color="auto"/>
                        <w:right w:val="none" w:sz="0" w:space="0" w:color="auto"/>
                      </w:divBdr>
                      <w:divsChild>
                        <w:div w:id="1114061411">
                          <w:marLeft w:val="0"/>
                          <w:marRight w:val="0"/>
                          <w:marTop w:val="0"/>
                          <w:marBottom w:val="0"/>
                          <w:divBdr>
                            <w:top w:val="none" w:sz="0" w:space="0" w:color="auto"/>
                            <w:left w:val="none" w:sz="0" w:space="0" w:color="auto"/>
                            <w:bottom w:val="none" w:sz="0" w:space="0" w:color="auto"/>
                            <w:right w:val="none" w:sz="0" w:space="0" w:color="auto"/>
                          </w:divBdr>
                        </w:div>
                      </w:divsChild>
                    </w:div>
                    <w:div w:id="90049207">
                      <w:marLeft w:val="0"/>
                      <w:marRight w:val="0"/>
                      <w:marTop w:val="0"/>
                      <w:marBottom w:val="0"/>
                      <w:divBdr>
                        <w:top w:val="none" w:sz="0" w:space="0" w:color="auto"/>
                        <w:left w:val="none" w:sz="0" w:space="0" w:color="auto"/>
                        <w:bottom w:val="none" w:sz="0" w:space="0" w:color="auto"/>
                        <w:right w:val="none" w:sz="0" w:space="0" w:color="auto"/>
                      </w:divBdr>
                      <w:divsChild>
                        <w:div w:id="747117383">
                          <w:marLeft w:val="0"/>
                          <w:marRight w:val="0"/>
                          <w:marTop w:val="0"/>
                          <w:marBottom w:val="0"/>
                          <w:divBdr>
                            <w:top w:val="none" w:sz="0" w:space="0" w:color="auto"/>
                            <w:left w:val="none" w:sz="0" w:space="0" w:color="auto"/>
                            <w:bottom w:val="none" w:sz="0" w:space="0" w:color="auto"/>
                            <w:right w:val="none" w:sz="0" w:space="0" w:color="auto"/>
                          </w:divBdr>
                        </w:div>
                      </w:divsChild>
                    </w:div>
                    <w:div w:id="91047970">
                      <w:marLeft w:val="0"/>
                      <w:marRight w:val="0"/>
                      <w:marTop w:val="0"/>
                      <w:marBottom w:val="0"/>
                      <w:divBdr>
                        <w:top w:val="none" w:sz="0" w:space="0" w:color="auto"/>
                        <w:left w:val="none" w:sz="0" w:space="0" w:color="auto"/>
                        <w:bottom w:val="none" w:sz="0" w:space="0" w:color="auto"/>
                        <w:right w:val="none" w:sz="0" w:space="0" w:color="auto"/>
                      </w:divBdr>
                      <w:divsChild>
                        <w:div w:id="851064579">
                          <w:marLeft w:val="0"/>
                          <w:marRight w:val="0"/>
                          <w:marTop w:val="0"/>
                          <w:marBottom w:val="0"/>
                          <w:divBdr>
                            <w:top w:val="none" w:sz="0" w:space="0" w:color="auto"/>
                            <w:left w:val="none" w:sz="0" w:space="0" w:color="auto"/>
                            <w:bottom w:val="none" w:sz="0" w:space="0" w:color="auto"/>
                            <w:right w:val="none" w:sz="0" w:space="0" w:color="auto"/>
                          </w:divBdr>
                        </w:div>
                      </w:divsChild>
                    </w:div>
                    <w:div w:id="111290039">
                      <w:marLeft w:val="0"/>
                      <w:marRight w:val="0"/>
                      <w:marTop w:val="0"/>
                      <w:marBottom w:val="0"/>
                      <w:divBdr>
                        <w:top w:val="none" w:sz="0" w:space="0" w:color="auto"/>
                        <w:left w:val="none" w:sz="0" w:space="0" w:color="auto"/>
                        <w:bottom w:val="none" w:sz="0" w:space="0" w:color="auto"/>
                        <w:right w:val="none" w:sz="0" w:space="0" w:color="auto"/>
                      </w:divBdr>
                      <w:divsChild>
                        <w:div w:id="1617984451">
                          <w:marLeft w:val="0"/>
                          <w:marRight w:val="0"/>
                          <w:marTop w:val="0"/>
                          <w:marBottom w:val="0"/>
                          <w:divBdr>
                            <w:top w:val="none" w:sz="0" w:space="0" w:color="auto"/>
                            <w:left w:val="none" w:sz="0" w:space="0" w:color="auto"/>
                            <w:bottom w:val="none" w:sz="0" w:space="0" w:color="auto"/>
                            <w:right w:val="none" w:sz="0" w:space="0" w:color="auto"/>
                          </w:divBdr>
                        </w:div>
                      </w:divsChild>
                    </w:div>
                    <w:div w:id="116802925">
                      <w:marLeft w:val="0"/>
                      <w:marRight w:val="0"/>
                      <w:marTop w:val="0"/>
                      <w:marBottom w:val="0"/>
                      <w:divBdr>
                        <w:top w:val="none" w:sz="0" w:space="0" w:color="auto"/>
                        <w:left w:val="none" w:sz="0" w:space="0" w:color="auto"/>
                        <w:bottom w:val="none" w:sz="0" w:space="0" w:color="auto"/>
                        <w:right w:val="none" w:sz="0" w:space="0" w:color="auto"/>
                      </w:divBdr>
                      <w:divsChild>
                        <w:div w:id="2092580415">
                          <w:marLeft w:val="0"/>
                          <w:marRight w:val="0"/>
                          <w:marTop w:val="0"/>
                          <w:marBottom w:val="0"/>
                          <w:divBdr>
                            <w:top w:val="none" w:sz="0" w:space="0" w:color="auto"/>
                            <w:left w:val="none" w:sz="0" w:space="0" w:color="auto"/>
                            <w:bottom w:val="none" w:sz="0" w:space="0" w:color="auto"/>
                            <w:right w:val="none" w:sz="0" w:space="0" w:color="auto"/>
                          </w:divBdr>
                        </w:div>
                      </w:divsChild>
                    </w:div>
                    <w:div w:id="119691162">
                      <w:marLeft w:val="0"/>
                      <w:marRight w:val="0"/>
                      <w:marTop w:val="0"/>
                      <w:marBottom w:val="0"/>
                      <w:divBdr>
                        <w:top w:val="none" w:sz="0" w:space="0" w:color="auto"/>
                        <w:left w:val="none" w:sz="0" w:space="0" w:color="auto"/>
                        <w:bottom w:val="none" w:sz="0" w:space="0" w:color="auto"/>
                        <w:right w:val="none" w:sz="0" w:space="0" w:color="auto"/>
                      </w:divBdr>
                      <w:divsChild>
                        <w:div w:id="373502706">
                          <w:marLeft w:val="0"/>
                          <w:marRight w:val="0"/>
                          <w:marTop w:val="0"/>
                          <w:marBottom w:val="0"/>
                          <w:divBdr>
                            <w:top w:val="none" w:sz="0" w:space="0" w:color="auto"/>
                            <w:left w:val="none" w:sz="0" w:space="0" w:color="auto"/>
                            <w:bottom w:val="none" w:sz="0" w:space="0" w:color="auto"/>
                            <w:right w:val="none" w:sz="0" w:space="0" w:color="auto"/>
                          </w:divBdr>
                        </w:div>
                      </w:divsChild>
                    </w:div>
                    <w:div w:id="134832635">
                      <w:marLeft w:val="0"/>
                      <w:marRight w:val="0"/>
                      <w:marTop w:val="0"/>
                      <w:marBottom w:val="0"/>
                      <w:divBdr>
                        <w:top w:val="none" w:sz="0" w:space="0" w:color="auto"/>
                        <w:left w:val="none" w:sz="0" w:space="0" w:color="auto"/>
                        <w:bottom w:val="none" w:sz="0" w:space="0" w:color="auto"/>
                        <w:right w:val="none" w:sz="0" w:space="0" w:color="auto"/>
                      </w:divBdr>
                      <w:divsChild>
                        <w:div w:id="708258522">
                          <w:marLeft w:val="0"/>
                          <w:marRight w:val="0"/>
                          <w:marTop w:val="0"/>
                          <w:marBottom w:val="0"/>
                          <w:divBdr>
                            <w:top w:val="none" w:sz="0" w:space="0" w:color="auto"/>
                            <w:left w:val="none" w:sz="0" w:space="0" w:color="auto"/>
                            <w:bottom w:val="none" w:sz="0" w:space="0" w:color="auto"/>
                            <w:right w:val="none" w:sz="0" w:space="0" w:color="auto"/>
                          </w:divBdr>
                        </w:div>
                      </w:divsChild>
                    </w:div>
                    <w:div w:id="150803690">
                      <w:marLeft w:val="0"/>
                      <w:marRight w:val="0"/>
                      <w:marTop w:val="0"/>
                      <w:marBottom w:val="0"/>
                      <w:divBdr>
                        <w:top w:val="none" w:sz="0" w:space="0" w:color="auto"/>
                        <w:left w:val="none" w:sz="0" w:space="0" w:color="auto"/>
                        <w:bottom w:val="none" w:sz="0" w:space="0" w:color="auto"/>
                        <w:right w:val="none" w:sz="0" w:space="0" w:color="auto"/>
                      </w:divBdr>
                      <w:divsChild>
                        <w:div w:id="1061826226">
                          <w:marLeft w:val="0"/>
                          <w:marRight w:val="0"/>
                          <w:marTop w:val="0"/>
                          <w:marBottom w:val="0"/>
                          <w:divBdr>
                            <w:top w:val="none" w:sz="0" w:space="0" w:color="auto"/>
                            <w:left w:val="none" w:sz="0" w:space="0" w:color="auto"/>
                            <w:bottom w:val="none" w:sz="0" w:space="0" w:color="auto"/>
                            <w:right w:val="none" w:sz="0" w:space="0" w:color="auto"/>
                          </w:divBdr>
                        </w:div>
                      </w:divsChild>
                    </w:div>
                    <w:div w:id="157576767">
                      <w:marLeft w:val="0"/>
                      <w:marRight w:val="0"/>
                      <w:marTop w:val="0"/>
                      <w:marBottom w:val="0"/>
                      <w:divBdr>
                        <w:top w:val="none" w:sz="0" w:space="0" w:color="auto"/>
                        <w:left w:val="none" w:sz="0" w:space="0" w:color="auto"/>
                        <w:bottom w:val="none" w:sz="0" w:space="0" w:color="auto"/>
                        <w:right w:val="none" w:sz="0" w:space="0" w:color="auto"/>
                      </w:divBdr>
                      <w:divsChild>
                        <w:div w:id="74012348">
                          <w:marLeft w:val="0"/>
                          <w:marRight w:val="0"/>
                          <w:marTop w:val="0"/>
                          <w:marBottom w:val="0"/>
                          <w:divBdr>
                            <w:top w:val="none" w:sz="0" w:space="0" w:color="auto"/>
                            <w:left w:val="none" w:sz="0" w:space="0" w:color="auto"/>
                            <w:bottom w:val="none" w:sz="0" w:space="0" w:color="auto"/>
                            <w:right w:val="none" w:sz="0" w:space="0" w:color="auto"/>
                          </w:divBdr>
                        </w:div>
                      </w:divsChild>
                    </w:div>
                    <w:div w:id="157692607">
                      <w:marLeft w:val="0"/>
                      <w:marRight w:val="0"/>
                      <w:marTop w:val="0"/>
                      <w:marBottom w:val="0"/>
                      <w:divBdr>
                        <w:top w:val="none" w:sz="0" w:space="0" w:color="auto"/>
                        <w:left w:val="none" w:sz="0" w:space="0" w:color="auto"/>
                        <w:bottom w:val="none" w:sz="0" w:space="0" w:color="auto"/>
                        <w:right w:val="none" w:sz="0" w:space="0" w:color="auto"/>
                      </w:divBdr>
                      <w:divsChild>
                        <w:div w:id="1411077366">
                          <w:marLeft w:val="0"/>
                          <w:marRight w:val="0"/>
                          <w:marTop w:val="0"/>
                          <w:marBottom w:val="0"/>
                          <w:divBdr>
                            <w:top w:val="none" w:sz="0" w:space="0" w:color="auto"/>
                            <w:left w:val="none" w:sz="0" w:space="0" w:color="auto"/>
                            <w:bottom w:val="none" w:sz="0" w:space="0" w:color="auto"/>
                            <w:right w:val="none" w:sz="0" w:space="0" w:color="auto"/>
                          </w:divBdr>
                        </w:div>
                      </w:divsChild>
                    </w:div>
                    <w:div w:id="185876565">
                      <w:marLeft w:val="0"/>
                      <w:marRight w:val="0"/>
                      <w:marTop w:val="0"/>
                      <w:marBottom w:val="0"/>
                      <w:divBdr>
                        <w:top w:val="none" w:sz="0" w:space="0" w:color="auto"/>
                        <w:left w:val="none" w:sz="0" w:space="0" w:color="auto"/>
                        <w:bottom w:val="none" w:sz="0" w:space="0" w:color="auto"/>
                        <w:right w:val="none" w:sz="0" w:space="0" w:color="auto"/>
                      </w:divBdr>
                      <w:divsChild>
                        <w:div w:id="727463013">
                          <w:marLeft w:val="0"/>
                          <w:marRight w:val="0"/>
                          <w:marTop w:val="0"/>
                          <w:marBottom w:val="0"/>
                          <w:divBdr>
                            <w:top w:val="none" w:sz="0" w:space="0" w:color="auto"/>
                            <w:left w:val="none" w:sz="0" w:space="0" w:color="auto"/>
                            <w:bottom w:val="none" w:sz="0" w:space="0" w:color="auto"/>
                            <w:right w:val="none" w:sz="0" w:space="0" w:color="auto"/>
                          </w:divBdr>
                        </w:div>
                      </w:divsChild>
                    </w:div>
                    <w:div w:id="186985204">
                      <w:marLeft w:val="0"/>
                      <w:marRight w:val="0"/>
                      <w:marTop w:val="0"/>
                      <w:marBottom w:val="0"/>
                      <w:divBdr>
                        <w:top w:val="none" w:sz="0" w:space="0" w:color="auto"/>
                        <w:left w:val="none" w:sz="0" w:space="0" w:color="auto"/>
                        <w:bottom w:val="none" w:sz="0" w:space="0" w:color="auto"/>
                        <w:right w:val="none" w:sz="0" w:space="0" w:color="auto"/>
                      </w:divBdr>
                      <w:divsChild>
                        <w:div w:id="1241911824">
                          <w:marLeft w:val="0"/>
                          <w:marRight w:val="0"/>
                          <w:marTop w:val="0"/>
                          <w:marBottom w:val="0"/>
                          <w:divBdr>
                            <w:top w:val="none" w:sz="0" w:space="0" w:color="auto"/>
                            <w:left w:val="none" w:sz="0" w:space="0" w:color="auto"/>
                            <w:bottom w:val="none" w:sz="0" w:space="0" w:color="auto"/>
                            <w:right w:val="none" w:sz="0" w:space="0" w:color="auto"/>
                          </w:divBdr>
                        </w:div>
                      </w:divsChild>
                    </w:div>
                    <w:div w:id="189464820">
                      <w:marLeft w:val="0"/>
                      <w:marRight w:val="0"/>
                      <w:marTop w:val="0"/>
                      <w:marBottom w:val="0"/>
                      <w:divBdr>
                        <w:top w:val="none" w:sz="0" w:space="0" w:color="auto"/>
                        <w:left w:val="none" w:sz="0" w:space="0" w:color="auto"/>
                        <w:bottom w:val="none" w:sz="0" w:space="0" w:color="auto"/>
                        <w:right w:val="none" w:sz="0" w:space="0" w:color="auto"/>
                      </w:divBdr>
                      <w:divsChild>
                        <w:div w:id="68189233">
                          <w:marLeft w:val="0"/>
                          <w:marRight w:val="0"/>
                          <w:marTop w:val="0"/>
                          <w:marBottom w:val="0"/>
                          <w:divBdr>
                            <w:top w:val="none" w:sz="0" w:space="0" w:color="auto"/>
                            <w:left w:val="none" w:sz="0" w:space="0" w:color="auto"/>
                            <w:bottom w:val="none" w:sz="0" w:space="0" w:color="auto"/>
                            <w:right w:val="none" w:sz="0" w:space="0" w:color="auto"/>
                          </w:divBdr>
                        </w:div>
                      </w:divsChild>
                    </w:div>
                    <w:div w:id="189731775">
                      <w:marLeft w:val="0"/>
                      <w:marRight w:val="0"/>
                      <w:marTop w:val="0"/>
                      <w:marBottom w:val="0"/>
                      <w:divBdr>
                        <w:top w:val="none" w:sz="0" w:space="0" w:color="auto"/>
                        <w:left w:val="none" w:sz="0" w:space="0" w:color="auto"/>
                        <w:bottom w:val="none" w:sz="0" w:space="0" w:color="auto"/>
                        <w:right w:val="none" w:sz="0" w:space="0" w:color="auto"/>
                      </w:divBdr>
                      <w:divsChild>
                        <w:div w:id="134032130">
                          <w:marLeft w:val="0"/>
                          <w:marRight w:val="0"/>
                          <w:marTop w:val="0"/>
                          <w:marBottom w:val="0"/>
                          <w:divBdr>
                            <w:top w:val="none" w:sz="0" w:space="0" w:color="auto"/>
                            <w:left w:val="none" w:sz="0" w:space="0" w:color="auto"/>
                            <w:bottom w:val="none" w:sz="0" w:space="0" w:color="auto"/>
                            <w:right w:val="none" w:sz="0" w:space="0" w:color="auto"/>
                          </w:divBdr>
                        </w:div>
                      </w:divsChild>
                    </w:div>
                    <w:div w:id="191915662">
                      <w:marLeft w:val="0"/>
                      <w:marRight w:val="0"/>
                      <w:marTop w:val="0"/>
                      <w:marBottom w:val="0"/>
                      <w:divBdr>
                        <w:top w:val="none" w:sz="0" w:space="0" w:color="auto"/>
                        <w:left w:val="none" w:sz="0" w:space="0" w:color="auto"/>
                        <w:bottom w:val="none" w:sz="0" w:space="0" w:color="auto"/>
                        <w:right w:val="none" w:sz="0" w:space="0" w:color="auto"/>
                      </w:divBdr>
                      <w:divsChild>
                        <w:div w:id="614942712">
                          <w:marLeft w:val="0"/>
                          <w:marRight w:val="0"/>
                          <w:marTop w:val="0"/>
                          <w:marBottom w:val="0"/>
                          <w:divBdr>
                            <w:top w:val="none" w:sz="0" w:space="0" w:color="auto"/>
                            <w:left w:val="none" w:sz="0" w:space="0" w:color="auto"/>
                            <w:bottom w:val="none" w:sz="0" w:space="0" w:color="auto"/>
                            <w:right w:val="none" w:sz="0" w:space="0" w:color="auto"/>
                          </w:divBdr>
                        </w:div>
                      </w:divsChild>
                    </w:div>
                    <w:div w:id="196355138">
                      <w:marLeft w:val="0"/>
                      <w:marRight w:val="0"/>
                      <w:marTop w:val="0"/>
                      <w:marBottom w:val="0"/>
                      <w:divBdr>
                        <w:top w:val="none" w:sz="0" w:space="0" w:color="auto"/>
                        <w:left w:val="none" w:sz="0" w:space="0" w:color="auto"/>
                        <w:bottom w:val="none" w:sz="0" w:space="0" w:color="auto"/>
                        <w:right w:val="none" w:sz="0" w:space="0" w:color="auto"/>
                      </w:divBdr>
                      <w:divsChild>
                        <w:div w:id="943994607">
                          <w:marLeft w:val="0"/>
                          <w:marRight w:val="0"/>
                          <w:marTop w:val="0"/>
                          <w:marBottom w:val="0"/>
                          <w:divBdr>
                            <w:top w:val="none" w:sz="0" w:space="0" w:color="auto"/>
                            <w:left w:val="none" w:sz="0" w:space="0" w:color="auto"/>
                            <w:bottom w:val="none" w:sz="0" w:space="0" w:color="auto"/>
                            <w:right w:val="none" w:sz="0" w:space="0" w:color="auto"/>
                          </w:divBdr>
                        </w:div>
                      </w:divsChild>
                    </w:div>
                    <w:div w:id="221216452">
                      <w:marLeft w:val="0"/>
                      <w:marRight w:val="0"/>
                      <w:marTop w:val="0"/>
                      <w:marBottom w:val="0"/>
                      <w:divBdr>
                        <w:top w:val="none" w:sz="0" w:space="0" w:color="auto"/>
                        <w:left w:val="none" w:sz="0" w:space="0" w:color="auto"/>
                        <w:bottom w:val="none" w:sz="0" w:space="0" w:color="auto"/>
                        <w:right w:val="none" w:sz="0" w:space="0" w:color="auto"/>
                      </w:divBdr>
                      <w:divsChild>
                        <w:div w:id="1316303375">
                          <w:marLeft w:val="0"/>
                          <w:marRight w:val="0"/>
                          <w:marTop w:val="0"/>
                          <w:marBottom w:val="0"/>
                          <w:divBdr>
                            <w:top w:val="none" w:sz="0" w:space="0" w:color="auto"/>
                            <w:left w:val="none" w:sz="0" w:space="0" w:color="auto"/>
                            <w:bottom w:val="none" w:sz="0" w:space="0" w:color="auto"/>
                            <w:right w:val="none" w:sz="0" w:space="0" w:color="auto"/>
                          </w:divBdr>
                        </w:div>
                      </w:divsChild>
                    </w:div>
                    <w:div w:id="224877917">
                      <w:marLeft w:val="0"/>
                      <w:marRight w:val="0"/>
                      <w:marTop w:val="0"/>
                      <w:marBottom w:val="0"/>
                      <w:divBdr>
                        <w:top w:val="none" w:sz="0" w:space="0" w:color="auto"/>
                        <w:left w:val="none" w:sz="0" w:space="0" w:color="auto"/>
                        <w:bottom w:val="none" w:sz="0" w:space="0" w:color="auto"/>
                        <w:right w:val="none" w:sz="0" w:space="0" w:color="auto"/>
                      </w:divBdr>
                      <w:divsChild>
                        <w:div w:id="1763717187">
                          <w:marLeft w:val="0"/>
                          <w:marRight w:val="0"/>
                          <w:marTop w:val="0"/>
                          <w:marBottom w:val="0"/>
                          <w:divBdr>
                            <w:top w:val="none" w:sz="0" w:space="0" w:color="auto"/>
                            <w:left w:val="none" w:sz="0" w:space="0" w:color="auto"/>
                            <w:bottom w:val="none" w:sz="0" w:space="0" w:color="auto"/>
                            <w:right w:val="none" w:sz="0" w:space="0" w:color="auto"/>
                          </w:divBdr>
                        </w:div>
                      </w:divsChild>
                    </w:div>
                    <w:div w:id="226696653">
                      <w:marLeft w:val="0"/>
                      <w:marRight w:val="0"/>
                      <w:marTop w:val="0"/>
                      <w:marBottom w:val="0"/>
                      <w:divBdr>
                        <w:top w:val="none" w:sz="0" w:space="0" w:color="auto"/>
                        <w:left w:val="none" w:sz="0" w:space="0" w:color="auto"/>
                        <w:bottom w:val="none" w:sz="0" w:space="0" w:color="auto"/>
                        <w:right w:val="none" w:sz="0" w:space="0" w:color="auto"/>
                      </w:divBdr>
                      <w:divsChild>
                        <w:div w:id="942222222">
                          <w:marLeft w:val="0"/>
                          <w:marRight w:val="0"/>
                          <w:marTop w:val="0"/>
                          <w:marBottom w:val="0"/>
                          <w:divBdr>
                            <w:top w:val="none" w:sz="0" w:space="0" w:color="auto"/>
                            <w:left w:val="none" w:sz="0" w:space="0" w:color="auto"/>
                            <w:bottom w:val="none" w:sz="0" w:space="0" w:color="auto"/>
                            <w:right w:val="none" w:sz="0" w:space="0" w:color="auto"/>
                          </w:divBdr>
                        </w:div>
                      </w:divsChild>
                    </w:div>
                    <w:div w:id="227805142">
                      <w:marLeft w:val="0"/>
                      <w:marRight w:val="0"/>
                      <w:marTop w:val="0"/>
                      <w:marBottom w:val="0"/>
                      <w:divBdr>
                        <w:top w:val="none" w:sz="0" w:space="0" w:color="auto"/>
                        <w:left w:val="none" w:sz="0" w:space="0" w:color="auto"/>
                        <w:bottom w:val="none" w:sz="0" w:space="0" w:color="auto"/>
                        <w:right w:val="none" w:sz="0" w:space="0" w:color="auto"/>
                      </w:divBdr>
                      <w:divsChild>
                        <w:div w:id="624040235">
                          <w:marLeft w:val="0"/>
                          <w:marRight w:val="0"/>
                          <w:marTop w:val="0"/>
                          <w:marBottom w:val="0"/>
                          <w:divBdr>
                            <w:top w:val="none" w:sz="0" w:space="0" w:color="auto"/>
                            <w:left w:val="none" w:sz="0" w:space="0" w:color="auto"/>
                            <w:bottom w:val="none" w:sz="0" w:space="0" w:color="auto"/>
                            <w:right w:val="none" w:sz="0" w:space="0" w:color="auto"/>
                          </w:divBdr>
                        </w:div>
                      </w:divsChild>
                    </w:div>
                    <w:div w:id="229193066">
                      <w:marLeft w:val="0"/>
                      <w:marRight w:val="0"/>
                      <w:marTop w:val="0"/>
                      <w:marBottom w:val="0"/>
                      <w:divBdr>
                        <w:top w:val="none" w:sz="0" w:space="0" w:color="auto"/>
                        <w:left w:val="none" w:sz="0" w:space="0" w:color="auto"/>
                        <w:bottom w:val="none" w:sz="0" w:space="0" w:color="auto"/>
                        <w:right w:val="none" w:sz="0" w:space="0" w:color="auto"/>
                      </w:divBdr>
                      <w:divsChild>
                        <w:div w:id="1894391497">
                          <w:marLeft w:val="0"/>
                          <w:marRight w:val="0"/>
                          <w:marTop w:val="0"/>
                          <w:marBottom w:val="0"/>
                          <w:divBdr>
                            <w:top w:val="none" w:sz="0" w:space="0" w:color="auto"/>
                            <w:left w:val="none" w:sz="0" w:space="0" w:color="auto"/>
                            <w:bottom w:val="none" w:sz="0" w:space="0" w:color="auto"/>
                            <w:right w:val="none" w:sz="0" w:space="0" w:color="auto"/>
                          </w:divBdr>
                        </w:div>
                      </w:divsChild>
                    </w:div>
                    <w:div w:id="242107454">
                      <w:marLeft w:val="0"/>
                      <w:marRight w:val="0"/>
                      <w:marTop w:val="0"/>
                      <w:marBottom w:val="0"/>
                      <w:divBdr>
                        <w:top w:val="none" w:sz="0" w:space="0" w:color="auto"/>
                        <w:left w:val="none" w:sz="0" w:space="0" w:color="auto"/>
                        <w:bottom w:val="none" w:sz="0" w:space="0" w:color="auto"/>
                        <w:right w:val="none" w:sz="0" w:space="0" w:color="auto"/>
                      </w:divBdr>
                      <w:divsChild>
                        <w:div w:id="781538814">
                          <w:marLeft w:val="0"/>
                          <w:marRight w:val="0"/>
                          <w:marTop w:val="0"/>
                          <w:marBottom w:val="0"/>
                          <w:divBdr>
                            <w:top w:val="none" w:sz="0" w:space="0" w:color="auto"/>
                            <w:left w:val="none" w:sz="0" w:space="0" w:color="auto"/>
                            <w:bottom w:val="none" w:sz="0" w:space="0" w:color="auto"/>
                            <w:right w:val="none" w:sz="0" w:space="0" w:color="auto"/>
                          </w:divBdr>
                        </w:div>
                      </w:divsChild>
                    </w:div>
                    <w:div w:id="247857651">
                      <w:marLeft w:val="0"/>
                      <w:marRight w:val="0"/>
                      <w:marTop w:val="0"/>
                      <w:marBottom w:val="0"/>
                      <w:divBdr>
                        <w:top w:val="none" w:sz="0" w:space="0" w:color="auto"/>
                        <w:left w:val="none" w:sz="0" w:space="0" w:color="auto"/>
                        <w:bottom w:val="none" w:sz="0" w:space="0" w:color="auto"/>
                        <w:right w:val="none" w:sz="0" w:space="0" w:color="auto"/>
                      </w:divBdr>
                      <w:divsChild>
                        <w:div w:id="1220284397">
                          <w:marLeft w:val="0"/>
                          <w:marRight w:val="0"/>
                          <w:marTop w:val="0"/>
                          <w:marBottom w:val="0"/>
                          <w:divBdr>
                            <w:top w:val="none" w:sz="0" w:space="0" w:color="auto"/>
                            <w:left w:val="none" w:sz="0" w:space="0" w:color="auto"/>
                            <w:bottom w:val="none" w:sz="0" w:space="0" w:color="auto"/>
                            <w:right w:val="none" w:sz="0" w:space="0" w:color="auto"/>
                          </w:divBdr>
                        </w:div>
                      </w:divsChild>
                    </w:div>
                    <w:div w:id="300815161">
                      <w:marLeft w:val="0"/>
                      <w:marRight w:val="0"/>
                      <w:marTop w:val="0"/>
                      <w:marBottom w:val="0"/>
                      <w:divBdr>
                        <w:top w:val="none" w:sz="0" w:space="0" w:color="auto"/>
                        <w:left w:val="none" w:sz="0" w:space="0" w:color="auto"/>
                        <w:bottom w:val="none" w:sz="0" w:space="0" w:color="auto"/>
                        <w:right w:val="none" w:sz="0" w:space="0" w:color="auto"/>
                      </w:divBdr>
                      <w:divsChild>
                        <w:div w:id="578099889">
                          <w:marLeft w:val="0"/>
                          <w:marRight w:val="0"/>
                          <w:marTop w:val="0"/>
                          <w:marBottom w:val="0"/>
                          <w:divBdr>
                            <w:top w:val="none" w:sz="0" w:space="0" w:color="auto"/>
                            <w:left w:val="none" w:sz="0" w:space="0" w:color="auto"/>
                            <w:bottom w:val="none" w:sz="0" w:space="0" w:color="auto"/>
                            <w:right w:val="none" w:sz="0" w:space="0" w:color="auto"/>
                          </w:divBdr>
                        </w:div>
                      </w:divsChild>
                    </w:div>
                    <w:div w:id="323778932">
                      <w:marLeft w:val="0"/>
                      <w:marRight w:val="0"/>
                      <w:marTop w:val="0"/>
                      <w:marBottom w:val="0"/>
                      <w:divBdr>
                        <w:top w:val="none" w:sz="0" w:space="0" w:color="auto"/>
                        <w:left w:val="none" w:sz="0" w:space="0" w:color="auto"/>
                        <w:bottom w:val="none" w:sz="0" w:space="0" w:color="auto"/>
                        <w:right w:val="none" w:sz="0" w:space="0" w:color="auto"/>
                      </w:divBdr>
                      <w:divsChild>
                        <w:div w:id="1852253304">
                          <w:marLeft w:val="0"/>
                          <w:marRight w:val="0"/>
                          <w:marTop w:val="0"/>
                          <w:marBottom w:val="0"/>
                          <w:divBdr>
                            <w:top w:val="none" w:sz="0" w:space="0" w:color="auto"/>
                            <w:left w:val="none" w:sz="0" w:space="0" w:color="auto"/>
                            <w:bottom w:val="none" w:sz="0" w:space="0" w:color="auto"/>
                            <w:right w:val="none" w:sz="0" w:space="0" w:color="auto"/>
                          </w:divBdr>
                        </w:div>
                      </w:divsChild>
                    </w:div>
                    <w:div w:id="330182206">
                      <w:marLeft w:val="0"/>
                      <w:marRight w:val="0"/>
                      <w:marTop w:val="0"/>
                      <w:marBottom w:val="0"/>
                      <w:divBdr>
                        <w:top w:val="none" w:sz="0" w:space="0" w:color="auto"/>
                        <w:left w:val="none" w:sz="0" w:space="0" w:color="auto"/>
                        <w:bottom w:val="none" w:sz="0" w:space="0" w:color="auto"/>
                        <w:right w:val="none" w:sz="0" w:space="0" w:color="auto"/>
                      </w:divBdr>
                      <w:divsChild>
                        <w:div w:id="1502508024">
                          <w:marLeft w:val="0"/>
                          <w:marRight w:val="0"/>
                          <w:marTop w:val="0"/>
                          <w:marBottom w:val="0"/>
                          <w:divBdr>
                            <w:top w:val="none" w:sz="0" w:space="0" w:color="auto"/>
                            <w:left w:val="none" w:sz="0" w:space="0" w:color="auto"/>
                            <w:bottom w:val="none" w:sz="0" w:space="0" w:color="auto"/>
                            <w:right w:val="none" w:sz="0" w:space="0" w:color="auto"/>
                          </w:divBdr>
                        </w:div>
                      </w:divsChild>
                    </w:div>
                    <w:div w:id="336468286">
                      <w:marLeft w:val="0"/>
                      <w:marRight w:val="0"/>
                      <w:marTop w:val="0"/>
                      <w:marBottom w:val="0"/>
                      <w:divBdr>
                        <w:top w:val="none" w:sz="0" w:space="0" w:color="auto"/>
                        <w:left w:val="none" w:sz="0" w:space="0" w:color="auto"/>
                        <w:bottom w:val="none" w:sz="0" w:space="0" w:color="auto"/>
                        <w:right w:val="none" w:sz="0" w:space="0" w:color="auto"/>
                      </w:divBdr>
                      <w:divsChild>
                        <w:div w:id="1267537395">
                          <w:marLeft w:val="0"/>
                          <w:marRight w:val="0"/>
                          <w:marTop w:val="0"/>
                          <w:marBottom w:val="0"/>
                          <w:divBdr>
                            <w:top w:val="none" w:sz="0" w:space="0" w:color="auto"/>
                            <w:left w:val="none" w:sz="0" w:space="0" w:color="auto"/>
                            <w:bottom w:val="none" w:sz="0" w:space="0" w:color="auto"/>
                            <w:right w:val="none" w:sz="0" w:space="0" w:color="auto"/>
                          </w:divBdr>
                        </w:div>
                      </w:divsChild>
                    </w:div>
                    <w:div w:id="347945681">
                      <w:marLeft w:val="0"/>
                      <w:marRight w:val="0"/>
                      <w:marTop w:val="0"/>
                      <w:marBottom w:val="0"/>
                      <w:divBdr>
                        <w:top w:val="none" w:sz="0" w:space="0" w:color="auto"/>
                        <w:left w:val="none" w:sz="0" w:space="0" w:color="auto"/>
                        <w:bottom w:val="none" w:sz="0" w:space="0" w:color="auto"/>
                        <w:right w:val="none" w:sz="0" w:space="0" w:color="auto"/>
                      </w:divBdr>
                      <w:divsChild>
                        <w:div w:id="2019232659">
                          <w:marLeft w:val="0"/>
                          <w:marRight w:val="0"/>
                          <w:marTop w:val="0"/>
                          <w:marBottom w:val="0"/>
                          <w:divBdr>
                            <w:top w:val="none" w:sz="0" w:space="0" w:color="auto"/>
                            <w:left w:val="none" w:sz="0" w:space="0" w:color="auto"/>
                            <w:bottom w:val="none" w:sz="0" w:space="0" w:color="auto"/>
                            <w:right w:val="none" w:sz="0" w:space="0" w:color="auto"/>
                          </w:divBdr>
                        </w:div>
                      </w:divsChild>
                    </w:div>
                    <w:div w:id="365326539">
                      <w:marLeft w:val="0"/>
                      <w:marRight w:val="0"/>
                      <w:marTop w:val="0"/>
                      <w:marBottom w:val="0"/>
                      <w:divBdr>
                        <w:top w:val="none" w:sz="0" w:space="0" w:color="auto"/>
                        <w:left w:val="none" w:sz="0" w:space="0" w:color="auto"/>
                        <w:bottom w:val="none" w:sz="0" w:space="0" w:color="auto"/>
                        <w:right w:val="none" w:sz="0" w:space="0" w:color="auto"/>
                      </w:divBdr>
                      <w:divsChild>
                        <w:div w:id="1120414190">
                          <w:marLeft w:val="0"/>
                          <w:marRight w:val="0"/>
                          <w:marTop w:val="0"/>
                          <w:marBottom w:val="0"/>
                          <w:divBdr>
                            <w:top w:val="none" w:sz="0" w:space="0" w:color="auto"/>
                            <w:left w:val="none" w:sz="0" w:space="0" w:color="auto"/>
                            <w:bottom w:val="none" w:sz="0" w:space="0" w:color="auto"/>
                            <w:right w:val="none" w:sz="0" w:space="0" w:color="auto"/>
                          </w:divBdr>
                        </w:div>
                      </w:divsChild>
                    </w:div>
                    <w:div w:id="371539113">
                      <w:marLeft w:val="0"/>
                      <w:marRight w:val="0"/>
                      <w:marTop w:val="0"/>
                      <w:marBottom w:val="0"/>
                      <w:divBdr>
                        <w:top w:val="none" w:sz="0" w:space="0" w:color="auto"/>
                        <w:left w:val="none" w:sz="0" w:space="0" w:color="auto"/>
                        <w:bottom w:val="none" w:sz="0" w:space="0" w:color="auto"/>
                        <w:right w:val="none" w:sz="0" w:space="0" w:color="auto"/>
                      </w:divBdr>
                      <w:divsChild>
                        <w:div w:id="1534881130">
                          <w:marLeft w:val="0"/>
                          <w:marRight w:val="0"/>
                          <w:marTop w:val="0"/>
                          <w:marBottom w:val="0"/>
                          <w:divBdr>
                            <w:top w:val="none" w:sz="0" w:space="0" w:color="auto"/>
                            <w:left w:val="none" w:sz="0" w:space="0" w:color="auto"/>
                            <w:bottom w:val="none" w:sz="0" w:space="0" w:color="auto"/>
                            <w:right w:val="none" w:sz="0" w:space="0" w:color="auto"/>
                          </w:divBdr>
                        </w:div>
                      </w:divsChild>
                    </w:div>
                    <w:div w:id="392197971">
                      <w:marLeft w:val="0"/>
                      <w:marRight w:val="0"/>
                      <w:marTop w:val="0"/>
                      <w:marBottom w:val="0"/>
                      <w:divBdr>
                        <w:top w:val="none" w:sz="0" w:space="0" w:color="auto"/>
                        <w:left w:val="none" w:sz="0" w:space="0" w:color="auto"/>
                        <w:bottom w:val="none" w:sz="0" w:space="0" w:color="auto"/>
                        <w:right w:val="none" w:sz="0" w:space="0" w:color="auto"/>
                      </w:divBdr>
                      <w:divsChild>
                        <w:div w:id="415249549">
                          <w:marLeft w:val="0"/>
                          <w:marRight w:val="0"/>
                          <w:marTop w:val="0"/>
                          <w:marBottom w:val="0"/>
                          <w:divBdr>
                            <w:top w:val="none" w:sz="0" w:space="0" w:color="auto"/>
                            <w:left w:val="none" w:sz="0" w:space="0" w:color="auto"/>
                            <w:bottom w:val="none" w:sz="0" w:space="0" w:color="auto"/>
                            <w:right w:val="none" w:sz="0" w:space="0" w:color="auto"/>
                          </w:divBdr>
                        </w:div>
                      </w:divsChild>
                    </w:div>
                    <w:div w:id="401409210">
                      <w:marLeft w:val="0"/>
                      <w:marRight w:val="0"/>
                      <w:marTop w:val="0"/>
                      <w:marBottom w:val="0"/>
                      <w:divBdr>
                        <w:top w:val="none" w:sz="0" w:space="0" w:color="auto"/>
                        <w:left w:val="none" w:sz="0" w:space="0" w:color="auto"/>
                        <w:bottom w:val="none" w:sz="0" w:space="0" w:color="auto"/>
                        <w:right w:val="none" w:sz="0" w:space="0" w:color="auto"/>
                      </w:divBdr>
                      <w:divsChild>
                        <w:div w:id="87772563">
                          <w:marLeft w:val="0"/>
                          <w:marRight w:val="0"/>
                          <w:marTop w:val="0"/>
                          <w:marBottom w:val="0"/>
                          <w:divBdr>
                            <w:top w:val="none" w:sz="0" w:space="0" w:color="auto"/>
                            <w:left w:val="none" w:sz="0" w:space="0" w:color="auto"/>
                            <w:bottom w:val="none" w:sz="0" w:space="0" w:color="auto"/>
                            <w:right w:val="none" w:sz="0" w:space="0" w:color="auto"/>
                          </w:divBdr>
                        </w:div>
                      </w:divsChild>
                    </w:div>
                    <w:div w:id="439958554">
                      <w:marLeft w:val="0"/>
                      <w:marRight w:val="0"/>
                      <w:marTop w:val="0"/>
                      <w:marBottom w:val="0"/>
                      <w:divBdr>
                        <w:top w:val="none" w:sz="0" w:space="0" w:color="auto"/>
                        <w:left w:val="none" w:sz="0" w:space="0" w:color="auto"/>
                        <w:bottom w:val="none" w:sz="0" w:space="0" w:color="auto"/>
                        <w:right w:val="none" w:sz="0" w:space="0" w:color="auto"/>
                      </w:divBdr>
                      <w:divsChild>
                        <w:div w:id="442656462">
                          <w:marLeft w:val="0"/>
                          <w:marRight w:val="0"/>
                          <w:marTop w:val="0"/>
                          <w:marBottom w:val="0"/>
                          <w:divBdr>
                            <w:top w:val="none" w:sz="0" w:space="0" w:color="auto"/>
                            <w:left w:val="none" w:sz="0" w:space="0" w:color="auto"/>
                            <w:bottom w:val="none" w:sz="0" w:space="0" w:color="auto"/>
                            <w:right w:val="none" w:sz="0" w:space="0" w:color="auto"/>
                          </w:divBdr>
                        </w:div>
                      </w:divsChild>
                    </w:div>
                    <w:div w:id="449781029">
                      <w:marLeft w:val="0"/>
                      <w:marRight w:val="0"/>
                      <w:marTop w:val="0"/>
                      <w:marBottom w:val="0"/>
                      <w:divBdr>
                        <w:top w:val="none" w:sz="0" w:space="0" w:color="auto"/>
                        <w:left w:val="none" w:sz="0" w:space="0" w:color="auto"/>
                        <w:bottom w:val="none" w:sz="0" w:space="0" w:color="auto"/>
                        <w:right w:val="none" w:sz="0" w:space="0" w:color="auto"/>
                      </w:divBdr>
                      <w:divsChild>
                        <w:div w:id="1377319103">
                          <w:marLeft w:val="0"/>
                          <w:marRight w:val="0"/>
                          <w:marTop w:val="0"/>
                          <w:marBottom w:val="0"/>
                          <w:divBdr>
                            <w:top w:val="none" w:sz="0" w:space="0" w:color="auto"/>
                            <w:left w:val="none" w:sz="0" w:space="0" w:color="auto"/>
                            <w:bottom w:val="none" w:sz="0" w:space="0" w:color="auto"/>
                            <w:right w:val="none" w:sz="0" w:space="0" w:color="auto"/>
                          </w:divBdr>
                        </w:div>
                      </w:divsChild>
                    </w:div>
                    <w:div w:id="454564749">
                      <w:marLeft w:val="0"/>
                      <w:marRight w:val="0"/>
                      <w:marTop w:val="0"/>
                      <w:marBottom w:val="0"/>
                      <w:divBdr>
                        <w:top w:val="none" w:sz="0" w:space="0" w:color="auto"/>
                        <w:left w:val="none" w:sz="0" w:space="0" w:color="auto"/>
                        <w:bottom w:val="none" w:sz="0" w:space="0" w:color="auto"/>
                        <w:right w:val="none" w:sz="0" w:space="0" w:color="auto"/>
                      </w:divBdr>
                      <w:divsChild>
                        <w:div w:id="317728618">
                          <w:marLeft w:val="0"/>
                          <w:marRight w:val="0"/>
                          <w:marTop w:val="0"/>
                          <w:marBottom w:val="0"/>
                          <w:divBdr>
                            <w:top w:val="none" w:sz="0" w:space="0" w:color="auto"/>
                            <w:left w:val="none" w:sz="0" w:space="0" w:color="auto"/>
                            <w:bottom w:val="none" w:sz="0" w:space="0" w:color="auto"/>
                            <w:right w:val="none" w:sz="0" w:space="0" w:color="auto"/>
                          </w:divBdr>
                        </w:div>
                      </w:divsChild>
                    </w:div>
                    <w:div w:id="454833394">
                      <w:marLeft w:val="0"/>
                      <w:marRight w:val="0"/>
                      <w:marTop w:val="0"/>
                      <w:marBottom w:val="0"/>
                      <w:divBdr>
                        <w:top w:val="none" w:sz="0" w:space="0" w:color="auto"/>
                        <w:left w:val="none" w:sz="0" w:space="0" w:color="auto"/>
                        <w:bottom w:val="none" w:sz="0" w:space="0" w:color="auto"/>
                        <w:right w:val="none" w:sz="0" w:space="0" w:color="auto"/>
                      </w:divBdr>
                      <w:divsChild>
                        <w:div w:id="1012757192">
                          <w:marLeft w:val="0"/>
                          <w:marRight w:val="0"/>
                          <w:marTop w:val="0"/>
                          <w:marBottom w:val="0"/>
                          <w:divBdr>
                            <w:top w:val="none" w:sz="0" w:space="0" w:color="auto"/>
                            <w:left w:val="none" w:sz="0" w:space="0" w:color="auto"/>
                            <w:bottom w:val="none" w:sz="0" w:space="0" w:color="auto"/>
                            <w:right w:val="none" w:sz="0" w:space="0" w:color="auto"/>
                          </w:divBdr>
                        </w:div>
                      </w:divsChild>
                    </w:div>
                    <w:div w:id="468597946">
                      <w:marLeft w:val="0"/>
                      <w:marRight w:val="0"/>
                      <w:marTop w:val="0"/>
                      <w:marBottom w:val="0"/>
                      <w:divBdr>
                        <w:top w:val="none" w:sz="0" w:space="0" w:color="auto"/>
                        <w:left w:val="none" w:sz="0" w:space="0" w:color="auto"/>
                        <w:bottom w:val="none" w:sz="0" w:space="0" w:color="auto"/>
                        <w:right w:val="none" w:sz="0" w:space="0" w:color="auto"/>
                      </w:divBdr>
                      <w:divsChild>
                        <w:div w:id="695934772">
                          <w:marLeft w:val="0"/>
                          <w:marRight w:val="0"/>
                          <w:marTop w:val="0"/>
                          <w:marBottom w:val="0"/>
                          <w:divBdr>
                            <w:top w:val="none" w:sz="0" w:space="0" w:color="auto"/>
                            <w:left w:val="none" w:sz="0" w:space="0" w:color="auto"/>
                            <w:bottom w:val="none" w:sz="0" w:space="0" w:color="auto"/>
                            <w:right w:val="none" w:sz="0" w:space="0" w:color="auto"/>
                          </w:divBdr>
                        </w:div>
                      </w:divsChild>
                    </w:div>
                    <w:div w:id="480081226">
                      <w:marLeft w:val="0"/>
                      <w:marRight w:val="0"/>
                      <w:marTop w:val="0"/>
                      <w:marBottom w:val="0"/>
                      <w:divBdr>
                        <w:top w:val="none" w:sz="0" w:space="0" w:color="auto"/>
                        <w:left w:val="none" w:sz="0" w:space="0" w:color="auto"/>
                        <w:bottom w:val="none" w:sz="0" w:space="0" w:color="auto"/>
                        <w:right w:val="none" w:sz="0" w:space="0" w:color="auto"/>
                      </w:divBdr>
                      <w:divsChild>
                        <w:div w:id="795563345">
                          <w:marLeft w:val="0"/>
                          <w:marRight w:val="0"/>
                          <w:marTop w:val="0"/>
                          <w:marBottom w:val="0"/>
                          <w:divBdr>
                            <w:top w:val="none" w:sz="0" w:space="0" w:color="auto"/>
                            <w:left w:val="none" w:sz="0" w:space="0" w:color="auto"/>
                            <w:bottom w:val="none" w:sz="0" w:space="0" w:color="auto"/>
                            <w:right w:val="none" w:sz="0" w:space="0" w:color="auto"/>
                          </w:divBdr>
                        </w:div>
                      </w:divsChild>
                    </w:div>
                    <w:div w:id="483471254">
                      <w:marLeft w:val="0"/>
                      <w:marRight w:val="0"/>
                      <w:marTop w:val="0"/>
                      <w:marBottom w:val="0"/>
                      <w:divBdr>
                        <w:top w:val="none" w:sz="0" w:space="0" w:color="auto"/>
                        <w:left w:val="none" w:sz="0" w:space="0" w:color="auto"/>
                        <w:bottom w:val="none" w:sz="0" w:space="0" w:color="auto"/>
                        <w:right w:val="none" w:sz="0" w:space="0" w:color="auto"/>
                      </w:divBdr>
                      <w:divsChild>
                        <w:div w:id="1166752469">
                          <w:marLeft w:val="0"/>
                          <w:marRight w:val="0"/>
                          <w:marTop w:val="0"/>
                          <w:marBottom w:val="0"/>
                          <w:divBdr>
                            <w:top w:val="none" w:sz="0" w:space="0" w:color="auto"/>
                            <w:left w:val="none" w:sz="0" w:space="0" w:color="auto"/>
                            <w:bottom w:val="none" w:sz="0" w:space="0" w:color="auto"/>
                            <w:right w:val="none" w:sz="0" w:space="0" w:color="auto"/>
                          </w:divBdr>
                        </w:div>
                      </w:divsChild>
                    </w:div>
                    <w:div w:id="509030409">
                      <w:marLeft w:val="0"/>
                      <w:marRight w:val="0"/>
                      <w:marTop w:val="0"/>
                      <w:marBottom w:val="0"/>
                      <w:divBdr>
                        <w:top w:val="none" w:sz="0" w:space="0" w:color="auto"/>
                        <w:left w:val="none" w:sz="0" w:space="0" w:color="auto"/>
                        <w:bottom w:val="none" w:sz="0" w:space="0" w:color="auto"/>
                        <w:right w:val="none" w:sz="0" w:space="0" w:color="auto"/>
                      </w:divBdr>
                      <w:divsChild>
                        <w:div w:id="377436919">
                          <w:marLeft w:val="0"/>
                          <w:marRight w:val="0"/>
                          <w:marTop w:val="0"/>
                          <w:marBottom w:val="0"/>
                          <w:divBdr>
                            <w:top w:val="none" w:sz="0" w:space="0" w:color="auto"/>
                            <w:left w:val="none" w:sz="0" w:space="0" w:color="auto"/>
                            <w:bottom w:val="none" w:sz="0" w:space="0" w:color="auto"/>
                            <w:right w:val="none" w:sz="0" w:space="0" w:color="auto"/>
                          </w:divBdr>
                        </w:div>
                      </w:divsChild>
                    </w:div>
                    <w:div w:id="519122991">
                      <w:marLeft w:val="0"/>
                      <w:marRight w:val="0"/>
                      <w:marTop w:val="0"/>
                      <w:marBottom w:val="0"/>
                      <w:divBdr>
                        <w:top w:val="none" w:sz="0" w:space="0" w:color="auto"/>
                        <w:left w:val="none" w:sz="0" w:space="0" w:color="auto"/>
                        <w:bottom w:val="none" w:sz="0" w:space="0" w:color="auto"/>
                        <w:right w:val="none" w:sz="0" w:space="0" w:color="auto"/>
                      </w:divBdr>
                      <w:divsChild>
                        <w:div w:id="882986961">
                          <w:marLeft w:val="0"/>
                          <w:marRight w:val="0"/>
                          <w:marTop w:val="0"/>
                          <w:marBottom w:val="0"/>
                          <w:divBdr>
                            <w:top w:val="none" w:sz="0" w:space="0" w:color="auto"/>
                            <w:left w:val="none" w:sz="0" w:space="0" w:color="auto"/>
                            <w:bottom w:val="none" w:sz="0" w:space="0" w:color="auto"/>
                            <w:right w:val="none" w:sz="0" w:space="0" w:color="auto"/>
                          </w:divBdr>
                        </w:div>
                      </w:divsChild>
                    </w:div>
                    <w:div w:id="520818165">
                      <w:marLeft w:val="0"/>
                      <w:marRight w:val="0"/>
                      <w:marTop w:val="0"/>
                      <w:marBottom w:val="0"/>
                      <w:divBdr>
                        <w:top w:val="none" w:sz="0" w:space="0" w:color="auto"/>
                        <w:left w:val="none" w:sz="0" w:space="0" w:color="auto"/>
                        <w:bottom w:val="none" w:sz="0" w:space="0" w:color="auto"/>
                        <w:right w:val="none" w:sz="0" w:space="0" w:color="auto"/>
                      </w:divBdr>
                      <w:divsChild>
                        <w:div w:id="667637743">
                          <w:marLeft w:val="0"/>
                          <w:marRight w:val="0"/>
                          <w:marTop w:val="0"/>
                          <w:marBottom w:val="0"/>
                          <w:divBdr>
                            <w:top w:val="none" w:sz="0" w:space="0" w:color="auto"/>
                            <w:left w:val="none" w:sz="0" w:space="0" w:color="auto"/>
                            <w:bottom w:val="none" w:sz="0" w:space="0" w:color="auto"/>
                            <w:right w:val="none" w:sz="0" w:space="0" w:color="auto"/>
                          </w:divBdr>
                        </w:div>
                      </w:divsChild>
                    </w:div>
                    <w:div w:id="524515520">
                      <w:marLeft w:val="0"/>
                      <w:marRight w:val="0"/>
                      <w:marTop w:val="0"/>
                      <w:marBottom w:val="0"/>
                      <w:divBdr>
                        <w:top w:val="none" w:sz="0" w:space="0" w:color="auto"/>
                        <w:left w:val="none" w:sz="0" w:space="0" w:color="auto"/>
                        <w:bottom w:val="none" w:sz="0" w:space="0" w:color="auto"/>
                        <w:right w:val="none" w:sz="0" w:space="0" w:color="auto"/>
                      </w:divBdr>
                      <w:divsChild>
                        <w:div w:id="277421115">
                          <w:marLeft w:val="0"/>
                          <w:marRight w:val="0"/>
                          <w:marTop w:val="0"/>
                          <w:marBottom w:val="0"/>
                          <w:divBdr>
                            <w:top w:val="none" w:sz="0" w:space="0" w:color="auto"/>
                            <w:left w:val="none" w:sz="0" w:space="0" w:color="auto"/>
                            <w:bottom w:val="none" w:sz="0" w:space="0" w:color="auto"/>
                            <w:right w:val="none" w:sz="0" w:space="0" w:color="auto"/>
                          </w:divBdr>
                        </w:div>
                      </w:divsChild>
                    </w:div>
                    <w:div w:id="539439545">
                      <w:marLeft w:val="0"/>
                      <w:marRight w:val="0"/>
                      <w:marTop w:val="0"/>
                      <w:marBottom w:val="0"/>
                      <w:divBdr>
                        <w:top w:val="none" w:sz="0" w:space="0" w:color="auto"/>
                        <w:left w:val="none" w:sz="0" w:space="0" w:color="auto"/>
                        <w:bottom w:val="none" w:sz="0" w:space="0" w:color="auto"/>
                        <w:right w:val="none" w:sz="0" w:space="0" w:color="auto"/>
                      </w:divBdr>
                      <w:divsChild>
                        <w:div w:id="385180456">
                          <w:marLeft w:val="0"/>
                          <w:marRight w:val="0"/>
                          <w:marTop w:val="0"/>
                          <w:marBottom w:val="0"/>
                          <w:divBdr>
                            <w:top w:val="none" w:sz="0" w:space="0" w:color="auto"/>
                            <w:left w:val="none" w:sz="0" w:space="0" w:color="auto"/>
                            <w:bottom w:val="none" w:sz="0" w:space="0" w:color="auto"/>
                            <w:right w:val="none" w:sz="0" w:space="0" w:color="auto"/>
                          </w:divBdr>
                        </w:div>
                      </w:divsChild>
                    </w:div>
                    <w:div w:id="541213410">
                      <w:marLeft w:val="0"/>
                      <w:marRight w:val="0"/>
                      <w:marTop w:val="0"/>
                      <w:marBottom w:val="0"/>
                      <w:divBdr>
                        <w:top w:val="none" w:sz="0" w:space="0" w:color="auto"/>
                        <w:left w:val="none" w:sz="0" w:space="0" w:color="auto"/>
                        <w:bottom w:val="none" w:sz="0" w:space="0" w:color="auto"/>
                        <w:right w:val="none" w:sz="0" w:space="0" w:color="auto"/>
                      </w:divBdr>
                      <w:divsChild>
                        <w:div w:id="1003970050">
                          <w:marLeft w:val="0"/>
                          <w:marRight w:val="0"/>
                          <w:marTop w:val="0"/>
                          <w:marBottom w:val="0"/>
                          <w:divBdr>
                            <w:top w:val="none" w:sz="0" w:space="0" w:color="auto"/>
                            <w:left w:val="none" w:sz="0" w:space="0" w:color="auto"/>
                            <w:bottom w:val="none" w:sz="0" w:space="0" w:color="auto"/>
                            <w:right w:val="none" w:sz="0" w:space="0" w:color="auto"/>
                          </w:divBdr>
                        </w:div>
                      </w:divsChild>
                    </w:div>
                    <w:div w:id="554900062">
                      <w:marLeft w:val="0"/>
                      <w:marRight w:val="0"/>
                      <w:marTop w:val="0"/>
                      <w:marBottom w:val="0"/>
                      <w:divBdr>
                        <w:top w:val="none" w:sz="0" w:space="0" w:color="auto"/>
                        <w:left w:val="none" w:sz="0" w:space="0" w:color="auto"/>
                        <w:bottom w:val="none" w:sz="0" w:space="0" w:color="auto"/>
                        <w:right w:val="none" w:sz="0" w:space="0" w:color="auto"/>
                      </w:divBdr>
                      <w:divsChild>
                        <w:div w:id="1882017968">
                          <w:marLeft w:val="0"/>
                          <w:marRight w:val="0"/>
                          <w:marTop w:val="0"/>
                          <w:marBottom w:val="0"/>
                          <w:divBdr>
                            <w:top w:val="none" w:sz="0" w:space="0" w:color="auto"/>
                            <w:left w:val="none" w:sz="0" w:space="0" w:color="auto"/>
                            <w:bottom w:val="none" w:sz="0" w:space="0" w:color="auto"/>
                            <w:right w:val="none" w:sz="0" w:space="0" w:color="auto"/>
                          </w:divBdr>
                        </w:div>
                      </w:divsChild>
                    </w:div>
                    <w:div w:id="555968622">
                      <w:marLeft w:val="0"/>
                      <w:marRight w:val="0"/>
                      <w:marTop w:val="0"/>
                      <w:marBottom w:val="0"/>
                      <w:divBdr>
                        <w:top w:val="none" w:sz="0" w:space="0" w:color="auto"/>
                        <w:left w:val="none" w:sz="0" w:space="0" w:color="auto"/>
                        <w:bottom w:val="none" w:sz="0" w:space="0" w:color="auto"/>
                        <w:right w:val="none" w:sz="0" w:space="0" w:color="auto"/>
                      </w:divBdr>
                      <w:divsChild>
                        <w:div w:id="425998854">
                          <w:marLeft w:val="0"/>
                          <w:marRight w:val="0"/>
                          <w:marTop w:val="0"/>
                          <w:marBottom w:val="0"/>
                          <w:divBdr>
                            <w:top w:val="none" w:sz="0" w:space="0" w:color="auto"/>
                            <w:left w:val="none" w:sz="0" w:space="0" w:color="auto"/>
                            <w:bottom w:val="none" w:sz="0" w:space="0" w:color="auto"/>
                            <w:right w:val="none" w:sz="0" w:space="0" w:color="auto"/>
                          </w:divBdr>
                        </w:div>
                      </w:divsChild>
                    </w:div>
                    <w:div w:id="566957040">
                      <w:marLeft w:val="0"/>
                      <w:marRight w:val="0"/>
                      <w:marTop w:val="0"/>
                      <w:marBottom w:val="0"/>
                      <w:divBdr>
                        <w:top w:val="none" w:sz="0" w:space="0" w:color="auto"/>
                        <w:left w:val="none" w:sz="0" w:space="0" w:color="auto"/>
                        <w:bottom w:val="none" w:sz="0" w:space="0" w:color="auto"/>
                        <w:right w:val="none" w:sz="0" w:space="0" w:color="auto"/>
                      </w:divBdr>
                      <w:divsChild>
                        <w:div w:id="698774944">
                          <w:marLeft w:val="0"/>
                          <w:marRight w:val="0"/>
                          <w:marTop w:val="0"/>
                          <w:marBottom w:val="0"/>
                          <w:divBdr>
                            <w:top w:val="none" w:sz="0" w:space="0" w:color="auto"/>
                            <w:left w:val="none" w:sz="0" w:space="0" w:color="auto"/>
                            <w:bottom w:val="none" w:sz="0" w:space="0" w:color="auto"/>
                            <w:right w:val="none" w:sz="0" w:space="0" w:color="auto"/>
                          </w:divBdr>
                        </w:div>
                      </w:divsChild>
                    </w:div>
                    <w:div w:id="569778724">
                      <w:marLeft w:val="0"/>
                      <w:marRight w:val="0"/>
                      <w:marTop w:val="0"/>
                      <w:marBottom w:val="0"/>
                      <w:divBdr>
                        <w:top w:val="none" w:sz="0" w:space="0" w:color="auto"/>
                        <w:left w:val="none" w:sz="0" w:space="0" w:color="auto"/>
                        <w:bottom w:val="none" w:sz="0" w:space="0" w:color="auto"/>
                        <w:right w:val="none" w:sz="0" w:space="0" w:color="auto"/>
                      </w:divBdr>
                      <w:divsChild>
                        <w:div w:id="243802225">
                          <w:marLeft w:val="0"/>
                          <w:marRight w:val="0"/>
                          <w:marTop w:val="0"/>
                          <w:marBottom w:val="0"/>
                          <w:divBdr>
                            <w:top w:val="none" w:sz="0" w:space="0" w:color="auto"/>
                            <w:left w:val="none" w:sz="0" w:space="0" w:color="auto"/>
                            <w:bottom w:val="none" w:sz="0" w:space="0" w:color="auto"/>
                            <w:right w:val="none" w:sz="0" w:space="0" w:color="auto"/>
                          </w:divBdr>
                        </w:div>
                      </w:divsChild>
                    </w:div>
                    <w:div w:id="569966643">
                      <w:marLeft w:val="0"/>
                      <w:marRight w:val="0"/>
                      <w:marTop w:val="0"/>
                      <w:marBottom w:val="0"/>
                      <w:divBdr>
                        <w:top w:val="none" w:sz="0" w:space="0" w:color="auto"/>
                        <w:left w:val="none" w:sz="0" w:space="0" w:color="auto"/>
                        <w:bottom w:val="none" w:sz="0" w:space="0" w:color="auto"/>
                        <w:right w:val="none" w:sz="0" w:space="0" w:color="auto"/>
                      </w:divBdr>
                      <w:divsChild>
                        <w:div w:id="507645330">
                          <w:marLeft w:val="0"/>
                          <w:marRight w:val="0"/>
                          <w:marTop w:val="0"/>
                          <w:marBottom w:val="0"/>
                          <w:divBdr>
                            <w:top w:val="none" w:sz="0" w:space="0" w:color="auto"/>
                            <w:left w:val="none" w:sz="0" w:space="0" w:color="auto"/>
                            <w:bottom w:val="none" w:sz="0" w:space="0" w:color="auto"/>
                            <w:right w:val="none" w:sz="0" w:space="0" w:color="auto"/>
                          </w:divBdr>
                        </w:div>
                      </w:divsChild>
                    </w:div>
                    <w:div w:id="589579380">
                      <w:marLeft w:val="0"/>
                      <w:marRight w:val="0"/>
                      <w:marTop w:val="0"/>
                      <w:marBottom w:val="0"/>
                      <w:divBdr>
                        <w:top w:val="none" w:sz="0" w:space="0" w:color="auto"/>
                        <w:left w:val="none" w:sz="0" w:space="0" w:color="auto"/>
                        <w:bottom w:val="none" w:sz="0" w:space="0" w:color="auto"/>
                        <w:right w:val="none" w:sz="0" w:space="0" w:color="auto"/>
                      </w:divBdr>
                      <w:divsChild>
                        <w:div w:id="1003357886">
                          <w:marLeft w:val="0"/>
                          <w:marRight w:val="0"/>
                          <w:marTop w:val="0"/>
                          <w:marBottom w:val="0"/>
                          <w:divBdr>
                            <w:top w:val="none" w:sz="0" w:space="0" w:color="auto"/>
                            <w:left w:val="none" w:sz="0" w:space="0" w:color="auto"/>
                            <w:bottom w:val="none" w:sz="0" w:space="0" w:color="auto"/>
                            <w:right w:val="none" w:sz="0" w:space="0" w:color="auto"/>
                          </w:divBdr>
                        </w:div>
                      </w:divsChild>
                    </w:div>
                    <w:div w:id="611401460">
                      <w:marLeft w:val="0"/>
                      <w:marRight w:val="0"/>
                      <w:marTop w:val="0"/>
                      <w:marBottom w:val="0"/>
                      <w:divBdr>
                        <w:top w:val="none" w:sz="0" w:space="0" w:color="auto"/>
                        <w:left w:val="none" w:sz="0" w:space="0" w:color="auto"/>
                        <w:bottom w:val="none" w:sz="0" w:space="0" w:color="auto"/>
                        <w:right w:val="none" w:sz="0" w:space="0" w:color="auto"/>
                      </w:divBdr>
                      <w:divsChild>
                        <w:div w:id="1288242004">
                          <w:marLeft w:val="0"/>
                          <w:marRight w:val="0"/>
                          <w:marTop w:val="0"/>
                          <w:marBottom w:val="0"/>
                          <w:divBdr>
                            <w:top w:val="none" w:sz="0" w:space="0" w:color="auto"/>
                            <w:left w:val="none" w:sz="0" w:space="0" w:color="auto"/>
                            <w:bottom w:val="none" w:sz="0" w:space="0" w:color="auto"/>
                            <w:right w:val="none" w:sz="0" w:space="0" w:color="auto"/>
                          </w:divBdr>
                        </w:div>
                      </w:divsChild>
                    </w:div>
                    <w:div w:id="620456417">
                      <w:marLeft w:val="0"/>
                      <w:marRight w:val="0"/>
                      <w:marTop w:val="0"/>
                      <w:marBottom w:val="0"/>
                      <w:divBdr>
                        <w:top w:val="none" w:sz="0" w:space="0" w:color="auto"/>
                        <w:left w:val="none" w:sz="0" w:space="0" w:color="auto"/>
                        <w:bottom w:val="none" w:sz="0" w:space="0" w:color="auto"/>
                        <w:right w:val="none" w:sz="0" w:space="0" w:color="auto"/>
                      </w:divBdr>
                      <w:divsChild>
                        <w:div w:id="1433011178">
                          <w:marLeft w:val="0"/>
                          <w:marRight w:val="0"/>
                          <w:marTop w:val="0"/>
                          <w:marBottom w:val="0"/>
                          <w:divBdr>
                            <w:top w:val="none" w:sz="0" w:space="0" w:color="auto"/>
                            <w:left w:val="none" w:sz="0" w:space="0" w:color="auto"/>
                            <w:bottom w:val="none" w:sz="0" w:space="0" w:color="auto"/>
                            <w:right w:val="none" w:sz="0" w:space="0" w:color="auto"/>
                          </w:divBdr>
                        </w:div>
                      </w:divsChild>
                    </w:div>
                    <w:div w:id="627706381">
                      <w:marLeft w:val="0"/>
                      <w:marRight w:val="0"/>
                      <w:marTop w:val="0"/>
                      <w:marBottom w:val="0"/>
                      <w:divBdr>
                        <w:top w:val="none" w:sz="0" w:space="0" w:color="auto"/>
                        <w:left w:val="none" w:sz="0" w:space="0" w:color="auto"/>
                        <w:bottom w:val="none" w:sz="0" w:space="0" w:color="auto"/>
                        <w:right w:val="none" w:sz="0" w:space="0" w:color="auto"/>
                      </w:divBdr>
                      <w:divsChild>
                        <w:div w:id="2084208543">
                          <w:marLeft w:val="0"/>
                          <w:marRight w:val="0"/>
                          <w:marTop w:val="0"/>
                          <w:marBottom w:val="0"/>
                          <w:divBdr>
                            <w:top w:val="none" w:sz="0" w:space="0" w:color="auto"/>
                            <w:left w:val="none" w:sz="0" w:space="0" w:color="auto"/>
                            <w:bottom w:val="none" w:sz="0" w:space="0" w:color="auto"/>
                            <w:right w:val="none" w:sz="0" w:space="0" w:color="auto"/>
                          </w:divBdr>
                        </w:div>
                      </w:divsChild>
                    </w:div>
                    <w:div w:id="635068323">
                      <w:marLeft w:val="0"/>
                      <w:marRight w:val="0"/>
                      <w:marTop w:val="0"/>
                      <w:marBottom w:val="0"/>
                      <w:divBdr>
                        <w:top w:val="none" w:sz="0" w:space="0" w:color="auto"/>
                        <w:left w:val="none" w:sz="0" w:space="0" w:color="auto"/>
                        <w:bottom w:val="none" w:sz="0" w:space="0" w:color="auto"/>
                        <w:right w:val="none" w:sz="0" w:space="0" w:color="auto"/>
                      </w:divBdr>
                      <w:divsChild>
                        <w:div w:id="222757175">
                          <w:marLeft w:val="0"/>
                          <w:marRight w:val="0"/>
                          <w:marTop w:val="0"/>
                          <w:marBottom w:val="0"/>
                          <w:divBdr>
                            <w:top w:val="none" w:sz="0" w:space="0" w:color="auto"/>
                            <w:left w:val="none" w:sz="0" w:space="0" w:color="auto"/>
                            <w:bottom w:val="none" w:sz="0" w:space="0" w:color="auto"/>
                            <w:right w:val="none" w:sz="0" w:space="0" w:color="auto"/>
                          </w:divBdr>
                        </w:div>
                      </w:divsChild>
                    </w:div>
                    <w:div w:id="658732172">
                      <w:marLeft w:val="0"/>
                      <w:marRight w:val="0"/>
                      <w:marTop w:val="0"/>
                      <w:marBottom w:val="0"/>
                      <w:divBdr>
                        <w:top w:val="none" w:sz="0" w:space="0" w:color="auto"/>
                        <w:left w:val="none" w:sz="0" w:space="0" w:color="auto"/>
                        <w:bottom w:val="none" w:sz="0" w:space="0" w:color="auto"/>
                        <w:right w:val="none" w:sz="0" w:space="0" w:color="auto"/>
                      </w:divBdr>
                      <w:divsChild>
                        <w:div w:id="1208687225">
                          <w:marLeft w:val="0"/>
                          <w:marRight w:val="0"/>
                          <w:marTop w:val="0"/>
                          <w:marBottom w:val="0"/>
                          <w:divBdr>
                            <w:top w:val="none" w:sz="0" w:space="0" w:color="auto"/>
                            <w:left w:val="none" w:sz="0" w:space="0" w:color="auto"/>
                            <w:bottom w:val="none" w:sz="0" w:space="0" w:color="auto"/>
                            <w:right w:val="none" w:sz="0" w:space="0" w:color="auto"/>
                          </w:divBdr>
                        </w:div>
                      </w:divsChild>
                    </w:div>
                    <w:div w:id="671294706">
                      <w:marLeft w:val="0"/>
                      <w:marRight w:val="0"/>
                      <w:marTop w:val="0"/>
                      <w:marBottom w:val="0"/>
                      <w:divBdr>
                        <w:top w:val="none" w:sz="0" w:space="0" w:color="auto"/>
                        <w:left w:val="none" w:sz="0" w:space="0" w:color="auto"/>
                        <w:bottom w:val="none" w:sz="0" w:space="0" w:color="auto"/>
                        <w:right w:val="none" w:sz="0" w:space="0" w:color="auto"/>
                      </w:divBdr>
                      <w:divsChild>
                        <w:div w:id="278149111">
                          <w:marLeft w:val="0"/>
                          <w:marRight w:val="0"/>
                          <w:marTop w:val="0"/>
                          <w:marBottom w:val="0"/>
                          <w:divBdr>
                            <w:top w:val="none" w:sz="0" w:space="0" w:color="auto"/>
                            <w:left w:val="none" w:sz="0" w:space="0" w:color="auto"/>
                            <w:bottom w:val="none" w:sz="0" w:space="0" w:color="auto"/>
                            <w:right w:val="none" w:sz="0" w:space="0" w:color="auto"/>
                          </w:divBdr>
                        </w:div>
                      </w:divsChild>
                    </w:div>
                    <w:div w:id="680593076">
                      <w:marLeft w:val="0"/>
                      <w:marRight w:val="0"/>
                      <w:marTop w:val="0"/>
                      <w:marBottom w:val="0"/>
                      <w:divBdr>
                        <w:top w:val="none" w:sz="0" w:space="0" w:color="auto"/>
                        <w:left w:val="none" w:sz="0" w:space="0" w:color="auto"/>
                        <w:bottom w:val="none" w:sz="0" w:space="0" w:color="auto"/>
                        <w:right w:val="none" w:sz="0" w:space="0" w:color="auto"/>
                      </w:divBdr>
                      <w:divsChild>
                        <w:div w:id="36903395">
                          <w:marLeft w:val="0"/>
                          <w:marRight w:val="0"/>
                          <w:marTop w:val="0"/>
                          <w:marBottom w:val="0"/>
                          <w:divBdr>
                            <w:top w:val="none" w:sz="0" w:space="0" w:color="auto"/>
                            <w:left w:val="none" w:sz="0" w:space="0" w:color="auto"/>
                            <w:bottom w:val="none" w:sz="0" w:space="0" w:color="auto"/>
                            <w:right w:val="none" w:sz="0" w:space="0" w:color="auto"/>
                          </w:divBdr>
                        </w:div>
                      </w:divsChild>
                    </w:div>
                    <w:div w:id="691419531">
                      <w:marLeft w:val="0"/>
                      <w:marRight w:val="0"/>
                      <w:marTop w:val="0"/>
                      <w:marBottom w:val="0"/>
                      <w:divBdr>
                        <w:top w:val="none" w:sz="0" w:space="0" w:color="auto"/>
                        <w:left w:val="none" w:sz="0" w:space="0" w:color="auto"/>
                        <w:bottom w:val="none" w:sz="0" w:space="0" w:color="auto"/>
                        <w:right w:val="none" w:sz="0" w:space="0" w:color="auto"/>
                      </w:divBdr>
                      <w:divsChild>
                        <w:div w:id="310326253">
                          <w:marLeft w:val="0"/>
                          <w:marRight w:val="0"/>
                          <w:marTop w:val="0"/>
                          <w:marBottom w:val="0"/>
                          <w:divBdr>
                            <w:top w:val="none" w:sz="0" w:space="0" w:color="auto"/>
                            <w:left w:val="none" w:sz="0" w:space="0" w:color="auto"/>
                            <w:bottom w:val="none" w:sz="0" w:space="0" w:color="auto"/>
                            <w:right w:val="none" w:sz="0" w:space="0" w:color="auto"/>
                          </w:divBdr>
                        </w:div>
                      </w:divsChild>
                    </w:div>
                    <w:div w:id="708186832">
                      <w:marLeft w:val="0"/>
                      <w:marRight w:val="0"/>
                      <w:marTop w:val="0"/>
                      <w:marBottom w:val="0"/>
                      <w:divBdr>
                        <w:top w:val="none" w:sz="0" w:space="0" w:color="auto"/>
                        <w:left w:val="none" w:sz="0" w:space="0" w:color="auto"/>
                        <w:bottom w:val="none" w:sz="0" w:space="0" w:color="auto"/>
                        <w:right w:val="none" w:sz="0" w:space="0" w:color="auto"/>
                      </w:divBdr>
                      <w:divsChild>
                        <w:div w:id="2106262249">
                          <w:marLeft w:val="0"/>
                          <w:marRight w:val="0"/>
                          <w:marTop w:val="0"/>
                          <w:marBottom w:val="0"/>
                          <w:divBdr>
                            <w:top w:val="none" w:sz="0" w:space="0" w:color="auto"/>
                            <w:left w:val="none" w:sz="0" w:space="0" w:color="auto"/>
                            <w:bottom w:val="none" w:sz="0" w:space="0" w:color="auto"/>
                            <w:right w:val="none" w:sz="0" w:space="0" w:color="auto"/>
                          </w:divBdr>
                        </w:div>
                      </w:divsChild>
                    </w:div>
                    <w:div w:id="717776057">
                      <w:marLeft w:val="0"/>
                      <w:marRight w:val="0"/>
                      <w:marTop w:val="0"/>
                      <w:marBottom w:val="0"/>
                      <w:divBdr>
                        <w:top w:val="none" w:sz="0" w:space="0" w:color="auto"/>
                        <w:left w:val="none" w:sz="0" w:space="0" w:color="auto"/>
                        <w:bottom w:val="none" w:sz="0" w:space="0" w:color="auto"/>
                        <w:right w:val="none" w:sz="0" w:space="0" w:color="auto"/>
                      </w:divBdr>
                      <w:divsChild>
                        <w:div w:id="169373455">
                          <w:marLeft w:val="0"/>
                          <w:marRight w:val="0"/>
                          <w:marTop w:val="0"/>
                          <w:marBottom w:val="0"/>
                          <w:divBdr>
                            <w:top w:val="none" w:sz="0" w:space="0" w:color="auto"/>
                            <w:left w:val="none" w:sz="0" w:space="0" w:color="auto"/>
                            <w:bottom w:val="none" w:sz="0" w:space="0" w:color="auto"/>
                            <w:right w:val="none" w:sz="0" w:space="0" w:color="auto"/>
                          </w:divBdr>
                        </w:div>
                      </w:divsChild>
                    </w:div>
                    <w:div w:id="721952257">
                      <w:marLeft w:val="0"/>
                      <w:marRight w:val="0"/>
                      <w:marTop w:val="0"/>
                      <w:marBottom w:val="0"/>
                      <w:divBdr>
                        <w:top w:val="none" w:sz="0" w:space="0" w:color="auto"/>
                        <w:left w:val="none" w:sz="0" w:space="0" w:color="auto"/>
                        <w:bottom w:val="none" w:sz="0" w:space="0" w:color="auto"/>
                        <w:right w:val="none" w:sz="0" w:space="0" w:color="auto"/>
                      </w:divBdr>
                      <w:divsChild>
                        <w:div w:id="1296182109">
                          <w:marLeft w:val="0"/>
                          <w:marRight w:val="0"/>
                          <w:marTop w:val="0"/>
                          <w:marBottom w:val="0"/>
                          <w:divBdr>
                            <w:top w:val="none" w:sz="0" w:space="0" w:color="auto"/>
                            <w:left w:val="none" w:sz="0" w:space="0" w:color="auto"/>
                            <w:bottom w:val="none" w:sz="0" w:space="0" w:color="auto"/>
                            <w:right w:val="none" w:sz="0" w:space="0" w:color="auto"/>
                          </w:divBdr>
                        </w:div>
                      </w:divsChild>
                    </w:div>
                    <w:div w:id="752314959">
                      <w:marLeft w:val="0"/>
                      <w:marRight w:val="0"/>
                      <w:marTop w:val="0"/>
                      <w:marBottom w:val="0"/>
                      <w:divBdr>
                        <w:top w:val="none" w:sz="0" w:space="0" w:color="auto"/>
                        <w:left w:val="none" w:sz="0" w:space="0" w:color="auto"/>
                        <w:bottom w:val="none" w:sz="0" w:space="0" w:color="auto"/>
                        <w:right w:val="none" w:sz="0" w:space="0" w:color="auto"/>
                      </w:divBdr>
                      <w:divsChild>
                        <w:div w:id="1589802891">
                          <w:marLeft w:val="0"/>
                          <w:marRight w:val="0"/>
                          <w:marTop w:val="0"/>
                          <w:marBottom w:val="0"/>
                          <w:divBdr>
                            <w:top w:val="none" w:sz="0" w:space="0" w:color="auto"/>
                            <w:left w:val="none" w:sz="0" w:space="0" w:color="auto"/>
                            <w:bottom w:val="none" w:sz="0" w:space="0" w:color="auto"/>
                            <w:right w:val="none" w:sz="0" w:space="0" w:color="auto"/>
                          </w:divBdr>
                        </w:div>
                      </w:divsChild>
                    </w:div>
                    <w:div w:id="754280593">
                      <w:marLeft w:val="0"/>
                      <w:marRight w:val="0"/>
                      <w:marTop w:val="0"/>
                      <w:marBottom w:val="0"/>
                      <w:divBdr>
                        <w:top w:val="none" w:sz="0" w:space="0" w:color="auto"/>
                        <w:left w:val="none" w:sz="0" w:space="0" w:color="auto"/>
                        <w:bottom w:val="none" w:sz="0" w:space="0" w:color="auto"/>
                        <w:right w:val="none" w:sz="0" w:space="0" w:color="auto"/>
                      </w:divBdr>
                      <w:divsChild>
                        <w:div w:id="1851286236">
                          <w:marLeft w:val="0"/>
                          <w:marRight w:val="0"/>
                          <w:marTop w:val="0"/>
                          <w:marBottom w:val="0"/>
                          <w:divBdr>
                            <w:top w:val="none" w:sz="0" w:space="0" w:color="auto"/>
                            <w:left w:val="none" w:sz="0" w:space="0" w:color="auto"/>
                            <w:bottom w:val="none" w:sz="0" w:space="0" w:color="auto"/>
                            <w:right w:val="none" w:sz="0" w:space="0" w:color="auto"/>
                          </w:divBdr>
                        </w:div>
                      </w:divsChild>
                    </w:div>
                    <w:div w:id="756093206">
                      <w:marLeft w:val="0"/>
                      <w:marRight w:val="0"/>
                      <w:marTop w:val="0"/>
                      <w:marBottom w:val="0"/>
                      <w:divBdr>
                        <w:top w:val="none" w:sz="0" w:space="0" w:color="auto"/>
                        <w:left w:val="none" w:sz="0" w:space="0" w:color="auto"/>
                        <w:bottom w:val="none" w:sz="0" w:space="0" w:color="auto"/>
                        <w:right w:val="none" w:sz="0" w:space="0" w:color="auto"/>
                      </w:divBdr>
                      <w:divsChild>
                        <w:div w:id="1627198033">
                          <w:marLeft w:val="0"/>
                          <w:marRight w:val="0"/>
                          <w:marTop w:val="0"/>
                          <w:marBottom w:val="0"/>
                          <w:divBdr>
                            <w:top w:val="none" w:sz="0" w:space="0" w:color="auto"/>
                            <w:left w:val="none" w:sz="0" w:space="0" w:color="auto"/>
                            <w:bottom w:val="none" w:sz="0" w:space="0" w:color="auto"/>
                            <w:right w:val="none" w:sz="0" w:space="0" w:color="auto"/>
                          </w:divBdr>
                        </w:div>
                      </w:divsChild>
                    </w:div>
                    <w:div w:id="760219256">
                      <w:marLeft w:val="0"/>
                      <w:marRight w:val="0"/>
                      <w:marTop w:val="0"/>
                      <w:marBottom w:val="0"/>
                      <w:divBdr>
                        <w:top w:val="none" w:sz="0" w:space="0" w:color="auto"/>
                        <w:left w:val="none" w:sz="0" w:space="0" w:color="auto"/>
                        <w:bottom w:val="none" w:sz="0" w:space="0" w:color="auto"/>
                        <w:right w:val="none" w:sz="0" w:space="0" w:color="auto"/>
                      </w:divBdr>
                      <w:divsChild>
                        <w:div w:id="2037274091">
                          <w:marLeft w:val="0"/>
                          <w:marRight w:val="0"/>
                          <w:marTop w:val="0"/>
                          <w:marBottom w:val="0"/>
                          <w:divBdr>
                            <w:top w:val="none" w:sz="0" w:space="0" w:color="auto"/>
                            <w:left w:val="none" w:sz="0" w:space="0" w:color="auto"/>
                            <w:bottom w:val="none" w:sz="0" w:space="0" w:color="auto"/>
                            <w:right w:val="none" w:sz="0" w:space="0" w:color="auto"/>
                          </w:divBdr>
                        </w:div>
                      </w:divsChild>
                    </w:div>
                    <w:div w:id="775948420">
                      <w:marLeft w:val="0"/>
                      <w:marRight w:val="0"/>
                      <w:marTop w:val="0"/>
                      <w:marBottom w:val="0"/>
                      <w:divBdr>
                        <w:top w:val="none" w:sz="0" w:space="0" w:color="auto"/>
                        <w:left w:val="none" w:sz="0" w:space="0" w:color="auto"/>
                        <w:bottom w:val="none" w:sz="0" w:space="0" w:color="auto"/>
                        <w:right w:val="none" w:sz="0" w:space="0" w:color="auto"/>
                      </w:divBdr>
                      <w:divsChild>
                        <w:div w:id="1638366355">
                          <w:marLeft w:val="0"/>
                          <w:marRight w:val="0"/>
                          <w:marTop w:val="0"/>
                          <w:marBottom w:val="0"/>
                          <w:divBdr>
                            <w:top w:val="none" w:sz="0" w:space="0" w:color="auto"/>
                            <w:left w:val="none" w:sz="0" w:space="0" w:color="auto"/>
                            <w:bottom w:val="none" w:sz="0" w:space="0" w:color="auto"/>
                            <w:right w:val="none" w:sz="0" w:space="0" w:color="auto"/>
                          </w:divBdr>
                        </w:div>
                      </w:divsChild>
                    </w:div>
                    <w:div w:id="800416146">
                      <w:marLeft w:val="0"/>
                      <w:marRight w:val="0"/>
                      <w:marTop w:val="0"/>
                      <w:marBottom w:val="0"/>
                      <w:divBdr>
                        <w:top w:val="none" w:sz="0" w:space="0" w:color="auto"/>
                        <w:left w:val="none" w:sz="0" w:space="0" w:color="auto"/>
                        <w:bottom w:val="none" w:sz="0" w:space="0" w:color="auto"/>
                        <w:right w:val="none" w:sz="0" w:space="0" w:color="auto"/>
                      </w:divBdr>
                      <w:divsChild>
                        <w:div w:id="1982152603">
                          <w:marLeft w:val="0"/>
                          <w:marRight w:val="0"/>
                          <w:marTop w:val="0"/>
                          <w:marBottom w:val="0"/>
                          <w:divBdr>
                            <w:top w:val="none" w:sz="0" w:space="0" w:color="auto"/>
                            <w:left w:val="none" w:sz="0" w:space="0" w:color="auto"/>
                            <w:bottom w:val="none" w:sz="0" w:space="0" w:color="auto"/>
                            <w:right w:val="none" w:sz="0" w:space="0" w:color="auto"/>
                          </w:divBdr>
                        </w:div>
                      </w:divsChild>
                    </w:div>
                    <w:div w:id="805508836">
                      <w:marLeft w:val="0"/>
                      <w:marRight w:val="0"/>
                      <w:marTop w:val="0"/>
                      <w:marBottom w:val="0"/>
                      <w:divBdr>
                        <w:top w:val="none" w:sz="0" w:space="0" w:color="auto"/>
                        <w:left w:val="none" w:sz="0" w:space="0" w:color="auto"/>
                        <w:bottom w:val="none" w:sz="0" w:space="0" w:color="auto"/>
                        <w:right w:val="none" w:sz="0" w:space="0" w:color="auto"/>
                      </w:divBdr>
                      <w:divsChild>
                        <w:div w:id="1339843375">
                          <w:marLeft w:val="0"/>
                          <w:marRight w:val="0"/>
                          <w:marTop w:val="0"/>
                          <w:marBottom w:val="0"/>
                          <w:divBdr>
                            <w:top w:val="none" w:sz="0" w:space="0" w:color="auto"/>
                            <w:left w:val="none" w:sz="0" w:space="0" w:color="auto"/>
                            <w:bottom w:val="none" w:sz="0" w:space="0" w:color="auto"/>
                            <w:right w:val="none" w:sz="0" w:space="0" w:color="auto"/>
                          </w:divBdr>
                        </w:div>
                      </w:divsChild>
                    </w:div>
                    <w:div w:id="809370136">
                      <w:marLeft w:val="0"/>
                      <w:marRight w:val="0"/>
                      <w:marTop w:val="0"/>
                      <w:marBottom w:val="0"/>
                      <w:divBdr>
                        <w:top w:val="none" w:sz="0" w:space="0" w:color="auto"/>
                        <w:left w:val="none" w:sz="0" w:space="0" w:color="auto"/>
                        <w:bottom w:val="none" w:sz="0" w:space="0" w:color="auto"/>
                        <w:right w:val="none" w:sz="0" w:space="0" w:color="auto"/>
                      </w:divBdr>
                      <w:divsChild>
                        <w:div w:id="1308628611">
                          <w:marLeft w:val="0"/>
                          <w:marRight w:val="0"/>
                          <w:marTop w:val="0"/>
                          <w:marBottom w:val="0"/>
                          <w:divBdr>
                            <w:top w:val="none" w:sz="0" w:space="0" w:color="auto"/>
                            <w:left w:val="none" w:sz="0" w:space="0" w:color="auto"/>
                            <w:bottom w:val="none" w:sz="0" w:space="0" w:color="auto"/>
                            <w:right w:val="none" w:sz="0" w:space="0" w:color="auto"/>
                          </w:divBdr>
                        </w:div>
                      </w:divsChild>
                    </w:div>
                    <w:div w:id="834952410">
                      <w:marLeft w:val="0"/>
                      <w:marRight w:val="0"/>
                      <w:marTop w:val="0"/>
                      <w:marBottom w:val="0"/>
                      <w:divBdr>
                        <w:top w:val="none" w:sz="0" w:space="0" w:color="auto"/>
                        <w:left w:val="none" w:sz="0" w:space="0" w:color="auto"/>
                        <w:bottom w:val="none" w:sz="0" w:space="0" w:color="auto"/>
                        <w:right w:val="none" w:sz="0" w:space="0" w:color="auto"/>
                      </w:divBdr>
                      <w:divsChild>
                        <w:div w:id="210582146">
                          <w:marLeft w:val="0"/>
                          <w:marRight w:val="0"/>
                          <w:marTop w:val="0"/>
                          <w:marBottom w:val="0"/>
                          <w:divBdr>
                            <w:top w:val="none" w:sz="0" w:space="0" w:color="auto"/>
                            <w:left w:val="none" w:sz="0" w:space="0" w:color="auto"/>
                            <w:bottom w:val="none" w:sz="0" w:space="0" w:color="auto"/>
                            <w:right w:val="none" w:sz="0" w:space="0" w:color="auto"/>
                          </w:divBdr>
                        </w:div>
                      </w:divsChild>
                    </w:div>
                    <w:div w:id="863447225">
                      <w:marLeft w:val="0"/>
                      <w:marRight w:val="0"/>
                      <w:marTop w:val="0"/>
                      <w:marBottom w:val="0"/>
                      <w:divBdr>
                        <w:top w:val="none" w:sz="0" w:space="0" w:color="auto"/>
                        <w:left w:val="none" w:sz="0" w:space="0" w:color="auto"/>
                        <w:bottom w:val="none" w:sz="0" w:space="0" w:color="auto"/>
                        <w:right w:val="none" w:sz="0" w:space="0" w:color="auto"/>
                      </w:divBdr>
                      <w:divsChild>
                        <w:div w:id="1686863625">
                          <w:marLeft w:val="0"/>
                          <w:marRight w:val="0"/>
                          <w:marTop w:val="0"/>
                          <w:marBottom w:val="0"/>
                          <w:divBdr>
                            <w:top w:val="none" w:sz="0" w:space="0" w:color="auto"/>
                            <w:left w:val="none" w:sz="0" w:space="0" w:color="auto"/>
                            <w:bottom w:val="none" w:sz="0" w:space="0" w:color="auto"/>
                            <w:right w:val="none" w:sz="0" w:space="0" w:color="auto"/>
                          </w:divBdr>
                        </w:div>
                      </w:divsChild>
                    </w:div>
                    <w:div w:id="869345635">
                      <w:marLeft w:val="0"/>
                      <w:marRight w:val="0"/>
                      <w:marTop w:val="0"/>
                      <w:marBottom w:val="0"/>
                      <w:divBdr>
                        <w:top w:val="none" w:sz="0" w:space="0" w:color="auto"/>
                        <w:left w:val="none" w:sz="0" w:space="0" w:color="auto"/>
                        <w:bottom w:val="none" w:sz="0" w:space="0" w:color="auto"/>
                        <w:right w:val="none" w:sz="0" w:space="0" w:color="auto"/>
                      </w:divBdr>
                      <w:divsChild>
                        <w:div w:id="420957928">
                          <w:marLeft w:val="0"/>
                          <w:marRight w:val="0"/>
                          <w:marTop w:val="0"/>
                          <w:marBottom w:val="0"/>
                          <w:divBdr>
                            <w:top w:val="none" w:sz="0" w:space="0" w:color="auto"/>
                            <w:left w:val="none" w:sz="0" w:space="0" w:color="auto"/>
                            <w:bottom w:val="none" w:sz="0" w:space="0" w:color="auto"/>
                            <w:right w:val="none" w:sz="0" w:space="0" w:color="auto"/>
                          </w:divBdr>
                        </w:div>
                      </w:divsChild>
                    </w:div>
                    <w:div w:id="886649062">
                      <w:marLeft w:val="0"/>
                      <w:marRight w:val="0"/>
                      <w:marTop w:val="0"/>
                      <w:marBottom w:val="0"/>
                      <w:divBdr>
                        <w:top w:val="none" w:sz="0" w:space="0" w:color="auto"/>
                        <w:left w:val="none" w:sz="0" w:space="0" w:color="auto"/>
                        <w:bottom w:val="none" w:sz="0" w:space="0" w:color="auto"/>
                        <w:right w:val="none" w:sz="0" w:space="0" w:color="auto"/>
                      </w:divBdr>
                      <w:divsChild>
                        <w:div w:id="1568684738">
                          <w:marLeft w:val="0"/>
                          <w:marRight w:val="0"/>
                          <w:marTop w:val="0"/>
                          <w:marBottom w:val="0"/>
                          <w:divBdr>
                            <w:top w:val="none" w:sz="0" w:space="0" w:color="auto"/>
                            <w:left w:val="none" w:sz="0" w:space="0" w:color="auto"/>
                            <w:bottom w:val="none" w:sz="0" w:space="0" w:color="auto"/>
                            <w:right w:val="none" w:sz="0" w:space="0" w:color="auto"/>
                          </w:divBdr>
                        </w:div>
                      </w:divsChild>
                    </w:div>
                    <w:div w:id="888107613">
                      <w:marLeft w:val="0"/>
                      <w:marRight w:val="0"/>
                      <w:marTop w:val="0"/>
                      <w:marBottom w:val="0"/>
                      <w:divBdr>
                        <w:top w:val="none" w:sz="0" w:space="0" w:color="auto"/>
                        <w:left w:val="none" w:sz="0" w:space="0" w:color="auto"/>
                        <w:bottom w:val="none" w:sz="0" w:space="0" w:color="auto"/>
                        <w:right w:val="none" w:sz="0" w:space="0" w:color="auto"/>
                      </w:divBdr>
                      <w:divsChild>
                        <w:div w:id="1477070875">
                          <w:marLeft w:val="0"/>
                          <w:marRight w:val="0"/>
                          <w:marTop w:val="0"/>
                          <w:marBottom w:val="0"/>
                          <w:divBdr>
                            <w:top w:val="none" w:sz="0" w:space="0" w:color="auto"/>
                            <w:left w:val="none" w:sz="0" w:space="0" w:color="auto"/>
                            <w:bottom w:val="none" w:sz="0" w:space="0" w:color="auto"/>
                            <w:right w:val="none" w:sz="0" w:space="0" w:color="auto"/>
                          </w:divBdr>
                        </w:div>
                      </w:divsChild>
                    </w:div>
                    <w:div w:id="910387066">
                      <w:marLeft w:val="0"/>
                      <w:marRight w:val="0"/>
                      <w:marTop w:val="0"/>
                      <w:marBottom w:val="0"/>
                      <w:divBdr>
                        <w:top w:val="none" w:sz="0" w:space="0" w:color="auto"/>
                        <w:left w:val="none" w:sz="0" w:space="0" w:color="auto"/>
                        <w:bottom w:val="none" w:sz="0" w:space="0" w:color="auto"/>
                        <w:right w:val="none" w:sz="0" w:space="0" w:color="auto"/>
                      </w:divBdr>
                      <w:divsChild>
                        <w:div w:id="1562017465">
                          <w:marLeft w:val="0"/>
                          <w:marRight w:val="0"/>
                          <w:marTop w:val="0"/>
                          <w:marBottom w:val="0"/>
                          <w:divBdr>
                            <w:top w:val="none" w:sz="0" w:space="0" w:color="auto"/>
                            <w:left w:val="none" w:sz="0" w:space="0" w:color="auto"/>
                            <w:bottom w:val="none" w:sz="0" w:space="0" w:color="auto"/>
                            <w:right w:val="none" w:sz="0" w:space="0" w:color="auto"/>
                          </w:divBdr>
                        </w:div>
                      </w:divsChild>
                    </w:div>
                    <w:div w:id="933173155">
                      <w:marLeft w:val="0"/>
                      <w:marRight w:val="0"/>
                      <w:marTop w:val="0"/>
                      <w:marBottom w:val="0"/>
                      <w:divBdr>
                        <w:top w:val="none" w:sz="0" w:space="0" w:color="auto"/>
                        <w:left w:val="none" w:sz="0" w:space="0" w:color="auto"/>
                        <w:bottom w:val="none" w:sz="0" w:space="0" w:color="auto"/>
                        <w:right w:val="none" w:sz="0" w:space="0" w:color="auto"/>
                      </w:divBdr>
                      <w:divsChild>
                        <w:div w:id="1797942828">
                          <w:marLeft w:val="0"/>
                          <w:marRight w:val="0"/>
                          <w:marTop w:val="0"/>
                          <w:marBottom w:val="0"/>
                          <w:divBdr>
                            <w:top w:val="none" w:sz="0" w:space="0" w:color="auto"/>
                            <w:left w:val="none" w:sz="0" w:space="0" w:color="auto"/>
                            <w:bottom w:val="none" w:sz="0" w:space="0" w:color="auto"/>
                            <w:right w:val="none" w:sz="0" w:space="0" w:color="auto"/>
                          </w:divBdr>
                        </w:div>
                      </w:divsChild>
                    </w:div>
                    <w:div w:id="948317523">
                      <w:marLeft w:val="0"/>
                      <w:marRight w:val="0"/>
                      <w:marTop w:val="0"/>
                      <w:marBottom w:val="0"/>
                      <w:divBdr>
                        <w:top w:val="none" w:sz="0" w:space="0" w:color="auto"/>
                        <w:left w:val="none" w:sz="0" w:space="0" w:color="auto"/>
                        <w:bottom w:val="none" w:sz="0" w:space="0" w:color="auto"/>
                        <w:right w:val="none" w:sz="0" w:space="0" w:color="auto"/>
                      </w:divBdr>
                      <w:divsChild>
                        <w:div w:id="1077021565">
                          <w:marLeft w:val="0"/>
                          <w:marRight w:val="0"/>
                          <w:marTop w:val="0"/>
                          <w:marBottom w:val="0"/>
                          <w:divBdr>
                            <w:top w:val="none" w:sz="0" w:space="0" w:color="auto"/>
                            <w:left w:val="none" w:sz="0" w:space="0" w:color="auto"/>
                            <w:bottom w:val="none" w:sz="0" w:space="0" w:color="auto"/>
                            <w:right w:val="none" w:sz="0" w:space="0" w:color="auto"/>
                          </w:divBdr>
                        </w:div>
                      </w:divsChild>
                    </w:div>
                    <w:div w:id="950823772">
                      <w:marLeft w:val="0"/>
                      <w:marRight w:val="0"/>
                      <w:marTop w:val="0"/>
                      <w:marBottom w:val="0"/>
                      <w:divBdr>
                        <w:top w:val="none" w:sz="0" w:space="0" w:color="auto"/>
                        <w:left w:val="none" w:sz="0" w:space="0" w:color="auto"/>
                        <w:bottom w:val="none" w:sz="0" w:space="0" w:color="auto"/>
                        <w:right w:val="none" w:sz="0" w:space="0" w:color="auto"/>
                      </w:divBdr>
                      <w:divsChild>
                        <w:div w:id="347029013">
                          <w:marLeft w:val="0"/>
                          <w:marRight w:val="0"/>
                          <w:marTop w:val="0"/>
                          <w:marBottom w:val="0"/>
                          <w:divBdr>
                            <w:top w:val="none" w:sz="0" w:space="0" w:color="auto"/>
                            <w:left w:val="none" w:sz="0" w:space="0" w:color="auto"/>
                            <w:bottom w:val="none" w:sz="0" w:space="0" w:color="auto"/>
                            <w:right w:val="none" w:sz="0" w:space="0" w:color="auto"/>
                          </w:divBdr>
                        </w:div>
                      </w:divsChild>
                    </w:div>
                    <w:div w:id="962079214">
                      <w:marLeft w:val="0"/>
                      <w:marRight w:val="0"/>
                      <w:marTop w:val="0"/>
                      <w:marBottom w:val="0"/>
                      <w:divBdr>
                        <w:top w:val="none" w:sz="0" w:space="0" w:color="auto"/>
                        <w:left w:val="none" w:sz="0" w:space="0" w:color="auto"/>
                        <w:bottom w:val="none" w:sz="0" w:space="0" w:color="auto"/>
                        <w:right w:val="none" w:sz="0" w:space="0" w:color="auto"/>
                      </w:divBdr>
                      <w:divsChild>
                        <w:div w:id="539322483">
                          <w:marLeft w:val="0"/>
                          <w:marRight w:val="0"/>
                          <w:marTop w:val="0"/>
                          <w:marBottom w:val="0"/>
                          <w:divBdr>
                            <w:top w:val="none" w:sz="0" w:space="0" w:color="auto"/>
                            <w:left w:val="none" w:sz="0" w:space="0" w:color="auto"/>
                            <w:bottom w:val="none" w:sz="0" w:space="0" w:color="auto"/>
                            <w:right w:val="none" w:sz="0" w:space="0" w:color="auto"/>
                          </w:divBdr>
                        </w:div>
                      </w:divsChild>
                    </w:div>
                    <w:div w:id="969477204">
                      <w:marLeft w:val="0"/>
                      <w:marRight w:val="0"/>
                      <w:marTop w:val="0"/>
                      <w:marBottom w:val="0"/>
                      <w:divBdr>
                        <w:top w:val="none" w:sz="0" w:space="0" w:color="auto"/>
                        <w:left w:val="none" w:sz="0" w:space="0" w:color="auto"/>
                        <w:bottom w:val="none" w:sz="0" w:space="0" w:color="auto"/>
                        <w:right w:val="none" w:sz="0" w:space="0" w:color="auto"/>
                      </w:divBdr>
                      <w:divsChild>
                        <w:div w:id="50539167">
                          <w:marLeft w:val="0"/>
                          <w:marRight w:val="0"/>
                          <w:marTop w:val="0"/>
                          <w:marBottom w:val="0"/>
                          <w:divBdr>
                            <w:top w:val="none" w:sz="0" w:space="0" w:color="auto"/>
                            <w:left w:val="none" w:sz="0" w:space="0" w:color="auto"/>
                            <w:bottom w:val="none" w:sz="0" w:space="0" w:color="auto"/>
                            <w:right w:val="none" w:sz="0" w:space="0" w:color="auto"/>
                          </w:divBdr>
                        </w:div>
                      </w:divsChild>
                    </w:div>
                    <w:div w:id="971642079">
                      <w:marLeft w:val="0"/>
                      <w:marRight w:val="0"/>
                      <w:marTop w:val="0"/>
                      <w:marBottom w:val="0"/>
                      <w:divBdr>
                        <w:top w:val="none" w:sz="0" w:space="0" w:color="auto"/>
                        <w:left w:val="none" w:sz="0" w:space="0" w:color="auto"/>
                        <w:bottom w:val="none" w:sz="0" w:space="0" w:color="auto"/>
                        <w:right w:val="none" w:sz="0" w:space="0" w:color="auto"/>
                      </w:divBdr>
                      <w:divsChild>
                        <w:div w:id="2038433710">
                          <w:marLeft w:val="0"/>
                          <w:marRight w:val="0"/>
                          <w:marTop w:val="0"/>
                          <w:marBottom w:val="0"/>
                          <w:divBdr>
                            <w:top w:val="none" w:sz="0" w:space="0" w:color="auto"/>
                            <w:left w:val="none" w:sz="0" w:space="0" w:color="auto"/>
                            <w:bottom w:val="none" w:sz="0" w:space="0" w:color="auto"/>
                            <w:right w:val="none" w:sz="0" w:space="0" w:color="auto"/>
                          </w:divBdr>
                        </w:div>
                      </w:divsChild>
                    </w:div>
                    <w:div w:id="972444565">
                      <w:marLeft w:val="0"/>
                      <w:marRight w:val="0"/>
                      <w:marTop w:val="0"/>
                      <w:marBottom w:val="0"/>
                      <w:divBdr>
                        <w:top w:val="none" w:sz="0" w:space="0" w:color="auto"/>
                        <w:left w:val="none" w:sz="0" w:space="0" w:color="auto"/>
                        <w:bottom w:val="none" w:sz="0" w:space="0" w:color="auto"/>
                        <w:right w:val="none" w:sz="0" w:space="0" w:color="auto"/>
                      </w:divBdr>
                      <w:divsChild>
                        <w:div w:id="177088806">
                          <w:marLeft w:val="0"/>
                          <w:marRight w:val="0"/>
                          <w:marTop w:val="0"/>
                          <w:marBottom w:val="0"/>
                          <w:divBdr>
                            <w:top w:val="none" w:sz="0" w:space="0" w:color="auto"/>
                            <w:left w:val="none" w:sz="0" w:space="0" w:color="auto"/>
                            <w:bottom w:val="none" w:sz="0" w:space="0" w:color="auto"/>
                            <w:right w:val="none" w:sz="0" w:space="0" w:color="auto"/>
                          </w:divBdr>
                        </w:div>
                        <w:div w:id="1009412457">
                          <w:marLeft w:val="0"/>
                          <w:marRight w:val="0"/>
                          <w:marTop w:val="0"/>
                          <w:marBottom w:val="0"/>
                          <w:divBdr>
                            <w:top w:val="none" w:sz="0" w:space="0" w:color="auto"/>
                            <w:left w:val="none" w:sz="0" w:space="0" w:color="auto"/>
                            <w:bottom w:val="none" w:sz="0" w:space="0" w:color="auto"/>
                            <w:right w:val="none" w:sz="0" w:space="0" w:color="auto"/>
                          </w:divBdr>
                        </w:div>
                      </w:divsChild>
                    </w:div>
                    <w:div w:id="1020084108">
                      <w:marLeft w:val="0"/>
                      <w:marRight w:val="0"/>
                      <w:marTop w:val="0"/>
                      <w:marBottom w:val="0"/>
                      <w:divBdr>
                        <w:top w:val="none" w:sz="0" w:space="0" w:color="auto"/>
                        <w:left w:val="none" w:sz="0" w:space="0" w:color="auto"/>
                        <w:bottom w:val="none" w:sz="0" w:space="0" w:color="auto"/>
                        <w:right w:val="none" w:sz="0" w:space="0" w:color="auto"/>
                      </w:divBdr>
                      <w:divsChild>
                        <w:div w:id="271984180">
                          <w:marLeft w:val="0"/>
                          <w:marRight w:val="0"/>
                          <w:marTop w:val="0"/>
                          <w:marBottom w:val="0"/>
                          <w:divBdr>
                            <w:top w:val="none" w:sz="0" w:space="0" w:color="auto"/>
                            <w:left w:val="none" w:sz="0" w:space="0" w:color="auto"/>
                            <w:bottom w:val="none" w:sz="0" w:space="0" w:color="auto"/>
                            <w:right w:val="none" w:sz="0" w:space="0" w:color="auto"/>
                          </w:divBdr>
                        </w:div>
                      </w:divsChild>
                    </w:div>
                    <w:div w:id="1025788804">
                      <w:marLeft w:val="0"/>
                      <w:marRight w:val="0"/>
                      <w:marTop w:val="0"/>
                      <w:marBottom w:val="0"/>
                      <w:divBdr>
                        <w:top w:val="none" w:sz="0" w:space="0" w:color="auto"/>
                        <w:left w:val="none" w:sz="0" w:space="0" w:color="auto"/>
                        <w:bottom w:val="none" w:sz="0" w:space="0" w:color="auto"/>
                        <w:right w:val="none" w:sz="0" w:space="0" w:color="auto"/>
                      </w:divBdr>
                      <w:divsChild>
                        <w:div w:id="785855243">
                          <w:marLeft w:val="0"/>
                          <w:marRight w:val="0"/>
                          <w:marTop w:val="0"/>
                          <w:marBottom w:val="0"/>
                          <w:divBdr>
                            <w:top w:val="none" w:sz="0" w:space="0" w:color="auto"/>
                            <w:left w:val="none" w:sz="0" w:space="0" w:color="auto"/>
                            <w:bottom w:val="none" w:sz="0" w:space="0" w:color="auto"/>
                            <w:right w:val="none" w:sz="0" w:space="0" w:color="auto"/>
                          </w:divBdr>
                        </w:div>
                      </w:divsChild>
                    </w:div>
                    <w:div w:id="1048526073">
                      <w:marLeft w:val="0"/>
                      <w:marRight w:val="0"/>
                      <w:marTop w:val="0"/>
                      <w:marBottom w:val="0"/>
                      <w:divBdr>
                        <w:top w:val="none" w:sz="0" w:space="0" w:color="auto"/>
                        <w:left w:val="none" w:sz="0" w:space="0" w:color="auto"/>
                        <w:bottom w:val="none" w:sz="0" w:space="0" w:color="auto"/>
                        <w:right w:val="none" w:sz="0" w:space="0" w:color="auto"/>
                      </w:divBdr>
                      <w:divsChild>
                        <w:div w:id="1093166933">
                          <w:marLeft w:val="0"/>
                          <w:marRight w:val="0"/>
                          <w:marTop w:val="0"/>
                          <w:marBottom w:val="0"/>
                          <w:divBdr>
                            <w:top w:val="none" w:sz="0" w:space="0" w:color="auto"/>
                            <w:left w:val="none" w:sz="0" w:space="0" w:color="auto"/>
                            <w:bottom w:val="none" w:sz="0" w:space="0" w:color="auto"/>
                            <w:right w:val="none" w:sz="0" w:space="0" w:color="auto"/>
                          </w:divBdr>
                        </w:div>
                      </w:divsChild>
                    </w:div>
                    <w:div w:id="1049112140">
                      <w:marLeft w:val="0"/>
                      <w:marRight w:val="0"/>
                      <w:marTop w:val="0"/>
                      <w:marBottom w:val="0"/>
                      <w:divBdr>
                        <w:top w:val="none" w:sz="0" w:space="0" w:color="auto"/>
                        <w:left w:val="none" w:sz="0" w:space="0" w:color="auto"/>
                        <w:bottom w:val="none" w:sz="0" w:space="0" w:color="auto"/>
                        <w:right w:val="none" w:sz="0" w:space="0" w:color="auto"/>
                      </w:divBdr>
                      <w:divsChild>
                        <w:div w:id="385493800">
                          <w:marLeft w:val="0"/>
                          <w:marRight w:val="0"/>
                          <w:marTop w:val="0"/>
                          <w:marBottom w:val="0"/>
                          <w:divBdr>
                            <w:top w:val="none" w:sz="0" w:space="0" w:color="auto"/>
                            <w:left w:val="none" w:sz="0" w:space="0" w:color="auto"/>
                            <w:bottom w:val="none" w:sz="0" w:space="0" w:color="auto"/>
                            <w:right w:val="none" w:sz="0" w:space="0" w:color="auto"/>
                          </w:divBdr>
                        </w:div>
                      </w:divsChild>
                    </w:div>
                    <w:div w:id="1068457995">
                      <w:marLeft w:val="0"/>
                      <w:marRight w:val="0"/>
                      <w:marTop w:val="0"/>
                      <w:marBottom w:val="0"/>
                      <w:divBdr>
                        <w:top w:val="none" w:sz="0" w:space="0" w:color="auto"/>
                        <w:left w:val="none" w:sz="0" w:space="0" w:color="auto"/>
                        <w:bottom w:val="none" w:sz="0" w:space="0" w:color="auto"/>
                        <w:right w:val="none" w:sz="0" w:space="0" w:color="auto"/>
                      </w:divBdr>
                      <w:divsChild>
                        <w:div w:id="790591892">
                          <w:marLeft w:val="0"/>
                          <w:marRight w:val="0"/>
                          <w:marTop w:val="0"/>
                          <w:marBottom w:val="0"/>
                          <w:divBdr>
                            <w:top w:val="none" w:sz="0" w:space="0" w:color="auto"/>
                            <w:left w:val="none" w:sz="0" w:space="0" w:color="auto"/>
                            <w:bottom w:val="none" w:sz="0" w:space="0" w:color="auto"/>
                            <w:right w:val="none" w:sz="0" w:space="0" w:color="auto"/>
                          </w:divBdr>
                        </w:div>
                      </w:divsChild>
                    </w:div>
                    <w:div w:id="1072973564">
                      <w:marLeft w:val="0"/>
                      <w:marRight w:val="0"/>
                      <w:marTop w:val="0"/>
                      <w:marBottom w:val="0"/>
                      <w:divBdr>
                        <w:top w:val="none" w:sz="0" w:space="0" w:color="auto"/>
                        <w:left w:val="none" w:sz="0" w:space="0" w:color="auto"/>
                        <w:bottom w:val="none" w:sz="0" w:space="0" w:color="auto"/>
                        <w:right w:val="none" w:sz="0" w:space="0" w:color="auto"/>
                      </w:divBdr>
                      <w:divsChild>
                        <w:div w:id="1158182802">
                          <w:marLeft w:val="0"/>
                          <w:marRight w:val="0"/>
                          <w:marTop w:val="0"/>
                          <w:marBottom w:val="0"/>
                          <w:divBdr>
                            <w:top w:val="none" w:sz="0" w:space="0" w:color="auto"/>
                            <w:left w:val="none" w:sz="0" w:space="0" w:color="auto"/>
                            <w:bottom w:val="none" w:sz="0" w:space="0" w:color="auto"/>
                            <w:right w:val="none" w:sz="0" w:space="0" w:color="auto"/>
                          </w:divBdr>
                        </w:div>
                      </w:divsChild>
                    </w:div>
                    <w:div w:id="1086608860">
                      <w:marLeft w:val="0"/>
                      <w:marRight w:val="0"/>
                      <w:marTop w:val="0"/>
                      <w:marBottom w:val="0"/>
                      <w:divBdr>
                        <w:top w:val="none" w:sz="0" w:space="0" w:color="auto"/>
                        <w:left w:val="none" w:sz="0" w:space="0" w:color="auto"/>
                        <w:bottom w:val="none" w:sz="0" w:space="0" w:color="auto"/>
                        <w:right w:val="none" w:sz="0" w:space="0" w:color="auto"/>
                      </w:divBdr>
                      <w:divsChild>
                        <w:div w:id="1972713851">
                          <w:marLeft w:val="0"/>
                          <w:marRight w:val="0"/>
                          <w:marTop w:val="0"/>
                          <w:marBottom w:val="0"/>
                          <w:divBdr>
                            <w:top w:val="none" w:sz="0" w:space="0" w:color="auto"/>
                            <w:left w:val="none" w:sz="0" w:space="0" w:color="auto"/>
                            <w:bottom w:val="none" w:sz="0" w:space="0" w:color="auto"/>
                            <w:right w:val="none" w:sz="0" w:space="0" w:color="auto"/>
                          </w:divBdr>
                        </w:div>
                      </w:divsChild>
                    </w:div>
                    <w:div w:id="1097405352">
                      <w:marLeft w:val="0"/>
                      <w:marRight w:val="0"/>
                      <w:marTop w:val="0"/>
                      <w:marBottom w:val="0"/>
                      <w:divBdr>
                        <w:top w:val="none" w:sz="0" w:space="0" w:color="auto"/>
                        <w:left w:val="none" w:sz="0" w:space="0" w:color="auto"/>
                        <w:bottom w:val="none" w:sz="0" w:space="0" w:color="auto"/>
                        <w:right w:val="none" w:sz="0" w:space="0" w:color="auto"/>
                      </w:divBdr>
                      <w:divsChild>
                        <w:div w:id="39136387">
                          <w:marLeft w:val="0"/>
                          <w:marRight w:val="0"/>
                          <w:marTop w:val="0"/>
                          <w:marBottom w:val="0"/>
                          <w:divBdr>
                            <w:top w:val="none" w:sz="0" w:space="0" w:color="auto"/>
                            <w:left w:val="none" w:sz="0" w:space="0" w:color="auto"/>
                            <w:bottom w:val="none" w:sz="0" w:space="0" w:color="auto"/>
                            <w:right w:val="none" w:sz="0" w:space="0" w:color="auto"/>
                          </w:divBdr>
                        </w:div>
                      </w:divsChild>
                    </w:div>
                    <w:div w:id="1104111830">
                      <w:marLeft w:val="0"/>
                      <w:marRight w:val="0"/>
                      <w:marTop w:val="0"/>
                      <w:marBottom w:val="0"/>
                      <w:divBdr>
                        <w:top w:val="none" w:sz="0" w:space="0" w:color="auto"/>
                        <w:left w:val="none" w:sz="0" w:space="0" w:color="auto"/>
                        <w:bottom w:val="none" w:sz="0" w:space="0" w:color="auto"/>
                        <w:right w:val="none" w:sz="0" w:space="0" w:color="auto"/>
                      </w:divBdr>
                      <w:divsChild>
                        <w:div w:id="1926258876">
                          <w:marLeft w:val="0"/>
                          <w:marRight w:val="0"/>
                          <w:marTop w:val="0"/>
                          <w:marBottom w:val="0"/>
                          <w:divBdr>
                            <w:top w:val="none" w:sz="0" w:space="0" w:color="auto"/>
                            <w:left w:val="none" w:sz="0" w:space="0" w:color="auto"/>
                            <w:bottom w:val="none" w:sz="0" w:space="0" w:color="auto"/>
                            <w:right w:val="none" w:sz="0" w:space="0" w:color="auto"/>
                          </w:divBdr>
                        </w:div>
                      </w:divsChild>
                    </w:div>
                    <w:div w:id="1150755453">
                      <w:marLeft w:val="0"/>
                      <w:marRight w:val="0"/>
                      <w:marTop w:val="0"/>
                      <w:marBottom w:val="0"/>
                      <w:divBdr>
                        <w:top w:val="none" w:sz="0" w:space="0" w:color="auto"/>
                        <w:left w:val="none" w:sz="0" w:space="0" w:color="auto"/>
                        <w:bottom w:val="none" w:sz="0" w:space="0" w:color="auto"/>
                        <w:right w:val="none" w:sz="0" w:space="0" w:color="auto"/>
                      </w:divBdr>
                      <w:divsChild>
                        <w:div w:id="252396374">
                          <w:marLeft w:val="0"/>
                          <w:marRight w:val="0"/>
                          <w:marTop w:val="0"/>
                          <w:marBottom w:val="0"/>
                          <w:divBdr>
                            <w:top w:val="none" w:sz="0" w:space="0" w:color="auto"/>
                            <w:left w:val="none" w:sz="0" w:space="0" w:color="auto"/>
                            <w:bottom w:val="none" w:sz="0" w:space="0" w:color="auto"/>
                            <w:right w:val="none" w:sz="0" w:space="0" w:color="auto"/>
                          </w:divBdr>
                        </w:div>
                      </w:divsChild>
                    </w:div>
                    <w:div w:id="1154832698">
                      <w:marLeft w:val="0"/>
                      <w:marRight w:val="0"/>
                      <w:marTop w:val="0"/>
                      <w:marBottom w:val="0"/>
                      <w:divBdr>
                        <w:top w:val="none" w:sz="0" w:space="0" w:color="auto"/>
                        <w:left w:val="none" w:sz="0" w:space="0" w:color="auto"/>
                        <w:bottom w:val="none" w:sz="0" w:space="0" w:color="auto"/>
                        <w:right w:val="none" w:sz="0" w:space="0" w:color="auto"/>
                      </w:divBdr>
                      <w:divsChild>
                        <w:div w:id="1491288194">
                          <w:marLeft w:val="0"/>
                          <w:marRight w:val="0"/>
                          <w:marTop w:val="0"/>
                          <w:marBottom w:val="0"/>
                          <w:divBdr>
                            <w:top w:val="none" w:sz="0" w:space="0" w:color="auto"/>
                            <w:left w:val="none" w:sz="0" w:space="0" w:color="auto"/>
                            <w:bottom w:val="none" w:sz="0" w:space="0" w:color="auto"/>
                            <w:right w:val="none" w:sz="0" w:space="0" w:color="auto"/>
                          </w:divBdr>
                        </w:div>
                      </w:divsChild>
                    </w:div>
                    <w:div w:id="1168253755">
                      <w:marLeft w:val="0"/>
                      <w:marRight w:val="0"/>
                      <w:marTop w:val="0"/>
                      <w:marBottom w:val="0"/>
                      <w:divBdr>
                        <w:top w:val="none" w:sz="0" w:space="0" w:color="auto"/>
                        <w:left w:val="none" w:sz="0" w:space="0" w:color="auto"/>
                        <w:bottom w:val="none" w:sz="0" w:space="0" w:color="auto"/>
                        <w:right w:val="none" w:sz="0" w:space="0" w:color="auto"/>
                      </w:divBdr>
                      <w:divsChild>
                        <w:div w:id="1527675824">
                          <w:marLeft w:val="0"/>
                          <w:marRight w:val="0"/>
                          <w:marTop w:val="0"/>
                          <w:marBottom w:val="0"/>
                          <w:divBdr>
                            <w:top w:val="none" w:sz="0" w:space="0" w:color="auto"/>
                            <w:left w:val="none" w:sz="0" w:space="0" w:color="auto"/>
                            <w:bottom w:val="none" w:sz="0" w:space="0" w:color="auto"/>
                            <w:right w:val="none" w:sz="0" w:space="0" w:color="auto"/>
                          </w:divBdr>
                        </w:div>
                      </w:divsChild>
                    </w:div>
                    <w:div w:id="1179588576">
                      <w:marLeft w:val="0"/>
                      <w:marRight w:val="0"/>
                      <w:marTop w:val="0"/>
                      <w:marBottom w:val="0"/>
                      <w:divBdr>
                        <w:top w:val="none" w:sz="0" w:space="0" w:color="auto"/>
                        <w:left w:val="none" w:sz="0" w:space="0" w:color="auto"/>
                        <w:bottom w:val="none" w:sz="0" w:space="0" w:color="auto"/>
                        <w:right w:val="none" w:sz="0" w:space="0" w:color="auto"/>
                      </w:divBdr>
                      <w:divsChild>
                        <w:div w:id="989674111">
                          <w:marLeft w:val="0"/>
                          <w:marRight w:val="0"/>
                          <w:marTop w:val="0"/>
                          <w:marBottom w:val="0"/>
                          <w:divBdr>
                            <w:top w:val="none" w:sz="0" w:space="0" w:color="auto"/>
                            <w:left w:val="none" w:sz="0" w:space="0" w:color="auto"/>
                            <w:bottom w:val="none" w:sz="0" w:space="0" w:color="auto"/>
                            <w:right w:val="none" w:sz="0" w:space="0" w:color="auto"/>
                          </w:divBdr>
                        </w:div>
                      </w:divsChild>
                    </w:div>
                    <w:div w:id="1190992404">
                      <w:marLeft w:val="0"/>
                      <w:marRight w:val="0"/>
                      <w:marTop w:val="0"/>
                      <w:marBottom w:val="0"/>
                      <w:divBdr>
                        <w:top w:val="none" w:sz="0" w:space="0" w:color="auto"/>
                        <w:left w:val="none" w:sz="0" w:space="0" w:color="auto"/>
                        <w:bottom w:val="none" w:sz="0" w:space="0" w:color="auto"/>
                        <w:right w:val="none" w:sz="0" w:space="0" w:color="auto"/>
                      </w:divBdr>
                      <w:divsChild>
                        <w:div w:id="107168194">
                          <w:marLeft w:val="0"/>
                          <w:marRight w:val="0"/>
                          <w:marTop w:val="0"/>
                          <w:marBottom w:val="0"/>
                          <w:divBdr>
                            <w:top w:val="none" w:sz="0" w:space="0" w:color="auto"/>
                            <w:left w:val="none" w:sz="0" w:space="0" w:color="auto"/>
                            <w:bottom w:val="none" w:sz="0" w:space="0" w:color="auto"/>
                            <w:right w:val="none" w:sz="0" w:space="0" w:color="auto"/>
                          </w:divBdr>
                        </w:div>
                      </w:divsChild>
                    </w:div>
                    <w:div w:id="1194000949">
                      <w:marLeft w:val="0"/>
                      <w:marRight w:val="0"/>
                      <w:marTop w:val="0"/>
                      <w:marBottom w:val="0"/>
                      <w:divBdr>
                        <w:top w:val="none" w:sz="0" w:space="0" w:color="auto"/>
                        <w:left w:val="none" w:sz="0" w:space="0" w:color="auto"/>
                        <w:bottom w:val="none" w:sz="0" w:space="0" w:color="auto"/>
                        <w:right w:val="none" w:sz="0" w:space="0" w:color="auto"/>
                      </w:divBdr>
                      <w:divsChild>
                        <w:div w:id="1892032336">
                          <w:marLeft w:val="0"/>
                          <w:marRight w:val="0"/>
                          <w:marTop w:val="0"/>
                          <w:marBottom w:val="0"/>
                          <w:divBdr>
                            <w:top w:val="none" w:sz="0" w:space="0" w:color="auto"/>
                            <w:left w:val="none" w:sz="0" w:space="0" w:color="auto"/>
                            <w:bottom w:val="none" w:sz="0" w:space="0" w:color="auto"/>
                            <w:right w:val="none" w:sz="0" w:space="0" w:color="auto"/>
                          </w:divBdr>
                        </w:div>
                      </w:divsChild>
                    </w:div>
                    <w:div w:id="1203521385">
                      <w:marLeft w:val="0"/>
                      <w:marRight w:val="0"/>
                      <w:marTop w:val="0"/>
                      <w:marBottom w:val="0"/>
                      <w:divBdr>
                        <w:top w:val="none" w:sz="0" w:space="0" w:color="auto"/>
                        <w:left w:val="none" w:sz="0" w:space="0" w:color="auto"/>
                        <w:bottom w:val="none" w:sz="0" w:space="0" w:color="auto"/>
                        <w:right w:val="none" w:sz="0" w:space="0" w:color="auto"/>
                      </w:divBdr>
                      <w:divsChild>
                        <w:div w:id="721903771">
                          <w:marLeft w:val="0"/>
                          <w:marRight w:val="0"/>
                          <w:marTop w:val="0"/>
                          <w:marBottom w:val="0"/>
                          <w:divBdr>
                            <w:top w:val="none" w:sz="0" w:space="0" w:color="auto"/>
                            <w:left w:val="none" w:sz="0" w:space="0" w:color="auto"/>
                            <w:bottom w:val="none" w:sz="0" w:space="0" w:color="auto"/>
                            <w:right w:val="none" w:sz="0" w:space="0" w:color="auto"/>
                          </w:divBdr>
                        </w:div>
                      </w:divsChild>
                    </w:div>
                    <w:div w:id="1213273777">
                      <w:marLeft w:val="0"/>
                      <w:marRight w:val="0"/>
                      <w:marTop w:val="0"/>
                      <w:marBottom w:val="0"/>
                      <w:divBdr>
                        <w:top w:val="none" w:sz="0" w:space="0" w:color="auto"/>
                        <w:left w:val="none" w:sz="0" w:space="0" w:color="auto"/>
                        <w:bottom w:val="none" w:sz="0" w:space="0" w:color="auto"/>
                        <w:right w:val="none" w:sz="0" w:space="0" w:color="auto"/>
                      </w:divBdr>
                      <w:divsChild>
                        <w:div w:id="1395590807">
                          <w:marLeft w:val="0"/>
                          <w:marRight w:val="0"/>
                          <w:marTop w:val="0"/>
                          <w:marBottom w:val="0"/>
                          <w:divBdr>
                            <w:top w:val="none" w:sz="0" w:space="0" w:color="auto"/>
                            <w:left w:val="none" w:sz="0" w:space="0" w:color="auto"/>
                            <w:bottom w:val="none" w:sz="0" w:space="0" w:color="auto"/>
                            <w:right w:val="none" w:sz="0" w:space="0" w:color="auto"/>
                          </w:divBdr>
                        </w:div>
                      </w:divsChild>
                    </w:div>
                    <w:div w:id="1217932019">
                      <w:marLeft w:val="0"/>
                      <w:marRight w:val="0"/>
                      <w:marTop w:val="0"/>
                      <w:marBottom w:val="0"/>
                      <w:divBdr>
                        <w:top w:val="none" w:sz="0" w:space="0" w:color="auto"/>
                        <w:left w:val="none" w:sz="0" w:space="0" w:color="auto"/>
                        <w:bottom w:val="none" w:sz="0" w:space="0" w:color="auto"/>
                        <w:right w:val="none" w:sz="0" w:space="0" w:color="auto"/>
                      </w:divBdr>
                      <w:divsChild>
                        <w:div w:id="197938180">
                          <w:marLeft w:val="0"/>
                          <w:marRight w:val="0"/>
                          <w:marTop w:val="0"/>
                          <w:marBottom w:val="0"/>
                          <w:divBdr>
                            <w:top w:val="none" w:sz="0" w:space="0" w:color="auto"/>
                            <w:left w:val="none" w:sz="0" w:space="0" w:color="auto"/>
                            <w:bottom w:val="none" w:sz="0" w:space="0" w:color="auto"/>
                            <w:right w:val="none" w:sz="0" w:space="0" w:color="auto"/>
                          </w:divBdr>
                        </w:div>
                      </w:divsChild>
                    </w:div>
                    <w:div w:id="1220020916">
                      <w:marLeft w:val="0"/>
                      <w:marRight w:val="0"/>
                      <w:marTop w:val="0"/>
                      <w:marBottom w:val="0"/>
                      <w:divBdr>
                        <w:top w:val="none" w:sz="0" w:space="0" w:color="auto"/>
                        <w:left w:val="none" w:sz="0" w:space="0" w:color="auto"/>
                        <w:bottom w:val="none" w:sz="0" w:space="0" w:color="auto"/>
                        <w:right w:val="none" w:sz="0" w:space="0" w:color="auto"/>
                      </w:divBdr>
                      <w:divsChild>
                        <w:div w:id="657225188">
                          <w:marLeft w:val="0"/>
                          <w:marRight w:val="0"/>
                          <w:marTop w:val="0"/>
                          <w:marBottom w:val="0"/>
                          <w:divBdr>
                            <w:top w:val="none" w:sz="0" w:space="0" w:color="auto"/>
                            <w:left w:val="none" w:sz="0" w:space="0" w:color="auto"/>
                            <w:bottom w:val="none" w:sz="0" w:space="0" w:color="auto"/>
                            <w:right w:val="none" w:sz="0" w:space="0" w:color="auto"/>
                          </w:divBdr>
                        </w:div>
                      </w:divsChild>
                    </w:div>
                    <w:div w:id="1225146685">
                      <w:marLeft w:val="0"/>
                      <w:marRight w:val="0"/>
                      <w:marTop w:val="0"/>
                      <w:marBottom w:val="0"/>
                      <w:divBdr>
                        <w:top w:val="none" w:sz="0" w:space="0" w:color="auto"/>
                        <w:left w:val="none" w:sz="0" w:space="0" w:color="auto"/>
                        <w:bottom w:val="none" w:sz="0" w:space="0" w:color="auto"/>
                        <w:right w:val="none" w:sz="0" w:space="0" w:color="auto"/>
                      </w:divBdr>
                      <w:divsChild>
                        <w:div w:id="696078173">
                          <w:marLeft w:val="0"/>
                          <w:marRight w:val="0"/>
                          <w:marTop w:val="0"/>
                          <w:marBottom w:val="0"/>
                          <w:divBdr>
                            <w:top w:val="none" w:sz="0" w:space="0" w:color="auto"/>
                            <w:left w:val="none" w:sz="0" w:space="0" w:color="auto"/>
                            <w:bottom w:val="none" w:sz="0" w:space="0" w:color="auto"/>
                            <w:right w:val="none" w:sz="0" w:space="0" w:color="auto"/>
                          </w:divBdr>
                        </w:div>
                      </w:divsChild>
                    </w:div>
                    <w:div w:id="1231426983">
                      <w:marLeft w:val="0"/>
                      <w:marRight w:val="0"/>
                      <w:marTop w:val="0"/>
                      <w:marBottom w:val="0"/>
                      <w:divBdr>
                        <w:top w:val="none" w:sz="0" w:space="0" w:color="auto"/>
                        <w:left w:val="none" w:sz="0" w:space="0" w:color="auto"/>
                        <w:bottom w:val="none" w:sz="0" w:space="0" w:color="auto"/>
                        <w:right w:val="none" w:sz="0" w:space="0" w:color="auto"/>
                      </w:divBdr>
                      <w:divsChild>
                        <w:div w:id="468473347">
                          <w:marLeft w:val="0"/>
                          <w:marRight w:val="0"/>
                          <w:marTop w:val="0"/>
                          <w:marBottom w:val="0"/>
                          <w:divBdr>
                            <w:top w:val="none" w:sz="0" w:space="0" w:color="auto"/>
                            <w:left w:val="none" w:sz="0" w:space="0" w:color="auto"/>
                            <w:bottom w:val="none" w:sz="0" w:space="0" w:color="auto"/>
                            <w:right w:val="none" w:sz="0" w:space="0" w:color="auto"/>
                          </w:divBdr>
                        </w:div>
                      </w:divsChild>
                    </w:div>
                    <w:div w:id="1244946333">
                      <w:marLeft w:val="0"/>
                      <w:marRight w:val="0"/>
                      <w:marTop w:val="0"/>
                      <w:marBottom w:val="0"/>
                      <w:divBdr>
                        <w:top w:val="none" w:sz="0" w:space="0" w:color="auto"/>
                        <w:left w:val="none" w:sz="0" w:space="0" w:color="auto"/>
                        <w:bottom w:val="none" w:sz="0" w:space="0" w:color="auto"/>
                        <w:right w:val="none" w:sz="0" w:space="0" w:color="auto"/>
                      </w:divBdr>
                      <w:divsChild>
                        <w:div w:id="2091386539">
                          <w:marLeft w:val="0"/>
                          <w:marRight w:val="0"/>
                          <w:marTop w:val="0"/>
                          <w:marBottom w:val="0"/>
                          <w:divBdr>
                            <w:top w:val="none" w:sz="0" w:space="0" w:color="auto"/>
                            <w:left w:val="none" w:sz="0" w:space="0" w:color="auto"/>
                            <w:bottom w:val="none" w:sz="0" w:space="0" w:color="auto"/>
                            <w:right w:val="none" w:sz="0" w:space="0" w:color="auto"/>
                          </w:divBdr>
                        </w:div>
                      </w:divsChild>
                    </w:div>
                    <w:div w:id="1268269106">
                      <w:marLeft w:val="0"/>
                      <w:marRight w:val="0"/>
                      <w:marTop w:val="0"/>
                      <w:marBottom w:val="0"/>
                      <w:divBdr>
                        <w:top w:val="none" w:sz="0" w:space="0" w:color="auto"/>
                        <w:left w:val="none" w:sz="0" w:space="0" w:color="auto"/>
                        <w:bottom w:val="none" w:sz="0" w:space="0" w:color="auto"/>
                        <w:right w:val="none" w:sz="0" w:space="0" w:color="auto"/>
                      </w:divBdr>
                      <w:divsChild>
                        <w:div w:id="1419906191">
                          <w:marLeft w:val="0"/>
                          <w:marRight w:val="0"/>
                          <w:marTop w:val="0"/>
                          <w:marBottom w:val="0"/>
                          <w:divBdr>
                            <w:top w:val="none" w:sz="0" w:space="0" w:color="auto"/>
                            <w:left w:val="none" w:sz="0" w:space="0" w:color="auto"/>
                            <w:bottom w:val="none" w:sz="0" w:space="0" w:color="auto"/>
                            <w:right w:val="none" w:sz="0" w:space="0" w:color="auto"/>
                          </w:divBdr>
                        </w:div>
                      </w:divsChild>
                    </w:div>
                    <w:div w:id="1285161325">
                      <w:marLeft w:val="0"/>
                      <w:marRight w:val="0"/>
                      <w:marTop w:val="0"/>
                      <w:marBottom w:val="0"/>
                      <w:divBdr>
                        <w:top w:val="none" w:sz="0" w:space="0" w:color="auto"/>
                        <w:left w:val="none" w:sz="0" w:space="0" w:color="auto"/>
                        <w:bottom w:val="none" w:sz="0" w:space="0" w:color="auto"/>
                        <w:right w:val="none" w:sz="0" w:space="0" w:color="auto"/>
                      </w:divBdr>
                      <w:divsChild>
                        <w:div w:id="516695031">
                          <w:marLeft w:val="0"/>
                          <w:marRight w:val="0"/>
                          <w:marTop w:val="0"/>
                          <w:marBottom w:val="0"/>
                          <w:divBdr>
                            <w:top w:val="none" w:sz="0" w:space="0" w:color="auto"/>
                            <w:left w:val="none" w:sz="0" w:space="0" w:color="auto"/>
                            <w:bottom w:val="none" w:sz="0" w:space="0" w:color="auto"/>
                            <w:right w:val="none" w:sz="0" w:space="0" w:color="auto"/>
                          </w:divBdr>
                        </w:div>
                      </w:divsChild>
                    </w:div>
                    <w:div w:id="1294168351">
                      <w:marLeft w:val="0"/>
                      <w:marRight w:val="0"/>
                      <w:marTop w:val="0"/>
                      <w:marBottom w:val="0"/>
                      <w:divBdr>
                        <w:top w:val="none" w:sz="0" w:space="0" w:color="auto"/>
                        <w:left w:val="none" w:sz="0" w:space="0" w:color="auto"/>
                        <w:bottom w:val="none" w:sz="0" w:space="0" w:color="auto"/>
                        <w:right w:val="none" w:sz="0" w:space="0" w:color="auto"/>
                      </w:divBdr>
                      <w:divsChild>
                        <w:div w:id="1295721480">
                          <w:marLeft w:val="0"/>
                          <w:marRight w:val="0"/>
                          <w:marTop w:val="0"/>
                          <w:marBottom w:val="0"/>
                          <w:divBdr>
                            <w:top w:val="none" w:sz="0" w:space="0" w:color="auto"/>
                            <w:left w:val="none" w:sz="0" w:space="0" w:color="auto"/>
                            <w:bottom w:val="none" w:sz="0" w:space="0" w:color="auto"/>
                            <w:right w:val="none" w:sz="0" w:space="0" w:color="auto"/>
                          </w:divBdr>
                        </w:div>
                      </w:divsChild>
                    </w:div>
                    <w:div w:id="1318916313">
                      <w:marLeft w:val="0"/>
                      <w:marRight w:val="0"/>
                      <w:marTop w:val="0"/>
                      <w:marBottom w:val="0"/>
                      <w:divBdr>
                        <w:top w:val="none" w:sz="0" w:space="0" w:color="auto"/>
                        <w:left w:val="none" w:sz="0" w:space="0" w:color="auto"/>
                        <w:bottom w:val="none" w:sz="0" w:space="0" w:color="auto"/>
                        <w:right w:val="none" w:sz="0" w:space="0" w:color="auto"/>
                      </w:divBdr>
                      <w:divsChild>
                        <w:div w:id="807629751">
                          <w:marLeft w:val="0"/>
                          <w:marRight w:val="0"/>
                          <w:marTop w:val="0"/>
                          <w:marBottom w:val="0"/>
                          <w:divBdr>
                            <w:top w:val="none" w:sz="0" w:space="0" w:color="auto"/>
                            <w:left w:val="none" w:sz="0" w:space="0" w:color="auto"/>
                            <w:bottom w:val="none" w:sz="0" w:space="0" w:color="auto"/>
                            <w:right w:val="none" w:sz="0" w:space="0" w:color="auto"/>
                          </w:divBdr>
                        </w:div>
                      </w:divsChild>
                    </w:div>
                    <w:div w:id="1326321291">
                      <w:marLeft w:val="0"/>
                      <w:marRight w:val="0"/>
                      <w:marTop w:val="0"/>
                      <w:marBottom w:val="0"/>
                      <w:divBdr>
                        <w:top w:val="none" w:sz="0" w:space="0" w:color="auto"/>
                        <w:left w:val="none" w:sz="0" w:space="0" w:color="auto"/>
                        <w:bottom w:val="none" w:sz="0" w:space="0" w:color="auto"/>
                        <w:right w:val="none" w:sz="0" w:space="0" w:color="auto"/>
                      </w:divBdr>
                      <w:divsChild>
                        <w:div w:id="1222712581">
                          <w:marLeft w:val="0"/>
                          <w:marRight w:val="0"/>
                          <w:marTop w:val="0"/>
                          <w:marBottom w:val="0"/>
                          <w:divBdr>
                            <w:top w:val="none" w:sz="0" w:space="0" w:color="auto"/>
                            <w:left w:val="none" w:sz="0" w:space="0" w:color="auto"/>
                            <w:bottom w:val="none" w:sz="0" w:space="0" w:color="auto"/>
                            <w:right w:val="none" w:sz="0" w:space="0" w:color="auto"/>
                          </w:divBdr>
                        </w:div>
                      </w:divsChild>
                    </w:div>
                    <w:div w:id="1330251251">
                      <w:marLeft w:val="0"/>
                      <w:marRight w:val="0"/>
                      <w:marTop w:val="0"/>
                      <w:marBottom w:val="0"/>
                      <w:divBdr>
                        <w:top w:val="none" w:sz="0" w:space="0" w:color="auto"/>
                        <w:left w:val="none" w:sz="0" w:space="0" w:color="auto"/>
                        <w:bottom w:val="none" w:sz="0" w:space="0" w:color="auto"/>
                        <w:right w:val="none" w:sz="0" w:space="0" w:color="auto"/>
                      </w:divBdr>
                      <w:divsChild>
                        <w:div w:id="580140061">
                          <w:marLeft w:val="0"/>
                          <w:marRight w:val="0"/>
                          <w:marTop w:val="0"/>
                          <w:marBottom w:val="0"/>
                          <w:divBdr>
                            <w:top w:val="none" w:sz="0" w:space="0" w:color="auto"/>
                            <w:left w:val="none" w:sz="0" w:space="0" w:color="auto"/>
                            <w:bottom w:val="none" w:sz="0" w:space="0" w:color="auto"/>
                            <w:right w:val="none" w:sz="0" w:space="0" w:color="auto"/>
                          </w:divBdr>
                        </w:div>
                      </w:divsChild>
                    </w:div>
                    <w:div w:id="1330864874">
                      <w:marLeft w:val="0"/>
                      <w:marRight w:val="0"/>
                      <w:marTop w:val="0"/>
                      <w:marBottom w:val="0"/>
                      <w:divBdr>
                        <w:top w:val="none" w:sz="0" w:space="0" w:color="auto"/>
                        <w:left w:val="none" w:sz="0" w:space="0" w:color="auto"/>
                        <w:bottom w:val="none" w:sz="0" w:space="0" w:color="auto"/>
                        <w:right w:val="none" w:sz="0" w:space="0" w:color="auto"/>
                      </w:divBdr>
                      <w:divsChild>
                        <w:div w:id="1143280597">
                          <w:marLeft w:val="0"/>
                          <w:marRight w:val="0"/>
                          <w:marTop w:val="0"/>
                          <w:marBottom w:val="0"/>
                          <w:divBdr>
                            <w:top w:val="none" w:sz="0" w:space="0" w:color="auto"/>
                            <w:left w:val="none" w:sz="0" w:space="0" w:color="auto"/>
                            <w:bottom w:val="none" w:sz="0" w:space="0" w:color="auto"/>
                            <w:right w:val="none" w:sz="0" w:space="0" w:color="auto"/>
                          </w:divBdr>
                        </w:div>
                      </w:divsChild>
                    </w:div>
                    <w:div w:id="1352028757">
                      <w:marLeft w:val="0"/>
                      <w:marRight w:val="0"/>
                      <w:marTop w:val="0"/>
                      <w:marBottom w:val="0"/>
                      <w:divBdr>
                        <w:top w:val="none" w:sz="0" w:space="0" w:color="auto"/>
                        <w:left w:val="none" w:sz="0" w:space="0" w:color="auto"/>
                        <w:bottom w:val="none" w:sz="0" w:space="0" w:color="auto"/>
                        <w:right w:val="none" w:sz="0" w:space="0" w:color="auto"/>
                      </w:divBdr>
                      <w:divsChild>
                        <w:div w:id="227806588">
                          <w:marLeft w:val="0"/>
                          <w:marRight w:val="0"/>
                          <w:marTop w:val="0"/>
                          <w:marBottom w:val="0"/>
                          <w:divBdr>
                            <w:top w:val="none" w:sz="0" w:space="0" w:color="auto"/>
                            <w:left w:val="none" w:sz="0" w:space="0" w:color="auto"/>
                            <w:bottom w:val="none" w:sz="0" w:space="0" w:color="auto"/>
                            <w:right w:val="none" w:sz="0" w:space="0" w:color="auto"/>
                          </w:divBdr>
                        </w:div>
                      </w:divsChild>
                    </w:div>
                    <w:div w:id="1378580886">
                      <w:marLeft w:val="0"/>
                      <w:marRight w:val="0"/>
                      <w:marTop w:val="0"/>
                      <w:marBottom w:val="0"/>
                      <w:divBdr>
                        <w:top w:val="none" w:sz="0" w:space="0" w:color="auto"/>
                        <w:left w:val="none" w:sz="0" w:space="0" w:color="auto"/>
                        <w:bottom w:val="none" w:sz="0" w:space="0" w:color="auto"/>
                        <w:right w:val="none" w:sz="0" w:space="0" w:color="auto"/>
                      </w:divBdr>
                      <w:divsChild>
                        <w:div w:id="139927046">
                          <w:marLeft w:val="0"/>
                          <w:marRight w:val="0"/>
                          <w:marTop w:val="0"/>
                          <w:marBottom w:val="0"/>
                          <w:divBdr>
                            <w:top w:val="none" w:sz="0" w:space="0" w:color="auto"/>
                            <w:left w:val="none" w:sz="0" w:space="0" w:color="auto"/>
                            <w:bottom w:val="none" w:sz="0" w:space="0" w:color="auto"/>
                            <w:right w:val="none" w:sz="0" w:space="0" w:color="auto"/>
                          </w:divBdr>
                        </w:div>
                      </w:divsChild>
                    </w:div>
                    <w:div w:id="1383138460">
                      <w:marLeft w:val="0"/>
                      <w:marRight w:val="0"/>
                      <w:marTop w:val="0"/>
                      <w:marBottom w:val="0"/>
                      <w:divBdr>
                        <w:top w:val="none" w:sz="0" w:space="0" w:color="auto"/>
                        <w:left w:val="none" w:sz="0" w:space="0" w:color="auto"/>
                        <w:bottom w:val="none" w:sz="0" w:space="0" w:color="auto"/>
                        <w:right w:val="none" w:sz="0" w:space="0" w:color="auto"/>
                      </w:divBdr>
                      <w:divsChild>
                        <w:div w:id="1783763801">
                          <w:marLeft w:val="0"/>
                          <w:marRight w:val="0"/>
                          <w:marTop w:val="0"/>
                          <w:marBottom w:val="0"/>
                          <w:divBdr>
                            <w:top w:val="none" w:sz="0" w:space="0" w:color="auto"/>
                            <w:left w:val="none" w:sz="0" w:space="0" w:color="auto"/>
                            <w:bottom w:val="none" w:sz="0" w:space="0" w:color="auto"/>
                            <w:right w:val="none" w:sz="0" w:space="0" w:color="auto"/>
                          </w:divBdr>
                        </w:div>
                      </w:divsChild>
                    </w:div>
                    <w:div w:id="1400904586">
                      <w:marLeft w:val="0"/>
                      <w:marRight w:val="0"/>
                      <w:marTop w:val="0"/>
                      <w:marBottom w:val="0"/>
                      <w:divBdr>
                        <w:top w:val="none" w:sz="0" w:space="0" w:color="auto"/>
                        <w:left w:val="none" w:sz="0" w:space="0" w:color="auto"/>
                        <w:bottom w:val="none" w:sz="0" w:space="0" w:color="auto"/>
                        <w:right w:val="none" w:sz="0" w:space="0" w:color="auto"/>
                      </w:divBdr>
                      <w:divsChild>
                        <w:div w:id="1137604662">
                          <w:marLeft w:val="0"/>
                          <w:marRight w:val="0"/>
                          <w:marTop w:val="0"/>
                          <w:marBottom w:val="0"/>
                          <w:divBdr>
                            <w:top w:val="none" w:sz="0" w:space="0" w:color="auto"/>
                            <w:left w:val="none" w:sz="0" w:space="0" w:color="auto"/>
                            <w:bottom w:val="none" w:sz="0" w:space="0" w:color="auto"/>
                            <w:right w:val="none" w:sz="0" w:space="0" w:color="auto"/>
                          </w:divBdr>
                        </w:div>
                      </w:divsChild>
                    </w:div>
                    <w:div w:id="1426461115">
                      <w:marLeft w:val="0"/>
                      <w:marRight w:val="0"/>
                      <w:marTop w:val="0"/>
                      <w:marBottom w:val="0"/>
                      <w:divBdr>
                        <w:top w:val="none" w:sz="0" w:space="0" w:color="auto"/>
                        <w:left w:val="none" w:sz="0" w:space="0" w:color="auto"/>
                        <w:bottom w:val="none" w:sz="0" w:space="0" w:color="auto"/>
                        <w:right w:val="none" w:sz="0" w:space="0" w:color="auto"/>
                      </w:divBdr>
                      <w:divsChild>
                        <w:div w:id="2102993471">
                          <w:marLeft w:val="0"/>
                          <w:marRight w:val="0"/>
                          <w:marTop w:val="0"/>
                          <w:marBottom w:val="0"/>
                          <w:divBdr>
                            <w:top w:val="none" w:sz="0" w:space="0" w:color="auto"/>
                            <w:left w:val="none" w:sz="0" w:space="0" w:color="auto"/>
                            <w:bottom w:val="none" w:sz="0" w:space="0" w:color="auto"/>
                            <w:right w:val="none" w:sz="0" w:space="0" w:color="auto"/>
                          </w:divBdr>
                        </w:div>
                      </w:divsChild>
                    </w:div>
                    <w:div w:id="1438284603">
                      <w:marLeft w:val="0"/>
                      <w:marRight w:val="0"/>
                      <w:marTop w:val="0"/>
                      <w:marBottom w:val="0"/>
                      <w:divBdr>
                        <w:top w:val="none" w:sz="0" w:space="0" w:color="auto"/>
                        <w:left w:val="none" w:sz="0" w:space="0" w:color="auto"/>
                        <w:bottom w:val="none" w:sz="0" w:space="0" w:color="auto"/>
                        <w:right w:val="none" w:sz="0" w:space="0" w:color="auto"/>
                      </w:divBdr>
                      <w:divsChild>
                        <w:div w:id="995765543">
                          <w:marLeft w:val="0"/>
                          <w:marRight w:val="0"/>
                          <w:marTop w:val="0"/>
                          <w:marBottom w:val="0"/>
                          <w:divBdr>
                            <w:top w:val="none" w:sz="0" w:space="0" w:color="auto"/>
                            <w:left w:val="none" w:sz="0" w:space="0" w:color="auto"/>
                            <w:bottom w:val="none" w:sz="0" w:space="0" w:color="auto"/>
                            <w:right w:val="none" w:sz="0" w:space="0" w:color="auto"/>
                          </w:divBdr>
                        </w:div>
                      </w:divsChild>
                    </w:div>
                    <w:div w:id="1441073794">
                      <w:marLeft w:val="0"/>
                      <w:marRight w:val="0"/>
                      <w:marTop w:val="0"/>
                      <w:marBottom w:val="0"/>
                      <w:divBdr>
                        <w:top w:val="none" w:sz="0" w:space="0" w:color="auto"/>
                        <w:left w:val="none" w:sz="0" w:space="0" w:color="auto"/>
                        <w:bottom w:val="none" w:sz="0" w:space="0" w:color="auto"/>
                        <w:right w:val="none" w:sz="0" w:space="0" w:color="auto"/>
                      </w:divBdr>
                      <w:divsChild>
                        <w:div w:id="131489514">
                          <w:marLeft w:val="0"/>
                          <w:marRight w:val="0"/>
                          <w:marTop w:val="0"/>
                          <w:marBottom w:val="0"/>
                          <w:divBdr>
                            <w:top w:val="none" w:sz="0" w:space="0" w:color="auto"/>
                            <w:left w:val="none" w:sz="0" w:space="0" w:color="auto"/>
                            <w:bottom w:val="none" w:sz="0" w:space="0" w:color="auto"/>
                            <w:right w:val="none" w:sz="0" w:space="0" w:color="auto"/>
                          </w:divBdr>
                        </w:div>
                      </w:divsChild>
                    </w:div>
                    <w:div w:id="1480657102">
                      <w:marLeft w:val="0"/>
                      <w:marRight w:val="0"/>
                      <w:marTop w:val="0"/>
                      <w:marBottom w:val="0"/>
                      <w:divBdr>
                        <w:top w:val="none" w:sz="0" w:space="0" w:color="auto"/>
                        <w:left w:val="none" w:sz="0" w:space="0" w:color="auto"/>
                        <w:bottom w:val="none" w:sz="0" w:space="0" w:color="auto"/>
                        <w:right w:val="none" w:sz="0" w:space="0" w:color="auto"/>
                      </w:divBdr>
                      <w:divsChild>
                        <w:div w:id="1340080724">
                          <w:marLeft w:val="0"/>
                          <w:marRight w:val="0"/>
                          <w:marTop w:val="0"/>
                          <w:marBottom w:val="0"/>
                          <w:divBdr>
                            <w:top w:val="none" w:sz="0" w:space="0" w:color="auto"/>
                            <w:left w:val="none" w:sz="0" w:space="0" w:color="auto"/>
                            <w:bottom w:val="none" w:sz="0" w:space="0" w:color="auto"/>
                            <w:right w:val="none" w:sz="0" w:space="0" w:color="auto"/>
                          </w:divBdr>
                        </w:div>
                      </w:divsChild>
                    </w:div>
                    <w:div w:id="1482426996">
                      <w:marLeft w:val="0"/>
                      <w:marRight w:val="0"/>
                      <w:marTop w:val="0"/>
                      <w:marBottom w:val="0"/>
                      <w:divBdr>
                        <w:top w:val="none" w:sz="0" w:space="0" w:color="auto"/>
                        <w:left w:val="none" w:sz="0" w:space="0" w:color="auto"/>
                        <w:bottom w:val="none" w:sz="0" w:space="0" w:color="auto"/>
                        <w:right w:val="none" w:sz="0" w:space="0" w:color="auto"/>
                      </w:divBdr>
                      <w:divsChild>
                        <w:div w:id="363025389">
                          <w:marLeft w:val="0"/>
                          <w:marRight w:val="0"/>
                          <w:marTop w:val="0"/>
                          <w:marBottom w:val="0"/>
                          <w:divBdr>
                            <w:top w:val="none" w:sz="0" w:space="0" w:color="auto"/>
                            <w:left w:val="none" w:sz="0" w:space="0" w:color="auto"/>
                            <w:bottom w:val="none" w:sz="0" w:space="0" w:color="auto"/>
                            <w:right w:val="none" w:sz="0" w:space="0" w:color="auto"/>
                          </w:divBdr>
                        </w:div>
                      </w:divsChild>
                    </w:div>
                    <w:div w:id="1492870603">
                      <w:marLeft w:val="0"/>
                      <w:marRight w:val="0"/>
                      <w:marTop w:val="0"/>
                      <w:marBottom w:val="0"/>
                      <w:divBdr>
                        <w:top w:val="none" w:sz="0" w:space="0" w:color="auto"/>
                        <w:left w:val="none" w:sz="0" w:space="0" w:color="auto"/>
                        <w:bottom w:val="none" w:sz="0" w:space="0" w:color="auto"/>
                        <w:right w:val="none" w:sz="0" w:space="0" w:color="auto"/>
                      </w:divBdr>
                      <w:divsChild>
                        <w:div w:id="1689598866">
                          <w:marLeft w:val="0"/>
                          <w:marRight w:val="0"/>
                          <w:marTop w:val="0"/>
                          <w:marBottom w:val="0"/>
                          <w:divBdr>
                            <w:top w:val="none" w:sz="0" w:space="0" w:color="auto"/>
                            <w:left w:val="none" w:sz="0" w:space="0" w:color="auto"/>
                            <w:bottom w:val="none" w:sz="0" w:space="0" w:color="auto"/>
                            <w:right w:val="none" w:sz="0" w:space="0" w:color="auto"/>
                          </w:divBdr>
                        </w:div>
                      </w:divsChild>
                    </w:div>
                    <w:div w:id="1506897399">
                      <w:marLeft w:val="0"/>
                      <w:marRight w:val="0"/>
                      <w:marTop w:val="0"/>
                      <w:marBottom w:val="0"/>
                      <w:divBdr>
                        <w:top w:val="none" w:sz="0" w:space="0" w:color="auto"/>
                        <w:left w:val="none" w:sz="0" w:space="0" w:color="auto"/>
                        <w:bottom w:val="none" w:sz="0" w:space="0" w:color="auto"/>
                        <w:right w:val="none" w:sz="0" w:space="0" w:color="auto"/>
                      </w:divBdr>
                      <w:divsChild>
                        <w:div w:id="1268587818">
                          <w:marLeft w:val="0"/>
                          <w:marRight w:val="0"/>
                          <w:marTop w:val="0"/>
                          <w:marBottom w:val="0"/>
                          <w:divBdr>
                            <w:top w:val="none" w:sz="0" w:space="0" w:color="auto"/>
                            <w:left w:val="none" w:sz="0" w:space="0" w:color="auto"/>
                            <w:bottom w:val="none" w:sz="0" w:space="0" w:color="auto"/>
                            <w:right w:val="none" w:sz="0" w:space="0" w:color="auto"/>
                          </w:divBdr>
                        </w:div>
                      </w:divsChild>
                    </w:div>
                    <w:div w:id="1537964281">
                      <w:marLeft w:val="0"/>
                      <w:marRight w:val="0"/>
                      <w:marTop w:val="0"/>
                      <w:marBottom w:val="0"/>
                      <w:divBdr>
                        <w:top w:val="none" w:sz="0" w:space="0" w:color="auto"/>
                        <w:left w:val="none" w:sz="0" w:space="0" w:color="auto"/>
                        <w:bottom w:val="none" w:sz="0" w:space="0" w:color="auto"/>
                        <w:right w:val="none" w:sz="0" w:space="0" w:color="auto"/>
                      </w:divBdr>
                      <w:divsChild>
                        <w:div w:id="188416593">
                          <w:marLeft w:val="0"/>
                          <w:marRight w:val="0"/>
                          <w:marTop w:val="0"/>
                          <w:marBottom w:val="0"/>
                          <w:divBdr>
                            <w:top w:val="none" w:sz="0" w:space="0" w:color="auto"/>
                            <w:left w:val="none" w:sz="0" w:space="0" w:color="auto"/>
                            <w:bottom w:val="none" w:sz="0" w:space="0" w:color="auto"/>
                            <w:right w:val="none" w:sz="0" w:space="0" w:color="auto"/>
                          </w:divBdr>
                        </w:div>
                      </w:divsChild>
                    </w:div>
                    <w:div w:id="1568950788">
                      <w:marLeft w:val="0"/>
                      <w:marRight w:val="0"/>
                      <w:marTop w:val="0"/>
                      <w:marBottom w:val="0"/>
                      <w:divBdr>
                        <w:top w:val="none" w:sz="0" w:space="0" w:color="auto"/>
                        <w:left w:val="none" w:sz="0" w:space="0" w:color="auto"/>
                        <w:bottom w:val="none" w:sz="0" w:space="0" w:color="auto"/>
                        <w:right w:val="none" w:sz="0" w:space="0" w:color="auto"/>
                      </w:divBdr>
                      <w:divsChild>
                        <w:div w:id="312294657">
                          <w:marLeft w:val="0"/>
                          <w:marRight w:val="0"/>
                          <w:marTop w:val="0"/>
                          <w:marBottom w:val="0"/>
                          <w:divBdr>
                            <w:top w:val="none" w:sz="0" w:space="0" w:color="auto"/>
                            <w:left w:val="none" w:sz="0" w:space="0" w:color="auto"/>
                            <w:bottom w:val="none" w:sz="0" w:space="0" w:color="auto"/>
                            <w:right w:val="none" w:sz="0" w:space="0" w:color="auto"/>
                          </w:divBdr>
                        </w:div>
                      </w:divsChild>
                    </w:div>
                    <w:div w:id="1569457014">
                      <w:marLeft w:val="0"/>
                      <w:marRight w:val="0"/>
                      <w:marTop w:val="0"/>
                      <w:marBottom w:val="0"/>
                      <w:divBdr>
                        <w:top w:val="none" w:sz="0" w:space="0" w:color="auto"/>
                        <w:left w:val="none" w:sz="0" w:space="0" w:color="auto"/>
                        <w:bottom w:val="none" w:sz="0" w:space="0" w:color="auto"/>
                        <w:right w:val="none" w:sz="0" w:space="0" w:color="auto"/>
                      </w:divBdr>
                      <w:divsChild>
                        <w:div w:id="1095713836">
                          <w:marLeft w:val="0"/>
                          <w:marRight w:val="0"/>
                          <w:marTop w:val="0"/>
                          <w:marBottom w:val="0"/>
                          <w:divBdr>
                            <w:top w:val="none" w:sz="0" w:space="0" w:color="auto"/>
                            <w:left w:val="none" w:sz="0" w:space="0" w:color="auto"/>
                            <w:bottom w:val="none" w:sz="0" w:space="0" w:color="auto"/>
                            <w:right w:val="none" w:sz="0" w:space="0" w:color="auto"/>
                          </w:divBdr>
                        </w:div>
                      </w:divsChild>
                    </w:div>
                    <w:div w:id="1571815645">
                      <w:marLeft w:val="0"/>
                      <w:marRight w:val="0"/>
                      <w:marTop w:val="0"/>
                      <w:marBottom w:val="0"/>
                      <w:divBdr>
                        <w:top w:val="none" w:sz="0" w:space="0" w:color="auto"/>
                        <w:left w:val="none" w:sz="0" w:space="0" w:color="auto"/>
                        <w:bottom w:val="none" w:sz="0" w:space="0" w:color="auto"/>
                        <w:right w:val="none" w:sz="0" w:space="0" w:color="auto"/>
                      </w:divBdr>
                      <w:divsChild>
                        <w:div w:id="1179270681">
                          <w:marLeft w:val="0"/>
                          <w:marRight w:val="0"/>
                          <w:marTop w:val="0"/>
                          <w:marBottom w:val="0"/>
                          <w:divBdr>
                            <w:top w:val="none" w:sz="0" w:space="0" w:color="auto"/>
                            <w:left w:val="none" w:sz="0" w:space="0" w:color="auto"/>
                            <w:bottom w:val="none" w:sz="0" w:space="0" w:color="auto"/>
                            <w:right w:val="none" w:sz="0" w:space="0" w:color="auto"/>
                          </w:divBdr>
                        </w:div>
                      </w:divsChild>
                    </w:div>
                    <w:div w:id="1574731054">
                      <w:marLeft w:val="0"/>
                      <w:marRight w:val="0"/>
                      <w:marTop w:val="0"/>
                      <w:marBottom w:val="0"/>
                      <w:divBdr>
                        <w:top w:val="none" w:sz="0" w:space="0" w:color="auto"/>
                        <w:left w:val="none" w:sz="0" w:space="0" w:color="auto"/>
                        <w:bottom w:val="none" w:sz="0" w:space="0" w:color="auto"/>
                        <w:right w:val="none" w:sz="0" w:space="0" w:color="auto"/>
                      </w:divBdr>
                      <w:divsChild>
                        <w:div w:id="1079407343">
                          <w:marLeft w:val="0"/>
                          <w:marRight w:val="0"/>
                          <w:marTop w:val="0"/>
                          <w:marBottom w:val="0"/>
                          <w:divBdr>
                            <w:top w:val="none" w:sz="0" w:space="0" w:color="auto"/>
                            <w:left w:val="none" w:sz="0" w:space="0" w:color="auto"/>
                            <w:bottom w:val="none" w:sz="0" w:space="0" w:color="auto"/>
                            <w:right w:val="none" w:sz="0" w:space="0" w:color="auto"/>
                          </w:divBdr>
                        </w:div>
                      </w:divsChild>
                    </w:div>
                    <w:div w:id="1587961272">
                      <w:marLeft w:val="0"/>
                      <w:marRight w:val="0"/>
                      <w:marTop w:val="0"/>
                      <w:marBottom w:val="0"/>
                      <w:divBdr>
                        <w:top w:val="none" w:sz="0" w:space="0" w:color="auto"/>
                        <w:left w:val="none" w:sz="0" w:space="0" w:color="auto"/>
                        <w:bottom w:val="none" w:sz="0" w:space="0" w:color="auto"/>
                        <w:right w:val="none" w:sz="0" w:space="0" w:color="auto"/>
                      </w:divBdr>
                      <w:divsChild>
                        <w:div w:id="1479761245">
                          <w:marLeft w:val="0"/>
                          <w:marRight w:val="0"/>
                          <w:marTop w:val="0"/>
                          <w:marBottom w:val="0"/>
                          <w:divBdr>
                            <w:top w:val="none" w:sz="0" w:space="0" w:color="auto"/>
                            <w:left w:val="none" w:sz="0" w:space="0" w:color="auto"/>
                            <w:bottom w:val="none" w:sz="0" w:space="0" w:color="auto"/>
                            <w:right w:val="none" w:sz="0" w:space="0" w:color="auto"/>
                          </w:divBdr>
                        </w:div>
                      </w:divsChild>
                    </w:div>
                    <w:div w:id="1603222564">
                      <w:marLeft w:val="0"/>
                      <w:marRight w:val="0"/>
                      <w:marTop w:val="0"/>
                      <w:marBottom w:val="0"/>
                      <w:divBdr>
                        <w:top w:val="none" w:sz="0" w:space="0" w:color="auto"/>
                        <w:left w:val="none" w:sz="0" w:space="0" w:color="auto"/>
                        <w:bottom w:val="none" w:sz="0" w:space="0" w:color="auto"/>
                        <w:right w:val="none" w:sz="0" w:space="0" w:color="auto"/>
                      </w:divBdr>
                      <w:divsChild>
                        <w:div w:id="729422565">
                          <w:marLeft w:val="0"/>
                          <w:marRight w:val="0"/>
                          <w:marTop w:val="0"/>
                          <w:marBottom w:val="0"/>
                          <w:divBdr>
                            <w:top w:val="none" w:sz="0" w:space="0" w:color="auto"/>
                            <w:left w:val="none" w:sz="0" w:space="0" w:color="auto"/>
                            <w:bottom w:val="none" w:sz="0" w:space="0" w:color="auto"/>
                            <w:right w:val="none" w:sz="0" w:space="0" w:color="auto"/>
                          </w:divBdr>
                        </w:div>
                      </w:divsChild>
                    </w:div>
                    <w:div w:id="1621377756">
                      <w:marLeft w:val="0"/>
                      <w:marRight w:val="0"/>
                      <w:marTop w:val="0"/>
                      <w:marBottom w:val="0"/>
                      <w:divBdr>
                        <w:top w:val="none" w:sz="0" w:space="0" w:color="auto"/>
                        <w:left w:val="none" w:sz="0" w:space="0" w:color="auto"/>
                        <w:bottom w:val="none" w:sz="0" w:space="0" w:color="auto"/>
                        <w:right w:val="none" w:sz="0" w:space="0" w:color="auto"/>
                      </w:divBdr>
                      <w:divsChild>
                        <w:div w:id="588930350">
                          <w:marLeft w:val="0"/>
                          <w:marRight w:val="0"/>
                          <w:marTop w:val="0"/>
                          <w:marBottom w:val="0"/>
                          <w:divBdr>
                            <w:top w:val="none" w:sz="0" w:space="0" w:color="auto"/>
                            <w:left w:val="none" w:sz="0" w:space="0" w:color="auto"/>
                            <w:bottom w:val="none" w:sz="0" w:space="0" w:color="auto"/>
                            <w:right w:val="none" w:sz="0" w:space="0" w:color="auto"/>
                          </w:divBdr>
                        </w:div>
                      </w:divsChild>
                    </w:div>
                    <w:div w:id="1647274909">
                      <w:marLeft w:val="0"/>
                      <w:marRight w:val="0"/>
                      <w:marTop w:val="0"/>
                      <w:marBottom w:val="0"/>
                      <w:divBdr>
                        <w:top w:val="none" w:sz="0" w:space="0" w:color="auto"/>
                        <w:left w:val="none" w:sz="0" w:space="0" w:color="auto"/>
                        <w:bottom w:val="none" w:sz="0" w:space="0" w:color="auto"/>
                        <w:right w:val="none" w:sz="0" w:space="0" w:color="auto"/>
                      </w:divBdr>
                      <w:divsChild>
                        <w:div w:id="870722756">
                          <w:marLeft w:val="0"/>
                          <w:marRight w:val="0"/>
                          <w:marTop w:val="0"/>
                          <w:marBottom w:val="0"/>
                          <w:divBdr>
                            <w:top w:val="none" w:sz="0" w:space="0" w:color="auto"/>
                            <w:left w:val="none" w:sz="0" w:space="0" w:color="auto"/>
                            <w:bottom w:val="none" w:sz="0" w:space="0" w:color="auto"/>
                            <w:right w:val="none" w:sz="0" w:space="0" w:color="auto"/>
                          </w:divBdr>
                        </w:div>
                      </w:divsChild>
                    </w:div>
                    <w:div w:id="1673679789">
                      <w:marLeft w:val="0"/>
                      <w:marRight w:val="0"/>
                      <w:marTop w:val="0"/>
                      <w:marBottom w:val="0"/>
                      <w:divBdr>
                        <w:top w:val="none" w:sz="0" w:space="0" w:color="auto"/>
                        <w:left w:val="none" w:sz="0" w:space="0" w:color="auto"/>
                        <w:bottom w:val="none" w:sz="0" w:space="0" w:color="auto"/>
                        <w:right w:val="none" w:sz="0" w:space="0" w:color="auto"/>
                      </w:divBdr>
                      <w:divsChild>
                        <w:div w:id="1411656072">
                          <w:marLeft w:val="0"/>
                          <w:marRight w:val="0"/>
                          <w:marTop w:val="0"/>
                          <w:marBottom w:val="0"/>
                          <w:divBdr>
                            <w:top w:val="none" w:sz="0" w:space="0" w:color="auto"/>
                            <w:left w:val="none" w:sz="0" w:space="0" w:color="auto"/>
                            <w:bottom w:val="none" w:sz="0" w:space="0" w:color="auto"/>
                            <w:right w:val="none" w:sz="0" w:space="0" w:color="auto"/>
                          </w:divBdr>
                        </w:div>
                      </w:divsChild>
                    </w:div>
                    <w:div w:id="1676033635">
                      <w:marLeft w:val="0"/>
                      <w:marRight w:val="0"/>
                      <w:marTop w:val="0"/>
                      <w:marBottom w:val="0"/>
                      <w:divBdr>
                        <w:top w:val="none" w:sz="0" w:space="0" w:color="auto"/>
                        <w:left w:val="none" w:sz="0" w:space="0" w:color="auto"/>
                        <w:bottom w:val="none" w:sz="0" w:space="0" w:color="auto"/>
                        <w:right w:val="none" w:sz="0" w:space="0" w:color="auto"/>
                      </w:divBdr>
                      <w:divsChild>
                        <w:div w:id="1973441561">
                          <w:marLeft w:val="0"/>
                          <w:marRight w:val="0"/>
                          <w:marTop w:val="0"/>
                          <w:marBottom w:val="0"/>
                          <w:divBdr>
                            <w:top w:val="none" w:sz="0" w:space="0" w:color="auto"/>
                            <w:left w:val="none" w:sz="0" w:space="0" w:color="auto"/>
                            <w:bottom w:val="none" w:sz="0" w:space="0" w:color="auto"/>
                            <w:right w:val="none" w:sz="0" w:space="0" w:color="auto"/>
                          </w:divBdr>
                        </w:div>
                      </w:divsChild>
                    </w:div>
                    <w:div w:id="1677070008">
                      <w:marLeft w:val="0"/>
                      <w:marRight w:val="0"/>
                      <w:marTop w:val="0"/>
                      <w:marBottom w:val="0"/>
                      <w:divBdr>
                        <w:top w:val="none" w:sz="0" w:space="0" w:color="auto"/>
                        <w:left w:val="none" w:sz="0" w:space="0" w:color="auto"/>
                        <w:bottom w:val="none" w:sz="0" w:space="0" w:color="auto"/>
                        <w:right w:val="none" w:sz="0" w:space="0" w:color="auto"/>
                      </w:divBdr>
                      <w:divsChild>
                        <w:div w:id="823857122">
                          <w:marLeft w:val="0"/>
                          <w:marRight w:val="0"/>
                          <w:marTop w:val="0"/>
                          <w:marBottom w:val="0"/>
                          <w:divBdr>
                            <w:top w:val="none" w:sz="0" w:space="0" w:color="auto"/>
                            <w:left w:val="none" w:sz="0" w:space="0" w:color="auto"/>
                            <w:bottom w:val="none" w:sz="0" w:space="0" w:color="auto"/>
                            <w:right w:val="none" w:sz="0" w:space="0" w:color="auto"/>
                          </w:divBdr>
                        </w:div>
                      </w:divsChild>
                    </w:div>
                    <w:div w:id="1680082402">
                      <w:marLeft w:val="0"/>
                      <w:marRight w:val="0"/>
                      <w:marTop w:val="0"/>
                      <w:marBottom w:val="0"/>
                      <w:divBdr>
                        <w:top w:val="none" w:sz="0" w:space="0" w:color="auto"/>
                        <w:left w:val="none" w:sz="0" w:space="0" w:color="auto"/>
                        <w:bottom w:val="none" w:sz="0" w:space="0" w:color="auto"/>
                        <w:right w:val="none" w:sz="0" w:space="0" w:color="auto"/>
                      </w:divBdr>
                      <w:divsChild>
                        <w:div w:id="91124006">
                          <w:marLeft w:val="0"/>
                          <w:marRight w:val="0"/>
                          <w:marTop w:val="0"/>
                          <w:marBottom w:val="0"/>
                          <w:divBdr>
                            <w:top w:val="none" w:sz="0" w:space="0" w:color="auto"/>
                            <w:left w:val="none" w:sz="0" w:space="0" w:color="auto"/>
                            <w:bottom w:val="none" w:sz="0" w:space="0" w:color="auto"/>
                            <w:right w:val="none" w:sz="0" w:space="0" w:color="auto"/>
                          </w:divBdr>
                        </w:div>
                      </w:divsChild>
                    </w:div>
                    <w:div w:id="1700622228">
                      <w:marLeft w:val="0"/>
                      <w:marRight w:val="0"/>
                      <w:marTop w:val="0"/>
                      <w:marBottom w:val="0"/>
                      <w:divBdr>
                        <w:top w:val="none" w:sz="0" w:space="0" w:color="auto"/>
                        <w:left w:val="none" w:sz="0" w:space="0" w:color="auto"/>
                        <w:bottom w:val="none" w:sz="0" w:space="0" w:color="auto"/>
                        <w:right w:val="none" w:sz="0" w:space="0" w:color="auto"/>
                      </w:divBdr>
                      <w:divsChild>
                        <w:div w:id="729502051">
                          <w:marLeft w:val="0"/>
                          <w:marRight w:val="0"/>
                          <w:marTop w:val="0"/>
                          <w:marBottom w:val="0"/>
                          <w:divBdr>
                            <w:top w:val="none" w:sz="0" w:space="0" w:color="auto"/>
                            <w:left w:val="none" w:sz="0" w:space="0" w:color="auto"/>
                            <w:bottom w:val="none" w:sz="0" w:space="0" w:color="auto"/>
                            <w:right w:val="none" w:sz="0" w:space="0" w:color="auto"/>
                          </w:divBdr>
                        </w:div>
                      </w:divsChild>
                    </w:div>
                    <w:div w:id="1708409457">
                      <w:marLeft w:val="0"/>
                      <w:marRight w:val="0"/>
                      <w:marTop w:val="0"/>
                      <w:marBottom w:val="0"/>
                      <w:divBdr>
                        <w:top w:val="none" w:sz="0" w:space="0" w:color="auto"/>
                        <w:left w:val="none" w:sz="0" w:space="0" w:color="auto"/>
                        <w:bottom w:val="none" w:sz="0" w:space="0" w:color="auto"/>
                        <w:right w:val="none" w:sz="0" w:space="0" w:color="auto"/>
                      </w:divBdr>
                      <w:divsChild>
                        <w:div w:id="1824009081">
                          <w:marLeft w:val="0"/>
                          <w:marRight w:val="0"/>
                          <w:marTop w:val="0"/>
                          <w:marBottom w:val="0"/>
                          <w:divBdr>
                            <w:top w:val="none" w:sz="0" w:space="0" w:color="auto"/>
                            <w:left w:val="none" w:sz="0" w:space="0" w:color="auto"/>
                            <w:bottom w:val="none" w:sz="0" w:space="0" w:color="auto"/>
                            <w:right w:val="none" w:sz="0" w:space="0" w:color="auto"/>
                          </w:divBdr>
                        </w:div>
                      </w:divsChild>
                    </w:div>
                    <w:div w:id="1709261711">
                      <w:marLeft w:val="0"/>
                      <w:marRight w:val="0"/>
                      <w:marTop w:val="0"/>
                      <w:marBottom w:val="0"/>
                      <w:divBdr>
                        <w:top w:val="none" w:sz="0" w:space="0" w:color="auto"/>
                        <w:left w:val="none" w:sz="0" w:space="0" w:color="auto"/>
                        <w:bottom w:val="none" w:sz="0" w:space="0" w:color="auto"/>
                        <w:right w:val="none" w:sz="0" w:space="0" w:color="auto"/>
                      </w:divBdr>
                      <w:divsChild>
                        <w:div w:id="1885753579">
                          <w:marLeft w:val="0"/>
                          <w:marRight w:val="0"/>
                          <w:marTop w:val="0"/>
                          <w:marBottom w:val="0"/>
                          <w:divBdr>
                            <w:top w:val="none" w:sz="0" w:space="0" w:color="auto"/>
                            <w:left w:val="none" w:sz="0" w:space="0" w:color="auto"/>
                            <w:bottom w:val="none" w:sz="0" w:space="0" w:color="auto"/>
                            <w:right w:val="none" w:sz="0" w:space="0" w:color="auto"/>
                          </w:divBdr>
                        </w:div>
                      </w:divsChild>
                    </w:div>
                    <w:div w:id="1762486372">
                      <w:marLeft w:val="0"/>
                      <w:marRight w:val="0"/>
                      <w:marTop w:val="0"/>
                      <w:marBottom w:val="0"/>
                      <w:divBdr>
                        <w:top w:val="none" w:sz="0" w:space="0" w:color="auto"/>
                        <w:left w:val="none" w:sz="0" w:space="0" w:color="auto"/>
                        <w:bottom w:val="none" w:sz="0" w:space="0" w:color="auto"/>
                        <w:right w:val="none" w:sz="0" w:space="0" w:color="auto"/>
                      </w:divBdr>
                      <w:divsChild>
                        <w:div w:id="966425461">
                          <w:marLeft w:val="0"/>
                          <w:marRight w:val="0"/>
                          <w:marTop w:val="0"/>
                          <w:marBottom w:val="0"/>
                          <w:divBdr>
                            <w:top w:val="none" w:sz="0" w:space="0" w:color="auto"/>
                            <w:left w:val="none" w:sz="0" w:space="0" w:color="auto"/>
                            <w:bottom w:val="none" w:sz="0" w:space="0" w:color="auto"/>
                            <w:right w:val="none" w:sz="0" w:space="0" w:color="auto"/>
                          </w:divBdr>
                        </w:div>
                      </w:divsChild>
                    </w:div>
                    <w:div w:id="1787768548">
                      <w:marLeft w:val="0"/>
                      <w:marRight w:val="0"/>
                      <w:marTop w:val="0"/>
                      <w:marBottom w:val="0"/>
                      <w:divBdr>
                        <w:top w:val="none" w:sz="0" w:space="0" w:color="auto"/>
                        <w:left w:val="none" w:sz="0" w:space="0" w:color="auto"/>
                        <w:bottom w:val="none" w:sz="0" w:space="0" w:color="auto"/>
                        <w:right w:val="none" w:sz="0" w:space="0" w:color="auto"/>
                      </w:divBdr>
                      <w:divsChild>
                        <w:div w:id="1152941034">
                          <w:marLeft w:val="0"/>
                          <w:marRight w:val="0"/>
                          <w:marTop w:val="0"/>
                          <w:marBottom w:val="0"/>
                          <w:divBdr>
                            <w:top w:val="none" w:sz="0" w:space="0" w:color="auto"/>
                            <w:left w:val="none" w:sz="0" w:space="0" w:color="auto"/>
                            <w:bottom w:val="none" w:sz="0" w:space="0" w:color="auto"/>
                            <w:right w:val="none" w:sz="0" w:space="0" w:color="auto"/>
                          </w:divBdr>
                        </w:div>
                      </w:divsChild>
                    </w:div>
                    <w:div w:id="1807971276">
                      <w:marLeft w:val="0"/>
                      <w:marRight w:val="0"/>
                      <w:marTop w:val="0"/>
                      <w:marBottom w:val="0"/>
                      <w:divBdr>
                        <w:top w:val="none" w:sz="0" w:space="0" w:color="auto"/>
                        <w:left w:val="none" w:sz="0" w:space="0" w:color="auto"/>
                        <w:bottom w:val="none" w:sz="0" w:space="0" w:color="auto"/>
                        <w:right w:val="none" w:sz="0" w:space="0" w:color="auto"/>
                      </w:divBdr>
                      <w:divsChild>
                        <w:div w:id="1807776539">
                          <w:marLeft w:val="0"/>
                          <w:marRight w:val="0"/>
                          <w:marTop w:val="0"/>
                          <w:marBottom w:val="0"/>
                          <w:divBdr>
                            <w:top w:val="none" w:sz="0" w:space="0" w:color="auto"/>
                            <w:left w:val="none" w:sz="0" w:space="0" w:color="auto"/>
                            <w:bottom w:val="none" w:sz="0" w:space="0" w:color="auto"/>
                            <w:right w:val="none" w:sz="0" w:space="0" w:color="auto"/>
                          </w:divBdr>
                        </w:div>
                      </w:divsChild>
                    </w:div>
                    <w:div w:id="1820414551">
                      <w:marLeft w:val="0"/>
                      <w:marRight w:val="0"/>
                      <w:marTop w:val="0"/>
                      <w:marBottom w:val="0"/>
                      <w:divBdr>
                        <w:top w:val="none" w:sz="0" w:space="0" w:color="auto"/>
                        <w:left w:val="none" w:sz="0" w:space="0" w:color="auto"/>
                        <w:bottom w:val="none" w:sz="0" w:space="0" w:color="auto"/>
                        <w:right w:val="none" w:sz="0" w:space="0" w:color="auto"/>
                      </w:divBdr>
                      <w:divsChild>
                        <w:div w:id="151914813">
                          <w:marLeft w:val="0"/>
                          <w:marRight w:val="0"/>
                          <w:marTop w:val="0"/>
                          <w:marBottom w:val="0"/>
                          <w:divBdr>
                            <w:top w:val="none" w:sz="0" w:space="0" w:color="auto"/>
                            <w:left w:val="none" w:sz="0" w:space="0" w:color="auto"/>
                            <w:bottom w:val="none" w:sz="0" w:space="0" w:color="auto"/>
                            <w:right w:val="none" w:sz="0" w:space="0" w:color="auto"/>
                          </w:divBdr>
                        </w:div>
                      </w:divsChild>
                    </w:div>
                    <w:div w:id="1820880854">
                      <w:marLeft w:val="0"/>
                      <w:marRight w:val="0"/>
                      <w:marTop w:val="0"/>
                      <w:marBottom w:val="0"/>
                      <w:divBdr>
                        <w:top w:val="none" w:sz="0" w:space="0" w:color="auto"/>
                        <w:left w:val="none" w:sz="0" w:space="0" w:color="auto"/>
                        <w:bottom w:val="none" w:sz="0" w:space="0" w:color="auto"/>
                        <w:right w:val="none" w:sz="0" w:space="0" w:color="auto"/>
                      </w:divBdr>
                      <w:divsChild>
                        <w:div w:id="1016156665">
                          <w:marLeft w:val="0"/>
                          <w:marRight w:val="0"/>
                          <w:marTop w:val="0"/>
                          <w:marBottom w:val="0"/>
                          <w:divBdr>
                            <w:top w:val="none" w:sz="0" w:space="0" w:color="auto"/>
                            <w:left w:val="none" w:sz="0" w:space="0" w:color="auto"/>
                            <w:bottom w:val="none" w:sz="0" w:space="0" w:color="auto"/>
                            <w:right w:val="none" w:sz="0" w:space="0" w:color="auto"/>
                          </w:divBdr>
                        </w:div>
                      </w:divsChild>
                    </w:div>
                    <w:div w:id="1824084615">
                      <w:marLeft w:val="0"/>
                      <w:marRight w:val="0"/>
                      <w:marTop w:val="0"/>
                      <w:marBottom w:val="0"/>
                      <w:divBdr>
                        <w:top w:val="none" w:sz="0" w:space="0" w:color="auto"/>
                        <w:left w:val="none" w:sz="0" w:space="0" w:color="auto"/>
                        <w:bottom w:val="none" w:sz="0" w:space="0" w:color="auto"/>
                        <w:right w:val="none" w:sz="0" w:space="0" w:color="auto"/>
                      </w:divBdr>
                      <w:divsChild>
                        <w:div w:id="1654600163">
                          <w:marLeft w:val="0"/>
                          <w:marRight w:val="0"/>
                          <w:marTop w:val="0"/>
                          <w:marBottom w:val="0"/>
                          <w:divBdr>
                            <w:top w:val="none" w:sz="0" w:space="0" w:color="auto"/>
                            <w:left w:val="none" w:sz="0" w:space="0" w:color="auto"/>
                            <w:bottom w:val="none" w:sz="0" w:space="0" w:color="auto"/>
                            <w:right w:val="none" w:sz="0" w:space="0" w:color="auto"/>
                          </w:divBdr>
                        </w:div>
                      </w:divsChild>
                    </w:div>
                    <w:div w:id="1834490063">
                      <w:marLeft w:val="0"/>
                      <w:marRight w:val="0"/>
                      <w:marTop w:val="0"/>
                      <w:marBottom w:val="0"/>
                      <w:divBdr>
                        <w:top w:val="none" w:sz="0" w:space="0" w:color="auto"/>
                        <w:left w:val="none" w:sz="0" w:space="0" w:color="auto"/>
                        <w:bottom w:val="none" w:sz="0" w:space="0" w:color="auto"/>
                        <w:right w:val="none" w:sz="0" w:space="0" w:color="auto"/>
                      </w:divBdr>
                      <w:divsChild>
                        <w:div w:id="472911822">
                          <w:marLeft w:val="0"/>
                          <w:marRight w:val="0"/>
                          <w:marTop w:val="0"/>
                          <w:marBottom w:val="0"/>
                          <w:divBdr>
                            <w:top w:val="none" w:sz="0" w:space="0" w:color="auto"/>
                            <w:left w:val="none" w:sz="0" w:space="0" w:color="auto"/>
                            <w:bottom w:val="none" w:sz="0" w:space="0" w:color="auto"/>
                            <w:right w:val="none" w:sz="0" w:space="0" w:color="auto"/>
                          </w:divBdr>
                        </w:div>
                      </w:divsChild>
                    </w:div>
                    <w:div w:id="1849832040">
                      <w:marLeft w:val="0"/>
                      <w:marRight w:val="0"/>
                      <w:marTop w:val="0"/>
                      <w:marBottom w:val="0"/>
                      <w:divBdr>
                        <w:top w:val="none" w:sz="0" w:space="0" w:color="auto"/>
                        <w:left w:val="none" w:sz="0" w:space="0" w:color="auto"/>
                        <w:bottom w:val="none" w:sz="0" w:space="0" w:color="auto"/>
                        <w:right w:val="none" w:sz="0" w:space="0" w:color="auto"/>
                      </w:divBdr>
                      <w:divsChild>
                        <w:div w:id="184947880">
                          <w:marLeft w:val="0"/>
                          <w:marRight w:val="0"/>
                          <w:marTop w:val="0"/>
                          <w:marBottom w:val="0"/>
                          <w:divBdr>
                            <w:top w:val="none" w:sz="0" w:space="0" w:color="auto"/>
                            <w:left w:val="none" w:sz="0" w:space="0" w:color="auto"/>
                            <w:bottom w:val="none" w:sz="0" w:space="0" w:color="auto"/>
                            <w:right w:val="none" w:sz="0" w:space="0" w:color="auto"/>
                          </w:divBdr>
                        </w:div>
                      </w:divsChild>
                    </w:div>
                    <w:div w:id="1849902307">
                      <w:marLeft w:val="0"/>
                      <w:marRight w:val="0"/>
                      <w:marTop w:val="0"/>
                      <w:marBottom w:val="0"/>
                      <w:divBdr>
                        <w:top w:val="none" w:sz="0" w:space="0" w:color="auto"/>
                        <w:left w:val="none" w:sz="0" w:space="0" w:color="auto"/>
                        <w:bottom w:val="none" w:sz="0" w:space="0" w:color="auto"/>
                        <w:right w:val="none" w:sz="0" w:space="0" w:color="auto"/>
                      </w:divBdr>
                      <w:divsChild>
                        <w:div w:id="563567588">
                          <w:marLeft w:val="0"/>
                          <w:marRight w:val="0"/>
                          <w:marTop w:val="0"/>
                          <w:marBottom w:val="0"/>
                          <w:divBdr>
                            <w:top w:val="none" w:sz="0" w:space="0" w:color="auto"/>
                            <w:left w:val="none" w:sz="0" w:space="0" w:color="auto"/>
                            <w:bottom w:val="none" w:sz="0" w:space="0" w:color="auto"/>
                            <w:right w:val="none" w:sz="0" w:space="0" w:color="auto"/>
                          </w:divBdr>
                        </w:div>
                      </w:divsChild>
                    </w:div>
                    <w:div w:id="1851867639">
                      <w:marLeft w:val="0"/>
                      <w:marRight w:val="0"/>
                      <w:marTop w:val="0"/>
                      <w:marBottom w:val="0"/>
                      <w:divBdr>
                        <w:top w:val="none" w:sz="0" w:space="0" w:color="auto"/>
                        <w:left w:val="none" w:sz="0" w:space="0" w:color="auto"/>
                        <w:bottom w:val="none" w:sz="0" w:space="0" w:color="auto"/>
                        <w:right w:val="none" w:sz="0" w:space="0" w:color="auto"/>
                      </w:divBdr>
                      <w:divsChild>
                        <w:div w:id="706174832">
                          <w:marLeft w:val="0"/>
                          <w:marRight w:val="0"/>
                          <w:marTop w:val="0"/>
                          <w:marBottom w:val="0"/>
                          <w:divBdr>
                            <w:top w:val="none" w:sz="0" w:space="0" w:color="auto"/>
                            <w:left w:val="none" w:sz="0" w:space="0" w:color="auto"/>
                            <w:bottom w:val="none" w:sz="0" w:space="0" w:color="auto"/>
                            <w:right w:val="none" w:sz="0" w:space="0" w:color="auto"/>
                          </w:divBdr>
                        </w:div>
                      </w:divsChild>
                    </w:div>
                    <w:div w:id="1852451069">
                      <w:marLeft w:val="0"/>
                      <w:marRight w:val="0"/>
                      <w:marTop w:val="0"/>
                      <w:marBottom w:val="0"/>
                      <w:divBdr>
                        <w:top w:val="none" w:sz="0" w:space="0" w:color="auto"/>
                        <w:left w:val="none" w:sz="0" w:space="0" w:color="auto"/>
                        <w:bottom w:val="none" w:sz="0" w:space="0" w:color="auto"/>
                        <w:right w:val="none" w:sz="0" w:space="0" w:color="auto"/>
                      </w:divBdr>
                      <w:divsChild>
                        <w:div w:id="1581212395">
                          <w:marLeft w:val="0"/>
                          <w:marRight w:val="0"/>
                          <w:marTop w:val="0"/>
                          <w:marBottom w:val="0"/>
                          <w:divBdr>
                            <w:top w:val="none" w:sz="0" w:space="0" w:color="auto"/>
                            <w:left w:val="none" w:sz="0" w:space="0" w:color="auto"/>
                            <w:bottom w:val="none" w:sz="0" w:space="0" w:color="auto"/>
                            <w:right w:val="none" w:sz="0" w:space="0" w:color="auto"/>
                          </w:divBdr>
                        </w:div>
                      </w:divsChild>
                    </w:div>
                    <w:div w:id="1882011222">
                      <w:marLeft w:val="0"/>
                      <w:marRight w:val="0"/>
                      <w:marTop w:val="0"/>
                      <w:marBottom w:val="0"/>
                      <w:divBdr>
                        <w:top w:val="none" w:sz="0" w:space="0" w:color="auto"/>
                        <w:left w:val="none" w:sz="0" w:space="0" w:color="auto"/>
                        <w:bottom w:val="none" w:sz="0" w:space="0" w:color="auto"/>
                        <w:right w:val="none" w:sz="0" w:space="0" w:color="auto"/>
                      </w:divBdr>
                      <w:divsChild>
                        <w:div w:id="1446457944">
                          <w:marLeft w:val="0"/>
                          <w:marRight w:val="0"/>
                          <w:marTop w:val="0"/>
                          <w:marBottom w:val="0"/>
                          <w:divBdr>
                            <w:top w:val="none" w:sz="0" w:space="0" w:color="auto"/>
                            <w:left w:val="none" w:sz="0" w:space="0" w:color="auto"/>
                            <w:bottom w:val="none" w:sz="0" w:space="0" w:color="auto"/>
                            <w:right w:val="none" w:sz="0" w:space="0" w:color="auto"/>
                          </w:divBdr>
                        </w:div>
                      </w:divsChild>
                    </w:div>
                    <w:div w:id="1884562489">
                      <w:marLeft w:val="0"/>
                      <w:marRight w:val="0"/>
                      <w:marTop w:val="0"/>
                      <w:marBottom w:val="0"/>
                      <w:divBdr>
                        <w:top w:val="none" w:sz="0" w:space="0" w:color="auto"/>
                        <w:left w:val="none" w:sz="0" w:space="0" w:color="auto"/>
                        <w:bottom w:val="none" w:sz="0" w:space="0" w:color="auto"/>
                        <w:right w:val="none" w:sz="0" w:space="0" w:color="auto"/>
                      </w:divBdr>
                      <w:divsChild>
                        <w:div w:id="601494642">
                          <w:marLeft w:val="0"/>
                          <w:marRight w:val="0"/>
                          <w:marTop w:val="0"/>
                          <w:marBottom w:val="0"/>
                          <w:divBdr>
                            <w:top w:val="none" w:sz="0" w:space="0" w:color="auto"/>
                            <w:left w:val="none" w:sz="0" w:space="0" w:color="auto"/>
                            <w:bottom w:val="none" w:sz="0" w:space="0" w:color="auto"/>
                            <w:right w:val="none" w:sz="0" w:space="0" w:color="auto"/>
                          </w:divBdr>
                        </w:div>
                      </w:divsChild>
                    </w:div>
                    <w:div w:id="1896427422">
                      <w:marLeft w:val="0"/>
                      <w:marRight w:val="0"/>
                      <w:marTop w:val="0"/>
                      <w:marBottom w:val="0"/>
                      <w:divBdr>
                        <w:top w:val="none" w:sz="0" w:space="0" w:color="auto"/>
                        <w:left w:val="none" w:sz="0" w:space="0" w:color="auto"/>
                        <w:bottom w:val="none" w:sz="0" w:space="0" w:color="auto"/>
                        <w:right w:val="none" w:sz="0" w:space="0" w:color="auto"/>
                      </w:divBdr>
                      <w:divsChild>
                        <w:div w:id="445004663">
                          <w:marLeft w:val="0"/>
                          <w:marRight w:val="0"/>
                          <w:marTop w:val="0"/>
                          <w:marBottom w:val="0"/>
                          <w:divBdr>
                            <w:top w:val="none" w:sz="0" w:space="0" w:color="auto"/>
                            <w:left w:val="none" w:sz="0" w:space="0" w:color="auto"/>
                            <w:bottom w:val="none" w:sz="0" w:space="0" w:color="auto"/>
                            <w:right w:val="none" w:sz="0" w:space="0" w:color="auto"/>
                          </w:divBdr>
                        </w:div>
                      </w:divsChild>
                    </w:div>
                    <w:div w:id="1898277592">
                      <w:marLeft w:val="0"/>
                      <w:marRight w:val="0"/>
                      <w:marTop w:val="0"/>
                      <w:marBottom w:val="0"/>
                      <w:divBdr>
                        <w:top w:val="none" w:sz="0" w:space="0" w:color="auto"/>
                        <w:left w:val="none" w:sz="0" w:space="0" w:color="auto"/>
                        <w:bottom w:val="none" w:sz="0" w:space="0" w:color="auto"/>
                        <w:right w:val="none" w:sz="0" w:space="0" w:color="auto"/>
                      </w:divBdr>
                      <w:divsChild>
                        <w:div w:id="2110420109">
                          <w:marLeft w:val="0"/>
                          <w:marRight w:val="0"/>
                          <w:marTop w:val="0"/>
                          <w:marBottom w:val="0"/>
                          <w:divBdr>
                            <w:top w:val="none" w:sz="0" w:space="0" w:color="auto"/>
                            <w:left w:val="none" w:sz="0" w:space="0" w:color="auto"/>
                            <w:bottom w:val="none" w:sz="0" w:space="0" w:color="auto"/>
                            <w:right w:val="none" w:sz="0" w:space="0" w:color="auto"/>
                          </w:divBdr>
                        </w:div>
                      </w:divsChild>
                    </w:div>
                    <w:div w:id="1924221979">
                      <w:marLeft w:val="0"/>
                      <w:marRight w:val="0"/>
                      <w:marTop w:val="0"/>
                      <w:marBottom w:val="0"/>
                      <w:divBdr>
                        <w:top w:val="none" w:sz="0" w:space="0" w:color="auto"/>
                        <w:left w:val="none" w:sz="0" w:space="0" w:color="auto"/>
                        <w:bottom w:val="none" w:sz="0" w:space="0" w:color="auto"/>
                        <w:right w:val="none" w:sz="0" w:space="0" w:color="auto"/>
                      </w:divBdr>
                      <w:divsChild>
                        <w:div w:id="1387215982">
                          <w:marLeft w:val="0"/>
                          <w:marRight w:val="0"/>
                          <w:marTop w:val="0"/>
                          <w:marBottom w:val="0"/>
                          <w:divBdr>
                            <w:top w:val="none" w:sz="0" w:space="0" w:color="auto"/>
                            <w:left w:val="none" w:sz="0" w:space="0" w:color="auto"/>
                            <w:bottom w:val="none" w:sz="0" w:space="0" w:color="auto"/>
                            <w:right w:val="none" w:sz="0" w:space="0" w:color="auto"/>
                          </w:divBdr>
                        </w:div>
                      </w:divsChild>
                    </w:div>
                    <w:div w:id="1932077526">
                      <w:marLeft w:val="0"/>
                      <w:marRight w:val="0"/>
                      <w:marTop w:val="0"/>
                      <w:marBottom w:val="0"/>
                      <w:divBdr>
                        <w:top w:val="none" w:sz="0" w:space="0" w:color="auto"/>
                        <w:left w:val="none" w:sz="0" w:space="0" w:color="auto"/>
                        <w:bottom w:val="none" w:sz="0" w:space="0" w:color="auto"/>
                        <w:right w:val="none" w:sz="0" w:space="0" w:color="auto"/>
                      </w:divBdr>
                      <w:divsChild>
                        <w:div w:id="742873771">
                          <w:marLeft w:val="0"/>
                          <w:marRight w:val="0"/>
                          <w:marTop w:val="0"/>
                          <w:marBottom w:val="0"/>
                          <w:divBdr>
                            <w:top w:val="none" w:sz="0" w:space="0" w:color="auto"/>
                            <w:left w:val="none" w:sz="0" w:space="0" w:color="auto"/>
                            <w:bottom w:val="none" w:sz="0" w:space="0" w:color="auto"/>
                            <w:right w:val="none" w:sz="0" w:space="0" w:color="auto"/>
                          </w:divBdr>
                        </w:div>
                      </w:divsChild>
                    </w:div>
                    <w:div w:id="1940261727">
                      <w:marLeft w:val="0"/>
                      <w:marRight w:val="0"/>
                      <w:marTop w:val="0"/>
                      <w:marBottom w:val="0"/>
                      <w:divBdr>
                        <w:top w:val="none" w:sz="0" w:space="0" w:color="auto"/>
                        <w:left w:val="none" w:sz="0" w:space="0" w:color="auto"/>
                        <w:bottom w:val="none" w:sz="0" w:space="0" w:color="auto"/>
                        <w:right w:val="none" w:sz="0" w:space="0" w:color="auto"/>
                      </w:divBdr>
                      <w:divsChild>
                        <w:div w:id="962880572">
                          <w:marLeft w:val="0"/>
                          <w:marRight w:val="0"/>
                          <w:marTop w:val="0"/>
                          <w:marBottom w:val="0"/>
                          <w:divBdr>
                            <w:top w:val="none" w:sz="0" w:space="0" w:color="auto"/>
                            <w:left w:val="none" w:sz="0" w:space="0" w:color="auto"/>
                            <w:bottom w:val="none" w:sz="0" w:space="0" w:color="auto"/>
                            <w:right w:val="none" w:sz="0" w:space="0" w:color="auto"/>
                          </w:divBdr>
                        </w:div>
                      </w:divsChild>
                    </w:div>
                    <w:div w:id="1946618396">
                      <w:marLeft w:val="0"/>
                      <w:marRight w:val="0"/>
                      <w:marTop w:val="0"/>
                      <w:marBottom w:val="0"/>
                      <w:divBdr>
                        <w:top w:val="none" w:sz="0" w:space="0" w:color="auto"/>
                        <w:left w:val="none" w:sz="0" w:space="0" w:color="auto"/>
                        <w:bottom w:val="none" w:sz="0" w:space="0" w:color="auto"/>
                        <w:right w:val="none" w:sz="0" w:space="0" w:color="auto"/>
                      </w:divBdr>
                      <w:divsChild>
                        <w:div w:id="299924381">
                          <w:marLeft w:val="0"/>
                          <w:marRight w:val="0"/>
                          <w:marTop w:val="0"/>
                          <w:marBottom w:val="0"/>
                          <w:divBdr>
                            <w:top w:val="none" w:sz="0" w:space="0" w:color="auto"/>
                            <w:left w:val="none" w:sz="0" w:space="0" w:color="auto"/>
                            <w:bottom w:val="none" w:sz="0" w:space="0" w:color="auto"/>
                            <w:right w:val="none" w:sz="0" w:space="0" w:color="auto"/>
                          </w:divBdr>
                        </w:div>
                      </w:divsChild>
                    </w:div>
                    <w:div w:id="1947494438">
                      <w:marLeft w:val="0"/>
                      <w:marRight w:val="0"/>
                      <w:marTop w:val="0"/>
                      <w:marBottom w:val="0"/>
                      <w:divBdr>
                        <w:top w:val="none" w:sz="0" w:space="0" w:color="auto"/>
                        <w:left w:val="none" w:sz="0" w:space="0" w:color="auto"/>
                        <w:bottom w:val="none" w:sz="0" w:space="0" w:color="auto"/>
                        <w:right w:val="none" w:sz="0" w:space="0" w:color="auto"/>
                      </w:divBdr>
                      <w:divsChild>
                        <w:div w:id="650519257">
                          <w:marLeft w:val="0"/>
                          <w:marRight w:val="0"/>
                          <w:marTop w:val="0"/>
                          <w:marBottom w:val="0"/>
                          <w:divBdr>
                            <w:top w:val="none" w:sz="0" w:space="0" w:color="auto"/>
                            <w:left w:val="none" w:sz="0" w:space="0" w:color="auto"/>
                            <w:bottom w:val="none" w:sz="0" w:space="0" w:color="auto"/>
                            <w:right w:val="none" w:sz="0" w:space="0" w:color="auto"/>
                          </w:divBdr>
                        </w:div>
                      </w:divsChild>
                    </w:div>
                    <w:div w:id="1951352954">
                      <w:marLeft w:val="0"/>
                      <w:marRight w:val="0"/>
                      <w:marTop w:val="0"/>
                      <w:marBottom w:val="0"/>
                      <w:divBdr>
                        <w:top w:val="none" w:sz="0" w:space="0" w:color="auto"/>
                        <w:left w:val="none" w:sz="0" w:space="0" w:color="auto"/>
                        <w:bottom w:val="none" w:sz="0" w:space="0" w:color="auto"/>
                        <w:right w:val="none" w:sz="0" w:space="0" w:color="auto"/>
                      </w:divBdr>
                      <w:divsChild>
                        <w:div w:id="140394106">
                          <w:marLeft w:val="0"/>
                          <w:marRight w:val="0"/>
                          <w:marTop w:val="0"/>
                          <w:marBottom w:val="0"/>
                          <w:divBdr>
                            <w:top w:val="none" w:sz="0" w:space="0" w:color="auto"/>
                            <w:left w:val="none" w:sz="0" w:space="0" w:color="auto"/>
                            <w:bottom w:val="none" w:sz="0" w:space="0" w:color="auto"/>
                            <w:right w:val="none" w:sz="0" w:space="0" w:color="auto"/>
                          </w:divBdr>
                        </w:div>
                      </w:divsChild>
                    </w:div>
                    <w:div w:id="1959605587">
                      <w:marLeft w:val="0"/>
                      <w:marRight w:val="0"/>
                      <w:marTop w:val="0"/>
                      <w:marBottom w:val="0"/>
                      <w:divBdr>
                        <w:top w:val="none" w:sz="0" w:space="0" w:color="auto"/>
                        <w:left w:val="none" w:sz="0" w:space="0" w:color="auto"/>
                        <w:bottom w:val="none" w:sz="0" w:space="0" w:color="auto"/>
                        <w:right w:val="none" w:sz="0" w:space="0" w:color="auto"/>
                      </w:divBdr>
                      <w:divsChild>
                        <w:div w:id="1053314110">
                          <w:marLeft w:val="0"/>
                          <w:marRight w:val="0"/>
                          <w:marTop w:val="0"/>
                          <w:marBottom w:val="0"/>
                          <w:divBdr>
                            <w:top w:val="none" w:sz="0" w:space="0" w:color="auto"/>
                            <w:left w:val="none" w:sz="0" w:space="0" w:color="auto"/>
                            <w:bottom w:val="none" w:sz="0" w:space="0" w:color="auto"/>
                            <w:right w:val="none" w:sz="0" w:space="0" w:color="auto"/>
                          </w:divBdr>
                        </w:div>
                      </w:divsChild>
                    </w:div>
                    <w:div w:id="1967539256">
                      <w:marLeft w:val="0"/>
                      <w:marRight w:val="0"/>
                      <w:marTop w:val="0"/>
                      <w:marBottom w:val="0"/>
                      <w:divBdr>
                        <w:top w:val="none" w:sz="0" w:space="0" w:color="auto"/>
                        <w:left w:val="none" w:sz="0" w:space="0" w:color="auto"/>
                        <w:bottom w:val="none" w:sz="0" w:space="0" w:color="auto"/>
                        <w:right w:val="none" w:sz="0" w:space="0" w:color="auto"/>
                      </w:divBdr>
                      <w:divsChild>
                        <w:div w:id="2121367000">
                          <w:marLeft w:val="0"/>
                          <w:marRight w:val="0"/>
                          <w:marTop w:val="0"/>
                          <w:marBottom w:val="0"/>
                          <w:divBdr>
                            <w:top w:val="none" w:sz="0" w:space="0" w:color="auto"/>
                            <w:left w:val="none" w:sz="0" w:space="0" w:color="auto"/>
                            <w:bottom w:val="none" w:sz="0" w:space="0" w:color="auto"/>
                            <w:right w:val="none" w:sz="0" w:space="0" w:color="auto"/>
                          </w:divBdr>
                        </w:div>
                      </w:divsChild>
                    </w:div>
                    <w:div w:id="1993218754">
                      <w:marLeft w:val="0"/>
                      <w:marRight w:val="0"/>
                      <w:marTop w:val="0"/>
                      <w:marBottom w:val="0"/>
                      <w:divBdr>
                        <w:top w:val="none" w:sz="0" w:space="0" w:color="auto"/>
                        <w:left w:val="none" w:sz="0" w:space="0" w:color="auto"/>
                        <w:bottom w:val="none" w:sz="0" w:space="0" w:color="auto"/>
                        <w:right w:val="none" w:sz="0" w:space="0" w:color="auto"/>
                      </w:divBdr>
                      <w:divsChild>
                        <w:div w:id="1544516502">
                          <w:marLeft w:val="0"/>
                          <w:marRight w:val="0"/>
                          <w:marTop w:val="0"/>
                          <w:marBottom w:val="0"/>
                          <w:divBdr>
                            <w:top w:val="none" w:sz="0" w:space="0" w:color="auto"/>
                            <w:left w:val="none" w:sz="0" w:space="0" w:color="auto"/>
                            <w:bottom w:val="none" w:sz="0" w:space="0" w:color="auto"/>
                            <w:right w:val="none" w:sz="0" w:space="0" w:color="auto"/>
                          </w:divBdr>
                        </w:div>
                      </w:divsChild>
                    </w:div>
                    <w:div w:id="1997029584">
                      <w:marLeft w:val="0"/>
                      <w:marRight w:val="0"/>
                      <w:marTop w:val="0"/>
                      <w:marBottom w:val="0"/>
                      <w:divBdr>
                        <w:top w:val="none" w:sz="0" w:space="0" w:color="auto"/>
                        <w:left w:val="none" w:sz="0" w:space="0" w:color="auto"/>
                        <w:bottom w:val="none" w:sz="0" w:space="0" w:color="auto"/>
                        <w:right w:val="none" w:sz="0" w:space="0" w:color="auto"/>
                      </w:divBdr>
                      <w:divsChild>
                        <w:div w:id="754789359">
                          <w:marLeft w:val="0"/>
                          <w:marRight w:val="0"/>
                          <w:marTop w:val="0"/>
                          <w:marBottom w:val="0"/>
                          <w:divBdr>
                            <w:top w:val="none" w:sz="0" w:space="0" w:color="auto"/>
                            <w:left w:val="none" w:sz="0" w:space="0" w:color="auto"/>
                            <w:bottom w:val="none" w:sz="0" w:space="0" w:color="auto"/>
                            <w:right w:val="none" w:sz="0" w:space="0" w:color="auto"/>
                          </w:divBdr>
                        </w:div>
                      </w:divsChild>
                    </w:div>
                    <w:div w:id="2001882087">
                      <w:marLeft w:val="0"/>
                      <w:marRight w:val="0"/>
                      <w:marTop w:val="0"/>
                      <w:marBottom w:val="0"/>
                      <w:divBdr>
                        <w:top w:val="none" w:sz="0" w:space="0" w:color="auto"/>
                        <w:left w:val="none" w:sz="0" w:space="0" w:color="auto"/>
                        <w:bottom w:val="none" w:sz="0" w:space="0" w:color="auto"/>
                        <w:right w:val="none" w:sz="0" w:space="0" w:color="auto"/>
                      </w:divBdr>
                      <w:divsChild>
                        <w:div w:id="1064722542">
                          <w:marLeft w:val="0"/>
                          <w:marRight w:val="0"/>
                          <w:marTop w:val="0"/>
                          <w:marBottom w:val="0"/>
                          <w:divBdr>
                            <w:top w:val="none" w:sz="0" w:space="0" w:color="auto"/>
                            <w:left w:val="none" w:sz="0" w:space="0" w:color="auto"/>
                            <w:bottom w:val="none" w:sz="0" w:space="0" w:color="auto"/>
                            <w:right w:val="none" w:sz="0" w:space="0" w:color="auto"/>
                          </w:divBdr>
                        </w:div>
                      </w:divsChild>
                    </w:div>
                    <w:div w:id="2008825149">
                      <w:marLeft w:val="0"/>
                      <w:marRight w:val="0"/>
                      <w:marTop w:val="0"/>
                      <w:marBottom w:val="0"/>
                      <w:divBdr>
                        <w:top w:val="none" w:sz="0" w:space="0" w:color="auto"/>
                        <w:left w:val="none" w:sz="0" w:space="0" w:color="auto"/>
                        <w:bottom w:val="none" w:sz="0" w:space="0" w:color="auto"/>
                        <w:right w:val="none" w:sz="0" w:space="0" w:color="auto"/>
                      </w:divBdr>
                      <w:divsChild>
                        <w:div w:id="1543202566">
                          <w:marLeft w:val="0"/>
                          <w:marRight w:val="0"/>
                          <w:marTop w:val="0"/>
                          <w:marBottom w:val="0"/>
                          <w:divBdr>
                            <w:top w:val="none" w:sz="0" w:space="0" w:color="auto"/>
                            <w:left w:val="none" w:sz="0" w:space="0" w:color="auto"/>
                            <w:bottom w:val="none" w:sz="0" w:space="0" w:color="auto"/>
                            <w:right w:val="none" w:sz="0" w:space="0" w:color="auto"/>
                          </w:divBdr>
                        </w:div>
                      </w:divsChild>
                    </w:div>
                    <w:div w:id="2017220521">
                      <w:marLeft w:val="0"/>
                      <w:marRight w:val="0"/>
                      <w:marTop w:val="0"/>
                      <w:marBottom w:val="0"/>
                      <w:divBdr>
                        <w:top w:val="none" w:sz="0" w:space="0" w:color="auto"/>
                        <w:left w:val="none" w:sz="0" w:space="0" w:color="auto"/>
                        <w:bottom w:val="none" w:sz="0" w:space="0" w:color="auto"/>
                        <w:right w:val="none" w:sz="0" w:space="0" w:color="auto"/>
                      </w:divBdr>
                      <w:divsChild>
                        <w:div w:id="1590847492">
                          <w:marLeft w:val="0"/>
                          <w:marRight w:val="0"/>
                          <w:marTop w:val="0"/>
                          <w:marBottom w:val="0"/>
                          <w:divBdr>
                            <w:top w:val="none" w:sz="0" w:space="0" w:color="auto"/>
                            <w:left w:val="none" w:sz="0" w:space="0" w:color="auto"/>
                            <w:bottom w:val="none" w:sz="0" w:space="0" w:color="auto"/>
                            <w:right w:val="none" w:sz="0" w:space="0" w:color="auto"/>
                          </w:divBdr>
                        </w:div>
                      </w:divsChild>
                    </w:div>
                    <w:div w:id="2021736220">
                      <w:marLeft w:val="0"/>
                      <w:marRight w:val="0"/>
                      <w:marTop w:val="0"/>
                      <w:marBottom w:val="0"/>
                      <w:divBdr>
                        <w:top w:val="none" w:sz="0" w:space="0" w:color="auto"/>
                        <w:left w:val="none" w:sz="0" w:space="0" w:color="auto"/>
                        <w:bottom w:val="none" w:sz="0" w:space="0" w:color="auto"/>
                        <w:right w:val="none" w:sz="0" w:space="0" w:color="auto"/>
                      </w:divBdr>
                      <w:divsChild>
                        <w:div w:id="1698701944">
                          <w:marLeft w:val="0"/>
                          <w:marRight w:val="0"/>
                          <w:marTop w:val="0"/>
                          <w:marBottom w:val="0"/>
                          <w:divBdr>
                            <w:top w:val="none" w:sz="0" w:space="0" w:color="auto"/>
                            <w:left w:val="none" w:sz="0" w:space="0" w:color="auto"/>
                            <w:bottom w:val="none" w:sz="0" w:space="0" w:color="auto"/>
                            <w:right w:val="none" w:sz="0" w:space="0" w:color="auto"/>
                          </w:divBdr>
                        </w:div>
                      </w:divsChild>
                    </w:div>
                    <w:div w:id="2025664055">
                      <w:marLeft w:val="0"/>
                      <w:marRight w:val="0"/>
                      <w:marTop w:val="0"/>
                      <w:marBottom w:val="0"/>
                      <w:divBdr>
                        <w:top w:val="none" w:sz="0" w:space="0" w:color="auto"/>
                        <w:left w:val="none" w:sz="0" w:space="0" w:color="auto"/>
                        <w:bottom w:val="none" w:sz="0" w:space="0" w:color="auto"/>
                        <w:right w:val="none" w:sz="0" w:space="0" w:color="auto"/>
                      </w:divBdr>
                      <w:divsChild>
                        <w:div w:id="461270874">
                          <w:marLeft w:val="0"/>
                          <w:marRight w:val="0"/>
                          <w:marTop w:val="0"/>
                          <w:marBottom w:val="0"/>
                          <w:divBdr>
                            <w:top w:val="none" w:sz="0" w:space="0" w:color="auto"/>
                            <w:left w:val="none" w:sz="0" w:space="0" w:color="auto"/>
                            <w:bottom w:val="none" w:sz="0" w:space="0" w:color="auto"/>
                            <w:right w:val="none" w:sz="0" w:space="0" w:color="auto"/>
                          </w:divBdr>
                        </w:div>
                      </w:divsChild>
                    </w:div>
                    <w:div w:id="2034841776">
                      <w:marLeft w:val="0"/>
                      <w:marRight w:val="0"/>
                      <w:marTop w:val="0"/>
                      <w:marBottom w:val="0"/>
                      <w:divBdr>
                        <w:top w:val="none" w:sz="0" w:space="0" w:color="auto"/>
                        <w:left w:val="none" w:sz="0" w:space="0" w:color="auto"/>
                        <w:bottom w:val="none" w:sz="0" w:space="0" w:color="auto"/>
                        <w:right w:val="none" w:sz="0" w:space="0" w:color="auto"/>
                      </w:divBdr>
                      <w:divsChild>
                        <w:div w:id="395973376">
                          <w:marLeft w:val="0"/>
                          <w:marRight w:val="0"/>
                          <w:marTop w:val="0"/>
                          <w:marBottom w:val="0"/>
                          <w:divBdr>
                            <w:top w:val="none" w:sz="0" w:space="0" w:color="auto"/>
                            <w:left w:val="none" w:sz="0" w:space="0" w:color="auto"/>
                            <w:bottom w:val="none" w:sz="0" w:space="0" w:color="auto"/>
                            <w:right w:val="none" w:sz="0" w:space="0" w:color="auto"/>
                          </w:divBdr>
                        </w:div>
                      </w:divsChild>
                    </w:div>
                    <w:div w:id="2038457124">
                      <w:marLeft w:val="0"/>
                      <w:marRight w:val="0"/>
                      <w:marTop w:val="0"/>
                      <w:marBottom w:val="0"/>
                      <w:divBdr>
                        <w:top w:val="none" w:sz="0" w:space="0" w:color="auto"/>
                        <w:left w:val="none" w:sz="0" w:space="0" w:color="auto"/>
                        <w:bottom w:val="none" w:sz="0" w:space="0" w:color="auto"/>
                        <w:right w:val="none" w:sz="0" w:space="0" w:color="auto"/>
                      </w:divBdr>
                      <w:divsChild>
                        <w:div w:id="606885083">
                          <w:marLeft w:val="0"/>
                          <w:marRight w:val="0"/>
                          <w:marTop w:val="0"/>
                          <w:marBottom w:val="0"/>
                          <w:divBdr>
                            <w:top w:val="none" w:sz="0" w:space="0" w:color="auto"/>
                            <w:left w:val="none" w:sz="0" w:space="0" w:color="auto"/>
                            <w:bottom w:val="none" w:sz="0" w:space="0" w:color="auto"/>
                            <w:right w:val="none" w:sz="0" w:space="0" w:color="auto"/>
                          </w:divBdr>
                        </w:div>
                      </w:divsChild>
                    </w:div>
                    <w:div w:id="2041975303">
                      <w:marLeft w:val="0"/>
                      <w:marRight w:val="0"/>
                      <w:marTop w:val="0"/>
                      <w:marBottom w:val="0"/>
                      <w:divBdr>
                        <w:top w:val="none" w:sz="0" w:space="0" w:color="auto"/>
                        <w:left w:val="none" w:sz="0" w:space="0" w:color="auto"/>
                        <w:bottom w:val="none" w:sz="0" w:space="0" w:color="auto"/>
                        <w:right w:val="none" w:sz="0" w:space="0" w:color="auto"/>
                      </w:divBdr>
                      <w:divsChild>
                        <w:div w:id="1800143492">
                          <w:marLeft w:val="0"/>
                          <w:marRight w:val="0"/>
                          <w:marTop w:val="0"/>
                          <w:marBottom w:val="0"/>
                          <w:divBdr>
                            <w:top w:val="none" w:sz="0" w:space="0" w:color="auto"/>
                            <w:left w:val="none" w:sz="0" w:space="0" w:color="auto"/>
                            <w:bottom w:val="none" w:sz="0" w:space="0" w:color="auto"/>
                            <w:right w:val="none" w:sz="0" w:space="0" w:color="auto"/>
                          </w:divBdr>
                        </w:div>
                      </w:divsChild>
                    </w:div>
                    <w:div w:id="2044359591">
                      <w:marLeft w:val="0"/>
                      <w:marRight w:val="0"/>
                      <w:marTop w:val="0"/>
                      <w:marBottom w:val="0"/>
                      <w:divBdr>
                        <w:top w:val="none" w:sz="0" w:space="0" w:color="auto"/>
                        <w:left w:val="none" w:sz="0" w:space="0" w:color="auto"/>
                        <w:bottom w:val="none" w:sz="0" w:space="0" w:color="auto"/>
                        <w:right w:val="none" w:sz="0" w:space="0" w:color="auto"/>
                      </w:divBdr>
                      <w:divsChild>
                        <w:div w:id="682131351">
                          <w:marLeft w:val="0"/>
                          <w:marRight w:val="0"/>
                          <w:marTop w:val="0"/>
                          <w:marBottom w:val="0"/>
                          <w:divBdr>
                            <w:top w:val="none" w:sz="0" w:space="0" w:color="auto"/>
                            <w:left w:val="none" w:sz="0" w:space="0" w:color="auto"/>
                            <w:bottom w:val="none" w:sz="0" w:space="0" w:color="auto"/>
                            <w:right w:val="none" w:sz="0" w:space="0" w:color="auto"/>
                          </w:divBdr>
                        </w:div>
                      </w:divsChild>
                    </w:div>
                    <w:div w:id="2076124668">
                      <w:marLeft w:val="0"/>
                      <w:marRight w:val="0"/>
                      <w:marTop w:val="0"/>
                      <w:marBottom w:val="0"/>
                      <w:divBdr>
                        <w:top w:val="none" w:sz="0" w:space="0" w:color="auto"/>
                        <w:left w:val="none" w:sz="0" w:space="0" w:color="auto"/>
                        <w:bottom w:val="none" w:sz="0" w:space="0" w:color="auto"/>
                        <w:right w:val="none" w:sz="0" w:space="0" w:color="auto"/>
                      </w:divBdr>
                      <w:divsChild>
                        <w:div w:id="1046754661">
                          <w:marLeft w:val="0"/>
                          <w:marRight w:val="0"/>
                          <w:marTop w:val="0"/>
                          <w:marBottom w:val="0"/>
                          <w:divBdr>
                            <w:top w:val="none" w:sz="0" w:space="0" w:color="auto"/>
                            <w:left w:val="none" w:sz="0" w:space="0" w:color="auto"/>
                            <w:bottom w:val="none" w:sz="0" w:space="0" w:color="auto"/>
                            <w:right w:val="none" w:sz="0" w:space="0" w:color="auto"/>
                          </w:divBdr>
                        </w:div>
                      </w:divsChild>
                    </w:div>
                    <w:div w:id="2078017568">
                      <w:marLeft w:val="0"/>
                      <w:marRight w:val="0"/>
                      <w:marTop w:val="0"/>
                      <w:marBottom w:val="0"/>
                      <w:divBdr>
                        <w:top w:val="none" w:sz="0" w:space="0" w:color="auto"/>
                        <w:left w:val="none" w:sz="0" w:space="0" w:color="auto"/>
                        <w:bottom w:val="none" w:sz="0" w:space="0" w:color="auto"/>
                        <w:right w:val="none" w:sz="0" w:space="0" w:color="auto"/>
                      </w:divBdr>
                      <w:divsChild>
                        <w:div w:id="1304654302">
                          <w:marLeft w:val="0"/>
                          <w:marRight w:val="0"/>
                          <w:marTop w:val="0"/>
                          <w:marBottom w:val="0"/>
                          <w:divBdr>
                            <w:top w:val="none" w:sz="0" w:space="0" w:color="auto"/>
                            <w:left w:val="none" w:sz="0" w:space="0" w:color="auto"/>
                            <w:bottom w:val="none" w:sz="0" w:space="0" w:color="auto"/>
                            <w:right w:val="none" w:sz="0" w:space="0" w:color="auto"/>
                          </w:divBdr>
                        </w:div>
                      </w:divsChild>
                    </w:div>
                    <w:div w:id="2096173055">
                      <w:marLeft w:val="0"/>
                      <w:marRight w:val="0"/>
                      <w:marTop w:val="0"/>
                      <w:marBottom w:val="0"/>
                      <w:divBdr>
                        <w:top w:val="none" w:sz="0" w:space="0" w:color="auto"/>
                        <w:left w:val="none" w:sz="0" w:space="0" w:color="auto"/>
                        <w:bottom w:val="none" w:sz="0" w:space="0" w:color="auto"/>
                        <w:right w:val="none" w:sz="0" w:space="0" w:color="auto"/>
                      </w:divBdr>
                      <w:divsChild>
                        <w:div w:id="504365092">
                          <w:marLeft w:val="0"/>
                          <w:marRight w:val="0"/>
                          <w:marTop w:val="0"/>
                          <w:marBottom w:val="0"/>
                          <w:divBdr>
                            <w:top w:val="none" w:sz="0" w:space="0" w:color="auto"/>
                            <w:left w:val="none" w:sz="0" w:space="0" w:color="auto"/>
                            <w:bottom w:val="none" w:sz="0" w:space="0" w:color="auto"/>
                            <w:right w:val="none" w:sz="0" w:space="0" w:color="auto"/>
                          </w:divBdr>
                        </w:div>
                      </w:divsChild>
                    </w:div>
                    <w:div w:id="2099135716">
                      <w:marLeft w:val="0"/>
                      <w:marRight w:val="0"/>
                      <w:marTop w:val="0"/>
                      <w:marBottom w:val="0"/>
                      <w:divBdr>
                        <w:top w:val="none" w:sz="0" w:space="0" w:color="auto"/>
                        <w:left w:val="none" w:sz="0" w:space="0" w:color="auto"/>
                        <w:bottom w:val="none" w:sz="0" w:space="0" w:color="auto"/>
                        <w:right w:val="none" w:sz="0" w:space="0" w:color="auto"/>
                      </w:divBdr>
                      <w:divsChild>
                        <w:div w:id="1138765233">
                          <w:marLeft w:val="0"/>
                          <w:marRight w:val="0"/>
                          <w:marTop w:val="0"/>
                          <w:marBottom w:val="0"/>
                          <w:divBdr>
                            <w:top w:val="none" w:sz="0" w:space="0" w:color="auto"/>
                            <w:left w:val="none" w:sz="0" w:space="0" w:color="auto"/>
                            <w:bottom w:val="none" w:sz="0" w:space="0" w:color="auto"/>
                            <w:right w:val="none" w:sz="0" w:space="0" w:color="auto"/>
                          </w:divBdr>
                        </w:div>
                      </w:divsChild>
                    </w:div>
                    <w:div w:id="2111074007">
                      <w:marLeft w:val="0"/>
                      <w:marRight w:val="0"/>
                      <w:marTop w:val="0"/>
                      <w:marBottom w:val="0"/>
                      <w:divBdr>
                        <w:top w:val="none" w:sz="0" w:space="0" w:color="auto"/>
                        <w:left w:val="none" w:sz="0" w:space="0" w:color="auto"/>
                        <w:bottom w:val="none" w:sz="0" w:space="0" w:color="auto"/>
                        <w:right w:val="none" w:sz="0" w:space="0" w:color="auto"/>
                      </w:divBdr>
                      <w:divsChild>
                        <w:div w:id="1462649173">
                          <w:marLeft w:val="0"/>
                          <w:marRight w:val="0"/>
                          <w:marTop w:val="0"/>
                          <w:marBottom w:val="0"/>
                          <w:divBdr>
                            <w:top w:val="none" w:sz="0" w:space="0" w:color="auto"/>
                            <w:left w:val="none" w:sz="0" w:space="0" w:color="auto"/>
                            <w:bottom w:val="none" w:sz="0" w:space="0" w:color="auto"/>
                            <w:right w:val="none" w:sz="0" w:space="0" w:color="auto"/>
                          </w:divBdr>
                        </w:div>
                      </w:divsChild>
                    </w:div>
                    <w:div w:id="2113164944">
                      <w:marLeft w:val="0"/>
                      <w:marRight w:val="0"/>
                      <w:marTop w:val="0"/>
                      <w:marBottom w:val="0"/>
                      <w:divBdr>
                        <w:top w:val="none" w:sz="0" w:space="0" w:color="auto"/>
                        <w:left w:val="none" w:sz="0" w:space="0" w:color="auto"/>
                        <w:bottom w:val="none" w:sz="0" w:space="0" w:color="auto"/>
                        <w:right w:val="none" w:sz="0" w:space="0" w:color="auto"/>
                      </w:divBdr>
                      <w:divsChild>
                        <w:div w:id="572617195">
                          <w:marLeft w:val="0"/>
                          <w:marRight w:val="0"/>
                          <w:marTop w:val="0"/>
                          <w:marBottom w:val="0"/>
                          <w:divBdr>
                            <w:top w:val="none" w:sz="0" w:space="0" w:color="auto"/>
                            <w:left w:val="none" w:sz="0" w:space="0" w:color="auto"/>
                            <w:bottom w:val="none" w:sz="0" w:space="0" w:color="auto"/>
                            <w:right w:val="none" w:sz="0" w:space="0" w:color="auto"/>
                          </w:divBdr>
                        </w:div>
                      </w:divsChild>
                    </w:div>
                    <w:div w:id="2121029020">
                      <w:marLeft w:val="0"/>
                      <w:marRight w:val="0"/>
                      <w:marTop w:val="0"/>
                      <w:marBottom w:val="0"/>
                      <w:divBdr>
                        <w:top w:val="none" w:sz="0" w:space="0" w:color="auto"/>
                        <w:left w:val="none" w:sz="0" w:space="0" w:color="auto"/>
                        <w:bottom w:val="none" w:sz="0" w:space="0" w:color="auto"/>
                        <w:right w:val="none" w:sz="0" w:space="0" w:color="auto"/>
                      </w:divBdr>
                      <w:divsChild>
                        <w:div w:id="1285505615">
                          <w:marLeft w:val="0"/>
                          <w:marRight w:val="0"/>
                          <w:marTop w:val="0"/>
                          <w:marBottom w:val="0"/>
                          <w:divBdr>
                            <w:top w:val="none" w:sz="0" w:space="0" w:color="auto"/>
                            <w:left w:val="none" w:sz="0" w:space="0" w:color="auto"/>
                            <w:bottom w:val="none" w:sz="0" w:space="0" w:color="auto"/>
                            <w:right w:val="none" w:sz="0" w:space="0" w:color="auto"/>
                          </w:divBdr>
                        </w:div>
                      </w:divsChild>
                    </w:div>
                    <w:div w:id="2121870786">
                      <w:marLeft w:val="0"/>
                      <w:marRight w:val="0"/>
                      <w:marTop w:val="0"/>
                      <w:marBottom w:val="0"/>
                      <w:divBdr>
                        <w:top w:val="none" w:sz="0" w:space="0" w:color="auto"/>
                        <w:left w:val="none" w:sz="0" w:space="0" w:color="auto"/>
                        <w:bottom w:val="none" w:sz="0" w:space="0" w:color="auto"/>
                        <w:right w:val="none" w:sz="0" w:space="0" w:color="auto"/>
                      </w:divBdr>
                      <w:divsChild>
                        <w:div w:id="1499887988">
                          <w:marLeft w:val="0"/>
                          <w:marRight w:val="0"/>
                          <w:marTop w:val="0"/>
                          <w:marBottom w:val="0"/>
                          <w:divBdr>
                            <w:top w:val="none" w:sz="0" w:space="0" w:color="auto"/>
                            <w:left w:val="none" w:sz="0" w:space="0" w:color="auto"/>
                            <w:bottom w:val="none" w:sz="0" w:space="0" w:color="auto"/>
                            <w:right w:val="none" w:sz="0" w:space="0" w:color="auto"/>
                          </w:divBdr>
                        </w:div>
                      </w:divsChild>
                    </w:div>
                    <w:div w:id="2142650453">
                      <w:marLeft w:val="0"/>
                      <w:marRight w:val="0"/>
                      <w:marTop w:val="0"/>
                      <w:marBottom w:val="0"/>
                      <w:divBdr>
                        <w:top w:val="none" w:sz="0" w:space="0" w:color="auto"/>
                        <w:left w:val="none" w:sz="0" w:space="0" w:color="auto"/>
                        <w:bottom w:val="none" w:sz="0" w:space="0" w:color="auto"/>
                        <w:right w:val="none" w:sz="0" w:space="0" w:color="auto"/>
                      </w:divBdr>
                      <w:divsChild>
                        <w:div w:id="3535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1185687">
      <w:bodyDiv w:val="1"/>
      <w:marLeft w:val="0"/>
      <w:marRight w:val="0"/>
      <w:marTop w:val="0"/>
      <w:marBottom w:val="0"/>
      <w:divBdr>
        <w:top w:val="none" w:sz="0" w:space="0" w:color="auto"/>
        <w:left w:val="none" w:sz="0" w:space="0" w:color="auto"/>
        <w:bottom w:val="none" w:sz="0" w:space="0" w:color="auto"/>
        <w:right w:val="none" w:sz="0" w:space="0" w:color="auto"/>
      </w:divBdr>
      <w:divsChild>
        <w:div w:id="4411894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00797955">
      <w:bodyDiv w:val="1"/>
      <w:marLeft w:val="0"/>
      <w:marRight w:val="0"/>
      <w:marTop w:val="0"/>
      <w:marBottom w:val="0"/>
      <w:divBdr>
        <w:top w:val="none" w:sz="0" w:space="0" w:color="auto"/>
        <w:left w:val="none" w:sz="0" w:space="0" w:color="auto"/>
        <w:bottom w:val="none" w:sz="0" w:space="0" w:color="auto"/>
        <w:right w:val="none" w:sz="0" w:space="0" w:color="auto"/>
      </w:divBdr>
      <w:divsChild>
        <w:div w:id="247349033">
          <w:marLeft w:val="0"/>
          <w:marRight w:val="0"/>
          <w:marTop w:val="0"/>
          <w:marBottom w:val="0"/>
          <w:divBdr>
            <w:top w:val="none" w:sz="0" w:space="0" w:color="auto"/>
            <w:left w:val="none" w:sz="0" w:space="0" w:color="auto"/>
            <w:bottom w:val="none" w:sz="0" w:space="0" w:color="auto"/>
            <w:right w:val="none" w:sz="0" w:space="0" w:color="auto"/>
          </w:divBdr>
          <w:divsChild>
            <w:div w:id="1268083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566174">
      <w:bodyDiv w:val="1"/>
      <w:marLeft w:val="0"/>
      <w:marRight w:val="0"/>
      <w:marTop w:val="0"/>
      <w:marBottom w:val="0"/>
      <w:divBdr>
        <w:top w:val="none" w:sz="0" w:space="0" w:color="auto"/>
        <w:left w:val="none" w:sz="0" w:space="0" w:color="auto"/>
        <w:bottom w:val="none" w:sz="0" w:space="0" w:color="auto"/>
        <w:right w:val="none" w:sz="0" w:space="0" w:color="auto"/>
      </w:divBdr>
    </w:div>
    <w:div w:id="1023551332">
      <w:bodyDiv w:val="1"/>
      <w:marLeft w:val="0"/>
      <w:marRight w:val="0"/>
      <w:marTop w:val="0"/>
      <w:marBottom w:val="0"/>
      <w:divBdr>
        <w:top w:val="none" w:sz="0" w:space="0" w:color="auto"/>
        <w:left w:val="none" w:sz="0" w:space="0" w:color="auto"/>
        <w:bottom w:val="none" w:sz="0" w:space="0" w:color="auto"/>
        <w:right w:val="none" w:sz="0" w:space="0" w:color="auto"/>
      </w:divBdr>
    </w:div>
    <w:div w:id="1079594712">
      <w:bodyDiv w:val="1"/>
      <w:marLeft w:val="0"/>
      <w:marRight w:val="0"/>
      <w:marTop w:val="0"/>
      <w:marBottom w:val="0"/>
      <w:divBdr>
        <w:top w:val="none" w:sz="0" w:space="0" w:color="auto"/>
        <w:left w:val="none" w:sz="0" w:space="0" w:color="auto"/>
        <w:bottom w:val="none" w:sz="0" w:space="0" w:color="auto"/>
        <w:right w:val="none" w:sz="0" w:space="0" w:color="auto"/>
      </w:divBdr>
    </w:div>
    <w:div w:id="1149322237">
      <w:bodyDiv w:val="1"/>
      <w:marLeft w:val="0"/>
      <w:marRight w:val="0"/>
      <w:marTop w:val="0"/>
      <w:marBottom w:val="0"/>
      <w:divBdr>
        <w:top w:val="none" w:sz="0" w:space="0" w:color="auto"/>
        <w:left w:val="none" w:sz="0" w:space="0" w:color="auto"/>
        <w:bottom w:val="none" w:sz="0" w:space="0" w:color="auto"/>
        <w:right w:val="none" w:sz="0" w:space="0" w:color="auto"/>
      </w:divBdr>
    </w:div>
    <w:div w:id="1277567740">
      <w:bodyDiv w:val="1"/>
      <w:marLeft w:val="0"/>
      <w:marRight w:val="0"/>
      <w:marTop w:val="0"/>
      <w:marBottom w:val="0"/>
      <w:divBdr>
        <w:top w:val="none" w:sz="0" w:space="0" w:color="auto"/>
        <w:left w:val="none" w:sz="0" w:space="0" w:color="auto"/>
        <w:bottom w:val="none" w:sz="0" w:space="0" w:color="auto"/>
        <w:right w:val="none" w:sz="0" w:space="0" w:color="auto"/>
      </w:divBdr>
      <w:divsChild>
        <w:div w:id="2123916560">
          <w:marLeft w:val="0"/>
          <w:marRight w:val="0"/>
          <w:marTop w:val="0"/>
          <w:marBottom w:val="0"/>
          <w:divBdr>
            <w:top w:val="none" w:sz="0" w:space="0" w:color="auto"/>
            <w:left w:val="none" w:sz="0" w:space="0" w:color="auto"/>
            <w:bottom w:val="none" w:sz="0" w:space="0" w:color="auto"/>
            <w:right w:val="none" w:sz="0" w:space="0" w:color="auto"/>
          </w:divBdr>
        </w:div>
      </w:divsChild>
    </w:div>
    <w:div w:id="1380011644">
      <w:bodyDiv w:val="1"/>
      <w:marLeft w:val="0"/>
      <w:marRight w:val="0"/>
      <w:marTop w:val="0"/>
      <w:marBottom w:val="0"/>
      <w:divBdr>
        <w:top w:val="none" w:sz="0" w:space="0" w:color="auto"/>
        <w:left w:val="none" w:sz="0" w:space="0" w:color="auto"/>
        <w:bottom w:val="none" w:sz="0" w:space="0" w:color="auto"/>
        <w:right w:val="none" w:sz="0" w:space="0" w:color="auto"/>
      </w:divBdr>
      <w:divsChild>
        <w:div w:id="1304852884">
          <w:marLeft w:val="0"/>
          <w:marRight w:val="0"/>
          <w:marTop w:val="0"/>
          <w:marBottom w:val="0"/>
          <w:divBdr>
            <w:top w:val="none" w:sz="0" w:space="0" w:color="auto"/>
            <w:left w:val="none" w:sz="0" w:space="0" w:color="auto"/>
            <w:bottom w:val="none" w:sz="0" w:space="0" w:color="auto"/>
            <w:right w:val="none" w:sz="0" w:space="0" w:color="auto"/>
          </w:divBdr>
          <w:divsChild>
            <w:div w:id="297954597">
              <w:marLeft w:val="0"/>
              <w:marRight w:val="0"/>
              <w:marTop w:val="0"/>
              <w:marBottom w:val="0"/>
              <w:divBdr>
                <w:top w:val="none" w:sz="0" w:space="0" w:color="auto"/>
                <w:left w:val="none" w:sz="0" w:space="0" w:color="auto"/>
                <w:bottom w:val="none" w:sz="0" w:space="0" w:color="auto"/>
                <w:right w:val="none" w:sz="0" w:space="0" w:color="auto"/>
              </w:divBdr>
              <w:divsChild>
                <w:div w:id="23108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476439">
      <w:bodyDiv w:val="1"/>
      <w:marLeft w:val="0"/>
      <w:marRight w:val="0"/>
      <w:marTop w:val="0"/>
      <w:marBottom w:val="0"/>
      <w:divBdr>
        <w:top w:val="none" w:sz="0" w:space="0" w:color="auto"/>
        <w:left w:val="none" w:sz="0" w:space="0" w:color="auto"/>
        <w:bottom w:val="none" w:sz="0" w:space="0" w:color="auto"/>
        <w:right w:val="none" w:sz="0" w:space="0" w:color="auto"/>
      </w:divBdr>
      <w:divsChild>
        <w:div w:id="456417082">
          <w:marLeft w:val="0"/>
          <w:marRight w:val="0"/>
          <w:marTop w:val="0"/>
          <w:marBottom w:val="0"/>
          <w:divBdr>
            <w:top w:val="none" w:sz="0" w:space="0" w:color="auto"/>
            <w:left w:val="none" w:sz="0" w:space="0" w:color="auto"/>
            <w:bottom w:val="none" w:sz="0" w:space="0" w:color="auto"/>
            <w:right w:val="none" w:sz="0" w:space="0" w:color="auto"/>
          </w:divBdr>
          <w:divsChild>
            <w:div w:id="913050288">
              <w:marLeft w:val="0"/>
              <w:marRight w:val="0"/>
              <w:marTop w:val="0"/>
              <w:marBottom w:val="0"/>
              <w:divBdr>
                <w:top w:val="none" w:sz="0" w:space="0" w:color="auto"/>
                <w:left w:val="none" w:sz="0" w:space="0" w:color="auto"/>
                <w:bottom w:val="none" w:sz="0" w:space="0" w:color="auto"/>
                <w:right w:val="none" w:sz="0" w:space="0" w:color="auto"/>
              </w:divBdr>
              <w:divsChild>
                <w:div w:id="954671688">
                  <w:marLeft w:val="0"/>
                  <w:marRight w:val="0"/>
                  <w:marTop w:val="0"/>
                  <w:marBottom w:val="0"/>
                  <w:divBdr>
                    <w:top w:val="none" w:sz="0" w:space="0" w:color="auto"/>
                    <w:left w:val="none" w:sz="0" w:space="0" w:color="auto"/>
                    <w:bottom w:val="none" w:sz="0" w:space="0" w:color="auto"/>
                    <w:right w:val="none" w:sz="0" w:space="0" w:color="auto"/>
                  </w:divBdr>
                  <w:divsChild>
                    <w:div w:id="26684951">
                      <w:marLeft w:val="0"/>
                      <w:marRight w:val="0"/>
                      <w:marTop w:val="0"/>
                      <w:marBottom w:val="0"/>
                      <w:divBdr>
                        <w:top w:val="none" w:sz="0" w:space="0" w:color="auto"/>
                        <w:left w:val="none" w:sz="0" w:space="0" w:color="auto"/>
                        <w:bottom w:val="none" w:sz="0" w:space="0" w:color="auto"/>
                        <w:right w:val="none" w:sz="0" w:space="0" w:color="auto"/>
                      </w:divBdr>
                      <w:divsChild>
                        <w:div w:id="1332827599">
                          <w:marLeft w:val="0"/>
                          <w:marRight w:val="0"/>
                          <w:marTop w:val="0"/>
                          <w:marBottom w:val="0"/>
                          <w:divBdr>
                            <w:top w:val="none" w:sz="0" w:space="0" w:color="auto"/>
                            <w:left w:val="none" w:sz="0" w:space="0" w:color="auto"/>
                            <w:bottom w:val="none" w:sz="0" w:space="0" w:color="auto"/>
                            <w:right w:val="none" w:sz="0" w:space="0" w:color="auto"/>
                          </w:divBdr>
                        </w:div>
                      </w:divsChild>
                    </w:div>
                    <w:div w:id="46995039">
                      <w:marLeft w:val="0"/>
                      <w:marRight w:val="0"/>
                      <w:marTop w:val="0"/>
                      <w:marBottom w:val="0"/>
                      <w:divBdr>
                        <w:top w:val="none" w:sz="0" w:space="0" w:color="auto"/>
                        <w:left w:val="none" w:sz="0" w:space="0" w:color="auto"/>
                        <w:bottom w:val="none" w:sz="0" w:space="0" w:color="auto"/>
                        <w:right w:val="none" w:sz="0" w:space="0" w:color="auto"/>
                      </w:divBdr>
                      <w:divsChild>
                        <w:div w:id="1471249036">
                          <w:marLeft w:val="0"/>
                          <w:marRight w:val="0"/>
                          <w:marTop w:val="0"/>
                          <w:marBottom w:val="0"/>
                          <w:divBdr>
                            <w:top w:val="none" w:sz="0" w:space="0" w:color="auto"/>
                            <w:left w:val="none" w:sz="0" w:space="0" w:color="auto"/>
                            <w:bottom w:val="none" w:sz="0" w:space="0" w:color="auto"/>
                            <w:right w:val="none" w:sz="0" w:space="0" w:color="auto"/>
                          </w:divBdr>
                        </w:div>
                      </w:divsChild>
                    </w:div>
                    <w:div w:id="65960589">
                      <w:marLeft w:val="0"/>
                      <w:marRight w:val="0"/>
                      <w:marTop w:val="0"/>
                      <w:marBottom w:val="0"/>
                      <w:divBdr>
                        <w:top w:val="none" w:sz="0" w:space="0" w:color="auto"/>
                        <w:left w:val="none" w:sz="0" w:space="0" w:color="auto"/>
                        <w:bottom w:val="none" w:sz="0" w:space="0" w:color="auto"/>
                        <w:right w:val="none" w:sz="0" w:space="0" w:color="auto"/>
                      </w:divBdr>
                      <w:divsChild>
                        <w:div w:id="1397432131">
                          <w:marLeft w:val="0"/>
                          <w:marRight w:val="0"/>
                          <w:marTop w:val="0"/>
                          <w:marBottom w:val="0"/>
                          <w:divBdr>
                            <w:top w:val="none" w:sz="0" w:space="0" w:color="auto"/>
                            <w:left w:val="none" w:sz="0" w:space="0" w:color="auto"/>
                            <w:bottom w:val="none" w:sz="0" w:space="0" w:color="auto"/>
                            <w:right w:val="none" w:sz="0" w:space="0" w:color="auto"/>
                          </w:divBdr>
                        </w:div>
                        <w:div w:id="1725905384">
                          <w:marLeft w:val="0"/>
                          <w:marRight w:val="0"/>
                          <w:marTop w:val="0"/>
                          <w:marBottom w:val="0"/>
                          <w:divBdr>
                            <w:top w:val="none" w:sz="0" w:space="0" w:color="auto"/>
                            <w:left w:val="none" w:sz="0" w:space="0" w:color="auto"/>
                            <w:bottom w:val="none" w:sz="0" w:space="0" w:color="auto"/>
                            <w:right w:val="none" w:sz="0" w:space="0" w:color="auto"/>
                          </w:divBdr>
                        </w:div>
                      </w:divsChild>
                    </w:div>
                    <w:div w:id="79261143">
                      <w:marLeft w:val="0"/>
                      <w:marRight w:val="0"/>
                      <w:marTop w:val="0"/>
                      <w:marBottom w:val="0"/>
                      <w:divBdr>
                        <w:top w:val="none" w:sz="0" w:space="0" w:color="auto"/>
                        <w:left w:val="none" w:sz="0" w:space="0" w:color="auto"/>
                        <w:bottom w:val="none" w:sz="0" w:space="0" w:color="auto"/>
                        <w:right w:val="none" w:sz="0" w:space="0" w:color="auto"/>
                      </w:divBdr>
                      <w:divsChild>
                        <w:div w:id="864291200">
                          <w:marLeft w:val="0"/>
                          <w:marRight w:val="0"/>
                          <w:marTop w:val="0"/>
                          <w:marBottom w:val="0"/>
                          <w:divBdr>
                            <w:top w:val="none" w:sz="0" w:space="0" w:color="auto"/>
                            <w:left w:val="none" w:sz="0" w:space="0" w:color="auto"/>
                            <w:bottom w:val="none" w:sz="0" w:space="0" w:color="auto"/>
                            <w:right w:val="none" w:sz="0" w:space="0" w:color="auto"/>
                          </w:divBdr>
                        </w:div>
                      </w:divsChild>
                    </w:div>
                    <w:div w:id="80611293">
                      <w:marLeft w:val="0"/>
                      <w:marRight w:val="0"/>
                      <w:marTop w:val="0"/>
                      <w:marBottom w:val="0"/>
                      <w:divBdr>
                        <w:top w:val="none" w:sz="0" w:space="0" w:color="auto"/>
                        <w:left w:val="none" w:sz="0" w:space="0" w:color="auto"/>
                        <w:bottom w:val="none" w:sz="0" w:space="0" w:color="auto"/>
                        <w:right w:val="none" w:sz="0" w:space="0" w:color="auto"/>
                      </w:divBdr>
                      <w:divsChild>
                        <w:div w:id="186678191">
                          <w:marLeft w:val="0"/>
                          <w:marRight w:val="0"/>
                          <w:marTop w:val="0"/>
                          <w:marBottom w:val="0"/>
                          <w:divBdr>
                            <w:top w:val="none" w:sz="0" w:space="0" w:color="auto"/>
                            <w:left w:val="none" w:sz="0" w:space="0" w:color="auto"/>
                            <w:bottom w:val="none" w:sz="0" w:space="0" w:color="auto"/>
                            <w:right w:val="none" w:sz="0" w:space="0" w:color="auto"/>
                          </w:divBdr>
                        </w:div>
                      </w:divsChild>
                    </w:div>
                    <w:div w:id="87386428">
                      <w:marLeft w:val="0"/>
                      <w:marRight w:val="0"/>
                      <w:marTop w:val="0"/>
                      <w:marBottom w:val="0"/>
                      <w:divBdr>
                        <w:top w:val="none" w:sz="0" w:space="0" w:color="auto"/>
                        <w:left w:val="none" w:sz="0" w:space="0" w:color="auto"/>
                        <w:bottom w:val="none" w:sz="0" w:space="0" w:color="auto"/>
                        <w:right w:val="none" w:sz="0" w:space="0" w:color="auto"/>
                      </w:divBdr>
                      <w:divsChild>
                        <w:div w:id="1181624520">
                          <w:marLeft w:val="0"/>
                          <w:marRight w:val="0"/>
                          <w:marTop w:val="0"/>
                          <w:marBottom w:val="0"/>
                          <w:divBdr>
                            <w:top w:val="none" w:sz="0" w:space="0" w:color="auto"/>
                            <w:left w:val="none" w:sz="0" w:space="0" w:color="auto"/>
                            <w:bottom w:val="none" w:sz="0" w:space="0" w:color="auto"/>
                            <w:right w:val="none" w:sz="0" w:space="0" w:color="auto"/>
                          </w:divBdr>
                        </w:div>
                      </w:divsChild>
                    </w:div>
                    <w:div w:id="94980775">
                      <w:marLeft w:val="0"/>
                      <w:marRight w:val="0"/>
                      <w:marTop w:val="0"/>
                      <w:marBottom w:val="0"/>
                      <w:divBdr>
                        <w:top w:val="none" w:sz="0" w:space="0" w:color="auto"/>
                        <w:left w:val="none" w:sz="0" w:space="0" w:color="auto"/>
                        <w:bottom w:val="none" w:sz="0" w:space="0" w:color="auto"/>
                        <w:right w:val="none" w:sz="0" w:space="0" w:color="auto"/>
                      </w:divBdr>
                      <w:divsChild>
                        <w:div w:id="952639420">
                          <w:marLeft w:val="0"/>
                          <w:marRight w:val="0"/>
                          <w:marTop w:val="0"/>
                          <w:marBottom w:val="0"/>
                          <w:divBdr>
                            <w:top w:val="none" w:sz="0" w:space="0" w:color="auto"/>
                            <w:left w:val="none" w:sz="0" w:space="0" w:color="auto"/>
                            <w:bottom w:val="none" w:sz="0" w:space="0" w:color="auto"/>
                            <w:right w:val="none" w:sz="0" w:space="0" w:color="auto"/>
                          </w:divBdr>
                        </w:div>
                      </w:divsChild>
                    </w:div>
                    <w:div w:id="101540181">
                      <w:marLeft w:val="0"/>
                      <w:marRight w:val="0"/>
                      <w:marTop w:val="0"/>
                      <w:marBottom w:val="0"/>
                      <w:divBdr>
                        <w:top w:val="none" w:sz="0" w:space="0" w:color="auto"/>
                        <w:left w:val="none" w:sz="0" w:space="0" w:color="auto"/>
                        <w:bottom w:val="none" w:sz="0" w:space="0" w:color="auto"/>
                        <w:right w:val="none" w:sz="0" w:space="0" w:color="auto"/>
                      </w:divBdr>
                      <w:divsChild>
                        <w:div w:id="1665546157">
                          <w:marLeft w:val="0"/>
                          <w:marRight w:val="0"/>
                          <w:marTop w:val="0"/>
                          <w:marBottom w:val="0"/>
                          <w:divBdr>
                            <w:top w:val="none" w:sz="0" w:space="0" w:color="auto"/>
                            <w:left w:val="none" w:sz="0" w:space="0" w:color="auto"/>
                            <w:bottom w:val="none" w:sz="0" w:space="0" w:color="auto"/>
                            <w:right w:val="none" w:sz="0" w:space="0" w:color="auto"/>
                          </w:divBdr>
                        </w:div>
                      </w:divsChild>
                    </w:div>
                    <w:div w:id="103696614">
                      <w:marLeft w:val="0"/>
                      <w:marRight w:val="0"/>
                      <w:marTop w:val="0"/>
                      <w:marBottom w:val="0"/>
                      <w:divBdr>
                        <w:top w:val="none" w:sz="0" w:space="0" w:color="auto"/>
                        <w:left w:val="none" w:sz="0" w:space="0" w:color="auto"/>
                        <w:bottom w:val="none" w:sz="0" w:space="0" w:color="auto"/>
                        <w:right w:val="none" w:sz="0" w:space="0" w:color="auto"/>
                      </w:divBdr>
                      <w:divsChild>
                        <w:div w:id="787352453">
                          <w:marLeft w:val="0"/>
                          <w:marRight w:val="0"/>
                          <w:marTop w:val="0"/>
                          <w:marBottom w:val="0"/>
                          <w:divBdr>
                            <w:top w:val="none" w:sz="0" w:space="0" w:color="auto"/>
                            <w:left w:val="none" w:sz="0" w:space="0" w:color="auto"/>
                            <w:bottom w:val="none" w:sz="0" w:space="0" w:color="auto"/>
                            <w:right w:val="none" w:sz="0" w:space="0" w:color="auto"/>
                          </w:divBdr>
                        </w:div>
                      </w:divsChild>
                    </w:div>
                    <w:div w:id="111174186">
                      <w:marLeft w:val="0"/>
                      <w:marRight w:val="0"/>
                      <w:marTop w:val="0"/>
                      <w:marBottom w:val="0"/>
                      <w:divBdr>
                        <w:top w:val="none" w:sz="0" w:space="0" w:color="auto"/>
                        <w:left w:val="none" w:sz="0" w:space="0" w:color="auto"/>
                        <w:bottom w:val="none" w:sz="0" w:space="0" w:color="auto"/>
                        <w:right w:val="none" w:sz="0" w:space="0" w:color="auto"/>
                      </w:divBdr>
                      <w:divsChild>
                        <w:div w:id="1040285395">
                          <w:marLeft w:val="0"/>
                          <w:marRight w:val="0"/>
                          <w:marTop w:val="0"/>
                          <w:marBottom w:val="0"/>
                          <w:divBdr>
                            <w:top w:val="none" w:sz="0" w:space="0" w:color="auto"/>
                            <w:left w:val="none" w:sz="0" w:space="0" w:color="auto"/>
                            <w:bottom w:val="none" w:sz="0" w:space="0" w:color="auto"/>
                            <w:right w:val="none" w:sz="0" w:space="0" w:color="auto"/>
                          </w:divBdr>
                        </w:div>
                      </w:divsChild>
                    </w:div>
                    <w:div w:id="129053298">
                      <w:marLeft w:val="0"/>
                      <w:marRight w:val="0"/>
                      <w:marTop w:val="0"/>
                      <w:marBottom w:val="0"/>
                      <w:divBdr>
                        <w:top w:val="none" w:sz="0" w:space="0" w:color="auto"/>
                        <w:left w:val="none" w:sz="0" w:space="0" w:color="auto"/>
                        <w:bottom w:val="none" w:sz="0" w:space="0" w:color="auto"/>
                        <w:right w:val="none" w:sz="0" w:space="0" w:color="auto"/>
                      </w:divBdr>
                      <w:divsChild>
                        <w:div w:id="399211949">
                          <w:marLeft w:val="0"/>
                          <w:marRight w:val="0"/>
                          <w:marTop w:val="0"/>
                          <w:marBottom w:val="0"/>
                          <w:divBdr>
                            <w:top w:val="none" w:sz="0" w:space="0" w:color="auto"/>
                            <w:left w:val="none" w:sz="0" w:space="0" w:color="auto"/>
                            <w:bottom w:val="none" w:sz="0" w:space="0" w:color="auto"/>
                            <w:right w:val="none" w:sz="0" w:space="0" w:color="auto"/>
                          </w:divBdr>
                        </w:div>
                      </w:divsChild>
                    </w:div>
                    <w:div w:id="134614438">
                      <w:marLeft w:val="0"/>
                      <w:marRight w:val="0"/>
                      <w:marTop w:val="0"/>
                      <w:marBottom w:val="0"/>
                      <w:divBdr>
                        <w:top w:val="none" w:sz="0" w:space="0" w:color="auto"/>
                        <w:left w:val="none" w:sz="0" w:space="0" w:color="auto"/>
                        <w:bottom w:val="none" w:sz="0" w:space="0" w:color="auto"/>
                        <w:right w:val="none" w:sz="0" w:space="0" w:color="auto"/>
                      </w:divBdr>
                      <w:divsChild>
                        <w:div w:id="1043671163">
                          <w:marLeft w:val="0"/>
                          <w:marRight w:val="0"/>
                          <w:marTop w:val="0"/>
                          <w:marBottom w:val="0"/>
                          <w:divBdr>
                            <w:top w:val="none" w:sz="0" w:space="0" w:color="auto"/>
                            <w:left w:val="none" w:sz="0" w:space="0" w:color="auto"/>
                            <w:bottom w:val="none" w:sz="0" w:space="0" w:color="auto"/>
                            <w:right w:val="none" w:sz="0" w:space="0" w:color="auto"/>
                          </w:divBdr>
                        </w:div>
                      </w:divsChild>
                    </w:div>
                    <w:div w:id="141502946">
                      <w:marLeft w:val="0"/>
                      <w:marRight w:val="0"/>
                      <w:marTop w:val="0"/>
                      <w:marBottom w:val="0"/>
                      <w:divBdr>
                        <w:top w:val="none" w:sz="0" w:space="0" w:color="auto"/>
                        <w:left w:val="none" w:sz="0" w:space="0" w:color="auto"/>
                        <w:bottom w:val="none" w:sz="0" w:space="0" w:color="auto"/>
                        <w:right w:val="none" w:sz="0" w:space="0" w:color="auto"/>
                      </w:divBdr>
                      <w:divsChild>
                        <w:div w:id="825123380">
                          <w:marLeft w:val="0"/>
                          <w:marRight w:val="0"/>
                          <w:marTop w:val="0"/>
                          <w:marBottom w:val="0"/>
                          <w:divBdr>
                            <w:top w:val="none" w:sz="0" w:space="0" w:color="auto"/>
                            <w:left w:val="none" w:sz="0" w:space="0" w:color="auto"/>
                            <w:bottom w:val="none" w:sz="0" w:space="0" w:color="auto"/>
                            <w:right w:val="none" w:sz="0" w:space="0" w:color="auto"/>
                          </w:divBdr>
                        </w:div>
                      </w:divsChild>
                    </w:div>
                    <w:div w:id="168494790">
                      <w:marLeft w:val="0"/>
                      <w:marRight w:val="0"/>
                      <w:marTop w:val="0"/>
                      <w:marBottom w:val="0"/>
                      <w:divBdr>
                        <w:top w:val="none" w:sz="0" w:space="0" w:color="auto"/>
                        <w:left w:val="none" w:sz="0" w:space="0" w:color="auto"/>
                        <w:bottom w:val="none" w:sz="0" w:space="0" w:color="auto"/>
                        <w:right w:val="none" w:sz="0" w:space="0" w:color="auto"/>
                      </w:divBdr>
                      <w:divsChild>
                        <w:div w:id="1625505023">
                          <w:marLeft w:val="0"/>
                          <w:marRight w:val="0"/>
                          <w:marTop w:val="0"/>
                          <w:marBottom w:val="0"/>
                          <w:divBdr>
                            <w:top w:val="none" w:sz="0" w:space="0" w:color="auto"/>
                            <w:left w:val="none" w:sz="0" w:space="0" w:color="auto"/>
                            <w:bottom w:val="none" w:sz="0" w:space="0" w:color="auto"/>
                            <w:right w:val="none" w:sz="0" w:space="0" w:color="auto"/>
                          </w:divBdr>
                        </w:div>
                      </w:divsChild>
                    </w:div>
                    <w:div w:id="175727467">
                      <w:marLeft w:val="0"/>
                      <w:marRight w:val="0"/>
                      <w:marTop w:val="0"/>
                      <w:marBottom w:val="0"/>
                      <w:divBdr>
                        <w:top w:val="none" w:sz="0" w:space="0" w:color="auto"/>
                        <w:left w:val="none" w:sz="0" w:space="0" w:color="auto"/>
                        <w:bottom w:val="none" w:sz="0" w:space="0" w:color="auto"/>
                        <w:right w:val="none" w:sz="0" w:space="0" w:color="auto"/>
                      </w:divBdr>
                      <w:divsChild>
                        <w:div w:id="1146628402">
                          <w:marLeft w:val="0"/>
                          <w:marRight w:val="0"/>
                          <w:marTop w:val="0"/>
                          <w:marBottom w:val="0"/>
                          <w:divBdr>
                            <w:top w:val="none" w:sz="0" w:space="0" w:color="auto"/>
                            <w:left w:val="none" w:sz="0" w:space="0" w:color="auto"/>
                            <w:bottom w:val="none" w:sz="0" w:space="0" w:color="auto"/>
                            <w:right w:val="none" w:sz="0" w:space="0" w:color="auto"/>
                          </w:divBdr>
                        </w:div>
                      </w:divsChild>
                    </w:div>
                    <w:div w:id="191192224">
                      <w:marLeft w:val="0"/>
                      <w:marRight w:val="0"/>
                      <w:marTop w:val="0"/>
                      <w:marBottom w:val="0"/>
                      <w:divBdr>
                        <w:top w:val="none" w:sz="0" w:space="0" w:color="auto"/>
                        <w:left w:val="none" w:sz="0" w:space="0" w:color="auto"/>
                        <w:bottom w:val="none" w:sz="0" w:space="0" w:color="auto"/>
                        <w:right w:val="none" w:sz="0" w:space="0" w:color="auto"/>
                      </w:divBdr>
                      <w:divsChild>
                        <w:div w:id="736172955">
                          <w:marLeft w:val="0"/>
                          <w:marRight w:val="0"/>
                          <w:marTop w:val="0"/>
                          <w:marBottom w:val="0"/>
                          <w:divBdr>
                            <w:top w:val="none" w:sz="0" w:space="0" w:color="auto"/>
                            <w:left w:val="none" w:sz="0" w:space="0" w:color="auto"/>
                            <w:bottom w:val="none" w:sz="0" w:space="0" w:color="auto"/>
                            <w:right w:val="none" w:sz="0" w:space="0" w:color="auto"/>
                          </w:divBdr>
                        </w:div>
                      </w:divsChild>
                    </w:div>
                    <w:div w:id="194583503">
                      <w:marLeft w:val="0"/>
                      <w:marRight w:val="0"/>
                      <w:marTop w:val="0"/>
                      <w:marBottom w:val="0"/>
                      <w:divBdr>
                        <w:top w:val="none" w:sz="0" w:space="0" w:color="auto"/>
                        <w:left w:val="none" w:sz="0" w:space="0" w:color="auto"/>
                        <w:bottom w:val="none" w:sz="0" w:space="0" w:color="auto"/>
                        <w:right w:val="none" w:sz="0" w:space="0" w:color="auto"/>
                      </w:divBdr>
                      <w:divsChild>
                        <w:div w:id="1057124513">
                          <w:marLeft w:val="0"/>
                          <w:marRight w:val="0"/>
                          <w:marTop w:val="0"/>
                          <w:marBottom w:val="0"/>
                          <w:divBdr>
                            <w:top w:val="none" w:sz="0" w:space="0" w:color="auto"/>
                            <w:left w:val="none" w:sz="0" w:space="0" w:color="auto"/>
                            <w:bottom w:val="none" w:sz="0" w:space="0" w:color="auto"/>
                            <w:right w:val="none" w:sz="0" w:space="0" w:color="auto"/>
                          </w:divBdr>
                        </w:div>
                      </w:divsChild>
                    </w:div>
                    <w:div w:id="196311299">
                      <w:marLeft w:val="0"/>
                      <w:marRight w:val="0"/>
                      <w:marTop w:val="0"/>
                      <w:marBottom w:val="0"/>
                      <w:divBdr>
                        <w:top w:val="none" w:sz="0" w:space="0" w:color="auto"/>
                        <w:left w:val="none" w:sz="0" w:space="0" w:color="auto"/>
                        <w:bottom w:val="none" w:sz="0" w:space="0" w:color="auto"/>
                        <w:right w:val="none" w:sz="0" w:space="0" w:color="auto"/>
                      </w:divBdr>
                      <w:divsChild>
                        <w:div w:id="675887742">
                          <w:marLeft w:val="0"/>
                          <w:marRight w:val="0"/>
                          <w:marTop w:val="0"/>
                          <w:marBottom w:val="0"/>
                          <w:divBdr>
                            <w:top w:val="none" w:sz="0" w:space="0" w:color="auto"/>
                            <w:left w:val="none" w:sz="0" w:space="0" w:color="auto"/>
                            <w:bottom w:val="none" w:sz="0" w:space="0" w:color="auto"/>
                            <w:right w:val="none" w:sz="0" w:space="0" w:color="auto"/>
                          </w:divBdr>
                        </w:div>
                      </w:divsChild>
                    </w:div>
                    <w:div w:id="196622074">
                      <w:marLeft w:val="0"/>
                      <w:marRight w:val="0"/>
                      <w:marTop w:val="0"/>
                      <w:marBottom w:val="0"/>
                      <w:divBdr>
                        <w:top w:val="none" w:sz="0" w:space="0" w:color="auto"/>
                        <w:left w:val="none" w:sz="0" w:space="0" w:color="auto"/>
                        <w:bottom w:val="none" w:sz="0" w:space="0" w:color="auto"/>
                        <w:right w:val="none" w:sz="0" w:space="0" w:color="auto"/>
                      </w:divBdr>
                      <w:divsChild>
                        <w:div w:id="1861308415">
                          <w:marLeft w:val="0"/>
                          <w:marRight w:val="0"/>
                          <w:marTop w:val="0"/>
                          <w:marBottom w:val="0"/>
                          <w:divBdr>
                            <w:top w:val="none" w:sz="0" w:space="0" w:color="auto"/>
                            <w:left w:val="none" w:sz="0" w:space="0" w:color="auto"/>
                            <w:bottom w:val="none" w:sz="0" w:space="0" w:color="auto"/>
                            <w:right w:val="none" w:sz="0" w:space="0" w:color="auto"/>
                          </w:divBdr>
                        </w:div>
                      </w:divsChild>
                    </w:div>
                    <w:div w:id="198930816">
                      <w:marLeft w:val="0"/>
                      <w:marRight w:val="0"/>
                      <w:marTop w:val="0"/>
                      <w:marBottom w:val="0"/>
                      <w:divBdr>
                        <w:top w:val="none" w:sz="0" w:space="0" w:color="auto"/>
                        <w:left w:val="none" w:sz="0" w:space="0" w:color="auto"/>
                        <w:bottom w:val="none" w:sz="0" w:space="0" w:color="auto"/>
                        <w:right w:val="none" w:sz="0" w:space="0" w:color="auto"/>
                      </w:divBdr>
                      <w:divsChild>
                        <w:div w:id="1380009842">
                          <w:marLeft w:val="0"/>
                          <w:marRight w:val="0"/>
                          <w:marTop w:val="0"/>
                          <w:marBottom w:val="0"/>
                          <w:divBdr>
                            <w:top w:val="none" w:sz="0" w:space="0" w:color="auto"/>
                            <w:left w:val="none" w:sz="0" w:space="0" w:color="auto"/>
                            <w:bottom w:val="none" w:sz="0" w:space="0" w:color="auto"/>
                            <w:right w:val="none" w:sz="0" w:space="0" w:color="auto"/>
                          </w:divBdr>
                        </w:div>
                      </w:divsChild>
                    </w:div>
                    <w:div w:id="200946272">
                      <w:marLeft w:val="0"/>
                      <w:marRight w:val="0"/>
                      <w:marTop w:val="0"/>
                      <w:marBottom w:val="0"/>
                      <w:divBdr>
                        <w:top w:val="none" w:sz="0" w:space="0" w:color="auto"/>
                        <w:left w:val="none" w:sz="0" w:space="0" w:color="auto"/>
                        <w:bottom w:val="none" w:sz="0" w:space="0" w:color="auto"/>
                        <w:right w:val="none" w:sz="0" w:space="0" w:color="auto"/>
                      </w:divBdr>
                      <w:divsChild>
                        <w:div w:id="759372081">
                          <w:marLeft w:val="0"/>
                          <w:marRight w:val="0"/>
                          <w:marTop w:val="0"/>
                          <w:marBottom w:val="0"/>
                          <w:divBdr>
                            <w:top w:val="none" w:sz="0" w:space="0" w:color="auto"/>
                            <w:left w:val="none" w:sz="0" w:space="0" w:color="auto"/>
                            <w:bottom w:val="none" w:sz="0" w:space="0" w:color="auto"/>
                            <w:right w:val="none" w:sz="0" w:space="0" w:color="auto"/>
                          </w:divBdr>
                        </w:div>
                      </w:divsChild>
                    </w:div>
                    <w:div w:id="239103022">
                      <w:marLeft w:val="0"/>
                      <w:marRight w:val="0"/>
                      <w:marTop w:val="0"/>
                      <w:marBottom w:val="0"/>
                      <w:divBdr>
                        <w:top w:val="none" w:sz="0" w:space="0" w:color="auto"/>
                        <w:left w:val="none" w:sz="0" w:space="0" w:color="auto"/>
                        <w:bottom w:val="none" w:sz="0" w:space="0" w:color="auto"/>
                        <w:right w:val="none" w:sz="0" w:space="0" w:color="auto"/>
                      </w:divBdr>
                      <w:divsChild>
                        <w:div w:id="2010253079">
                          <w:marLeft w:val="0"/>
                          <w:marRight w:val="0"/>
                          <w:marTop w:val="0"/>
                          <w:marBottom w:val="0"/>
                          <w:divBdr>
                            <w:top w:val="none" w:sz="0" w:space="0" w:color="auto"/>
                            <w:left w:val="none" w:sz="0" w:space="0" w:color="auto"/>
                            <w:bottom w:val="none" w:sz="0" w:space="0" w:color="auto"/>
                            <w:right w:val="none" w:sz="0" w:space="0" w:color="auto"/>
                          </w:divBdr>
                        </w:div>
                      </w:divsChild>
                    </w:div>
                    <w:div w:id="240942885">
                      <w:marLeft w:val="0"/>
                      <w:marRight w:val="0"/>
                      <w:marTop w:val="0"/>
                      <w:marBottom w:val="0"/>
                      <w:divBdr>
                        <w:top w:val="none" w:sz="0" w:space="0" w:color="auto"/>
                        <w:left w:val="none" w:sz="0" w:space="0" w:color="auto"/>
                        <w:bottom w:val="none" w:sz="0" w:space="0" w:color="auto"/>
                        <w:right w:val="none" w:sz="0" w:space="0" w:color="auto"/>
                      </w:divBdr>
                      <w:divsChild>
                        <w:div w:id="740712959">
                          <w:marLeft w:val="0"/>
                          <w:marRight w:val="0"/>
                          <w:marTop w:val="0"/>
                          <w:marBottom w:val="0"/>
                          <w:divBdr>
                            <w:top w:val="none" w:sz="0" w:space="0" w:color="auto"/>
                            <w:left w:val="none" w:sz="0" w:space="0" w:color="auto"/>
                            <w:bottom w:val="none" w:sz="0" w:space="0" w:color="auto"/>
                            <w:right w:val="none" w:sz="0" w:space="0" w:color="auto"/>
                          </w:divBdr>
                        </w:div>
                      </w:divsChild>
                    </w:div>
                    <w:div w:id="245117000">
                      <w:marLeft w:val="0"/>
                      <w:marRight w:val="0"/>
                      <w:marTop w:val="0"/>
                      <w:marBottom w:val="0"/>
                      <w:divBdr>
                        <w:top w:val="none" w:sz="0" w:space="0" w:color="auto"/>
                        <w:left w:val="none" w:sz="0" w:space="0" w:color="auto"/>
                        <w:bottom w:val="none" w:sz="0" w:space="0" w:color="auto"/>
                        <w:right w:val="none" w:sz="0" w:space="0" w:color="auto"/>
                      </w:divBdr>
                      <w:divsChild>
                        <w:div w:id="1504903358">
                          <w:marLeft w:val="0"/>
                          <w:marRight w:val="0"/>
                          <w:marTop w:val="0"/>
                          <w:marBottom w:val="0"/>
                          <w:divBdr>
                            <w:top w:val="none" w:sz="0" w:space="0" w:color="auto"/>
                            <w:left w:val="none" w:sz="0" w:space="0" w:color="auto"/>
                            <w:bottom w:val="none" w:sz="0" w:space="0" w:color="auto"/>
                            <w:right w:val="none" w:sz="0" w:space="0" w:color="auto"/>
                          </w:divBdr>
                        </w:div>
                      </w:divsChild>
                    </w:div>
                    <w:div w:id="265428365">
                      <w:marLeft w:val="0"/>
                      <w:marRight w:val="0"/>
                      <w:marTop w:val="0"/>
                      <w:marBottom w:val="0"/>
                      <w:divBdr>
                        <w:top w:val="none" w:sz="0" w:space="0" w:color="auto"/>
                        <w:left w:val="none" w:sz="0" w:space="0" w:color="auto"/>
                        <w:bottom w:val="none" w:sz="0" w:space="0" w:color="auto"/>
                        <w:right w:val="none" w:sz="0" w:space="0" w:color="auto"/>
                      </w:divBdr>
                      <w:divsChild>
                        <w:div w:id="275333665">
                          <w:marLeft w:val="0"/>
                          <w:marRight w:val="0"/>
                          <w:marTop w:val="0"/>
                          <w:marBottom w:val="0"/>
                          <w:divBdr>
                            <w:top w:val="none" w:sz="0" w:space="0" w:color="auto"/>
                            <w:left w:val="none" w:sz="0" w:space="0" w:color="auto"/>
                            <w:bottom w:val="none" w:sz="0" w:space="0" w:color="auto"/>
                            <w:right w:val="none" w:sz="0" w:space="0" w:color="auto"/>
                          </w:divBdr>
                        </w:div>
                      </w:divsChild>
                    </w:div>
                    <w:div w:id="295182270">
                      <w:marLeft w:val="0"/>
                      <w:marRight w:val="0"/>
                      <w:marTop w:val="0"/>
                      <w:marBottom w:val="0"/>
                      <w:divBdr>
                        <w:top w:val="none" w:sz="0" w:space="0" w:color="auto"/>
                        <w:left w:val="none" w:sz="0" w:space="0" w:color="auto"/>
                        <w:bottom w:val="none" w:sz="0" w:space="0" w:color="auto"/>
                        <w:right w:val="none" w:sz="0" w:space="0" w:color="auto"/>
                      </w:divBdr>
                      <w:divsChild>
                        <w:div w:id="1589846389">
                          <w:marLeft w:val="0"/>
                          <w:marRight w:val="0"/>
                          <w:marTop w:val="0"/>
                          <w:marBottom w:val="0"/>
                          <w:divBdr>
                            <w:top w:val="none" w:sz="0" w:space="0" w:color="auto"/>
                            <w:left w:val="none" w:sz="0" w:space="0" w:color="auto"/>
                            <w:bottom w:val="none" w:sz="0" w:space="0" w:color="auto"/>
                            <w:right w:val="none" w:sz="0" w:space="0" w:color="auto"/>
                          </w:divBdr>
                        </w:div>
                      </w:divsChild>
                    </w:div>
                    <w:div w:id="295255231">
                      <w:marLeft w:val="0"/>
                      <w:marRight w:val="0"/>
                      <w:marTop w:val="0"/>
                      <w:marBottom w:val="0"/>
                      <w:divBdr>
                        <w:top w:val="none" w:sz="0" w:space="0" w:color="auto"/>
                        <w:left w:val="none" w:sz="0" w:space="0" w:color="auto"/>
                        <w:bottom w:val="none" w:sz="0" w:space="0" w:color="auto"/>
                        <w:right w:val="none" w:sz="0" w:space="0" w:color="auto"/>
                      </w:divBdr>
                      <w:divsChild>
                        <w:div w:id="1581325871">
                          <w:marLeft w:val="0"/>
                          <w:marRight w:val="0"/>
                          <w:marTop w:val="0"/>
                          <w:marBottom w:val="0"/>
                          <w:divBdr>
                            <w:top w:val="none" w:sz="0" w:space="0" w:color="auto"/>
                            <w:left w:val="none" w:sz="0" w:space="0" w:color="auto"/>
                            <w:bottom w:val="none" w:sz="0" w:space="0" w:color="auto"/>
                            <w:right w:val="none" w:sz="0" w:space="0" w:color="auto"/>
                          </w:divBdr>
                        </w:div>
                      </w:divsChild>
                    </w:div>
                    <w:div w:id="299115658">
                      <w:marLeft w:val="0"/>
                      <w:marRight w:val="0"/>
                      <w:marTop w:val="0"/>
                      <w:marBottom w:val="0"/>
                      <w:divBdr>
                        <w:top w:val="none" w:sz="0" w:space="0" w:color="auto"/>
                        <w:left w:val="none" w:sz="0" w:space="0" w:color="auto"/>
                        <w:bottom w:val="none" w:sz="0" w:space="0" w:color="auto"/>
                        <w:right w:val="none" w:sz="0" w:space="0" w:color="auto"/>
                      </w:divBdr>
                      <w:divsChild>
                        <w:div w:id="481779569">
                          <w:marLeft w:val="0"/>
                          <w:marRight w:val="0"/>
                          <w:marTop w:val="0"/>
                          <w:marBottom w:val="0"/>
                          <w:divBdr>
                            <w:top w:val="none" w:sz="0" w:space="0" w:color="auto"/>
                            <w:left w:val="none" w:sz="0" w:space="0" w:color="auto"/>
                            <w:bottom w:val="none" w:sz="0" w:space="0" w:color="auto"/>
                            <w:right w:val="none" w:sz="0" w:space="0" w:color="auto"/>
                          </w:divBdr>
                        </w:div>
                      </w:divsChild>
                    </w:div>
                    <w:div w:id="306517806">
                      <w:marLeft w:val="0"/>
                      <w:marRight w:val="0"/>
                      <w:marTop w:val="0"/>
                      <w:marBottom w:val="0"/>
                      <w:divBdr>
                        <w:top w:val="none" w:sz="0" w:space="0" w:color="auto"/>
                        <w:left w:val="none" w:sz="0" w:space="0" w:color="auto"/>
                        <w:bottom w:val="none" w:sz="0" w:space="0" w:color="auto"/>
                        <w:right w:val="none" w:sz="0" w:space="0" w:color="auto"/>
                      </w:divBdr>
                      <w:divsChild>
                        <w:div w:id="16083282">
                          <w:marLeft w:val="0"/>
                          <w:marRight w:val="0"/>
                          <w:marTop w:val="0"/>
                          <w:marBottom w:val="0"/>
                          <w:divBdr>
                            <w:top w:val="none" w:sz="0" w:space="0" w:color="auto"/>
                            <w:left w:val="none" w:sz="0" w:space="0" w:color="auto"/>
                            <w:bottom w:val="none" w:sz="0" w:space="0" w:color="auto"/>
                            <w:right w:val="none" w:sz="0" w:space="0" w:color="auto"/>
                          </w:divBdr>
                        </w:div>
                      </w:divsChild>
                    </w:div>
                    <w:div w:id="307520653">
                      <w:marLeft w:val="0"/>
                      <w:marRight w:val="0"/>
                      <w:marTop w:val="0"/>
                      <w:marBottom w:val="0"/>
                      <w:divBdr>
                        <w:top w:val="none" w:sz="0" w:space="0" w:color="auto"/>
                        <w:left w:val="none" w:sz="0" w:space="0" w:color="auto"/>
                        <w:bottom w:val="none" w:sz="0" w:space="0" w:color="auto"/>
                        <w:right w:val="none" w:sz="0" w:space="0" w:color="auto"/>
                      </w:divBdr>
                      <w:divsChild>
                        <w:div w:id="2135634521">
                          <w:marLeft w:val="0"/>
                          <w:marRight w:val="0"/>
                          <w:marTop w:val="0"/>
                          <w:marBottom w:val="0"/>
                          <w:divBdr>
                            <w:top w:val="none" w:sz="0" w:space="0" w:color="auto"/>
                            <w:left w:val="none" w:sz="0" w:space="0" w:color="auto"/>
                            <w:bottom w:val="none" w:sz="0" w:space="0" w:color="auto"/>
                            <w:right w:val="none" w:sz="0" w:space="0" w:color="auto"/>
                          </w:divBdr>
                        </w:div>
                      </w:divsChild>
                    </w:div>
                    <w:div w:id="344673197">
                      <w:marLeft w:val="0"/>
                      <w:marRight w:val="0"/>
                      <w:marTop w:val="0"/>
                      <w:marBottom w:val="0"/>
                      <w:divBdr>
                        <w:top w:val="none" w:sz="0" w:space="0" w:color="auto"/>
                        <w:left w:val="none" w:sz="0" w:space="0" w:color="auto"/>
                        <w:bottom w:val="none" w:sz="0" w:space="0" w:color="auto"/>
                        <w:right w:val="none" w:sz="0" w:space="0" w:color="auto"/>
                      </w:divBdr>
                      <w:divsChild>
                        <w:div w:id="873032385">
                          <w:marLeft w:val="0"/>
                          <w:marRight w:val="0"/>
                          <w:marTop w:val="0"/>
                          <w:marBottom w:val="0"/>
                          <w:divBdr>
                            <w:top w:val="none" w:sz="0" w:space="0" w:color="auto"/>
                            <w:left w:val="none" w:sz="0" w:space="0" w:color="auto"/>
                            <w:bottom w:val="none" w:sz="0" w:space="0" w:color="auto"/>
                            <w:right w:val="none" w:sz="0" w:space="0" w:color="auto"/>
                          </w:divBdr>
                        </w:div>
                      </w:divsChild>
                    </w:div>
                    <w:div w:id="347414272">
                      <w:marLeft w:val="0"/>
                      <w:marRight w:val="0"/>
                      <w:marTop w:val="0"/>
                      <w:marBottom w:val="0"/>
                      <w:divBdr>
                        <w:top w:val="none" w:sz="0" w:space="0" w:color="auto"/>
                        <w:left w:val="none" w:sz="0" w:space="0" w:color="auto"/>
                        <w:bottom w:val="none" w:sz="0" w:space="0" w:color="auto"/>
                        <w:right w:val="none" w:sz="0" w:space="0" w:color="auto"/>
                      </w:divBdr>
                      <w:divsChild>
                        <w:div w:id="1039741839">
                          <w:marLeft w:val="0"/>
                          <w:marRight w:val="0"/>
                          <w:marTop w:val="0"/>
                          <w:marBottom w:val="0"/>
                          <w:divBdr>
                            <w:top w:val="none" w:sz="0" w:space="0" w:color="auto"/>
                            <w:left w:val="none" w:sz="0" w:space="0" w:color="auto"/>
                            <w:bottom w:val="none" w:sz="0" w:space="0" w:color="auto"/>
                            <w:right w:val="none" w:sz="0" w:space="0" w:color="auto"/>
                          </w:divBdr>
                        </w:div>
                      </w:divsChild>
                    </w:div>
                    <w:div w:id="347803938">
                      <w:marLeft w:val="0"/>
                      <w:marRight w:val="0"/>
                      <w:marTop w:val="0"/>
                      <w:marBottom w:val="0"/>
                      <w:divBdr>
                        <w:top w:val="none" w:sz="0" w:space="0" w:color="auto"/>
                        <w:left w:val="none" w:sz="0" w:space="0" w:color="auto"/>
                        <w:bottom w:val="none" w:sz="0" w:space="0" w:color="auto"/>
                        <w:right w:val="none" w:sz="0" w:space="0" w:color="auto"/>
                      </w:divBdr>
                      <w:divsChild>
                        <w:div w:id="924648562">
                          <w:marLeft w:val="0"/>
                          <w:marRight w:val="0"/>
                          <w:marTop w:val="0"/>
                          <w:marBottom w:val="0"/>
                          <w:divBdr>
                            <w:top w:val="none" w:sz="0" w:space="0" w:color="auto"/>
                            <w:left w:val="none" w:sz="0" w:space="0" w:color="auto"/>
                            <w:bottom w:val="none" w:sz="0" w:space="0" w:color="auto"/>
                            <w:right w:val="none" w:sz="0" w:space="0" w:color="auto"/>
                          </w:divBdr>
                        </w:div>
                      </w:divsChild>
                    </w:div>
                    <w:div w:id="359091462">
                      <w:marLeft w:val="0"/>
                      <w:marRight w:val="0"/>
                      <w:marTop w:val="0"/>
                      <w:marBottom w:val="0"/>
                      <w:divBdr>
                        <w:top w:val="none" w:sz="0" w:space="0" w:color="auto"/>
                        <w:left w:val="none" w:sz="0" w:space="0" w:color="auto"/>
                        <w:bottom w:val="none" w:sz="0" w:space="0" w:color="auto"/>
                        <w:right w:val="none" w:sz="0" w:space="0" w:color="auto"/>
                      </w:divBdr>
                      <w:divsChild>
                        <w:div w:id="744112436">
                          <w:marLeft w:val="0"/>
                          <w:marRight w:val="0"/>
                          <w:marTop w:val="0"/>
                          <w:marBottom w:val="0"/>
                          <w:divBdr>
                            <w:top w:val="none" w:sz="0" w:space="0" w:color="auto"/>
                            <w:left w:val="none" w:sz="0" w:space="0" w:color="auto"/>
                            <w:bottom w:val="none" w:sz="0" w:space="0" w:color="auto"/>
                            <w:right w:val="none" w:sz="0" w:space="0" w:color="auto"/>
                          </w:divBdr>
                        </w:div>
                      </w:divsChild>
                    </w:div>
                    <w:div w:id="376315439">
                      <w:marLeft w:val="0"/>
                      <w:marRight w:val="0"/>
                      <w:marTop w:val="0"/>
                      <w:marBottom w:val="0"/>
                      <w:divBdr>
                        <w:top w:val="none" w:sz="0" w:space="0" w:color="auto"/>
                        <w:left w:val="none" w:sz="0" w:space="0" w:color="auto"/>
                        <w:bottom w:val="none" w:sz="0" w:space="0" w:color="auto"/>
                        <w:right w:val="none" w:sz="0" w:space="0" w:color="auto"/>
                      </w:divBdr>
                      <w:divsChild>
                        <w:div w:id="1019040744">
                          <w:marLeft w:val="0"/>
                          <w:marRight w:val="0"/>
                          <w:marTop w:val="0"/>
                          <w:marBottom w:val="0"/>
                          <w:divBdr>
                            <w:top w:val="none" w:sz="0" w:space="0" w:color="auto"/>
                            <w:left w:val="none" w:sz="0" w:space="0" w:color="auto"/>
                            <w:bottom w:val="none" w:sz="0" w:space="0" w:color="auto"/>
                            <w:right w:val="none" w:sz="0" w:space="0" w:color="auto"/>
                          </w:divBdr>
                        </w:div>
                      </w:divsChild>
                    </w:div>
                    <w:div w:id="378476537">
                      <w:marLeft w:val="0"/>
                      <w:marRight w:val="0"/>
                      <w:marTop w:val="0"/>
                      <w:marBottom w:val="0"/>
                      <w:divBdr>
                        <w:top w:val="none" w:sz="0" w:space="0" w:color="auto"/>
                        <w:left w:val="none" w:sz="0" w:space="0" w:color="auto"/>
                        <w:bottom w:val="none" w:sz="0" w:space="0" w:color="auto"/>
                        <w:right w:val="none" w:sz="0" w:space="0" w:color="auto"/>
                      </w:divBdr>
                      <w:divsChild>
                        <w:div w:id="2114745212">
                          <w:marLeft w:val="0"/>
                          <w:marRight w:val="0"/>
                          <w:marTop w:val="0"/>
                          <w:marBottom w:val="0"/>
                          <w:divBdr>
                            <w:top w:val="none" w:sz="0" w:space="0" w:color="auto"/>
                            <w:left w:val="none" w:sz="0" w:space="0" w:color="auto"/>
                            <w:bottom w:val="none" w:sz="0" w:space="0" w:color="auto"/>
                            <w:right w:val="none" w:sz="0" w:space="0" w:color="auto"/>
                          </w:divBdr>
                        </w:div>
                      </w:divsChild>
                    </w:div>
                    <w:div w:id="385033978">
                      <w:marLeft w:val="0"/>
                      <w:marRight w:val="0"/>
                      <w:marTop w:val="0"/>
                      <w:marBottom w:val="0"/>
                      <w:divBdr>
                        <w:top w:val="none" w:sz="0" w:space="0" w:color="auto"/>
                        <w:left w:val="none" w:sz="0" w:space="0" w:color="auto"/>
                        <w:bottom w:val="none" w:sz="0" w:space="0" w:color="auto"/>
                        <w:right w:val="none" w:sz="0" w:space="0" w:color="auto"/>
                      </w:divBdr>
                      <w:divsChild>
                        <w:div w:id="1353844410">
                          <w:marLeft w:val="0"/>
                          <w:marRight w:val="0"/>
                          <w:marTop w:val="0"/>
                          <w:marBottom w:val="0"/>
                          <w:divBdr>
                            <w:top w:val="none" w:sz="0" w:space="0" w:color="auto"/>
                            <w:left w:val="none" w:sz="0" w:space="0" w:color="auto"/>
                            <w:bottom w:val="none" w:sz="0" w:space="0" w:color="auto"/>
                            <w:right w:val="none" w:sz="0" w:space="0" w:color="auto"/>
                          </w:divBdr>
                        </w:div>
                      </w:divsChild>
                    </w:div>
                    <w:div w:id="388187491">
                      <w:marLeft w:val="0"/>
                      <w:marRight w:val="0"/>
                      <w:marTop w:val="0"/>
                      <w:marBottom w:val="0"/>
                      <w:divBdr>
                        <w:top w:val="none" w:sz="0" w:space="0" w:color="auto"/>
                        <w:left w:val="none" w:sz="0" w:space="0" w:color="auto"/>
                        <w:bottom w:val="none" w:sz="0" w:space="0" w:color="auto"/>
                        <w:right w:val="none" w:sz="0" w:space="0" w:color="auto"/>
                      </w:divBdr>
                      <w:divsChild>
                        <w:div w:id="1325626987">
                          <w:marLeft w:val="0"/>
                          <w:marRight w:val="0"/>
                          <w:marTop w:val="0"/>
                          <w:marBottom w:val="0"/>
                          <w:divBdr>
                            <w:top w:val="none" w:sz="0" w:space="0" w:color="auto"/>
                            <w:left w:val="none" w:sz="0" w:space="0" w:color="auto"/>
                            <w:bottom w:val="none" w:sz="0" w:space="0" w:color="auto"/>
                            <w:right w:val="none" w:sz="0" w:space="0" w:color="auto"/>
                          </w:divBdr>
                        </w:div>
                      </w:divsChild>
                    </w:div>
                    <w:div w:id="391151607">
                      <w:marLeft w:val="0"/>
                      <w:marRight w:val="0"/>
                      <w:marTop w:val="0"/>
                      <w:marBottom w:val="0"/>
                      <w:divBdr>
                        <w:top w:val="none" w:sz="0" w:space="0" w:color="auto"/>
                        <w:left w:val="none" w:sz="0" w:space="0" w:color="auto"/>
                        <w:bottom w:val="none" w:sz="0" w:space="0" w:color="auto"/>
                        <w:right w:val="none" w:sz="0" w:space="0" w:color="auto"/>
                      </w:divBdr>
                      <w:divsChild>
                        <w:div w:id="2138375452">
                          <w:marLeft w:val="0"/>
                          <w:marRight w:val="0"/>
                          <w:marTop w:val="0"/>
                          <w:marBottom w:val="0"/>
                          <w:divBdr>
                            <w:top w:val="none" w:sz="0" w:space="0" w:color="auto"/>
                            <w:left w:val="none" w:sz="0" w:space="0" w:color="auto"/>
                            <w:bottom w:val="none" w:sz="0" w:space="0" w:color="auto"/>
                            <w:right w:val="none" w:sz="0" w:space="0" w:color="auto"/>
                          </w:divBdr>
                        </w:div>
                      </w:divsChild>
                    </w:div>
                    <w:div w:id="395279080">
                      <w:marLeft w:val="0"/>
                      <w:marRight w:val="0"/>
                      <w:marTop w:val="0"/>
                      <w:marBottom w:val="0"/>
                      <w:divBdr>
                        <w:top w:val="none" w:sz="0" w:space="0" w:color="auto"/>
                        <w:left w:val="none" w:sz="0" w:space="0" w:color="auto"/>
                        <w:bottom w:val="none" w:sz="0" w:space="0" w:color="auto"/>
                        <w:right w:val="none" w:sz="0" w:space="0" w:color="auto"/>
                      </w:divBdr>
                      <w:divsChild>
                        <w:div w:id="1377195261">
                          <w:marLeft w:val="0"/>
                          <w:marRight w:val="0"/>
                          <w:marTop w:val="0"/>
                          <w:marBottom w:val="0"/>
                          <w:divBdr>
                            <w:top w:val="none" w:sz="0" w:space="0" w:color="auto"/>
                            <w:left w:val="none" w:sz="0" w:space="0" w:color="auto"/>
                            <w:bottom w:val="none" w:sz="0" w:space="0" w:color="auto"/>
                            <w:right w:val="none" w:sz="0" w:space="0" w:color="auto"/>
                          </w:divBdr>
                        </w:div>
                      </w:divsChild>
                    </w:div>
                    <w:div w:id="414284777">
                      <w:marLeft w:val="0"/>
                      <w:marRight w:val="0"/>
                      <w:marTop w:val="0"/>
                      <w:marBottom w:val="0"/>
                      <w:divBdr>
                        <w:top w:val="none" w:sz="0" w:space="0" w:color="auto"/>
                        <w:left w:val="none" w:sz="0" w:space="0" w:color="auto"/>
                        <w:bottom w:val="none" w:sz="0" w:space="0" w:color="auto"/>
                        <w:right w:val="none" w:sz="0" w:space="0" w:color="auto"/>
                      </w:divBdr>
                      <w:divsChild>
                        <w:div w:id="304285000">
                          <w:marLeft w:val="0"/>
                          <w:marRight w:val="0"/>
                          <w:marTop w:val="0"/>
                          <w:marBottom w:val="0"/>
                          <w:divBdr>
                            <w:top w:val="none" w:sz="0" w:space="0" w:color="auto"/>
                            <w:left w:val="none" w:sz="0" w:space="0" w:color="auto"/>
                            <w:bottom w:val="none" w:sz="0" w:space="0" w:color="auto"/>
                            <w:right w:val="none" w:sz="0" w:space="0" w:color="auto"/>
                          </w:divBdr>
                        </w:div>
                      </w:divsChild>
                    </w:div>
                    <w:div w:id="418602150">
                      <w:marLeft w:val="0"/>
                      <w:marRight w:val="0"/>
                      <w:marTop w:val="0"/>
                      <w:marBottom w:val="0"/>
                      <w:divBdr>
                        <w:top w:val="none" w:sz="0" w:space="0" w:color="auto"/>
                        <w:left w:val="none" w:sz="0" w:space="0" w:color="auto"/>
                        <w:bottom w:val="none" w:sz="0" w:space="0" w:color="auto"/>
                        <w:right w:val="none" w:sz="0" w:space="0" w:color="auto"/>
                      </w:divBdr>
                      <w:divsChild>
                        <w:div w:id="1992251916">
                          <w:marLeft w:val="0"/>
                          <w:marRight w:val="0"/>
                          <w:marTop w:val="0"/>
                          <w:marBottom w:val="0"/>
                          <w:divBdr>
                            <w:top w:val="none" w:sz="0" w:space="0" w:color="auto"/>
                            <w:left w:val="none" w:sz="0" w:space="0" w:color="auto"/>
                            <w:bottom w:val="none" w:sz="0" w:space="0" w:color="auto"/>
                            <w:right w:val="none" w:sz="0" w:space="0" w:color="auto"/>
                          </w:divBdr>
                        </w:div>
                      </w:divsChild>
                    </w:div>
                    <w:div w:id="419838236">
                      <w:marLeft w:val="0"/>
                      <w:marRight w:val="0"/>
                      <w:marTop w:val="0"/>
                      <w:marBottom w:val="0"/>
                      <w:divBdr>
                        <w:top w:val="none" w:sz="0" w:space="0" w:color="auto"/>
                        <w:left w:val="none" w:sz="0" w:space="0" w:color="auto"/>
                        <w:bottom w:val="none" w:sz="0" w:space="0" w:color="auto"/>
                        <w:right w:val="none" w:sz="0" w:space="0" w:color="auto"/>
                      </w:divBdr>
                      <w:divsChild>
                        <w:div w:id="1283614404">
                          <w:marLeft w:val="0"/>
                          <w:marRight w:val="0"/>
                          <w:marTop w:val="0"/>
                          <w:marBottom w:val="0"/>
                          <w:divBdr>
                            <w:top w:val="none" w:sz="0" w:space="0" w:color="auto"/>
                            <w:left w:val="none" w:sz="0" w:space="0" w:color="auto"/>
                            <w:bottom w:val="none" w:sz="0" w:space="0" w:color="auto"/>
                            <w:right w:val="none" w:sz="0" w:space="0" w:color="auto"/>
                          </w:divBdr>
                        </w:div>
                      </w:divsChild>
                    </w:div>
                    <w:div w:id="432019603">
                      <w:marLeft w:val="0"/>
                      <w:marRight w:val="0"/>
                      <w:marTop w:val="0"/>
                      <w:marBottom w:val="0"/>
                      <w:divBdr>
                        <w:top w:val="none" w:sz="0" w:space="0" w:color="auto"/>
                        <w:left w:val="none" w:sz="0" w:space="0" w:color="auto"/>
                        <w:bottom w:val="none" w:sz="0" w:space="0" w:color="auto"/>
                        <w:right w:val="none" w:sz="0" w:space="0" w:color="auto"/>
                      </w:divBdr>
                      <w:divsChild>
                        <w:div w:id="348600508">
                          <w:marLeft w:val="0"/>
                          <w:marRight w:val="0"/>
                          <w:marTop w:val="0"/>
                          <w:marBottom w:val="0"/>
                          <w:divBdr>
                            <w:top w:val="none" w:sz="0" w:space="0" w:color="auto"/>
                            <w:left w:val="none" w:sz="0" w:space="0" w:color="auto"/>
                            <w:bottom w:val="none" w:sz="0" w:space="0" w:color="auto"/>
                            <w:right w:val="none" w:sz="0" w:space="0" w:color="auto"/>
                          </w:divBdr>
                        </w:div>
                      </w:divsChild>
                    </w:div>
                    <w:div w:id="432362243">
                      <w:marLeft w:val="0"/>
                      <w:marRight w:val="0"/>
                      <w:marTop w:val="0"/>
                      <w:marBottom w:val="0"/>
                      <w:divBdr>
                        <w:top w:val="none" w:sz="0" w:space="0" w:color="auto"/>
                        <w:left w:val="none" w:sz="0" w:space="0" w:color="auto"/>
                        <w:bottom w:val="none" w:sz="0" w:space="0" w:color="auto"/>
                        <w:right w:val="none" w:sz="0" w:space="0" w:color="auto"/>
                      </w:divBdr>
                      <w:divsChild>
                        <w:div w:id="275601708">
                          <w:marLeft w:val="0"/>
                          <w:marRight w:val="0"/>
                          <w:marTop w:val="0"/>
                          <w:marBottom w:val="0"/>
                          <w:divBdr>
                            <w:top w:val="none" w:sz="0" w:space="0" w:color="auto"/>
                            <w:left w:val="none" w:sz="0" w:space="0" w:color="auto"/>
                            <w:bottom w:val="none" w:sz="0" w:space="0" w:color="auto"/>
                            <w:right w:val="none" w:sz="0" w:space="0" w:color="auto"/>
                          </w:divBdr>
                        </w:div>
                      </w:divsChild>
                    </w:div>
                    <w:div w:id="433861747">
                      <w:marLeft w:val="0"/>
                      <w:marRight w:val="0"/>
                      <w:marTop w:val="0"/>
                      <w:marBottom w:val="0"/>
                      <w:divBdr>
                        <w:top w:val="none" w:sz="0" w:space="0" w:color="auto"/>
                        <w:left w:val="none" w:sz="0" w:space="0" w:color="auto"/>
                        <w:bottom w:val="none" w:sz="0" w:space="0" w:color="auto"/>
                        <w:right w:val="none" w:sz="0" w:space="0" w:color="auto"/>
                      </w:divBdr>
                      <w:divsChild>
                        <w:div w:id="850339730">
                          <w:marLeft w:val="0"/>
                          <w:marRight w:val="0"/>
                          <w:marTop w:val="0"/>
                          <w:marBottom w:val="0"/>
                          <w:divBdr>
                            <w:top w:val="none" w:sz="0" w:space="0" w:color="auto"/>
                            <w:left w:val="none" w:sz="0" w:space="0" w:color="auto"/>
                            <w:bottom w:val="none" w:sz="0" w:space="0" w:color="auto"/>
                            <w:right w:val="none" w:sz="0" w:space="0" w:color="auto"/>
                          </w:divBdr>
                        </w:div>
                      </w:divsChild>
                    </w:div>
                    <w:div w:id="437264585">
                      <w:marLeft w:val="0"/>
                      <w:marRight w:val="0"/>
                      <w:marTop w:val="0"/>
                      <w:marBottom w:val="0"/>
                      <w:divBdr>
                        <w:top w:val="none" w:sz="0" w:space="0" w:color="auto"/>
                        <w:left w:val="none" w:sz="0" w:space="0" w:color="auto"/>
                        <w:bottom w:val="none" w:sz="0" w:space="0" w:color="auto"/>
                        <w:right w:val="none" w:sz="0" w:space="0" w:color="auto"/>
                      </w:divBdr>
                      <w:divsChild>
                        <w:div w:id="1915578696">
                          <w:marLeft w:val="0"/>
                          <w:marRight w:val="0"/>
                          <w:marTop w:val="0"/>
                          <w:marBottom w:val="0"/>
                          <w:divBdr>
                            <w:top w:val="none" w:sz="0" w:space="0" w:color="auto"/>
                            <w:left w:val="none" w:sz="0" w:space="0" w:color="auto"/>
                            <w:bottom w:val="none" w:sz="0" w:space="0" w:color="auto"/>
                            <w:right w:val="none" w:sz="0" w:space="0" w:color="auto"/>
                          </w:divBdr>
                        </w:div>
                      </w:divsChild>
                    </w:div>
                    <w:div w:id="473062097">
                      <w:marLeft w:val="0"/>
                      <w:marRight w:val="0"/>
                      <w:marTop w:val="0"/>
                      <w:marBottom w:val="0"/>
                      <w:divBdr>
                        <w:top w:val="none" w:sz="0" w:space="0" w:color="auto"/>
                        <w:left w:val="none" w:sz="0" w:space="0" w:color="auto"/>
                        <w:bottom w:val="none" w:sz="0" w:space="0" w:color="auto"/>
                        <w:right w:val="none" w:sz="0" w:space="0" w:color="auto"/>
                      </w:divBdr>
                      <w:divsChild>
                        <w:div w:id="609705591">
                          <w:marLeft w:val="0"/>
                          <w:marRight w:val="0"/>
                          <w:marTop w:val="0"/>
                          <w:marBottom w:val="0"/>
                          <w:divBdr>
                            <w:top w:val="none" w:sz="0" w:space="0" w:color="auto"/>
                            <w:left w:val="none" w:sz="0" w:space="0" w:color="auto"/>
                            <w:bottom w:val="none" w:sz="0" w:space="0" w:color="auto"/>
                            <w:right w:val="none" w:sz="0" w:space="0" w:color="auto"/>
                          </w:divBdr>
                        </w:div>
                      </w:divsChild>
                    </w:div>
                    <w:div w:id="481384660">
                      <w:marLeft w:val="0"/>
                      <w:marRight w:val="0"/>
                      <w:marTop w:val="0"/>
                      <w:marBottom w:val="0"/>
                      <w:divBdr>
                        <w:top w:val="none" w:sz="0" w:space="0" w:color="auto"/>
                        <w:left w:val="none" w:sz="0" w:space="0" w:color="auto"/>
                        <w:bottom w:val="none" w:sz="0" w:space="0" w:color="auto"/>
                        <w:right w:val="none" w:sz="0" w:space="0" w:color="auto"/>
                      </w:divBdr>
                      <w:divsChild>
                        <w:div w:id="1129739616">
                          <w:marLeft w:val="0"/>
                          <w:marRight w:val="0"/>
                          <w:marTop w:val="0"/>
                          <w:marBottom w:val="0"/>
                          <w:divBdr>
                            <w:top w:val="none" w:sz="0" w:space="0" w:color="auto"/>
                            <w:left w:val="none" w:sz="0" w:space="0" w:color="auto"/>
                            <w:bottom w:val="none" w:sz="0" w:space="0" w:color="auto"/>
                            <w:right w:val="none" w:sz="0" w:space="0" w:color="auto"/>
                          </w:divBdr>
                        </w:div>
                      </w:divsChild>
                    </w:div>
                    <w:div w:id="515854016">
                      <w:marLeft w:val="0"/>
                      <w:marRight w:val="0"/>
                      <w:marTop w:val="0"/>
                      <w:marBottom w:val="0"/>
                      <w:divBdr>
                        <w:top w:val="none" w:sz="0" w:space="0" w:color="auto"/>
                        <w:left w:val="none" w:sz="0" w:space="0" w:color="auto"/>
                        <w:bottom w:val="none" w:sz="0" w:space="0" w:color="auto"/>
                        <w:right w:val="none" w:sz="0" w:space="0" w:color="auto"/>
                      </w:divBdr>
                      <w:divsChild>
                        <w:div w:id="1557164081">
                          <w:marLeft w:val="0"/>
                          <w:marRight w:val="0"/>
                          <w:marTop w:val="0"/>
                          <w:marBottom w:val="0"/>
                          <w:divBdr>
                            <w:top w:val="none" w:sz="0" w:space="0" w:color="auto"/>
                            <w:left w:val="none" w:sz="0" w:space="0" w:color="auto"/>
                            <w:bottom w:val="none" w:sz="0" w:space="0" w:color="auto"/>
                            <w:right w:val="none" w:sz="0" w:space="0" w:color="auto"/>
                          </w:divBdr>
                        </w:div>
                      </w:divsChild>
                    </w:div>
                    <w:div w:id="516116756">
                      <w:marLeft w:val="0"/>
                      <w:marRight w:val="0"/>
                      <w:marTop w:val="0"/>
                      <w:marBottom w:val="0"/>
                      <w:divBdr>
                        <w:top w:val="none" w:sz="0" w:space="0" w:color="auto"/>
                        <w:left w:val="none" w:sz="0" w:space="0" w:color="auto"/>
                        <w:bottom w:val="none" w:sz="0" w:space="0" w:color="auto"/>
                        <w:right w:val="none" w:sz="0" w:space="0" w:color="auto"/>
                      </w:divBdr>
                      <w:divsChild>
                        <w:div w:id="2079473926">
                          <w:marLeft w:val="0"/>
                          <w:marRight w:val="0"/>
                          <w:marTop w:val="0"/>
                          <w:marBottom w:val="0"/>
                          <w:divBdr>
                            <w:top w:val="none" w:sz="0" w:space="0" w:color="auto"/>
                            <w:left w:val="none" w:sz="0" w:space="0" w:color="auto"/>
                            <w:bottom w:val="none" w:sz="0" w:space="0" w:color="auto"/>
                            <w:right w:val="none" w:sz="0" w:space="0" w:color="auto"/>
                          </w:divBdr>
                        </w:div>
                      </w:divsChild>
                    </w:div>
                    <w:div w:id="521473794">
                      <w:marLeft w:val="0"/>
                      <w:marRight w:val="0"/>
                      <w:marTop w:val="0"/>
                      <w:marBottom w:val="0"/>
                      <w:divBdr>
                        <w:top w:val="none" w:sz="0" w:space="0" w:color="auto"/>
                        <w:left w:val="none" w:sz="0" w:space="0" w:color="auto"/>
                        <w:bottom w:val="none" w:sz="0" w:space="0" w:color="auto"/>
                        <w:right w:val="none" w:sz="0" w:space="0" w:color="auto"/>
                      </w:divBdr>
                      <w:divsChild>
                        <w:div w:id="1633974314">
                          <w:marLeft w:val="0"/>
                          <w:marRight w:val="0"/>
                          <w:marTop w:val="0"/>
                          <w:marBottom w:val="0"/>
                          <w:divBdr>
                            <w:top w:val="none" w:sz="0" w:space="0" w:color="auto"/>
                            <w:left w:val="none" w:sz="0" w:space="0" w:color="auto"/>
                            <w:bottom w:val="none" w:sz="0" w:space="0" w:color="auto"/>
                            <w:right w:val="none" w:sz="0" w:space="0" w:color="auto"/>
                          </w:divBdr>
                        </w:div>
                      </w:divsChild>
                    </w:div>
                    <w:div w:id="527067796">
                      <w:marLeft w:val="0"/>
                      <w:marRight w:val="0"/>
                      <w:marTop w:val="0"/>
                      <w:marBottom w:val="0"/>
                      <w:divBdr>
                        <w:top w:val="none" w:sz="0" w:space="0" w:color="auto"/>
                        <w:left w:val="none" w:sz="0" w:space="0" w:color="auto"/>
                        <w:bottom w:val="none" w:sz="0" w:space="0" w:color="auto"/>
                        <w:right w:val="none" w:sz="0" w:space="0" w:color="auto"/>
                      </w:divBdr>
                      <w:divsChild>
                        <w:div w:id="1078745345">
                          <w:marLeft w:val="0"/>
                          <w:marRight w:val="0"/>
                          <w:marTop w:val="0"/>
                          <w:marBottom w:val="0"/>
                          <w:divBdr>
                            <w:top w:val="none" w:sz="0" w:space="0" w:color="auto"/>
                            <w:left w:val="none" w:sz="0" w:space="0" w:color="auto"/>
                            <w:bottom w:val="none" w:sz="0" w:space="0" w:color="auto"/>
                            <w:right w:val="none" w:sz="0" w:space="0" w:color="auto"/>
                          </w:divBdr>
                        </w:div>
                      </w:divsChild>
                    </w:div>
                    <w:div w:id="529415756">
                      <w:marLeft w:val="0"/>
                      <w:marRight w:val="0"/>
                      <w:marTop w:val="0"/>
                      <w:marBottom w:val="0"/>
                      <w:divBdr>
                        <w:top w:val="none" w:sz="0" w:space="0" w:color="auto"/>
                        <w:left w:val="none" w:sz="0" w:space="0" w:color="auto"/>
                        <w:bottom w:val="none" w:sz="0" w:space="0" w:color="auto"/>
                        <w:right w:val="none" w:sz="0" w:space="0" w:color="auto"/>
                      </w:divBdr>
                      <w:divsChild>
                        <w:div w:id="2010594456">
                          <w:marLeft w:val="0"/>
                          <w:marRight w:val="0"/>
                          <w:marTop w:val="0"/>
                          <w:marBottom w:val="0"/>
                          <w:divBdr>
                            <w:top w:val="none" w:sz="0" w:space="0" w:color="auto"/>
                            <w:left w:val="none" w:sz="0" w:space="0" w:color="auto"/>
                            <w:bottom w:val="none" w:sz="0" w:space="0" w:color="auto"/>
                            <w:right w:val="none" w:sz="0" w:space="0" w:color="auto"/>
                          </w:divBdr>
                        </w:div>
                      </w:divsChild>
                    </w:div>
                    <w:div w:id="534729832">
                      <w:marLeft w:val="0"/>
                      <w:marRight w:val="0"/>
                      <w:marTop w:val="0"/>
                      <w:marBottom w:val="0"/>
                      <w:divBdr>
                        <w:top w:val="none" w:sz="0" w:space="0" w:color="auto"/>
                        <w:left w:val="none" w:sz="0" w:space="0" w:color="auto"/>
                        <w:bottom w:val="none" w:sz="0" w:space="0" w:color="auto"/>
                        <w:right w:val="none" w:sz="0" w:space="0" w:color="auto"/>
                      </w:divBdr>
                      <w:divsChild>
                        <w:div w:id="96561917">
                          <w:marLeft w:val="0"/>
                          <w:marRight w:val="0"/>
                          <w:marTop w:val="0"/>
                          <w:marBottom w:val="0"/>
                          <w:divBdr>
                            <w:top w:val="none" w:sz="0" w:space="0" w:color="auto"/>
                            <w:left w:val="none" w:sz="0" w:space="0" w:color="auto"/>
                            <w:bottom w:val="none" w:sz="0" w:space="0" w:color="auto"/>
                            <w:right w:val="none" w:sz="0" w:space="0" w:color="auto"/>
                          </w:divBdr>
                        </w:div>
                      </w:divsChild>
                    </w:div>
                    <w:div w:id="537745207">
                      <w:marLeft w:val="0"/>
                      <w:marRight w:val="0"/>
                      <w:marTop w:val="0"/>
                      <w:marBottom w:val="0"/>
                      <w:divBdr>
                        <w:top w:val="none" w:sz="0" w:space="0" w:color="auto"/>
                        <w:left w:val="none" w:sz="0" w:space="0" w:color="auto"/>
                        <w:bottom w:val="none" w:sz="0" w:space="0" w:color="auto"/>
                        <w:right w:val="none" w:sz="0" w:space="0" w:color="auto"/>
                      </w:divBdr>
                      <w:divsChild>
                        <w:div w:id="179321968">
                          <w:marLeft w:val="0"/>
                          <w:marRight w:val="0"/>
                          <w:marTop w:val="0"/>
                          <w:marBottom w:val="0"/>
                          <w:divBdr>
                            <w:top w:val="none" w:sz="0" w:space="0" w:color="auto"/>
                            <w:left w:val="none" w:sz="0" w:space="0" w:color="auto"/>
                            <w:bottom w:val="none" w:sz="0" w:space="0" w:color="auto"/>
                            <w:right w:val="none" w:sz="0" w:space="0" w:color="auto"/>
                          </w:divBdr>
                        </w:div>
                      </w:divsChild>
                    </w:div>
                    <w:div w:id="539516594">
                      <w:marLeft w:val="0"/>
                      <w:marRight w:val="0"/>
                      <w:marTop w:val="0"/>
                      <w:marBottom w:val="0"/>
                      <w:divBdr>
                        <w:top w:val="none" w:sz="0" w:space="0" w:color="auto"/>
                        <w:left w:val="none" w:sz="0" w:space="0" w:color="auto"/>
                        <w:bottom w:val="none" w:sz="0" w:space="0" w:color="auto"/>
                        <w:right w:val="none" w:sz="0" w:space="0" w:color="auto"/>
                      </w:divBdr>
                      <w:divsChild>
                        <w:div w:id="275408901">
                          <w:marLeft w:val="0"/>
                          <w:marRight w:val="0"/>
                          <w:marTop w:val="0"/>
                          <w:marBottom w:val="0"/>
                          <w:divBdr>
                            <w:top w:val="none" w:sz="0" w:space="0" w:color="auto"/>
                            <w:left w:val="none" w:sz="0" w:space="0" w:color="auto"/>
                            <w:bottom w:val="none" w:sz="0" w:space="0" w:color="auto"/>
                            <w:right w:val="none" w:sz="0" w:space="0" w:color="auto"/>
                          </w:divBdr>
                        </w:div>
                      </w:divsChild>
                    </w:div>
                    <w:div w:id="544954233">
                      <w:marLeft w:val="0"/>
                      <w:marRight w:val="0"/>
                      <w:marTop w:val="0"/>
                      <w:marBottom w:val="0"/>
                      <w:divBdr>
                        <w:top w:val="none" w:sz="0" w:space="0" w:color="auto"/>
                        <w:left w:val="none" w:sz="0" w:space="0" w:color="auto"/>
                        <w:bottom w:val="none" w:sz="0" w:space="0" w:color="auto"/>
                        <w:right w:val="none" w:sz="0" w:space="0" w:color="auto"/>
                      </w:divBdr>
                      <w:divsChild>
                        <w:div w:id="1656377454">
                          <w:marLeft w:val="0"/>
                          <w:marRight w:val="0"/>
                          <w:marTop w:val="0"/>
                          <w:marBottom w:val="0"/>
                          <w:divBdr>
                            <w:top w:val="none" w:sz="0" w:space="0" w:color="auto"/>
                            <w:left w:val="none" w:sz="0" w:space="0" w:color="auto"/>
                            <w:bottom w:val="none" w:sz="0" w:space="0" w:color="auto"/>
                            <w:right w:val="none" w:sz="0" w:space="0" w:color="auto"/>
                          </w:divBdr>
                        </w:div>
                      </w:divsChild>
                    </w:div>
                    <w:div w:id="558589597">
                      <w:marLeft w:val="0"/>
                      <w:marRight w:val="0"/>
                      <w:marTop w:val="0"/>
                      <w:marBottom w:val="0"/>
                      <w:divBdr>
                        <w:top w:val="none" w:sz="0" w:space="0" w:color="auto"/>
                        <w:left w:val="none" w:sz="0" w:space="0" w:color="auto"/>
                        <w:bottom w:val="none" w:sz="0" w:space="0" w:color="auto"/>
                        <w:right w:val="none" w:sz="0" w:space="0" w:color="auto"/>
                      </w:divBdr>
                      <w:divsChild>
                        <w:div w:id="1614559106">
                          <w:marLeft w:val="0"/>
                          <w:marRight w:val="0"/>
                          <w:marTop w:val="0"/>
                          <w:marBottom w:val="0"/>
                          <w:divBdr>
                            <w:top w:val="none" w:sz="0" w:space="0" w:color="auto"/>
                            <w:left w:val="none" w:sz="0" w:space="0" w:color="auto"/>
                            <w:bottom w:val="none" w:sz="0" w:space="0" w:color="auto"/>
                            <w:right w:val="none" w:sz="0" w:space="0" w:color="auto"/>
                          </w:divBdr>
                        </w:div>
                      </w:divsChild>
                    </w:div>
                    <w:div w:id="576401648">
                      <w:marLeft w:val="0"/>
                      <w:marRight w:val="0"/>
                      <w:marTop w:val="0"/>
                      <w:marBottom w:val="0"/>
                      <w:divBdr>
                        <w:top w:val="none" w:sz="0" w:space="0" w:color="auto"/>
                        <w:left w:val="none" w:sz="0" w:space="0" w:color="auto"/>
                        <w:bottom w:val="none" w:sz="0" w:space="0" w:color="auto"/>
                        <w:right w:val="none" w:sz="0" w:space="0" w:color="auto"/>
                      </w:divBdr>
                      <w:divsChild>
                        <w:div w:id="219562653">
                          <w:marLeft w:val="0"/>
                          <w:marRight w:val="0"/>
                          <w:marTop w:val="0"/>
                          <w:marBottom w:val="0"/>
                          <w:divBdr>
                            <w:top w:val="none" w:sz="0" w:space="0" w:color="auto"/>
                            <w:left w:val="none" w:sz="0" w:space="0" w:color="auto"/>
                            <w:bottom w:val="none" w:sz="0" w:space="0" w:color="auto"/>
                            <w:right w:val="none" w:sz="0" w:space="0" w:color="auto"/>
                          </w:divBdr>
                        </w:div>
                      </w:divsChild>
                    </w:div>
                    <w:div w:id="582761614">
                      <w:marLeft w:val="0"/>
                      <w:marRight w:val="0"/>
                      <w:marTop w:val="0"/>
                      <w:marBottom w:val="0"/>
                      <w:divBdr>
                        <w:top w:val="none" w:sz="0" w:space="0" w:color="auto"/>
                        <w:left w:val="none" w:sz="0" w:space="0" w:color="auto"/>
                        <w:bottom w:val="none" w:sz="0" w:space="0" w:color="auto"/>
                        <w:right w:val="none" w:sz="0" w:space="0" w:color="auto"/>
                      </w:divBdr>
                      <w:divsChild>
                        <w:div w:id="1750813264">
                          <w:marLeft w:val="0"/>
                          <w:marRight w:val="0"/>
                          <w:marTop w:val="0"/>
                          <w:marBottom w:val="0"/>
                          <w:divBdr>
                            <w:top w:val="none" w:sz="0" w:space="0" w:color="auto"/>
                            <w:left w:val="none" w:sz="0" w:space="0" w:color="auto"/>
                            <w:bottom w:val="none" w:sz="0" w:space="0" w:color="auto"/>
                            <w:right w:val="none" w:sz="0" w:space="0" w:color="auto"/>
                          </w:divBdr>
                        </w:div>
                        <w:div w:id="2142923174">
                          <w:marLeft w:val="0"/>
                          <w:marRight w:val="0"/>
                          <w:marTop w:val="0"/>
                          <w:marBottom w:val="0"/>
                          <w:divBdr>
                            <w:top w:val="none" w:sz="0" w:space="0" w:color="auto"/>
                            <w:left w:val="none" w:sz="0" w:space="0" w:color="auto"/>
                            <w:bottom w:val="none" w:sz="0" w:space="0" w:color="auto"/>
                            <w:right w:val="none" w:sz="0" w:space="0" w:color="auto"/>
                          </w:divBdr>
                        </w:div>
                      </w:divsChild>
                    </w:div>
                    <w:div w:id="608664980">
                      <w:marLeft w:val="0"/>
                      <w:marRight w:val="0"/>
                      <w:marTop w:val="0"/>
                      <w:marBottom w:val="0"/>
                      <w:divBdr>
                        <w:top w:val="none" w:sz="0" w:space="0" w:color="auto"/>
                        <w:left w:val="none" w:sz="0" w:space="0" w:color="auto"/>
                        <w:bottom w:val="none" w:sz="0" w:space="0" w:color="auto"/>
                        <w:right w:val="none" w:sz="0" w:space="0" w:color="auto"/>
                      </w:divBdr>
                      <w:divsChild>
                        <w:div w:id="272983068">
                          <w:marLeft w:val="0"/>
                          <w:marRight w:val="0"/>
                          <w:marTop w:val="0"/>
                          <w:marBottom w:val="0"/>
                          <w:divBdr>
                            <w:top w:val="none" w:sz="0" w:space="0" w:color="auto"/>
                            <w:left w:val="none" w:sz="0" w:space="0" w:color="auto"/>
                            <w:bottom w:val="none" w:sz="0" w:space="0" w:color="auto"/>
                            <w:right w:val="none" w:sz="0" w:space="0" w:color="auto"/>
                          </w:divBdr>
                        </w:div>
                      </w:divsChild>
                    </w:div>
                    <w:div w:id="617182072">
                      <w:marLeft w:val="0"/>
                      <w:marRight w:val="0"/>
                      <w:marTop w:val="0"/>
                      <w:marBottom w:val="0"/>
                      <w:divBdr>
                        <w:top w:val="none" w:sz="0" w:space="0" w:color="auto"/>
                        <w:left w:val="none" w:sz="0" w:space="0" w:color="auto"/>
                        <w:bottom w:val="none" w:sz="0" w:space="0" w:color="auto"/>
                        <w:right w:val="none" w:sz="0" w:space="0" w:color="auto"/>
                      </w:divBdr>
                      <w:divsChild>
                        <w:div w:id="1524594947">
                          <w:marLeft w:val="0"/>
                          <w:marRight w:val="0"/>
                          <w:marTop w:val="0"/>
                          <w:marBottom w:val="0"/>
                          <w:divBdr>
                            <w:top w:val="none" w:sz="0" w:space="0" w:color="auto"/>
                            <w:left w:val="none" w:sz="0" w:space="0" w:color="auto"/>
                            <w:bottom w:val="none" w:sz="0" w:space="0" w:color="auto"/>
                            <w:right w:val="none" w:sz="0" w:space="0" w:color="auto"/>
                          </w:divBdr>
                        </w:div>
                      </w:divsChild>
                    </w:div>
                    <w:div w:id="622468160">
                      <w:marLeft w:val="0"/>
                      <w:marRight w:val="0"/>
                      <w:marTop w:val="0"/>
                      <w:marBottom w:val="0"/>
                      <w:divBdr>
                        <w:top w:val="none" w:sz="0" w:space="0" w:color="auto"/>
                        <w:left w:val="none" w:sz="0" w:space="0" w:color="auto"/>
                        <w:bottom w:val="none" w:sz="0" w:space="0" w:color="auto"/>
                        <w:right w:val="none" w:sz="0" w:space="0" w:color="auto"/>
                      </w:divBdr>
                      <w:divsChild>
                        <w:div w:id="1913543230">
                          <w:marLeft w:val="0"/>
                          <w:marRight w:val="0"/>
                          <w:marTop w:val="0"/>
                          <w:marBottom w:val="0"/>
                          <w:divBdr>
                            <w:top w:val="none" w:sz="0" w:space="0" w:color="auto"/>
                            <w:left w:val="none" w:sz="0" w:space="0" w:color="auto"/>
                            <w:bottom w:val="none" w:sz="0" w:space="0" w:color="auto"/>
                            <w:right w:val="none" w:sz="0" w:space="0" w:color="auto"/>
                          </w:divBdr>
                        </w:div>
                      </w:divsChild>
                    </w:div>
                    <w:div w:id="636495333">
                      <w:marLeft w:val="0"/>
                      <w:marRight w:val="0"/>
                      <w:marTop w:val="0"/>
                      <w:marBottom w:val="0"/>
                      <w:divBdr>
                        <w:top w:val="none" w:sz="0" w:space="0" w:color="auto"/>
                        <w:left w:val="none" w:sz="0" w:space="0" w:color="auto"/>
                        <w:bottom w:val="none" w:sz="0" w:space="0" w:color="auto"/>
                        <w:right w:val="none" w:sz="0" w:space="0" w:color="auto"/>
                      </w:divBdr>
                      <w:divsChild>
                        <w:div w:id="2099209978">
                          <w:marLeft w:val="0"/>
                          <w:marRight w:val="0"/>
                          <w:marTop w:val="0"/>
                          <w:marBottom w:val="0"/>
                          <w:divBdr>
                            <w:top w:val="none" w:sz="0" w:space="0" w:color="auto"/>
                            <w:left w:val="none" w:sz="0" w:space="0" w:color="auto"/>
                            <w:bottom w:val="none" w:sz="0" w:space="0" w:color="auto"/>
                            <w:right w:val="none" w:sz="0" w:space="0" w:color="auto"/>
                          </w:divBdr>
                        </w:div>
                      </w:divsChild>
                    </w:div>
                    <w:div w:id="644162993">
                      <w:marLeft w:val="0"/>
                      <w:marRight w:val="0"/>
                      <w:marTop w:val="0"/>
                      <w:marBottom w:val="0"/>
                      <w:divBdr>
                        <w:top w:val="none" w:sz="0" w:space="0" w:color="auto"/>
                        <w:left w:val="none" w:sz="0" w:space="0" w:color="auto"/>
                        <w:bottom w:val="none" w:sz="0" w:space="0" w:color="auto"/>
                        <w:right w:val="none" w:sz="0" w:space="0" w:color="auto"/>
                      </w:divBdr>
                      <w:divsChild>
                        <w:div w:id="221910599">
                          <w:marLeft w:val="0"/>
                          <w:marRight w:val="0"/>
                          <w:marTop w:val="0"/>
                          <w:marBottom w:val="0"/>
                          <w:divBdr>
                            <w:top w:val="none" w:sz="0" w:space="0" w:color="auto"/>
                            <w:left w:val="none" w:sz="0" w:space="0" w:color="auto"/>
                            <w:bottom w:val="none" w:sz="0" w:space="0" w:color="auto"/>
                            <w:right w:val="none" w:sz="0" w:space="0" w:color="auto"/>
                          </w:divBdr>
                        </w:div>
                      </w:divsChild>
                    </w:div>
                    <w:div w:id="649140280">
                      <w:marLeft w:val="0"/>
                      <w:marRight w:val="0"/>
                      <w:marTop w:val="0"/>
                      <w:marBottom w:val="0"/>
                      <w:divBdr>
                        <w:top w:val="none" w:sz="0" w:space="0" w:color="auto"/>
                        <w:left w:val="none" w:sz="0" w:space="0" w:color="auto"/>
                        <w:bottom w:val="none" w:sz="0" w:space="0" w:color="auto"/>
                        <w:right w:val="none" w:sz="0" w:space="0" w:color="auto"/>
                      </w:divBdr>
                      <w:divsChild>
                        <w:div w:id="2073502163">
                          <w:marLeft w:val="0"/>
                          <w:marRight w:val="0"/>
                          <w:marTop w:val="0"/>
                          <w:marBottom w:val="0"/>
                          <w:divBdr>
                            <w:top w:val="none" w:sz="0" w:space="0" w:color="auto"/>
                            <w:left w:val="none" w:sz="0" w:space="0" w:color="auto"/>
                            <w:bottom w:val="none" w:sz="0" w:space="0" w:color="auto"/>
                            <w:right w:val="none" w:sz="0" w:space="0" w:color="auto"/>
                          </w:divBdr>
                        </w:div>
                      </w:divsChild>
                    </w:div>
                    <w:div w:id="660432473">
                      <w:marLeft w:val="0"/>
                      <w:marRight w:val="0"/>
                      <w:marTop w:val="0"/>
                      <w:marBottom w:val="0"/>
                      <w:divBdr>
                        <w:top w:val="none" w:sz="0" w:space="0" w:color="auto"/>
                        <w:left w:val="none" w:sz="0" w:space="0" w:color="auto"/>
                        <w:bottom w:val="none" w:sz="0" w:space="0" w:color="auto"/>
                        <w:right w:val="none" w:sz="0" w:space="0" w:color="auto"/>
                      </w:divBdr>
                      <w:divsChild>
                        <w:div w:id="1904364847">
                          <w:marLeft w:val="0"/>
                          <w:marRight w:val="0"/>
                          <w:marTop w:val="0"/>
                          <w:marBottom w:val="0"/>
                          <w:divBdr>
                            <w:top w:val="none" w:sz="0" w:space="0" w:color="auto"/>
                            <w:left w:val="none" w:sz="0" w:space="0" w:color="auto"/>
                            <w:bottom w:val="none" w:sz="0" w:space="0" w:color="auto"/>
                            <w:right w:val="none" w:sz="0" w:space="0" w:color="auto"/>
                          </w:divBdr>
                        </w:div>
                      </w:divsChild>
                    </w:div>
                    <w:div w:id="688684787">
                      <w:marLeft w:val="0"/>
                      <w:marRight w:val="0"/>
                      <w:marTop w:val="0"/>
                      <w:marBottom w:val="0"/>
                      <w:divBdr>
                        <w:top w:val="none" w:sz="0" w:space="0" w:color="auto"/>
                        <w:left w:val="none" w:sz="0" w:space="0" w:color="auto"/>
                        <w:bottom w:val="none" w:sz="0" w:space="0" w:color="auto"/>
                        <w:right w:val="none" w:sz="0" w:space="0" w:color="auto"/>
                      </w:divBdr>
                      <w:divsChild>
                        <w:div w:id="1296133716">
                          <w:marLeft w:val="0"/>
                          <w:marRight w:val="0"/>
                          <w:marTop w:val="0"/>
                          <w:marBottom w:val="0"/>
                          <w:divBdr>
                            <w:top w:val="none" w:sz="0" w:space="0" w:color="auto"/>
                            <w:left w:val="none" w:sz="0" w:space="0" w:color="auto"/>
                            <w:bottom w:val="none" w:sz="0" w:space="0" w:color="auto"/>
                            <w:right w:val="none" w:sz="0" w:space="0" w:color="auto"/>
                          </w:divBdr>
                        </w:div>
                      </w:divsChild>
                    </w:div>
                    <w:div w:id="707687043">
                      <w:marLeft w:val="0"/>
                      <w:marRight w:val="0"/>
                      <w:marTop w:val="0"/>
                      <w:marBottom w:val="0"/>
                      <w:divBdr>
                        <w:top w:val="none" w:sz="0" w:space="0" w:color="auto"/>
                        <w:left w:val="none" w:sz="0" w:space="0" w:color="auto"/>
                        <w:bottom w:val="none" w:sz="0" w:space="0" w:color="auto"/>
                        <w:right w:val="none" w:sz="0" w:space="0" w:color="auto"/>
                      </w:divBdr>
                      <w:divsChild>
                        <w:div w:id="1849977324">
                          <w:marLeft w:val="0"/>
                          <w:marRight w:val="0"/>
                          <w:marTop w:val="0"/>
                          <w:marBottom w:val="0"/>
                          <w:divBdr>
                            <w:top w:val="none" w:sz="0" w:space="0" w:color="auto"/>
                            <w:left w:val="none" w:sz="0" w:space="0" w:color="auto"/>
                            <w:bottom w:val="none" w:sz="0" w:space="0" w:color="auto"/>
                            <w:right w:val="none" w:sz="0" w:space="0" w:color="auto"/>
                          </w:divBdr>
                        </w:div>
                      </w:divsChild>
                    </w:div>
                    <w:div w:id="715156027">
                      <w:marLeft w:val="0"/>
                      <w:marRight w:val="0"/>
                      <w:marTop w:val="0"/>
                      <w:marBottom w:val="0"/>
                      <w:divBdr>
                        <w:top w:val="none" w:sz="0" w:space="0" w:color="auto"/>
                        <w:left w:val="none" w:sz="0" w:space="0" w:color="auto"/>
                        <w:bottom w:val="none" w:sz="0" w:space="0" w:color="auto"/>
                        <w:right w:val="none" w:sz="0" w:space="0" w:color="auto"/>
                      </w:divBdr>
                      <w:divsChild>
                        <w:div w:id="1131560662">
                          <w:marLeft w:val="0"/>
                          <w:marRight w:val="0"/>
                          <w:marTop w:val="0"/>
                          <w:marBottom w:val="0"/>
                          <w:divBdr>
                            <w:top w:val="none" w:sz="0" w:space="0" w:color="auto"/>
                            <w:left w:val="none" w:sz="0" w:space="0" w:color="auto"/>
                            <w:bottom w:val="none" w:sz="0" w:space="0" w:color="auto"/>
                            <w:right w:val="none" w:sz="0" w:space="0" w:color="auto"/>
                          </w:divBdr>
                        </w:div>
                      </w:divsChild>
                    </w:div>
                    <w:div w:id="716778630">
                      <w:marLeft w:val="0"/>
                      <w:marRight w:val="0"/>
                      <w:marTop w:val="0"/>
                      <w:marBottom w:val="0"/>
                      <w:divBdr>
                        <w:top w:val="none" w:sz="0" w:space="0" w:color="auto"/>
                        <w:left w:val="none" w:sz="0" w:space="0" w:color="auto"/>
                        <w:bottom w:val="none" w:sz="0" w:space="0" w:color="auto"/>
                        <w:right w:val="none" w:sz="0" w:space="0" w:color="auto"/>
                      </w:divBdr>
                      <w:divsChild>
                        <w:div w:id="647249555">
                          <w:marLeft w:val="0"/>
                          <w:marRight w:val="0"/>
                          <w:marTop w:val="0"/>
                          <w:marBottom w:val="0"/>
                          <w:divBdr>
                            <w:top w:val="none" w:sz="0" w:space="0" w:color="auto"/>
                            <w:left w:val="none" w:sz="0" w:space="0" w:color="auto"/>
                            <w:bottom w:val="none" w:sz="0" w:space="0" w:color="auto"/>
                            <w:right w:val="none" w:sz="0" w:space="0" w:color="auto"/>
                          </w:divBdr>
                        </w:div>
                      </w:divsChild>
                    </w:div>
                    <w:div w:id="717823772">
                      <w:marLeft w:val="0"/>
                      <w:marRight w:val="0"/>
                      <w:marTop w:val="0"/>
                      <w:marBottom w:val="0"/>
                      <w:divBdr>
                        <w:top w:val="none" w:sz="0" w:space="0" w:color="auto"/>
                        <w:left w:val="none" w:sz="0" w:space="0" w:color="auto"/>
                        <w:bottom w:val="none" w:sz="0" w:space="0" w:color="auto"/>
                        <w:right w:val="none" w:sz="0" w:space="0" w:color="auto"/>
                      </w:divBdr>
                      <w:divsChild>
                        <w:div w:id="769081273">
                          <w:marLeft w:val="0"/>
                          <w:marRight w:val="0"/>
                          <w:marTop w:val="0"/>
                          <w:marBottom w:val="0"/>
                          <w:divBdr>
                            <w:top w:val="none" w:sz="0" w:space="0" w:color="auto"/>
                            <w:left w:val="none" w:sz="0" w:space="0" w:color="auto"/>
                            <w:bottom w:val="none" w:sz="0" w:space="0" w:color="auto"/>
                            <w:right w:val="none" w:sz="0" w:space="0" w:color="auto"/>
                          </w:divBdr>
                        </w:div>
                      </w:divsChild>
                    </w:div>
                    <w:div w:id="740441441">
                      <w:marLeft w:val="0"/>
                      <w:marRight w:val="0"/>
                      <w:marTop w:val="0"/>
                      <w:marBottom w:val="0"/>
                      <w:divBdr>
                        <w:top w:val="none" w:sz="0" w:space="0" w:color="auto"/>
                        <w:left w:val="none" w:sz="0" w:space="0" w:color="auto"/>
                        <w:bottom w:val="none" w:sz="0" w:space="0" w:color="auto"/>
                        <w:right w:val="none" w:sz="0" w:space="0" w:color="auto"/>
                      </w:divBdr>
                      <w:divsChild>
                        <w:div w:id="103422352">
                          <w:marLeft w:val="0"/>
                          <w:marRight w:val="0"/>
                          <w:marTop w:val="0"/>
                          <w:marBottom w:val="0"/>
                          <w:divBdr>
                            <w:top w:val="none" w:sz="0" w:space="0" w:color="auto"/>
                            <w:left w:val="none" w:sz="0" w:space="0" w:color="auto"/>
                            <w:bottom w:val="none" w:sz="0" w:space="0" w:color="auto"/>
                            <w:right w:val="none" w:sz="0" w:space="0" w:color="auto"/>
                          </w:divBdr>
                        </w:div>
                      </w:divsChild>
                    </w:div>
                    <w:div w:id="741610355">
                      <w:marLeft w:val="0"/>
                      <w:marRight w:val="0"/>
                      <w:marTop w:val="0"/>
                      <w:marBottom w:val="0"/>
                      <w:divBdr>
                        <w:top w:val="none" w:sz="0" w:space="0" w:color="auto"/>
                        <w:left w:val="none" w:sz="0" w:space="0" w:color="auto"/>
                        <w:bottom w:val="none" w:sz="0" w:space="0" w:color="auto"/>
                        <w:right w:val="none" w:sz="0" w:space="0" w:color="auto"/>
                      </w:divBdr>
                      <w:divsChild>
                        <w:div w:id="2039886019">
                          <w:marLeft w:val="0"/>
                          <w:marRight w:val="0"/>
                          <w:marTop w:val="0"/>
                          <w:marBottom w:val="0"/>
                          <w:divBdr>
                            <w:top w:val="none" w:sz="0" w:space="0" w:color="auto"/>
                            <w:left w:val="none" w:sz="0" w:space="0" w:color="auto"/>
                            <w:bottom w:val="none" w:sz="0" w:space="0" w:color="auto"/>
                            <w:right w:val="none" w:sz="0" w:space="0" w:color="auto"/>
                          </w:divBdr>
                        </w:div>
                      </w:divsChild>
                    </w:div>
                    <w:div w:id="744258420">
                      <w:marLeft w:val="0"/>
                      <w:marRight w:val="0"/>
                      <w:marTop w:val="0"/>
                      <w:marBottom w:val="0"/>
                      <w:divBdr>
                        <w:top w:val="none" w:sz="0" w:space="0" w:color="auto"/>
                        <w:left w:val="none" w:sz="0" w:space="0" w:color="auto"/>
                        <w:bottom w:val="none" w:sz="0" w:space="0" w:color="auto"/>
                        <w:right w:val="none" w:sz="0" w:space="0" w:color="auto"/>
                      </w:divBdr>
                      <w:divsChild>
                        <w:div w:id="123158837">
                          <w:marLeft w:val="0"/>
                          <w:marRight w:val="0"/>
                          <w:marTop w:val="0"/>
                          <w:marBottom w:val="0"/>
                          <w:divBdr>
                            <w:top w:val="none" w:sz="0" w:space="0" w:color="auto"/>
                            <w:left w:val="none" w:sz="0" w:space="0" w:color="auto"/>
                            <w:bottom w:val="none" w:sz="0" w:space="0" w:color="auto"/>
                            <w:right w:val="none" w:sz="0" w:space="0" w:color="auto"/>
                          </w:divBdr>
                        </w:div>
                      </w:divsChild>
                    </w:div>
                    <w:div w:id="752893671">
                      <w:marLeft w:val="0"/>
                      <w:marRight w:val="0"/>
                      <w:marTop w:val="0"/>
                      <w:marBottom w:val="0"/>
                      <w:divBdr>
                        <w:top w:val="none" w:sz="0" w:space="0" w:color="auto"/>
                        <w:left w:val="none" w:sz="0" w:space="0" w:color="auto"/>
                        <w:bottom w:val="none" w:sz="0" w:space="0" w:color="auto"/>
                        <w:right w:val="none" w:sz="0" w:space="0" w:color="auto"/>
                      </w:divBdr>
                      <w:divsChild>
                        <w:div w:id="1250970130">
                          <w:marLeft w:val="0"/>
                          <w:marRight w:val="0"/>
                          <w:marTop w:val="0"/>
                          <w:marBottom w:val="0"/>
                          <w:divBdr>
                            <w:top w:val="none" w:sz="0" w:space="0" w:color="auto"/>
                            <w:left w:val="none" w:sz="0" w:space="0" w:color="auto"/>
                            <w:bottom w:val="none" w:sz="0" w:space="0" w:color="auto"/>
                            <w:right w:val="none" w:sz="0" w:space="0" w:color="auto"/>
                          </w:divBdr>
                        </w:div>
                      </w:divsChild>
                    </w:div>
                    <w:div w:id="759760138">
                      <w:marLeft w:val="0"/>
                      <w:marRight w:val="0"/>
                      <w:marTop w:val="0"/>
                      <w:marBottom w:val="0"/>
                      <w:divBdr>
                        <w:top w:val="none" w:sz="0" w:space="0" w:color="auto"/>
                        <w:left w:val="none" w:sz="0" w:space="0" w:color="auto"/>
                        <w:bottom w:val="none" w:sz="0" w:space="0" w:color="auto"/>
                        <w:right w:val="none" w:sz="0" w:space="0" w:color="auto"/>
                      </w:divBdr>
                      <w:divsChild>
                        <w:div w:id="1718360160">
                          <w:marLeft w:val="0"/>
                          <w:marRight w:val="0"/>
                          <w:marTop w:val="0"/>
                          <w:marBottom w:val="0"/>
                          <w:divBdr>
                            <w:top w:val="none" w:sz="0" w:space="0" w:color="auto"/>
                            <w:left w:val="none" w:sz="0" w:space="0" w:color="auto"/>
                            <w:bottom w:val="none" w:sz="0" w:space="0" w:color="auto"/>
                            <w:right w:val="none" w:sz="0" w:space="0" w:color="auto"/>
                          </w:divBdr>
                        </w:div>
                      </w:divsChild>
                    </w:div>
                    <w:div w:id="775321401">
                      <w:marLeft w:val="0"/>
                      <w:marRight w:val="0"/>
                      <w:marTop w:val="0"/>
                      <w:marBottom w:val="0"/>
                      <w:divBdr>
                        <w:top w:val="none" w:sz="0" w:space="0" w:color="auto"/>
                        <w:left w:val="none" w:sz="0" w:space="0" w:color="auto"/>
                        <w:bottom w:val="none" w:sz="0" w:space="0" w:color="auto"/>
                        <w:right w:val="none" w:sz="0" w:space="0" w:color="auto"/>
                      </w:divBdr>
                      <w:divsChild>
                        <w:div w:id="1338116328">
                          <w:marLeft w:val="0"/>
                          <w:marRight w:val="0"/>
                          <w:marTop w:val="0"/>
                          <w:marBottom w:val="0"/>
                          <w:divBdr>
                            <w:top w:val="none" w:sz="0" w:space="0" w:color="auto"/>
                            <w:left w:val="none" w:sz="0" w:space="0" w:color="auto"/>
                            <w:bottom w:val="none" w:sz="0" w:space="0" w:color="auto"/>
                            <w:right w:val="none" w:sz="0" w:space="0" w:color="auto"/>
                          </w:divBdr>
                        </w:div>
                      </w:divsChild>
                    </w:div>
                    <w:div w:id="777799410">
                      <w:marLeft w:val="0"/>
                      <w:marRight w:val="0"/>
                      <w:marTop w:val="0"/>
                      <w:marBottom w:val="0"/>
                      <w:divBdr>
                        <w:top w:val="none" w:sz="0" w:space="0" w:color="auto"/>
                        <w:left w:val="none" w:sz="0" w:space="0" w:color="auto"/>
                        <w:bottom w:val="none" w:sz="0" w:space="0" w:color="auto"/>
                        <w:right w:val="none" w:sz="0" w:space="0" w:color="auto"/>
                      </w:divBdr>
                      <w:divsChild>
                        <w:div w:id="2039119745">
                          <w:marLeft w:val="0"/>
                          <w:marRight w:val="0"/>
                          <w:marTop w:val="0"/>
                          <w:marBottom w:val="0"/>
                          <w:divBdr>
                            <w:top w:val="none" w:sz="0" w:space="0" w:color="auto"/>
                            <w:left w:val="none" w:sz="0" w:space="0" w:color="auto"/>
                            <w:bottom w:val="none" w:sz="0" w:space="0" w:color="auto"/>
                            <w:right w:val="none" w:sz="0" w:space="0" w:color="auto"/>
                          </w:divBdr>
                        </w:div>
                      </w:divsChild>
                    </w:div>
                    <w:div w:id="803086389">
                      <w:marLeft w:val="0"/>
                      <w:marRight w:val="0"/>
                      <w:marTop w:val="0"/>
                      <w:marBottom w:val="0"/>
                      <w:divBdr>
                        <w:top w:val="none" w:sz="0" w:space="0" w:color="auto"/>
                        <w:left w:val="none" w:sz="0" w:space="0" w:color="auto"/>
                        <w:bottom w:val="none" w:sz="0" w:space="0" w:color="auto"/>
                        <w:right w:val="none" w:sz="0" w:space="0" w:color="auto"/>
                      </w:divBdr>
                      <w:divsChild>
                        <w:div w:id="292247506">
                          <w:marLeft w:val="0"/>
                          <w:marRight w:val="0"/>
                          <w:marTop w:val="0"/>
                          <w:marBottom w:val="0"/>
                          <w:divBdr>
                            <w:top w:val="none" w:sz="0" w:space="0" w:color="auto"/>
                            <w:left w:val="none" w:sz="0" w:space="0" w:color="auto"/>
                            <w:bottom w:val="none" w:sz="0" w:space="0" w:color="auto"/>
                            <w:right w:val="none" w:sz="0" w:space="0" w:color="auto"/>
                          </w:divBdr>
                        </w:div>
                      </w:divsChild>
                    </w:div>
                    <w:div w:id="815144485">
                      <w:marLeft w:val="0"/>
                      <w:marRight w:val="0"/>
                      <w:marTop w:val="0"/>
                      <w:marBottom w:val="0"/>
                      <w:divBdr>
                        <w:top w:val="none" w:sz="0" w:space="0" w:color="auto"/>
                        <w:left w:val="none" w:sz="0" w:space="0" w:color="auto"/>
                        <w:bottom w:val="none" w:sz="0" w:space="0" w:color="auto"/>
                        <w:right w:val="none" w:sz="0" w:space="0" w:color="auto"/>
                      </w:divBdr>
                      <w:divsChild>
                        <w:div w:id="398942279">
                          <w:marLeft w:val="0"/>
                          <w:marRight w:val="0"/>
                          <w:marTop w:val="0"/>
                          <w:marBottom w:val="0"/>
                          <w:divBdr>
                            <w:top w:val="none" w:sz="0" w:space="0" w:color="auto"/>
                            <w:left w:val="none" w:sz="0" w:space="0" w:color="auto"/>
                            <w:bottom w:val="none" w:sz="0" w:space="0" w:color="auto"/>
                            <w:right w:val="none" w:sz="0" w:space="0" w:color="auto"/>
                          </w:divBdr>
                        </w:div>
                      </w:divsChild>
                    </w:div>
                    <w:div w:id="817380684">
                      <w:marLeft w:val="0"/>
                      <w:marRight w:val="0"/>
                      <w:marTop w:val="0"/>
                      <w:marBottom w:val="0"/>
                      <w:divBdr>
                        <w:top w:val="none" w:sz="0" w:space="0" w:color="auto"/>
                        <w:left w:val="none" w:sz="0" w:space="0" w:color="auto"/>
                        <w:bottom w:val="none" w:sz="0" w:space="0" w:color="auto"/>
                        <w:right w:val="none" w:sz="0" w:space="0" w:color="auto"/>
                      </w:divBdr>
                      <w:divsChild>
                        <w:div w:id="2015839455">
                          <w:marLeft w:val="0"/>
                          <w:marRight w:val="0"/>
                          <w:marTop w:val="0"/>
                          <w:marBottom w:val="0"/>
                          <w:divBdr>
                            <w:top w:val="none" w:sz="0" w:space="0" w:color="auto"/>
                            <w:left w:val="none" w:sz="0" w:space="0" w:color="auto"/>
                            <w:bottom w:val="none" w:sz="0" w:space="0" w:color="auto"/>
                            <w:right w:val="none" w:sz="0" w:space="0" w:color="auto"/>
                          </w:divBdr>
                        </w:div>
                      </w:divsChild>
                    </w:div>
                    <w:div w:id="823274693">
                      <w:marLeft w:val="0"/>
                      <w:marRight w:val="0"/>
                      <w:marTop w:val="0"/>
                      <w:marBottom w:val="0"/>
                      <w:divBdr>
                        <w:top w:val="none" w:sz="0" w:space="0" w:color="auto"/>
                        <w:left w:val="none" w:sz="0" w:space="0" w:color="auto"/>
                        <w:bottom w:val="none" w:sz="0" w:space="0" w:color="auto"/>
                        <w:right w:val="none" w:sz="0" w:space="0" w:color="auto"/>
                      </w:divBdr>
                      <w:divsChild>
                        <w:div w:id="281496849">
                          <w:marLeft w:val="0"/>
                          <w:marRight w:val="0"/>
                          <w:marTop w:val="0"/>
                          <w:marBottom w:val="0"/>
                          <w:divBdr>
                            <w:top w:val="none" w:sz="0" w:space="0" w:color="auto"/>
                            <w:left w:val="none" w:sz="0" w:space="0" w:color="auto"/>
                            <w:bottom w:val="none" w:sz="0" w:space="0" w:color="auto"/>
                            <w:right w:val="none" w:sz="0" w:space="0" w:color="auto"/>
                          </w:divBdr>
                        </w:div>
                      </w:divsChild>
                    </w:div>
                    <w:div w:id="828247859">
                      <w:marLeft w:val="0"/>
                      <w:marRight w:val="0"/>
                      <w:marTop w:val="0"/>
                      <w:marBottom w:val="0"/>
                      <w:divBdr>
                        <w:top w:val="none" w:sz="0" w:space="0" w:color="auto"/>
                        <w:left w:val="none" w:sz="0" w:space="0" w:color="auto"/>
                        <w:bottom w:val="none" w:sz="0" w:space="0" w:color="auto"/>
                        <w:right w:val="none" w:sz="0" w:space="0" w:color="auto"/>
                      </w:divBdr>
                      <w:divsChild>
                        <w:div w:id="1641496832">
                          <w:marLeft w:val="0"/>
                          <w:marRight w:val="0"/>
                          <w:marTop w:val="0"/>
                          <w:marBottom w:val="0"/>
                          <w:divBdr>
                            <w:top w:val="none" w:sz="0" w:space="0" w:color="auto"/>
                            <w:left w:val="none" w:sz="0" w:space="0" w:color="auto"/>
                            <w:bottom w:val="none" w:sz="0" w:space="0" w:color="auto"/>
                            <w:right w:val="none" w:sz="0" w:space="0" w:color="auto"/>
                          </w:divBdr>
                        </w:div>
                      </w:divsChild>
                    </w:div>
                    <w:div w:id="829908855">
                      <w:marLeft w:val="0"/>
                      <w:marRight w:val="0"/>
                      <w:marTop w:val="0"/>
                      <w:marBottom w:val="0"/>
                      <w:divBdr>
                        <w:top w:val="none" w:sz="0" w:space="0" w:color="auto"/>
                        <w:left w:val="none" w:sz="0" w:space="0" w:color="auto"/>
                        <w:bottom w:val="none" w:sz="0" w:space="0" w:color="auto"/>
                        <w:right w:val="none" w:sz="0" w:space="0" w:color="auto"/>
                      </w:divBdr>
                      <w:divsChild>
                        <w:div w:id="905455536">
                          <w:marLeft w:val="0"/>
                          <w:marRight w:val="0"/>
                          <w:marTop w:val="0"/>
                          <w:marBottom w:val="0"/>
                          <w:divBdr>
                            <w:top w:val="none" w:sz="0" w:space="0" w:color="auto"/>
                            <w:left w:val="none" w:sz="0" w:space="0" w:color="auto"/>
                            <w:bottom w:val="none" w:sz="0" w:space="0" w:color="auto"/>
                            <w:right w:val="none" w:sz="0" w:space="0" w:color="auto"/>
                          </w:divBdr>
                        </w:div>
                      </w:divsChild>
                    </w:div>
                    <w:div w:id="832910931">
                      <w:marLeft w:val="0"/>
                      <w:marRight w:val="0"/>
                      <w:marTop w:val="0"/>
                      <w:marBottom w:val="0"/>
                      <w:divBdr>
                        <w:top w:val="none" w:sz="0" w:space="0" w:color="auto"/>
                        <w:left w:val="none" w:sz="0" w:space="0" w:color="auto"/>
                        <w:bottom w:val="none" w:sz="0" w:space="0" w:color="auto"/>
                        <w:right w:val="none" w:sz="0" w:space="0" w:color="auto"/>
                      </w:divBdr>
                      <w:divsChild>
                        <w:div w:id="1093278920">
                          <w:marLeft w:val="0"/>
                          <w:marRight w:val="0"/>
                          <w:marTop w:val="0"/>
                          <w:marBottom w:val="0"/>
                          <w:divBdr>
                            <w:top w:val="none" w:sz="0" w:space="0" w:color="auto"/>
                            <w:left w:val="none" w:sz="0" w:space="0" w:color="auto"/>
                            <w:bottom w:val="none" w:sz="0" w:space="0" w:color="auto"/>
                            <w:right w:val="none" w:sz="0" w:space="0" w:color="auto"/>
                          </w:divBdr>
                        </w:div>
                      </w:divsChild>
                    </w:div>
                    <w:div w:id="862938190">
                      <w:marLeft w:val="0"/>
                      <w:marRight w:val="0"/>
                      <w:marTop w:val="0"/>
                      <w:marBottom w:val="0"/>
                      <w:divBdr>
                        <w:top w:val="none" w:sz="0" w:space="0" w:color="auto"/>
                        <w:left w:val="none" w:sz="0" w:space="0" w:color="auto"/>
                        <w:bottom w:val="none" w:sz="0" w:space="0" w:color="auto"/>
                        <w:right w:val="none" w:sz="0" w:space="0" w:color="auto"/>
                      </w:divBdr>
                      <w:divsChild>
                        <w:div w:id="782189067">
                          <w:marLeft w:val="0"/>
                          <w:marRight w:val="0"/>
                          <w:marTop w:val="0"/>
                          <w:marBottom w:val="0"/>
                          <w:divBdr>
                            <w:top w:val="none" w:sz="0" w:space="0" w:color="auto"/>
                            <w:left w:val="none" w:sz="0" w:space="0" w:color="auto"/>
                            <w:bottom w:val="none" w:sz="0" w:space="0" w:color="auto"/>
                            <w:right w:val="none" w:sz="0" w:space="0" w:color="auto"/>
                          </w:divBdr>
                        </w:div>
                      </w:divsChild>
                    </w:div>
                    <w:div w:id="864900829">
                      <w:marLeft w:val="0"/>
                      <w:marRight w:val="0"/>
                      <w:marTop w:val="0"/>
                      <w:marBottom w:val="0"/>
                      <w:divBdr>
                        <w:top w:val="none" w:sz="0" w:space="0" w:color="auto"/>
                        <w:left w:val="none" w:sz="0" w:space="0" w:color="auto"/>
                        <w:bottom w:val="none" w:sz="0" w:space="0" w:color="auto"/>
                        <w:right w:val="none" w:sz="0" w:space="0" w:color="auto"/>
                      </w:divBdr>
                      <w:divsChild>
                        <w:div w:id="350884363">
                          <w:marLeft w:val="0"/>
                          <w:marRight w:val="0"/>
                          <w:marTop w:val="0"/>
                          <w:marBottom w:val="0"/>
                          <w:divBdr>
                            <w:top w:val="none" w:sz="0" w:space="0" w:color="auto"/>
                            <w:left w:val="none" w:sz="0" w:space="0" w:color="auto"/>
                            <w:bottom w:val="none" w:sz="0" w:space="0" w:color="auto"/>
                            <w:right w:val="none" w:sz="0" w:space="0" w:color="auto"/>
                          </w:divBdr>
                        </w:div>
                      </w:divsChild>
                    </w:div>
                    <w:div w:id="885331221">
                      <w:marLeft w:val="0"/>
                      <w:marRight w:val="0"/>
                      <w:marTop w:val="0"/>
                      <w:marBottom w:val="0"/>
                      <w:divBdr>
                        <w:top w:val="none" w:sz="0" w:space="0" w:color="auto"/>
                        <w:left w:val="none" w:sz="0" w:space="0" w:color="auto"/>
                        <w:bottom w:val="none" w:sz="0" w:space="0" w:color="auto"/>
                        <w:right w:val="none" w:sz="0" w:space="0" w:color="auto"/>
                      </w:divBdr>
                      <w:divsChild>
                        <w:div w:id="690642705">
                          <w:marLeft w:val="0"/>
                          <w:marRight w:val="0"/>
                          <w:marTop w:val="0"/>
                          <w:marBottom w:val="0"/>
                          <w:divBdr>
                            <w:top w:val="none" w:sz="0" w:space="0" w:color="auto"/>
                            <w:left w:val="none" w:sz="0" w:space="0" w:color="auto"/>
                            <w:bottom w:val="none" w:sz="0" w:space="0" w:color="auto"/>
                            <w:right w:val="none" w:sz="0" w:space="0" w:color="auto"/>
                          </w:divBdr>
                        </w:div>
                      </w:divsChild>
                    </w:div>
                    <w:div w:id="891884015">
                      <w:marLeft w:val="0"/>
                      <w:marRight w:val="0"/>
                      <w:marTop w:val="0"/>
                      <w:marBottom w:val="0"/>
                      <w:divBdr>
                        <w:top w:val="none" w:sz="0" w:space="0" w:color="auto"/>
                        <w:left w:val="none" w:sz="0" w:space="0" w:color="auto"/>
                        <w:bottom w:val="none" w:sz="0" w:space="0" w:color="auto"/>
                        <w:right w:val="none" w:sz="0" w:space="0" w:color="auto"/>
                      </w:divBdr>
                      <w:divsChild>
                        <w:div w:id="1449085705">
                          <w:marLeft w:val="0"/>
                          <w:marRight w:val="0"/>
                          <w:marTop w:val="0"/>
                          <w:marBottom w:val="0"/>
                          <w:divBdr>
                            <w:top w:val="none" w:sz="0" w:space="0" w:color="auto"/>
                            <w:left w:val="none" w:sz="0" w:space="0" w:color="auto"/>
                            <w:bottom w:val="none" w:sz="0" w:space="0" w:color="auto"/>
                            <w:right w:val="none" w:sz="0" w:space="0" w:color="auto"/>
                          </w:divBdr>
                        </w:div>
                      </w:divsChild>
                    </w:div>
                    <w:div w:id="897479220">
                      <w:marLeft w:val="0"/>
                      <w:marRight w:val="0"/>
                      <w:marTop w:val="0"/>
                      <w:marBottom w:val="0"/>
                      <w:divBdr>
                        <w:top w:val="none" w:sz="0" w:space="0" w:color="auto"/>
                        <w:left w:val="none" w:sz="0" w:space="0" w:color="auto"/>
                        <w:bottom w:val="none" w:sz="0" w:space="0" w:color="auto"/>
                        <w:right w:val="none" w:sz="0" w:space="0" w:color="auto"/>
                      </w:divBdr>
                      <w:divsChild>
                        <w:div w:id="602497856">
                          <w:marLeft w:val="0"/>
                          <w:marRight w:val="0"/>
                          <w:marTop w:val="0"/>
                          <w:marBottom w:val="0"/>
                          <w:divBdr>
                            <w:top w:val="none" w:sz="0" w:space="0" w:color="auto"/>
                            <w:left w:val="none" w:sz="0" w:space="0" w:color="auto"/>
                            <w:bottom w:val="none" w:sz="0" w:space="0" w:color="auto"/>
                            <w:right w:val="none" w:sz="0" w:space="0" w:color="auto"/>
                          </w:divBdr>
                        </w:div>
                      </w:divsChild>
                    </w:div>
                    <w:div w:id="907619659">
                      <w:marLeft w:val="0"/>
                      <w:marRight w:val="0"/>
                      <w:marTop w:val="0"/>
                      <w:marBottom w:val="0"/>
                      <w:divBdr>
                        <w:top w:val="none" w:sz="0" w:space="0" w:color="auto"/>
                        <w:left w:val="none" w:sz="0" w:space="0" w:color="auto"/>
                        <w:bottom w:val="none" w:sz="0" w:space="0" w:color="auto"/>
                        <w:right w:val="none" w:sz="0" w:space="0" w:color="auto"/>
                      </w:divBdr>
                      <w:divsChild>
                        <w:div w:id="543491337">
                          <w:marLeft w:val="0"/>
                          <w:marRight w:val="0"/>
                          <w:marTop w:val="0"/>
                          <w:marBottom w:val="0"/>
                          <w:divBdr>
                            <w:top w:val="none" w:sz="0" w:space="0" w:color="auto"/>
                            <w:left w:val="none" w:sz="0" w:space="0" w:color="auto"/>
                            <w:bottom w:val="none" w:sz="0" w:space="0" w:color="auto"/>
                            <w:right w:val="none" w:sz="0" w:space="0" w:color="auto"/>
                          </w:divBdr>
                        </w:div>
                      </w:divsChild>
                    </w:div>
                    <w:div w:id="918173181">
                      <w:marLeft w:val="0"/>
                      <w:marRight w:val="0"/>
                      <w:marTop w:val="0"/>
                      <w:marBottom w:val="0"/>
                      <w:divBdr>
                        <w:top w:val="none" w:sz="0" w:space="0" w:color="auto"/>
                        <w:left w:val="none" w:sz="0" w:space="0" w:color="auto"/>
                        <w:bottom w:val="none" w:sz="0" w:space="0" w:color="auto"/>
                        <w:right w:val="none" w:sz="0" w:space="0" w:color="auto"/>
                      </w:divBdr>
                      <w:divsChild>
                        <w:div w:id="1111508328">
                          <w:marLeft w:val="0"/>
                          <w:marRight w:val="0"/>
                          <w:marTop w:val="0"/>
                          <w:marBottom w:val="0"/>
                          <w:divBdr>
                            <w:top w:val="none" w:sz="0" w:space="0" w:color="auto"/>
                            <w:left w:val="none" w:sz="0" w:space="0" w:color="auto"/>
                            <w:bottom w:val="none" w:sz="0" w:space="0" w:color="auto"/>
                            <w:right w:val="none" w:sz="0" w:space="0" w:color="auto"/>
                          </w:divBdr>
                        </w:div>
                      </w:divsChild>
                    </w:div>
                    <w:div w:id="926228532">
                      <w:marLeft w:val="0"/>
                      <w:marRight w:val="0"/>
                      <w:marTop w:val="0"/>
                      <w:marBottom w:val="0"/>
                      <w:divBdr>
                        <w:top w:val="none" w:sz="0" w:space="0" w:color="auto"/>
                        <w:left w:val="none" w:sz="0" w:space="0" w:color="auto"/>
                        <w:bottom w:val="none" w:sz="0" w:space="0" w:color="auto"/>
                        <w:right w:val="none" w:sz="0" w:space="0" w:color="auto"/>
                      </w:divBdr>
                      <w:divsChild>
                        <w:div w:id="242495116">
                          <w:marLeft w:val="0"/>
                          <w:marRight w:val="0"/>
                          <w:marTop w:val="0"/>
                          <w:marBottom w:val="0"/>
                          <w:divBdr>
                            <w:top w:val="none" w:sz="0" w:space="0" w:color="auto"/>
                            <w:left w:val="none" w:sz="0" w:space="0" w:color="auto"/>
                            <w:bottom w:val="none" w:sz="0" w:space="0" w:color="auto"/>
                            <w:right w:val="none" w:sz="0" w:space="0" w:color="auto"/>
                          </w:divBdr>
                        </w:div>
                      </w:divsChild>
                    </w:div>
                    <w:div w:id="936055735">
                      <w:marLeft w:val="0"/>
                      <w:marRight w:val="0"/>
                      <w:marTop w:val="0"/>
                      <w:marBottom w:val="0"/>
                      <w:divBdr>
                        <w:top w:val="none" w:sz="0" w:space="0" w:color="auto"/>
                        <w:left w:val="none" w:sz="0" w:space="0" w:color="auto"/>
                        <w:bottom w:val="none" w:sz="0" w:space="0" w:color="auto"/>
                        <w:right w:val="none" w:sz="0" w:space="0" w:color="auto"/>
                      </w:divBdr>
                      <w:divsChild>
                        <w:div w:id="1232621165">
                          <w:marLeft w:val="0"/>
                          <w:marRight w:val="0"/>
                          <w:marTop w:val="0"/>
                          <w:marBottom w:val="0"/>
                          <w:divBdr>
                            <w:top w:val="none" w:sz="0" w:space="0" w:color="auto"/>
                            <w:left w:val="none" w:sz="0" w:space="0" w:color="auto"/>
                            <w:bottom w:val="none" w:sz="0" w:space="0" w:color="auto"/>
                            <w:right w:val="none" w:sz="0" w:space="0" w:color="auto"/>
                          </w:divBdr>
                        </w:div>
                      </w:divsChild>
                    </w:div>
                    <w:div w:id="953174486">
                      <w:marLeft w:val="0"/>
                      <w:marRight w:val="0"/>
                      <w:marTop w:val="0"/>
                      <w:marBottom w:val="0"/>
                      <w:divBdr>
                        <w:top w:val="none" w:sz="0" w:space="0" w:color="auto"/>
                        <w:left w:val="none" w:sz="0" w:space="0" w:color="auto"/>
                        <w:bottom w:val="none" w:sz="0" w:space="0" w:color="auto"/>
                        <w:right w:val="none" w:sz="0" w:space="0" w:color="auto"/>
                      </w:divBdr>
                      <w:divsChild>
                        <w:div w:id="2011761256">
                          <w:marLeft w:val="0"/>
                          <w:marRight w:val="0"/>
                          <w:marTop w:val="0"/>
                          <w:marBottom w:val="0"/>
                          <w:divBdr>
                            <w:top w:val="none" w:sz="0" w:space="0" w:color="auto"/>
                            <w:left w:val="none" w:sz="0" w:space="0" w:color="auto"/>
                            <w:bottom w:val="none" w:sz="0" w:space="0" w:color="auto"/>
                            <w:right w:val="none" w:sz="0" w:space="0" w:color="auto"/>
                          </w:divBdr>
                        </w:div>
                      </w:divsChild>
                    </w:div>
                    <w:div w:id="953365551">
                      <w:marLeft w:val="0"/>
                      <w:marRight w:val="0"/>
                      <w:marTop w:val="0"/>
                      <w:marBottom w:val="0"/>
                      <w:divBdr>
                        <w:top w:val="none" w:sz="0" w:space="0" w:color="auto"/>
                        <w:left w:val="none" w:sz="0" w:space="0" w:color="auto"/>
                        <w:bottom w:val="none" w:sz="0" w:space="0" w:color="auto"/>
                        <w:right w:val="none" w:sz="0" w:space="0" w:color="auto"/>
                      </w:divBdr>
                      <w:divsChild>
                        <w:div w:id="224222102">
                          <w:marLeft w:val="0"/>
                          <w:marRight w:val="0"/>
                          <w:marTop w:val="0"/>
                          <w:marBottom w:val="0"/>
                          <w:divBdr>
                            <w:top w:val="none" w:sz="0" w:space="0" w:color="auto"/>
                            <w:left w:val="none" w:sz="0" w:space="0" w:color="auto"/>
                            <w:bottom w:val="none" w:sz="0" w:space="0" w:color="auto"/>
                            <w:right w:val="none" w:sz="0" w:space="0" w:color="auto"/>
                          </w:divBdr>
                        </w:div>
                      </w:divsChild>
                    </w:div>
                    <w:div w:id="960763124">
                      <w:marLeft w:val="0"/>
                      <w:marRight w:val="0"/>
                      <w:marTop w:val="0"/>
                      <w:marBottom w:val="0"/>
                      <w:divBdr>
                        <w:top w:val="none" w:sz="0" w:space="0" w:color="auto"/>
                        <w:left w:val="none" w:sz="0" w:space="0" w:color="auto"/>
                        <w:bottom w:val="none" w:sz="0" w:space="0" w:color="auto"/>
                        <w:right w:val="none" w:sz="0" w:space="0" w:color="auto"/>
                      </w:divBdr>
                      <w:divsChild>
                        <w:div w:id="1779830443">
                          <w:marLeft w:val="0"/>
                          <w:marRight w:val="0"/>
                          <w:marTop w:val="0"/>
                          <w:marBottom w:val="0"/>
                          <w:divBdr>
                            <w:top w:val="none" w:sz="0" w:space="0" w:color="auto"/>
                            <w:left w:val="none" w:sz="0" w:space="0" w:color="auto"/>
                            <w:bottom w:val="none" w:sz="0" w:space="0" w:color="auto"/>
                            <w:right w:val="none" w:sz="0" w:space="0" w:color="auto"/>
                          </w:divBdr>
                        </w:div>
                      </w:divsChild>
                    </w:div>
                    <w:div w:id="973606910">
                      <w:marLeft w:val="0"/>
                      <w:marRight w:val="0"/>
                      <w:marTop w:val="0"/>
                      <w:marBottom w:val="0"/>
                      <w:divBdr>
                        <w:top w:val="none" w:sz="0" w:space="0" w:color="auto"/>
                        <w:left w:val="none" w:sz="0" w:space="0" w:color="auto"/>
                        <w:bottom w:val="none" w:sz="0" w:space="0" w:color="auto"/>
                        <w:right w:val="none" w:sz="0" w:space="0" w:color="auto"/>
                      </w:divBdr>
                      <w:divsChild>
                        <w:div w:id="1525441428">
                          <w:marLeft w:val="0"/>
                          <w:marRight w:val="0"/>
                          <w:marTop w:val="0"/>
                          <w:marBottom w:val="0"/>
                          <w:divBdr>
                            <w:top w:val="none" w:sz="0" w:space="0" w:color="auto"/>
                            <w:left w:val="none" w:sz="0" w:space="0" w:color="auto"/>
                            <w:bottom w:val="none" w:sz="0" w:space="0" w:color="auto"/>
                            <w:right w:val="none" w:sz="0" w:space="0" w:color="auto"/>
                          </w:divBdr>
                        </w:div>
                      </w:divsChild>
                    </w:div>
                    <w:div w:id="976186969">
                      <w:marLeft w:val="0"/>
                      <w:marRight w:val="0"/>
                      <w:marTop w:val="0"/>
                      <w:marBottom w:val="0"/>
                      <w:divBdr>
                        <w:top w:val="none" w:sz="0" w:space="0" w:color="auto"/>
                        <w:left w:val="none" w:sz="0" w:space="0" w:color="auto"/>
                        <w:bottom w:val="none" w:sz="0" w:space="0" w:color="auto"/>
                        <w:right w:val="none" w:sz="0" w:space="0" w:color="auto"/>
                      </w:divBdr>
                      <w:divsChild>
                        <w:div w:id="700015465">
                          <w:marLeft w:val="0"/>
                          <w:marRight w:val="0"/>
                          <w:marTop w:val="0"/>
                          <w:marBottom w:val="0"/>
                          <w:divBdr>
                            <w:top w:val="none" w:sz="0" w:space="0" w:color="auto"/>
                            <w:left w:val="none" w:sz="0" w:space="0" w:color="auto"/>
                            <w:bottom w:val="none" w:sz="0" w:space="0" w:color="auto"/>
                            <w:right w:val="none" w:sz="0" w:space="0" w:color="auto"/>
                          </w:divBdr>
                        </w:div>
                        <w:div w:id="1245990238">
                          <w:marLeft w:val="0"/>
                          <w:marRight w:val="0"/>
                          <w:marTop w:val="0"/>
                          <w:marBottom w:val="0"/>
                          <w:divBdr>
                            <w:top w:val="none" w:sz="0" w:space="0" w:color="auto"/>
                            <w:left w:val="none" w:sz="0" w:space="0" w:color="auto"/>
                            <w:bottom w:val="none" w:sz="0" w:space="0" w:color="auto"/>
                            <w:right w:val="none" w:sz="0" w:space="0" w:color="auto"/>
                          </w:divBdr>
                        </w:div>
                      </w:divsChild>
                    </w:div>
                    <w:div w:id="1030107895">
                      <w:marLeft w:val="0"/>
                      <w:marRight w:val="0"/>
                      <w:marTop w:val="0"/>
                      <w:marBottom w:val="0"/>
                      <w:divBdr>
                        <w:top w:val="none" w:sz="0" w:space="0" w:color="auto"/>
                        <w:left w:val="none" w:sz="0" w:space="0" w:color="auto"/>
                        <w:bottom w:val="none" w:sz="0" w:space="0" w:color="auto"/>
                        <w:right w:val="none" w:sz="0" w:space="0" w:color="auto"/>
                      </w:divBdr>
                      <w:divsChild>
                        <w:div w:id="1817916715">
                          <w:marLeft w:val="0"/>
                          <w:marRight w:val="0"/>
                          <w:marTop w:val="0"/>
                          <w:marBottom w:val="0"/>
                          <w:divBdr>
                            <w:top w:val="none" w:sz="0" w:space="0" w:color="auto"/>
                            <w:left w:val="none" w:sz="0" w:space="0" w:color="auto"/>
                            <w:bottom w:val="none" w:sz="0" w:space="0" w:color="auto"/>
                            <w:right w:val="none" w:sz="0" w:space="0" w:color="auto"/>
                          </w:divBdr>
                        </w:div>
                      </w:divsChild>
                    </w:div>
                    <w:div w:id="1037584564">
                      <w:marLeft w:val="0"/>
                      <w:marRight w:val="0"/>
                      <w:marTop w:val="0"/>
                      <w:marBottom w:val="0"/>
                      <w:divBdr>
                        <w:top w:val="none" w:sz="0" w:space="0" w:color="auto"/>
                        <w:left w:val="none" w:sz="0" w:space="0" w:color="auto"/>
                        <w:bottom w:val="none" w:sz="0" w:space="0" w:color="auto"/>
                        <w:right w:val="none" w:sz="0" w:space="0" w:color="auto"/>
                      </w:divBdr>
                      <w:divsChild>
                        <w:div w:id="16152836">
                          <w:marLeft w:val="0"/>
                          <w:marRight w:val="0"/>
                          <w:marTop w:val="0"/>
                          <w:marBottom w:val="0"/>
                          <w:divBdr>
                            <w:top w:val="none" w:sz="0" w:space="0" w:color="auto"/>
                            <w:left w:val="none" w:sz="0" w:space="0" w:color="auto"/>
                            <w:bottom w:val="none" w:sz="0" w:space="0" w:color="auto"/>
                            <w:right w:val="none" w:sz="0" w:space="0" w:color="auto"/>
                          </w:divBdr>
                        </w:div>
                      </w:divsChild>
                    </w:div>
                    <w:div w:id="1053386779">
                      <w:marLeft w:val="0"/>
                      <w:marRight w:val="0"/>
                      <w:marTop w:val="0"/>
                      <w:marBottom w:val="0"/>
                      <w:divBdr>
                        <w:top w:val="none" w:sz="0" w:space="0" w:color="auto"/>
                        <w:left w:val="none" w:sz="0" w:space="0" w:color="auto"/>
                        <w:bottom w:val="none" w:sz="0" w:space="0" w:color="auto"/>
                        <w:right w:val="none" w:sz="0" w:space="0" w:color="auto"/>
                      </w:divBdr>
                      <w:divsChild>
                        <w:div w:id="1374303994">
                          <w:marLeft w:val="0"/>
                          <w:marRight w:val="0"/>
                          <w:marTop w:val="0"/>
                          <w:marBottom w:val="0"/>
                          <w:divBdr>
                            <w:top w:val="none" w:sz="0" w:space="0" w:color="auto"/>
                            <w:left w:val="none" w:sz="0" w:space="0" w:color="auto"/>
                            <w:bottom w:val="none" w:sz="0" w:space="0" w:color="auto"/>
                            <w:right w:val="none" w:sz="0" w:space="0" w:color="auto"/>
                          </w:divBdr>
                        </w:div>
                      </w:divsChild>
                    </w:div>
                    <w:div w:id="1069422627">
                      <w:marLeft w:val="0"/>
                      <w:marRight w:val="0"/>
                      <w:marTop w:val="0"/>
                      <w:marBottom w:val="0"/>
                      <w:divBdr>
                        <w:top w:val="none" w:sz="0" w:space="0" w:color="auto"/>
                        <w:left w:val="none" w:sz="0" w:space="0" w:color="auto"/>
                        <w:bottom w:val="none" w:sz="0" w:space="0" w:color="auto"/>
                        <w:right w:val="none" w:sz="0" w:space="0" w:color="auto"/>
                      </w:divBdr>
                      <w:divsChild>
                        <w:div w:id="949437623">
                          <w:marLeft w:val="0"/>
                          <w:marRight w:val="0"/>
                          <w:marTop w:val="0"/>
                          <w:marBottom w:val="0"/>
                          <w:divBdr>
                            <w:top w:val="none" w:sz="0" w:space="0" w:color="auto"/>
                            <w:left w:val="none" w:sz="0" w:space="0" w:color="auto"/>
                            <w:bottom w:val="none" w:sz="0" w:space="0" w:color="auto"/>
                            <w:right w:val="none" w:sz="0" w:space="0" w:color="auto"/>
                          </w:divBdr>
                        </w:div>
                      </w:divsChild>
                    </w:div>
                    <w:div w:id="1087076181">
                      <w:marLeft w:val="0"/>
                      <w:marRight w:val="0"/>
                      <w:marTop w:val="0"/>
                      <w:marBottom w:val="0"/>
                      <w:divBdr>
                        <w:top w:val="none" w:sz="0" w:space="0" w:color="auto"/>
                        <w:left w:val="none" w:sz="0" w:space="0" w:color="auto"/>
                        <w:bottom w:val="none" w:sz="0" w:space="0" w:color="auto"/>
                        <w:right w:val="none" w:sz="0" w:space="0" w:color="auto"/>
                      </w:divBdr>
                      <w:divsChild>
                        <w:div w:id="1252080122">
                          <w:marLeft w:val="0"/>
                          <w:marRight w:val="0"/>
                          <w:marTop w:val="0"/>
                          <w:marBottom w:val="0"/>
                          <w:divBdr>
                            <w:top w:val="none" w:sz="0" w:space="0" w:color="auto"/>
                            <w:left w:val="none" w:sz="0" w:space="0" w:color="auto"/>
                            <w:bottom w:val="none" w:sz="0" w:space="0" w:color="auto"/>
                            <w:right w:val="none" w:sz="0" w:space="0" w:color="auto"/>
                          </w:divBdr>
                        </w:div>
                      </w:divsChild>
                    </w:div>
                    <w:div w:id="1097365703">
                      <w:marLeft w:val="0"/>
                      <w:marRight w:val="0"/>
                      <w:marTop w:val="0"/>
                      <w:marBottom w:val="0"/>
                      <w:divBdr>
                        <w:top w:val="none" w:sz="0" w:space="0" w:color="auto"/>
                        <w:left w:val="none" w:sz="0" w:space="0" w:color="auto"/>
                        <w:bottom w:val="none" w:sz="0" w:space="0" w:color="auto"/>
                        <w:right w:val="none" w:sz="0" w:space="0" w:color="auto"/>
                      </w:divBdr>
                      <w:divsChild>
                        <w:div w:id="1474909412">
                          <w:marLeft w:val="0"/>
                          <w:marRight w:val="0"/>
                          <w:marTop w:val="0"/>
                          <w:marBottom w:val="0"/>
                          <w:divBdr>
                            <w:top w:val="none" w:sz="0" w:space="0" w:color="auto"/>
                            <w:left w:val="none" w:sz="0" w:space="0" w:color="auto"/>
                            <w:bottom w:val="none" w:sz="0" w:space="0" w:color="auto"/>
                            <w:right w:val="none" w:sz="0" w:space="0" w:color="auto"/>
                          </w:divBdr>
                        </w:div>
                      </w:divsChild>
                    </w:div>
                    <w:div w:id="1097402998">
                      <w:marLeft w:val="0"/>
                      <w:marRight w:val="0"/>
                      <w:marTop w:val="0"/>
                      <w:marBottom w:val="0"/>
                      <w:divBdr>
                        <w:top w:val="none" w:sz="0" w:space="0" w:color="auto"/>
                        <w:left w:val="none" w:sz="0" w:space="0" w:color="auto"/>
                        <w:bottom w:val="none" w:sz="0" w:space="0" w:color="auto"/>
                        <w:right w:val="none" w:sz="0" w:space="0" w:color="auto"/>
                      </w:divBdr>
                      <w:divsChild>
                        <w:div w:id="1032539800">
                          <w:marLeft w:val="0"/>
                          <w:marRight w:val="0"/>
                          <w:marTop w:val="0"/>
                          <w:marBottom w:val="0"/>
                          <w:divBdr>
                            <w:top w:val="none" w:sz="0" w:space="0" w:color="auto"/>
                            <w:left w:val="none" w:sz="0" w:space="0" w:color="auto"/>
                            <w:bottom w:val="none" w:sz="0" w:space="0" w:color="auto"/>
                            <w:right w:val="none" w:sz="0" w:space="0" w:color="auto"/>
                          </w:divBdr>
                        </w:div>
                      </w:divsChild>
                    </w:div>
                    <w:div w:id="1098601724">
                      <w:marLeft w:val="0"/>
                      <w:marRight w:val="0"/>
                      <w:marTop w:val="0"/>
                      <w:marBottom w:val="0"/>
                      <w:divBdr>
                        <w:top w:val="none" w:sz="0" w:space="0" w:color="auto"/>
                        <w:left w:val="none" w:sz="0" w:space="0" w:color="auto"/>
                        <w:bottom w:val="none" w:sz="0" w:space="0" w:color="auto"/>
                        <w:right w:val="none" w:sz="0" w:space="0" w:color="auto"/>
                      </w:divBdr>
                      <w:divsChild>
                        <w:div w:id="1545026022">
                          <w:marLeft w:val="0"/>
                          <w:marRight w:val="0"/>
                          <w:marTop w:val="0"/>
                          <w:marBottom w:val="0"/>
                          <w:divBdr>
                            <w:top w:val="none" w:sz="0" w:space="0" w:color="auto"/>
                            <w:left w:val="none" w:sz="0" w:space="0" w:color="auto"/>
                            <w:bottom w:val="none" w:sz="0" w:space="0" w:color="auto"/>
                            <w:right w:val="none" w:sz="0" w:space="0" w:color="auto"/>
                          </w:divBdr>
                        </w:div>
                      </w:divsChild>
                    </w:div>
                    <w:div w:id="1120953693">
                      <w:marLeft w:val="0"/>
                      <w:marRight w:val="0"/>
                      <w:marTop w:val="0"/>
                      <w:marBottom w:val="0"/>
                      <w:divBdr>
                        <w:top w:val="none" w:sz="0" w:space="0" w:color="auto"/>
                        <w:left w:val="none" w:sz="0" w:space="0" w:color="auto"/>
                        <w:bottom w:val="none" w:sz="0" w:space="0" w:color="auto"/>
                        <w:right w:val="none" w:sz="0" w:space="0" w:color="auto"/>
                      </w:divBdr>
                      <w:divsChild>
                        <w:div w:id="864752326">
                          <w:marLeft w:val="0"/>
                          <w:marRight w:val="0"/>
                          <w:marTop w:val="0"/>
                          <w:marBottom w:val="0"/>
                          <w:divBdr>
                            <w:top w:val="none" w:sz="0" w:space="0" w:color="auto"/>
                            <w:left w:val="none" w:sz="0" w:space="0" w:color="auto"/>
                            <w:bottom w:val="none" w:sz="0" w:space="0" w:color="auto"/>
                            <w:right w:val="none" w:sz="0" w:space="0" w:color="auto"/>
                          </w:divBdr>
                        </w:div>
                      </w:divsChild>
                    </w:div>
                    <w:div w:id="1130972881">
                      <w:marLeft w:val="0"/>
                      <w:marRight w:val="0"/>
                      <w:marTop w:val="0"/>
                      <w:marBottom w:val="0"/>
                      <w:divBdr>
                        <w:top w:val="none" w:sz="0" w:space="0" w:color="auto"/>
                        <w:left w:val="none" w:sz="0" w:space="0" w:color="auto"/>
                        <w:bottom w:val="none" w:sz="0" w:space="0" w:color="auto"/>
                        <w:right w:val="none" w:sz="0" w:space="0" w:color="auto"/>
                      </w:divBdr>
                      <w:divsChild>
                        <w:div w:id="1581258655">
                          <w:marLeft w:val="0"/>
                          <w:marRight w:val="0"/>
                          <w:marTop w:val="0"/>
                          <w:marBottom w:val="0"/>
                          <w:divBdr>
                            <w:top w:val="none" w:sz="0" w:space="0" w:color="auto"/>
                            <w:left w:val="none" w:sz="0" w:space="0" w:color="auto"/>
                            <w:bottom w:val="none" w:sz="0" w:space="0" w:color="auto"/>
                            <w:right w:val="none" w:sz="0" w:space="0" w:color="auto"/>
                          </w:divBdr>
                        </w:div>
                      </w:divsChild>
                    </w:div>
                    <w:div w:id="1141734149">
                      <w:marLeft w:val="0"/>
                      <w:marRight w:val="0"/>
                      <w:marTop w:val="0"/>
                      <w:marBottom w:val="0"/>
                      <w:divBdr>
                        <w:top w:val="none" w:sz="0" w:space="0" w:color="auto"/>
                        <w:left w:val="none" w:sz="0" w:space="0" w:color="auto"/>
                        <w:bottom w:val="none" w:sz="0" w:space="0" w:color="auto"/>
                        <w:right w:val="none" w:sz="0" w:space="0" w:color="auto"/>
                      </w:divBdr>
                      <w:divsChild>
                        <w:div w:id="427117438">
                          <w:marLeft w:val="0"/>
                          <w:marRight w:val="0"/>
                          <w:marTop w:val="0"/>
                          <w:marBottom w:val="0"/>
                          <w:divBdr>
                            <w:top w:val="none" w:sz="0" w:space="0" w:color="auto"/>
                            <w:left w:val="none" w:sz="0" w:space="0" w:color="auto"/>
                            <w:bottom w:val="none" w:sz="0" w:space="0" w:color="auto"/>
                            <w:right w:val="none" w:sz="0" w:space="0" w:color="auto"/>
                          </w:divBdr>
                        </w:div>
                      </w:divsChild>
                    </w:div>
                    <w:div w:id="1143353912">
                      <w:marLeft w:val="0"/>
                      <w:marRight w:val="0"/>
                      <w:marTop w:val="0"/>
                      <w:marBottom w:val="0"/>
                      <w:divBdr>
                        <w:top w:val="none" w:sz="0" w:space="0" w:color="auto"/>
                        <w:left w:val="none" w:sz="0" w:space="0" w:color="auto"/>
                        <w:bottom w:val="none" w:sz="0" w:space="0" w:color="auto"/>
                        <w:right w:val="none" w:sz="0" w:space="0" w:color="auto"/>
                      </w:divBdr>
                      <w:divsChild>
                        <w:div w:id="1108965553">
                          <w:marLeft w:val="0"/>
                          <w:marRight w:val="0"/>
                          <w:marTop w:val="0"/>
                          <w:marBottom w:val="0"/>
                          <w:divBdr>
                            <w:top w:val="none" w:sz="0" w:space="0" w:color="auto"/>
                            <w:left w:val="none" w:sz="0" w:space="0" w:color="auto"/>
                            <w:bottom w:val="none" w:sz="0" w:space="0" w:color="auto"/>
                            <w:right w:val="none" w:sz="0" w:space="0" w:color="auto"/>
                          </w:divBdr>
                        </w:div>
                      </w:divsChild>
                    </w:div>
                    <w:div w:id="1183980760">
                      <w:marLeft w:val="0"/>
                      <w:marRight w:val="0"/>
                      <w:marTop w:val="0"/>
                      <w:marBottom w:val="0"/>
                      <w:divBdr>
                        <w:top w:val="none" w:sz="0" w:space="0" w:color="auto"/>
                        <w:left w:val="none" w:sz="0" w:space="0" w:color="auto"/>
                        <w:bottom w:val="none" w:sz="0" w:space="0" w:color="auto"/>
                        <w:right w:val="none" w:sz="0" w:space="0" w:color="auto"/>
                      </w:divBdr>
                      <w:divsChild>
                        <w:div w:id="1417628128">
                          <w:marLeft w:val="0"/>
                          <w:marRight w:val="0"/>
                          <w:marTop w:val="0"/>
                          <w:marBottom w:val="0"/>
                          <w:divBdr>
                            <w:top w:val="none" w:sz="0" w:space="0" w:color="auto"/>
                            <w:left w:val="none" w:sz="0" w:space="0" w:color="auto"/>
                            <w:bottom w:val="none" w:sz="0" w:space="0" w:color="auto"/>
                            <w:right w:val="none" w:sz="0" w:space="0" w:color="auto"/>
                          </w:divBdr>
                        </w:div>
                      </w:divsChild>
                    </w:div>
                    <w:div w:id="1236746147">
                      <w:marLeft w:val="0"/>
                      <w:marRight w:val="0"/>
                      <w:marTop w:val="0"/>
                      <w:marBottom w:val="0"/>
                      <w:divBdr>
                        <w:top w:val="none" w:sz="0" w:space="0" w:color="auto"/>
                        <w:left w:val="none" w:sz="0" w:space="0" w:color="auto"/>
                        <w:bottom w:val="none" w:sz="0" w:space="0" w:color="auto"/>
                        <w:right w:val="none" w:sz="0" w:space="0" w:color="auto"/>
                      </w:divBdr>
                      <w:divsChild>
                        <w:div w:id="936645011">
                          <w:marLeft w:val="0"/>
                          <w:marRight w:val="0"/>
                          <w:marTop w:val="0"/>
                          <w:marBottom w:val="0"/>
                          <w:divBdr>
                            <w:top w:val="none" w:sz="0" w:space="0" w:color="auto"/>
                            <w:left w:val="none" w:sz="0" w:space="0" w:color="auto"/>
                            <w:bottom w:val="none" w:sz="0" w:space="0" w:color="auto"/>
                            <w:right w:val="none" w:sz="0" w:space="0" w:color="auto"/>
                          </w:divBdr>
                        </w:div>
                      </w:divsChild>
                    </w:div>
                    <w:div w:id="1246918759">
                      <w:marLeft w:val="0"/>
                      <w:marRight w:val="0"/>
                      <w:marTop w:val="0"/>
                      <w:marBottom w:val="0"/>
                      <w:divBdr>
                        <w:top w:val="none" w:sz="0" w:space="0" w:color="auto"/>
                        <w:left w:val="none" w:sz="0" w:space="0" w:color="auto"/>
                        <w:bottom w:val="none" w:sz="0" w:space="0" w:color="auto"/>
                        <w:right w:val="none" w:sz="0" w:space="0" w:color="auto"/>
                      </w:divBdr>
                      <w:divsChild>
                        <w:div w:id="1766805685">
                          <w:marLeft w:val="0"/>
                          <w:marRight w:val="0"/>
                          <w:marTop w:val="0"/>
                          <w:marBottom w:val="0"/>
                          <w:divBdr>
                            <w:top w:val="none" w:sz="0" w:space="0" w:color="auto"/>
                            <w:left w:val="none" w:sz="0" w:space="0" w:color="auto"/>
                            <w:bottom w:val="none" w:sz="0" w:space="0" w:color="auto"/>
                            <w:right w:val="none" w:sz="0" w:space="0" w:color="auto"/>
                          </w:divBdr>
                        </w:div>
                      </w:divsChild>
                    </w:div>
                    <w:div w:id="1248230168">
                      <w:marLeft w:val="0"/>
                      <w:marRight w:val="0"/>
                      <w:marTop w:val="0"/>
                      <w:marBottom w:val="0"/>
                      <w:divBdr>
                        <w:top w:val="none" w:sz="0" w:space="0" w:color="auto"/>
                        <w:left w:val="none" w:sz="0" w:space="0" w:color="auto"/>
                        <w:bottom w:val="none" w:sz="0" w:space="0" w:color="auto"/>
                        <w:right w:val="none" w:sz="0" w:space="0" w:color="auto"/>
                      </w:divBdr>
                      <w:divsChild>
                        <w:div w:id="1972856277">
                          <w:marLeft w:val="0"/>
                          <w:marRight w:val="0"/>
                          <w:marTop w:val="0"/>
                          <w:marBottom w:val="0"/>
                          <w:divBdr>
                            <w:top w:val="none" w:sz="0" w:space="0" w:color="auto"/>
                            <w:left w:val="none" w:sz="0" w:space="0" w:color="auto"/>
                            <w:bottom w:val="none" w:sz="0" w:space="0" w:color="auto"/>
                            <w:right w:val="none" w:sz="0" w:space="0" w:color="auto"/>
                          </w:divBdr>
                        </w:div>
                      </w:divsChild>
                    </w:div>
                    <w:div w:id="1255439498">
                      <w:marLeft w:val="0"/>
                      <w:marRight w:val="0"/>
                      <w:marTop w:val="0"/>
                      <w:marBottom w:val="0"/>
                      <w:divBdr>
                        <w:top w:val="none" w:sz="0" w:space="0" w:color="auto"/>
                        <w:left w:val="none" w:sz="0" w:space="0" w:color="auto"/>
                        <w:bottom w:val="none" w:sz="0" w:space="0" w:color="auto"/>
                        <w:right w:val="none" w:sz="0" w:space="0" w:color="auto"/>
                      </w:divBdr>
                      <w:divsChild>
                        <w:div w:id="889075658">
                          <w:marLeft w:val="0"/>
                          <w:marRight w:val="0"/>
                          <w:marTop w:val="0"/>
                          <w:marBottom w:val="0"/>
                          <w:divBdr>
                            <w:top w:val="none" w:sz="0" w:space="0" w:color="auto"/>
                            <w:left w:val="none" w:sz="0" w:space="0" w:color="auto"/>
                            <w:bottom w:val="none" w:sz="0" w:space="0" w:color="auto"/>
                            <w:right w:val="none" w:sz="0" w:space="0" w:color="auto"/>
                          </w:divBdr>
                        </w:div>
                      </w:divsChild>
                    </w:div>
                    <w:div w:id="1257709407">
                      <w:marLeft w:val="0"/>
                      <w:marRight w:val="0"/>
                      <w:marTop w:val="0"/>
                      <w:marBottom w:val="0"/>
                      <w:divBdr>
                        <w:top w:val="none" w:sz="0" w:space="0" w:color="auto"/>
                        <w:left w:val="none" w:sz="0" w:space="0" w:color="auto"/>
                        <w:bottom w:val="none" w:sz="0" w:space="0" w:color="auto"/>
                        <w:right w:val="none" w:sz="0" w:space="0" w:color="auto"/>
                      </w:divBdr>
                      <w:divsChild>
                        <w:div w:id="1968704832">
                          <w:marLeft w:val="0"/>
                          <w:marRight w:val="0"/>
                          <w:marTop w:val="0"/>
                          <w:marBottom w:val="0"/>
                          <w:divBdr>
                            <w:top w:val="none" w:sz="0" w:space="0" w:color="auto"/>
                            <w:left w:val="none" w:sz="0" w:space="0" w:color="auto"/>
                            <w:bottom w:val="none" w:sz="0" w:space="0" w:color="auto"/>
                            <w:right w:val="none" w:sz="0" w:space="0" w:color="auto"/>
                          </w:divBdr>
                        </w:div>
                      </w:divsChild>
                    </w:div>
                    <w:div w:id="1258055826">
                      <w:marLeft w:val="0"/>
                      <w:marRight w:val="0"/>
                      <w:marTop w:val="0"/>
                      <w:marBottom w:val="0"/>
                      <w:divBdr>
                        <w:top w:val="none" w:sz="0" w:space="0" w:color="auto"/>
                        <w:left w:val="none" w:sz="0" w:space="0" w:color="auto"/>
                        <w:bottom w:val="none" w:sz="0" w:space="0" w:color="auto"/>
                        <w:right w:val="none" w:sz="0" w:space="0" w:color="auto"/>
                      </w:divBdr>
                      <w:divsChild>
                        <w:div w:id="1295909413">
                          <w:marLeft w:val="0"/>
                          <w:marRight w:val="0"/>
                          <w:marTop w:val="0"/>
                          <w:marBottom w:val="0"/>
                          <w:divBdr>
                            <w:top w:val="none" w:sz="0" w:space="0" w:color="auto"/>
                            <w:left w:val="none" w:sz="0" w:space="0" w:color="auto"/>
                            <w:bottom w:val="none" w:sz="0" w:space="0" w:color="auto"/>
                            <w:right w:val="none" w:sz="0" w:space="0" w:color="auto"/>
                          </w:divBdr>
                        </w:div>
                      </w:divsChild>
                    </w:div>
                    <w:div w:id="1258752134">
                      <w:marLeft w:val="0"/>
                      <w:marRight w:val="0"/>
                      <w:marTop w:val="0"/>
                      <w:marBottom w:val="0"/>
                      <w:divBdr>
                        <w:top w:val="none" w:sz="0" w:space="0" w:color="auto"/>
                        <w:left w:val="none" w:sz="0" w:space="0" w:color="auto"/>
                        <w:bottom w:val="none" w:sz="0" w:space="0" w:color="auto"/>
                        <w:right w:val="none" w:sz="0" w:space="0" w:color="auto"/>
                      </w:divBdr>
                      <w:divsChild>
                        <w:div w:id="1337803783">
                          <w:marLeft w:val="0"/>
                          <w:marRight w:val="0"/>
                          <w:marTop w:val="0"/>
                          <w:marBottom w:val="0"/>
                          <w:divBdr>
                            <w:top w:val="none" w:sz="0" w:space="0" w:color="auto"/>
                            <w:left w:val="none" w:sz="0" w:space="0" w:color="auto"/>
                            <w:bottom w:val="none" w:sz="0" w:space="0" w:color="auto"/>
                            <w:right w:val="none" w:sz="0" w:space="0" w:color="auto"/>
                          </w:divBdr>
                        </w:div>
                      </w:divsChild>
                    </w:div>
                    <w:div w:id="1263226531">
                      <w:marLeft w:val="0"/>
                      <w:marRight w:val="0"/>
                      <w:marTop w:val="0"/>
                      <w:marBottom w:val="0"/>
                      <w:divBdr>
                        <w:top w:val="none" w:sz="0" w:space="0" w:color="auto"/>
                        <w:left w:val="none" w:sz="0" w:space="0" w:color="auto"/>
                        <w:bottom w:val="none" w:sz="0" w:space="0" w:color="auto"/>
                        <w:right w:val="none" w:sz="0" w:space="0" w:color="auto"/>
                      </w:divBdr>
                      <w:divsChild>
                        <w:div w:id="697856550">
                          <w:marLeft w:val="0"/>
                          <w:marRight w:val="0"/>
                          <w:marTop w:val="0"/>
                          <w:marBottom w:val="0"/>
                          <w:divBdr>
                            <w:top w:val="none" w:sz="0" w:space="0" w:color="auto"/>
                            <w:left w:val="none" w:sz="0" w:space="0" w:color="auto"/>
                            <w:bottom w:val="none" w:sz="0" w:space="0" w:color="auto"/>
                            <w:right w:val="none" w:sz="0" w:space="0" w:color="auto"/>
                          </w:divBdr>
                        </w:div>
                      </w:divsChild>
                    </w:div>
                    <w:div w:id="1308825586">
                      <w:marLeft w:val="0"/>
                      <w:marRight w:val="0"/>
                      <w:marTop w:val="0"/>
                      <w:marBottom w:val="0"/>
                      <w:divBdr>
                        <w:top w:val="none" w:sz="0" w:space="0" w:color="auto"/>
                        <w:left w:val="none" w:sz="0" w:space="0" w:color="auto"/>
                        <w:bottom w:val="none" w:sz="0" w:space="0" w:color="auto"/>
                        <w:right w:val="none" w:sz="0" w:space="0" w:color="auto"/>
                      </w:divBdr>
                      <w:divsChild>
                        <w:div w:id="29038208">
                          <w:marLeft w:val="0"/>
                          <w:marRight w:val="0"/>
                          <w:marTop w:val="0"/>
                          <w:marBottom w:val="0"/>
                          <w:divBdr>
                            <w:top w:val="none" w:sz="0" w:space="0" w:color="auto"/>
                            <w:left w:val="none" w:sz="0" w:space="0" w:color="auto"/>
                            <w:bottom w:val="none" w:sz="0" w:space="0" w:color="auto"/>
                            <w:right w:val="none" w:sz="0" w:space="0" w:color="auto"/>
                          </w:divBdr>
                        </w:div>
                      </w:divsChild>
                    </w:div>
                    <w:div w:id="1308978088">
                      <w:marLeft w:val="0"/>
                      <w:marRight w:val="0"/>
                      <w:marTop w:val="0"/>
                      <w:marBottom w:val="0"/>
                      <w:divBdr>
                        <w:top w:val="none" w:sz="0" w:space="0" w:color="auto"/>
                        <w:left w:val="none" w:sz="0" w:space="0" w:color="auto"/>
                        <w:bottom w:val="none" w:sz="0" w:space="0" w:color="auto"/>
                        <w:right w:val="none" w:sz="0" w:space="0" w:color="auto"/>
                      </w:divBdr>
                      <w:divsChild>
                        <w:div w:id="1244534070">
                          <w:marLeft w:val="0"/>
                          <w:marRight w:val="0"/>
                          <w:marTop w:val="0"/>
                          <w:marBottom w:val="0"/>
                          <w:divBdr>
                            <w:top w:val="none" w:sz="0" w:space="0" w:color="auto"/>
                            <w:left w:val="none" w:sz="0" w:space="0" w:color="auto"/>
                            <w:bottom w:val="none" w:sz="0" w:space="0" w:color="auto"/>
                            <w:right w:val="none" w:sz="0" w:space="0" w:color="auto"/>
                          </w:divBdr>
                        </w:div>
                      </w:divsChild>
                    </w:div>
                    <w:div w:id="1326085673">
                      <w:marLeft w:val="0"/>
                      <w:marRight w:val="0"/>
                      <w:marTop w:val="0"/>
                      <w:marBottom w:val="0"/>
                      <w:divBdr>
                        <w:top w:val="none" w:sz="0" w:space="0" w:color="auto"/>
                        <w:left w:val="none" w:sz="0" w:space="0" w:color="auto"/>
                        <w:bottom w:val="none" w:sz="0" w:space="0" w:color="auto"/>
                        <w:right w:val="none" w:sz="0" w:space="0" w:color="auto"/>
                      </w:divBdr>
                      <w:divsChild>
                        <w:div w:id="1660233476">
                          <w:marLeft w:val="0"/>
                          <w:marRight w:val="0"/>
                          <w:marTop w:val="0"/>
                          <w:marBottom w:val="0"/>
                          <w:divBdr>
                            <w:top w:val="none" w:sz="0" w:space="0" w:color="auto"/>
                            <w:left w:val="none" w:sz="0" w:space="0" w:color="auto"/>
                            <w:bottom w:val="none" w:sz="0" w:space="0" w:color="auto"/>
                            <w:right w:val="none" w:sz="0" w:space="0" w:color="auto"/>
                          </w:divBdr>
                        </w:div>
                      </w:divsChild>
                    </w:div>
                    <w:div w:id="1352413414">
                      <w:marLeft w:val="0"/>
                      <w:marRight w:val="0"/>
                      <w:marTop w:val="0"/>
                      <w:marBottom w:val="0"/>
                      <w:divBdr>
                        <w:top w:val="none" w:sz="0" w:space="0" w:color="auto"/>
                        <w:left w:val="none" w:sz="0" w:space="0" w:color="auto"/>
                        <w:bottom w:val="none" w:sz="0" w:space="0" w:color="auto"/>
                        <w:right w:val="none" w:sz="0" w:space="0" w:color="auto"/>
                      </w:divBdr>
                      <w:divsChild>
                        <w:div w:id="575214115">
                          <w:marLeft w:val="0"/>
                          <w:marRight w:val="0"/>
                          <w:marTop w:val="0"/>
                          <w:marBottom w:val="0"/>
                          <w:divBdr>
                            <w:top w:val="none" w:sz="0" w:space="0" w:color="auto"/>
                            <w:left w:val="none" w:sz="0" w:space="0" w:color="auto"/>
                            <w:bottom w:val="none" w:sz="0" w:space="0" w:color="auto"/>
                            <w:right w:val="none" w:sz="0" w:space="0" w:color="auto"/>
                          </w:divBdr>
                        </w:div>
                      </w:divsChild>
                    </w:div>
                    <w:div w:id="1370032424">
                      <w:marLeft w:val="0"/>
                      <w:marRight w:val="0"/>
                      <w:marTop w:val="0"/>
                      <w:marBottom w:val="0"/>
                      <w:divBdr>
                        <w:top w:val="none" w:sz="0" w:space="0" w:color="auto"/>
                        <w:left w:val="none" w:sz="0" w:space="0" w:color="auto"/>
                        <w:bottom w:val="none" w:sz="0" w:space="0" w:color="auto"/>
                        <w:right w:val="none" w:sz="0" w:space="0" w:color="auto"/>
                      </w:divBdr>
                      <w:divsChild>
                        <w:div w:id="206838838">
                          <w:marLeft w:val="0"/>
                          <w:marRight w:val="0"/>
                          <w:marTop w:val="0"/>
                          <w:marBottom w:val="0"/>
                          <w:divBdr>
                            <w:top w:val="none" w:sz="0" w:space="0" w:color="auto"/>
                            <w:left w:val="none" w:sz="0" w:space="0" w:color="auto"/>
                            <w:bottom w:val="none" w:sz="0" w:space="0" w:color="auto"/>
                            <w:right w:val="none" w:sz="0" w:space="0" w:color="auto"/>
                          </w:divBdr>
                        </w:div>
                      </w:divsChild>
                    </w:div>
                    <w:div w:id="1384329059">
                      <w:marLeft w:val="0"/>
                      <w:marRight w:val="0"/>
                      <w:marTop w:val="0"/>
                      <w:marBottom w:val="0"/>
                      <w:divBdr>
                        <w:top w:val="none" w:sz="0" w:space="0" w:color="auto"/>
                        <w:left w:val="none" w:sz="0" w:space="0" w:color="auto"/>
                        <w:bottom w:val="none" w:sz="0" w:space="0" w:color="auto"/>
                        <w:right w:val="none" w:sz="0" w:space="0" w:color="auto"/>
                      </w:divBdr>
                      <w:divsChild>
                        <w:div w:id="1307661170">
                          <w:marLeft w:val="0"/>
                          <w:marRight w:val="0"/>
                          <w:marTop w:val="0"/>
                          <w:marBottom w:val="0"/>
                          <w:divBdr>
                            <w:top w:val="none" w:sz="0" w:space="0" w:color="auto"/>
                            <w:left w:val="none" w:sz="0" w:space="0" w:color="auto"/>
                            <w:bottom w:val="none" w:sz="0" w:space="0" w:color="auto"/>
                            <w:right w:val="none" w:sz="0" w:space="0" w:color="auto"/>
                          </w:divBdr>
                        </w:div>
                      </w:divsChild>
                    </w:div>
                    <w:div w:id="1399013935">
                      <w:marLeft w:val="0"/>
                      <w:marRight w:val="0"/>
                      <w:marTop w:val="0"/>
                      <w:marBottom w:val="0"/>
                      <w:divBdr>
                        <w:top w:val="none" w:sz="0" w:space="0" w:color="auto"/>
                        <w:left w:val="none" w:sz="0" w:space="0" w:color="auto"/>
                        <w:bottom w:val="none" w:sz="0" w:space="0" w:color="auto"/>
                        <w:right w:val="none" w:sz="0" w:space="0" w:color="auto"/>
                      </w:divBdr>
                      <w:divsChild>
                        <w:div w:id="456922202">
                          <w:marLeft w:val="0"/>
                          <w:marRight w:val="0"/>
                          <w:marTop w:val="0"/>
                          <w:marBottom w:val="0"/>
                          <w:divBdr>
                            <w:top w:val="none" w:sz="0" w:space="0" w:color="auto"/>
                            <w:left w:val="none" w:sz="0" w:space="0" w:color="auto"/>
                            <w:bottom w:val="none" w:sz="0" w:space="0" w:color="auto"/>
                            <w:right w:val="none" w:sz="0" w:space="0" w:color="auto"/>
                          </w:divBdr>
                        </w:div>
                      </w:divsChild>
                    </w:div>
                    <w:div w:id="1401634050">
                      <w:marLeft w:val="0"/>
                      <w:marRight w:val="0"/>
                      <w:marTop w:val="0"/>
                      <w:marBottom w:val="0"/>
                      <w:divBdr>
                        <w:top w:val="none" w:sz="0" w:space="0" w:color="auto"/>
                        <w:left w:val="none" w:sz="0" w:space="0" w:color="auto"/>
                        <w:bottom w:val="none" w:sz="0" w:space="0" w:color="auto"/>
                        <w:right w:val="none" w:sz="0" w:space="0" w:color="auto"/>
                      </w:divBdr>
                      <w:divsChild>
                        <w:div w:id="742216075">
                          <w:marLeft w:val="0"/>
                          <w:marRight w:val="0"/>
                          <w:marTop w:val="0"/>
                          <w:marBottom w:val="0"/>
                          <w:divBdr>
                            <w:top w:val="none" w:sz="0" w:space="0" w:color="auto"/>
                            <w:left w:val="none" w:sz="0" w:space="0" w:color="auto"/>
                            <w:bottom w:val="none" w:sz="0" w:space="0" w:color="auto"/>
                            <w:right w:val="none" w:sz="0" w:space="0" w:color="auto"/>
                          </w:divBdr>
                        </w:div>
                      </w:divsChild>
                    </w:div>
                    <w:div w:id="1402294621">
                      <w:marLeft w:val="0"/>
                      <w:marRight w:val="0"/>
                      <w:marTop w:val="0"/>
                      <w:marBottom w:val="0"/>
                      <w:divBdr>
                        <w:top w:val="none" w:sz="0" w:space="0" w:color="auto"/>
                        <w:left w:val="none" w:sz="0" w:space="0" w:color="auto"/>
                        <w:bottom w:val="none" w:sz="0" w:space="0" w:color="auto"/>
                        <w:right w:val="none" w:sz="0" w:space="0" w:color="auto"/>
                      </w:divBdr>
                      <w:divsChild>
                        <w:div w:id="556016281">
                          <w:marLeft w:val="0"/>
                          <w:marRight w:val="0"/>
                          <w:marTop w:val="0"/>
                          <w:marBottom w:val="0"/>
                          <w:divBdr>
                            <w:top w:val="none" w:sz="0" w:space="0" w:color="auto"/>
                            <w:left w:val="none" w:sz="0" w:space="0" w:color="auto"/>
                            <w:bottom w:val="none" w:sz="0" w:space="0" w:color="auto"/>
                            <w:right w:val="none" w:sz="0" w:space="0" w:color="auto"/>
                          </w:divBdr>
                        </w:div>
                      </w:divsChild>
                    </w:div>
                    <w:div w:id="1404720264">
                      <w:marLeft w:val="0"/>
                      <w:marRight w:val="0"/>
                      <w:marTop w:val="0"/>
                      <w:marBottom w:val="0"/>
                      <w:divBdr>
                        <w:top w:val="none" w:sz="0" w:space="0" w:color="auto"/>
                        <w:left w:val="none" w:sz="0" w:space="0" w:color="auto"/>
                        <w:bottom w:val="none" w:sz="0" w:space="0" w:color="auto"/>
                        <w:right w:val="none" w:sz="0" w:space="0" w:color="auto"/>
                      </w:divBdr>
                      <w:divsChild>
                        <w:div w:id="2075354808">
                          <w:marLeft w:val="0"/>
                          <w:marRight w:val="0"/>
                          <w:marTop w:val="0"/>
                          <w:marBottom w:val="0"/>
                          <w:divBdr>
                            <w:top w:val="none" w:sz="0" w:space="0" w:color="auto"/>
                            <w:left w:val="none" w:sz="0" w:space="0" w:color="auto"/>
                            <w:bottom w:val="none" w:sz="0" w:space="0" w:color="auto"/>
                            <w:right w:val="none" w:sz="0" w:space="0" w:color="auto"/>
                          </w:divBdr>
                        </w:div>
                      </w:divsChild>
                    </w:div>
                    <w:div w:id="1408770098">
                      <w:marLeft w:val="0"/>
                      <w:marRight w:val="0"/>
                      <w:marTop w:val="0"/>
                      <w:marBottom w:val="0"/>
                      <w:divBdr>
                        <w:top w:val="none" w:sz="0" w:space="0" w:color="auto"/>
                        <w:left w:val="none" w:sz="0" w:space="0" w:color="auto"/>
                        <w:bottom w:val="none" w:sz="0" w:space="0" w:color="auto"/>
                        <w:right w:val="none" w:sz="0" w:space="0" w:color="auto"/>
                      </w:divBdr>
                      <w:divsChild>
                        <w:div w:id="543062617">
                          <w:marLeft w:val="0"/>
                          <w:marRight w:val="0"/>
                          <w:marTop w:val="0"/>
                          <w:marBottom w:val="0"/>
                          <w:divBdr>
                            <w:top w:val="none" w:sz="0" w:space="0" w:color="auto"/>
                            <w:left w:val="none" w:sz="0" w:space="0" w:color="auto"/>
                            <w:bottom w:val="none" w:sz="0" w:space="0" w:color="auto"/>
                            <w:right w:val="none" w:sz="0" w:space="0" w:color="auto"/>
                          </w:divBdr>
                        </w:div>
                      </w:divsChild>
                    </w:div>
                    <w:div w:id="1423261873">
                      <w:marLeft w:val="0"/>
                      <w:marRight w:val="0"/>
                      <w:marTop w:val="0"/>
                      <w:marBottom w:val="0"/>
                      <w:divBdr>
                        <w:top w:val="none" w:sz="0" w:space="0" w:color="auto"/>
                        <w:left w:val="none" w:sz="0" w:space="0" w:color="auto"/>
                        <w:bottom w:val="none" w:sz="0" w:space="0" w:color="auto"/>
                        <w:right w:val="none" w:sz="0" w:space="0" w:color="auto"/>
                      </w:divBdr>
                      <w:divsChild>
                        <w:div w:id="685180824">
                          <w:marLeft w:val="0"/>
                          <w:marRight w:val="0"/>
                          <w:marTop w:val="0"/>
                          <w:marBottom w:val="0"/>
                          <w:divBdr>
                            <w:top w:val="none" w:sz="0" w:space="0" w:color="auto"/>
                            <w:left w:val="none" w:sz="0" w:space="0" w:color="auto"/>
                            <w:bottom w:val="none" w:sz="0" w:space="0" w:color="auto"/>
                            <w:right w:val="none" w:sz="0" w:space="0" w:color="auto"/>
                          </w:divBdr>
                        </w:div>
                      </w:divsChild>
                    </w:div>
                    <w:div w:id="1427576173">
                      <w:marLeft w:val="0"/>
                      <w:marRight w:val="0"/>
                      <w:marTop w:val="0"/>
                      <w:marBottom w:val="0"/>
                      <w:divBdr>
                        <w:top w:val="none" w:sz="0" w:space="0" w:color="auto"/>
                        <w:left w:val="none" w:sz="0" w:space="0" w:color="auto"/>
                        <w:bottom w:val="none" w:sz="0" w:space="0" w:color="auto"/>
                        <w:right w:val="none" w:sz="0" w:space="0" w:color="auto"/>
                      </w:divBdr>
                      <w:divsChild>
                        <w:div w:id="1021203768">
                          <w:marLeft w:val="0"/>
                          <w:marRight w:val="0"/>
                          <w:marTop w:val="0"/>
                          <w:marBottom w:val="0"/>
                          <w:divBdr>
                            <w:top w:val="none" w:sz="0" w:space="0" w:color="auto"/>
                            <w:left w:val="none" w:sz="0" w:space="0" w:color="auto"/>
                            <w:bottom w:val="none" w:sz="0" w:space="0" w:color="auto"/>
                            <w:right w:val="none" w:sz="0" w:space="0" w:color="auto"/>
                          </w:divBdr>
                        </w:div>
                      </w:divsChild>
                    </w:div>
                    <w:div w:id="1432581777">
                      <w:marLeft w:val="0"/>
                      <w:marRight w:val="0"/>
                      <w:marTop w:val="0"/>
                      <w:marBottom w:val="0"/>
                      <w:divBdr>
                        <w:top w:val="none" w:sz="0" w:space="0" w:color="auto"/>
                        <w:left w:val="none" w:sz="0" w:space="0" w:color="auto"/>
                        <w:bottom w:val="none" w:sz="0" w:space="0" w:color="auto"/>
                        <w:right w:val="none" w:sz="0" w:space="0" w:color="auto"/>
                      </w:divBdr>
                      <w:divsChild>
                        <w:div w:id="1930235183">
                          <w:marLeft w:val="0"/>
                          <w:marRight w:val="0"/>
                          <w:marTop w:val="0"/>
                          <w:marBottom w:val="0"/>
                          <w:divBdr>
                            <w:top w:val="none" w:sz="0" w:space="0" w:color="auto"/>
                            <w:left w:val="none" w:sz="0" w:space="0" w:color="auto"/>
                            <w:bottom w:val="none" w:sz="0" w:space="0" w:color="auto"/>
                            <w:right w:val="none" w:sz="0" w:space="0" w:color="auto"/>
                          </w:divBdr>
                        </w:div>
                      </w:divsChild>
                    </w:div>
                    <w:div w:id="1443721516">
                      <w:marLeft w:val="0"/>
                      <w:marRight w:val="0"/>
                      <w:marTop w:val="0"/>
                      <w:marBottom w:val="0"/>
                      <w:divBdr>
                        <w:top w:val="none" w:sz="0" w:space="0" w:color="auto"/>
                        <w:left w:val="none" w:sz="0" w:space="0" w:color="auto"/>
                        <w:bottom w:val="none" w:sz="0" w:space="0" w:color="auto"/>
                        <w:right w:val="none" w:sz="0" w:space="0" w:color="auto"/>
                      </w:divBdr>
                      <w:divsChild>
                        <w:div w:id="835221865">
                          <w:marLeft w:val="0"/>
                          <w:marRight w:val="0"/>
                          <w:marTop w:val="0"/>
                          <w:marBottom w:val="0"/>
                          <w:divBdr>
                            <w:top w:val="none" w:sz="0" w:space="0" w:color="auto"/>
                            <w:left w:val="none" w:sz="0" w:space="0" w:color="auto"/>
                            <w:bottom w:val="none" w:sz="0" w:space="0" w:color="auto"/>
                            <w:right w:val="none" w:sz="0" w:space="0" w:color="auto"/>
                          </w:divBdr>
                        </w:div>
                      </w:divsChild>
                    </w:div>
                    <w:div w:id="1449620436">
                      <w:marLeft w:val="0"/>
                      <w:marRight w:val="0"/>
                      <w:marTop w:val="0"/>
                      <w:marBottom w:val="0"/>
                      <w:divBdr>
                        <w:top w:val="none" w:sz="0" w:space="0" w:color="auto"/>
                        <w:left w:val="none" w:sz="0" w:space="0" w:color="auto"/>
                        <w:bottom w:val="none" w:sz="0" w:space="0" w:color="auto"/>
                        <w:right w:val="none" w:sz="0" w:space="0" w:color="auto"/>
                      </w:divBdr>
                      <w:divsChild>
                        <w:div w:id="446000838">
                          <w:marLeft w:val="0"/>
                          <w:marRight w:val="0"/>
                          <w:marTop w:val="0"/>
                          <w:marBottom w:val="0"/>
                          <w:divBdr>
                            <w:top w:val="none" w:sz="0" w:space="0" w:color="auto"/>
                            <w:left w:val="none" w:sz="0" w:space="0" w:color="auto"/>
                            <w:bottom w:val="none" w:sz="0" w:space="0" w:color="auto"/>
                            <w:right w:val="none" w:sz="0" w:space="0" w:color="auto"/>
                          </w:divBdr>
                        </w:div>
                      </w:divsChild>
                    </w:div>
                    <w:div w:id="1457260829">
                      <w:marLeft w:val="0"/>
                      <w:marRight w:val="0"/>
                      <w:marTop w:val="0"/>
                      <w:marBottom w:val="0"/>
                      <w:divBdr>
                        <w:top w:val="none" w:sz="0" w:space="0" w:color="auto"/>
                        <w:left w:val="none" w:sz="0" w:space="0" w:color="auto"/>
                        <w:bottom w:val="none" w:sz="0" w:space="0" w:color="auto"/>
                        <w:right w:val="none" w:sz="0" w:space="0" w:color="auto"/>
                      </w:divBdr>
                      <w:divsChild>
                        <w:div w:id="1021320920">
                          <w:marLeft w:val="0"/>
                          <w:marRight w:val="0"/>
                          <w:marTop w:val="0"/>
                          <w:marBottom w:val="0"/>
                          <w:divBdr>
                            <w:top w:val="none" w:sz="0" w:space="0" w:color="auto"/>
                            <w:left w:val="none" w:sz="0" w:space="0" w:color="auto"/>
                            <w:bottom w:val="none" w:sz="0" w:space="0" w:color="auto"/>
                            <w:right w:val="none" w:sz="0" w:space="0" w:color="auto"/>
                          </w:divBdr>
                        </w:div>
                      </w:divsChild>
                    </w:div>
                    <w:div w:id="1468862379">
                      <w:marLeft w:val="0"/>
                      <w:marRight w:val="0"/>
                      <w:marTop w:val="0"/>
                      <w:marBottom w:val="0"/>
                      <w:divBdr>
                        <w:top w:val="none" w:sz="0" w:space="0" w:color="auto"/>
                        <w:left w:val="none" w:sz="0" w:space="0" w:color="auto"/>
                        <w:bottom w:val="none" w:sz="0" w:space="0" w:color="auto"/>
                        <w:right w:val="none" w:sz="0" w:space="0" w:color="auto"/>
                      </w:divBdr>
                      <w:divsChild>
                        <w:div w:id="1768115881">
                          <w:marLeft w:val="0"/>
                          <w:marRight w:val="0"/>
                          <w:marTop w:val="0"/>
                          <w:marBottom w:val="0"/>
                          <w:divBdr>
                            <w:top w:val="none" w:sz="0" w:space="0" w:color="auto"/>
                            <w:left w:val="none" w:sz="0" w:space="0" w:color="auto"/>
                            <w:bottom w:val="none" w:sz="0" w:space="0" w:color="auto"/>
                            <w:right w:val="none" w:sz="0" w:space="0" w:color="auto"/>
                          </w:divBdr>
                        </w:div>
                      </w:divsChild>
                    </w:div>
                    <w:div w:id="1473905907">
                      <w:marLeft w:val="0"/>
                      <w:marRight w:val="0"/>
                      <w:marTop w:val="0"/>
                      <w:marBottom w:val="0"/>
                      <w:divBdr>
                        <w:top w:val="none" w:sz="0" w:space="0" w:color="auto"/>
                        <w:left w:val="none" w:sz="0" w:space="0" w:color="auto"/>
                        <w:bottom w:val="none" w:sz="0" w:space="0" w:color="auto"/>
                        <w:right w:val="none" w:sz="0" w:space="0" w:color="auto"/>
                      </w:divBdr>
                      <w:divsChild>
                        <w:div w:id="979074693">
                          <w:marLeft w:val="0"/>
                          <w:marRight w:val="0"/>
                          <w:marTop w:val="0"/>
                          <w:marBottom w:val="0"/>
                          <w:divBdr>
                            <w:top w:val="none" w:sz="0" w:space="0" w:color="auto"/>
                            <w:left w:val="none" w:sz="0" w:space="0" w:color="auto"/>
                            <w:bottom w:val="none" w:sz="0" w:space="0" w:color="auto"/>
                            <w:right w:val="none" w:sz="0" w:space="0" w:color="auto"/>
                          </w:divBdr>
                        </w:div>
                      </w:divsChild>
                    </w:div>
                    <w:div w:id="1496149058">
                      <w:marLeft w:val="0"/>
                      <w:marRight w:val="0"/>
                      <w:marTop w:val="0"/>
                      <w:marBottom w:val="0"/>
                      <w:divBdr>
                        <w:top w:val="none" w:sz="0" w:space="0" w:color="auto"/>
                        <w:left w:val="none" w:sz="0" w:space="0" w:color="auto"/>
                        <w:bottom w:val="none" w:sz="0" w:space="0" w:color="auto"/>
                        <w:right w:val="none" w:sz="0" w:space="0" w:color="auto"/>
                      </w:divBdr>
                      <w:divsChild>
                        <w:div w:id="1028331564">
                          <w:marLeft w:val="0"/>
                          <w:marRight w:val="0"/>
                          <w:marTop w:val="0"/>
                          <w:marBottom w:val="0"/>
                          <w:divBdr>
                            <w:top w:val="none" w:sz="0" w:space="0" w:color="auto"/>
                            <w:left w:val="none" w:sz="0" w:space="0" w:color="auto"/>
                            <w:bottom w:val="none" w:sz="0" w:space="0" w:color="auto"/>
                            <w:right w:val="none" w:sz="0" w:space="0" w:color="auto"/>
                          </w:divBdr>
                        </w:div>
                      </w:divsChild>
                    </w:div>
                    <w:div w:id="1504737433">
                      <w:marLeft w:val="0"/>
                      <w:marRight w:val="0"/>
                      <w:marTop w:val="0"/>
                      <w:marBottom w:val="0"/>
                      <w:divBdr>
                        <w:top w:val="none" w:sz="0" w:space="0" w:color="auto"/>
                        <w:left w:val="none" w:sz="0" w:space="0" w:color="auto"/>
                        <w:bottom w:val="none" w:sz="0" w:space="0" w:color="auto"/>
                        <w:right w:val="none" w:sz="0" w:space="0" w:color="auto"/>
                      </w:divBdr>
                      <w:divsChild>
                        <w:div w:id="1240213039">
                          <w:marLeft w:val="0"/>
                          <w:marRight w:val="0"/>
                          <w:marTop w:val="0"/>
                          <w:marBottom w:val="0"/>
                          <w:divBdr>
                            <w:top w:val="none" w:sz="0" w:space="0" w:color="auto"/>
                            <w:left w:val="none" w:sz="0" w:space="0" w:color="auto"/>
                            <w:bottom w:val="none" w:sz="0" w:space="0" w:color="auto"/>
                            <w:right w:val="none" w:sz="0" w:space="0" w:color="auto"/>
                          </w:divBdr>
                        </w:div>
                      </w:divsChild>
                    </w:div>
                    <w:div w:id="1506941321">
                      <w:marLeft w:val="0"/>
                      <w:marRight w:val="0"/>
                      <w:marTop w:val="0"/>
                      <w:marBottom w:val="0"/>
                      <w:divBdr>
                        <w:top w:val="none" w:sz="0" w:space="0" w:color="auto"/>
                        <w:left w:val="none" w:sz="0" w:space="0" w:color="auto"/>
                        <w:bottom w:val="none" w:sz="0" w:space="0" w:color="auto"/>
                        <w:right w:val="none" w:sz="0" w:space="0" w:color="auto"/>
                      </w:divBdr>
                      <w:divsChild>
                        <w:div w:id="1865244407">
                          <w:marLeft w:val="0"/>
                          <w:marRight w:val="0"/>
                          <w:marTop w:val="0"/>
                          <w:marBottom w:val="0"/>
                          <w:divBdr>
                            <w:top w:val="none" w:sz="0" w:space="0" w:color="auto"/>
                            <w:left w:val="none" w:sz="0" w:space="0" w:color="auto"/>
                            <w:bottom w:val="none" w:sz="0" w:space="0" w:color="auto"/>
                            <w:right w:val="none" w:sz="0" w:space="0" w:color="auto"/>
                          </w:divBdr>
                        </w:div>
                      </w:divsChild>
                    </w:div>
                    <w:div w:id="1508212100">
                      <w:marLeft w:val="0"/>
                      <w:marRight w:val="0"/>
                      <w:marTop w:val="0"/>
                      <w:marBottom w:val="0"/>
                      <w:divBdr>
                        <w:top w:val="none" w:sz="0" w:space="0" w:color="auto"/>
                        <w:left w:val="none" w:sz="0" w:space="0" w:color="auto"/>
                        <w:bottom w:val="none" w:sz="0" w:space="0" w:color="auto"/>
                        <w:right w:val="none" w:sz="0" w:space="0" w:color="auto"/>
                      </w:divBdr>
                      <w:divsChild>
                        <w:div w:id="807940388">
                          <w:marLeft w:val="0"/>
                          <w:marRight w:val="0"/>
                          <w:marTop w:val="0"/>
                          <w:marBottom w:val="0"/>
                          <w:divBdr>
                            <w:top w:val="none" w:sz="0" w:space="0" w:color="auto"/>
                            <w:left w:val="none" w:sz="0" w:space="0" w:color="auto"/>
                            <w:bottom w:val="none" w:sz="0" w:space="0" w:color="auto"/>
                            <w:right w:val="none" w:sz="0" w:space="0" w:color="auto"/>
                          </w:divBdr>
                        </w:div>
                      </w:divsChild>
                    </w:div>
                    <w:div w:id="1511606573">
                      <w:marLeft w:val="0"/>
                      <w:marRight w:val="0"/>
                      <w:marTop w:val="0"/>
                      <w:marBottom w:val="0"/>
                      <w:divBdr>
                        <w:top w:val="none" w:sz="0" w:space="0" w:color="auto"/>
                        <w:left w:val="none" w:sz="0" w:space="0" w:color="auto"/>
                        <w:bottom w:val="none" w:sz="0" w:space="0" w:color="auto"/>
                        <w:right w:val="none" w:sz="0" w:space="0" w:color="auto"/>
                      </w:divBdr>
                      <w:divsChild>
                        <w:div w:id="1791514516">
                          <w:marLeft w:val="0"/>
                          <w:marRight w:val="0"/>
                          <w:marTop w:val="0"/>
                          <w:marBottom w:val="0"/>
                          <w:divBdr>
                            <w:top w:val="none" w:sz="0" w:space="0" w:color="auto"/>
                            <w:left w:val="none" w:sz="0" w:space="0" w:color="auto"/>
                            <w:bottom w:val="none" w:sz="0" w:space="0" w:color="auto"/>
                            <w:right w:val="none" w:sz="0" w:space="0" w:color="auto"/>
                          </w:divBdr>
                        </w:div>
                      </w:divsChild>
                    </w:div>
                    <w:div w:id="1535269939">
                      <w:marLeft w:val="0"/>
                      <w:marRight w:val="0"/>
                      <w:marTop w:val="0"/>
                      <w:marBottom w:val="0"/>
                      <w:divBdr>
                        <w:top w:val="none" w:sz="0" w:space="0" w:color="auto"/>
                        <w:left w:val="none" w:sz="0" w:space="0" w:color="auto"/>
                        <w:bottom w:val="none" w:sz="0" w:space="0" w:color="auto"/>
                        <w:right w:val="none" w:sz="0" w:space="0" w:color="auto"/>
                      </w:divBdr>
                      <w:divsChild>
                        <w:div w:id="2127456596">
                          <w:marLeft w:val="0"/>
                          <w:marRight w:val="0"/>
                          <w:marTop w:val="0"/>
                          <w:marBottom w:val="0"/>
                          <w:divBdr>
                            <w:top w:val="none" w:sz="0" w:space="0" w:color="auto"/>
                            <w:left w:val="none" w:sz="0" w:space="0" w:color="auto"/>
                            <w:bottom w:val="none" w:sz="0" w:space="0" w:color="auto"/>
                            <w:right w:val="none" w:sz="0" w:space="0" w:color="auto"/>
                          </w:divBdr>
                        </w:div>
                      </w:divsChild>
                    </w:div>
                    <w:div w:id="1579361816">
                      <w:marLeft w:val="0"/>
                      <w:marRight w:val="0"/>
                      <w:marTop w:val="0"/>
                      <w:marBottom w:val="0"/>
                      <w:divBdr>
                        <w:top w:val="none" w:sz="0" w:space="0" w:color="auto"/>
                        <w:left w:val="none" w:sz="0" w:space="0" w:color="auto"/>
                        <w:bottom w:val="none" w:sz="0" w:space="0" w:color="auto"/>
                        <w:right w:val="none" w:sz="0" w:space="0" w:color="auto"/>
                      </w:divBdr>
                      <w:divsChild>
                        <w:div w:id="529537081">
                          <w:marLeft w:val="0"/>
                          <w:marRight w:val="0"/>
                          <w:marTop w:val="0"/>
                          <w:marBottom w:val="0"/>
                          <w:divBdr>
                            <w:top w:val="none" w:sz="0" w:space="0" w:color="auto"/>
                            <w:left w:val="none" w:sz="0" w:space="0" w:color="auto"/>
                            <w:bottom w:val="none" w:sz="0" w:space="0" w:color="auto"/>
                            <w:right w:val="none" w:sz="0" w:space="0" w:color="auto"/>
                          </w:divBdr>
                        </w:div>
                      </w:divsChild>
                    </w:div>
                    <w:div w:id="1582374955">
                      <w:marLeft w:val="0"/>
                      <w:marRight w:val="0"/>
                      <w:marTop w:val="0"/>
                      <w:marBottom w:val="0"/>
                      <w:divBdr>
                        <w:top w:val="none" w:sz="0" w:space="0" w:color="auto"/>
                        <w:left w:val="none" w:sz="0" w:space="0" w:color="auto"/>
                        <w:bottom w:val="none" w:sz="0" w:space="0" w:color="auto"/>
                        <w:right w:val="none" w:sz="0" w:space="0" w:color="auto"/>
                      </w:divBdr>
                      <w:divsChild>
                        <w:div w:id="2139687062">
                          <w:marLeft w:val="0"/>
                          <w:marRight w:val="0"/>
                          <w:marTop w:val="0"/>
                          <w:marBottom w:val="0"/>
                          <w:divBdr>
                            <w:top w:val="none" w:sz="0" w:space="0" w:color="auto"/>
                            <w:left w:val="none" w:sz="0" w:space="0" w:color="auto"/>
                            <w:bottom w:val="none" w:sz="0" w:space="0" w:color="auto"/>
                            <w:right w:val="none" w:sz="0" w:space="0" w:color="auto"/>
                          </w:divBdr>
                        </w:div>
                      </w:divsChild>
                    </w:div>
                    <w:div w:id="1586920651">
                      <w:marLeft w:val="0"/>
                      <w:marRight w:val="0"/>
                      <w:marTop w:val="0"/>
                      <w:marBottom w:val="0"/>
                      <w:divBdr>
                        <w:top w:val="none" w:sz="0" w:space="0" w:color="auto"/>
                        <w:left w:val="none" w:sz="0" w:space="0" w:color="auto"/>
                        <w:bottom w:val="none" w:sz="0" w:space="0" w:color="auto"/>
                        <w:right w:val="none" w:sz="0" w:space="0" w:color="auto"/>
                      </w:divBdr>
                      <w:divsChild>
                        <w:div w:id="1160609697">
                          <w:marLeft w:val="0"/>
                          <w:marRight w:val="0"/>
                          <w:marTop w:val="0"/>
                          <w:marBottom w:val="0"/>
                          <w:divBdr>
                            <w:top w:val="none" w:sz="0" w:space="0" w:color="auto"/>
                            <w:left w:val="none" w:sz="0" w:space="0" w:color="auto"/>
                            <w:bottom w:val="none" w:sz="0" w:space="0" w:color="auto"/>
                            <w:right w:val="none" w:sz="0" w:space="0" w:color="auto"/>
                          </w:divBdr>
                        </w:div>
                      </w:divsChild>
                    </w:div>
                    <w:div w:id="1600142398">
                      <w:marLeft w:val="0"/>
                      <w:marRight w:val="0"/>
                      <w:marTop w:val="0"/>
                      <w:marBottom w:val="0"/>
                      <w:divBdr>
                        <w:top w:val="none" w:sz="0" w:space="0" w:color="auto"/>
                        <w:left w:val="none" w:sz="0" w:space="0" w:color="auto"/>
                        <w:bottom w:val="none" w:sz="0" w:space="0" w:color="auto"/>
                        <w:right w:val="none" w:sz="0" w:space="0" w:color="auto"/>
                      </w:divBdr>
                      <w:divsChild>
                        <w:div w:id="219172108">
                          <w:marLeft w:val="0"/>
                          <w:marRight w:val="0"/>
                          <w:marTop w:val="0"/>
                          <w:marBottom w:val="0"/>
                          <w:divBdr>
                            <w:top w:val="none" w:sz="0" w:space="0" w:color="auto"/>
                            <w:left w:val="none" w:sz="0" w:space="0" w:color="auto"/>
                            <w:bottom w:val="none" w:sz="0" w:space="0" w:color="auto"/>
                            <w:right w:val="none" w:sz="0" w:space="0" w:color="auto"/>
                          </w:divBdr>
                        </w:div>
                      </w:divsChild>
                    </w:div>
                    <w:div w:id="1601714713">
                      <w:marLeft w:val="0"/>
                      <w:marRight w:val="0"/>
                      <w:marTop w:val="0"/>
                      <w:marBottom w:val="0"/>
                      <w:divBdr>
                        <w:top w:val="none" w:sz="0" w:space="0" w:color="auto"/>
                        <w:left w:val="none" w:sz="0" w:space="0" w:color="auto"/>
                        <w:bottom w:val="none" w:sz="0" w:space="0" w:color="auto"/>
                        <w:right w:val="none" w:sz="0" w:space="0" w:color="auto"/>
                      </w:divBdr>
                      <w:divsChild>
                        <w:div w:id="792332978">
                          <w:marLeft w:val="0"/>
                          <w:marRight w:val="0"/>
                          <w:marTop w:val="0"/>
                          <w:marBottom w:val="0"/>
                          <w:divBdr>
                            <w:top w:val="none" w:sz="0" w:space="0" w:color="auto"/>
                            <w:left w:val="none" w:sz="0" w:space="0" w:color="auto"/>
                            <w:bottom w:val="none" w:sz="0" w:space="0" w:color="auto"/>
                            <w:right w:val="none" w:sz="0" w:space="0" w:color="auto"/>
                          </w:divBdr>
                        </w:div>
                      </w:divsChild>
                    </w:div>
                    <w:div w:id="1612467105">
                      <w:marLeft w:val="0"/>
                      <w:marRight w:val="0"/>
                      <w:marTop w:val="0"/>
                      <w:marBottom w:val="0"/>
                      <w:divBdr>
                        <w:top w:val="none" w:sz="0" w:space="0" w:color="auto"/>
                        <w:left w:val="none" w:sz="0" w:space="0" w:color="auto"/>
                        <w:bottom w:val="none" w:sz="0" w:space="0" w:color="auto"/>
                        <w:right w:val="none" w:sz="0" w:space="0" w:color="auto"/>
                      </w:divBdr>
                      <w:divsChild>
                        <w:div w:id="185873384">
                          <w:marLeft w:val="0"/>
                          <w:marRight w:val="0"/>
                          <w:marTop w:val="0"/>
                          <w:marBottom w:val="0"/>
                          <w:divBdr>
                            <w:top w:val="none" w:sz="0" w:space="0" w:color="auto"/>
                            <w:left w:val="none" w:sz="0" w:space="0" w:color="auto"/>
                            <w:bottom w:val="none" w:sz="0" w:space="0" w:color="auto"/>
                            <w:right w:val="none" w:sz="0" w:space="0" w:color="auto"/>
                          </w:divBdr>
                        </w:div>
                      </w:divsChild>
                    </w:div>
                    <w:div w:id="1612666100">
                      <w:marLeft w:val="0"/>
                      <w:marRight w:val="0"/>
                      <w:marTop w:val="0"/>
                      <w:marBottom w:val="0"/>
                      <w:divBdr>
                        <w:top w:val="none" w:sz="0" w:space="0" w:color="auto"/>
                        <w:left w:val="none" w:sz="0" w:space="0" w:color="auto"/>
                        <w:bottom w:val="none" w:sz="0" w:space="0" w:color="auto"/>
                        <w:right w:val="none" w:sz="0" w:space="0" w:color="auto"/>
                      </w:divBdr>
                      <w:divsChild>
                        <w:div w:id="1665470010">
                          <w:marLeft w:val="0"/>
                          <w:marRight w:val="0"/>
                          <w:marTop w:val="0"/>
                          <w:marBottom w:val="0"/>
                          <w:divBdr>
                            <w:top w:val="none" w:sz="0" w:space="0" w:color="auto"/>
                            <w:left w:val="none" w:sz="0" w:space="0" w:color="auto"/>
                            <w:bottom w:val="none" w:sz="0" w:space="0" w:color="auto"/>
                            <w:right w:val="none" w:sz="0" w:space="0" w:color="auto"/>
                          </w:divBdr>
                        </w:div>
                      </w:divsChild>
                    </w:div>
                    <w:div w:id="1617984494">
                      <w:marLeft w:val="0"/>
                      <w:marRight w:val="0"/>
                      <w:marTop w:val="0"/>
                      <w:marBottom w:val="0"/>
                      <w:divBdr>
                        <w:top w:val="none" w:sz="0" w:space="0" w:color="auto"/>
                        <w:left w:val="none" w:sz="0" w:space="0" w:color="auto"/>
                        <w:bottom w:val="none" w:sz="0" w:space="0" w:color="auto"/>
                        <w:right w:val="none" w:sz="0" w:space="0" w:color="auto"/>
                      </w:divBdr>
                      <w:divsChild>
                        <w:div w:id="133332166">
                          <w:marLeft w:val="0"/>
                          <w:marRight w:val="0"/>
                          <w:marTop w:val="0"/>
                          <w:marBottom w:val="0"/>
                          <w:divBdr>
                            <w:top w:val="none" w:sz="0" w:space="0" w:color="auto"/>
                            <w:left w:val="none" w:sz="0" w:space="0" w:color="auto"/>
                            <w:bottom w:val="none" w:sz="0" w:space="0" w:color="auto"/>
                            <w:right w:val="none" w:sz="0" w:space="0" w:color="auto"/>
                          </w:divBdr>
                        </w:div>
                      </w:divsChild>
                    </w:div>
                    <w:div w:id="1633436117">
                      <w:marLeft w:val="0"/>
                      <w:marRight w:val="0"/>
                      <w:marTop w:val="0"/>
                      <w:marBottom w:val="0"/>
                      <w:divBdr>
                        <w:top w:val="none" w:sz="0" w:space="0" w:color="auto"/>
                        <w:left w:val="none" w:sz="0" w:space="0" w:color="auto"/>
                        <w:bottom w:val="none" w:sz="0" w:space="0" w:color="auto"/>
                        <w:right w:val="none" w:sz="0" w:space="0" w:color="auto"/>
                      </w:divBdr>
                      <w:divsChild>
                        <w:div w:id="1674332548">
                          <w:marLeft w:val="0"/>
                          <w:marRight w:val="0"/>
                          <w:marTop w:val="0"/>
                          <w:marBottom w:val="0"/>
                          <w:divBdr>
                            <w:top w:val="none" w:sz="0" w:space="0" w:color="auto"/>
                            <w:left w:val="none" w:sz="0" w:space="0" w:color="auto"/>
                            <w:bottom w:val="none" w:sz="0" w:space="0" w:color="auto"/>
                            <w:right w:val="none" w:sz="0" w:space="0" w:color="auto"/>
                          </w:divBdr>
                        </w:div>
                      </w:divsChild>
                    </w:div>
                    <w:div w:id="1664888236">
                      <w:marLeft w:val="0"/>
                      <w:marRight w:val="0"/>
                      <w:marTop w:val="0"/>
                      <w:marBottom w:val="0"/>
                      <w:divBdr>
                        <w:top w:val="none" w:sz="0" w:space="0" w:color="auto"/>
                        <w:left w:val="none" w:sz="0" w:space="0" w:color="auto"/>
                        <w:bottom w:val="none" w:sz="0" w:space="0" w:color="auto"/>
                        <w:right w:val="none" w:sz="0" w:space="0" w:color="auto"/>
                      </w:divBdr>
                      <w:divsChild>
                        <w:div w:id="1439521427">
                          <w:marLeft w:val="0"/>
                          <w:marRight w:val="0"/>
                          <w:marTop w:val="0"/>
                          <w:marBottom w:val="0"/>
                          <w:divBdr>
                            <w:top w:val="none" w:sz="0" w:space="0" w:color="auto"/>
                            <w:left w:val="none" w:sz="0" w:space="0" w:color="auto"/>
                            <w:bottom w:val="none" w:sz="0" w:space="0" w:color="auto"/>
                            <w:right w:val="none" w:sz="0" w:space="0" w:color="auto"/>
                          </w:divBdr>
                        </w:div>
                      </w:divsChild>
                    </w:div>
                    <w:div w:id="1665619946">
                      <w:marLeft w:val="0"/>
                      <w:marRight w:val="0"/>
                      <w:marTop w:val="0"/>
                      <w:marBottom w:val="0"/>
                      <w:divBdr>
                        <w:top w:val="none" w:sz="0" w:space="0" w:color="auto"/>
                        <w:left w:val="none" w:sz="0" w:space="0" w:color="auto"/>
                        <w:bottom w:val="none" w:sz="0" w:space="0" w:color="auto"/>
                        <w:right w:val="none" w:sz="0" w:space="0" w:color="auto"/>
                      </w:divBdr>
                      <w:divsChild>
                        <w:div w:id="1142696365">
                          <w:marLeft w:val="0"/>
                          <w:marRight w:val="0"/>
                          <w:marTop w:val="0"/>
                          <w:marBottom w:val="0"/>
                          <w:divBdr>
                            <w:top w:val="none" w:sz="0" w:space="0" w:color="auto"/>
                            <w:left w:val="none" w:sz="0" w:space="0" w:color="auto"/>
                            <w:bottom w:val="none" w:sz="0" w:space="0" w:color="auto"/>
                            <w:right w:val="none" w:sz="0" w:space="0" w:color="auto"/>
                          </w:divBdr>
                        </w:div>
                      </w:divsChild>
                    </w:div>
                    <w:div w:id="1702320671">
                      <w:marLeft w:val="0"/>
                      <w:marRight w:val="0"/>
                      <w:marTop w:val="0"/>
                      <w:marBottom w:val="0"/>
                      <w:divBdr>
                        <w:top w:val="none" w:sz="0" w:space="0" w:color="auto"/>
                        <w:left w:val="none" w:sz="0" w:space="0" w:color="auto"/>
                        <w:bottom w:val="none" w:sz="0" w:space="0" w:color="auto"/>
                        <w:right w:val="none" w:sz="0" w:space="0" w:color="auto"/>
                      </w:divBdr>
                      <w:divsChild>
                        <w:div w:id="1082992255">
                          <w:marLeft w:val="0"/>
                          <w:marRight w:val="0"/>
                          <w:marTop w:val="0"/>
                          <w:marBottom w:val="0"/>
                          <w:divBdr>
                            <w:top w:val="none" w:sz="0" w:space="0" w:color="auto"/>
                            <w:left w:val="none" w:sz="0" w:space="0" w:color="auto"/>
                            <w:bottom w:val="none" w:sz="0" w:space="0" w:color="auto"/>
                            <w:right w:val="none" w:sz="0" w:space="0" w:color="auto"/>
                          </w:divBdr>
                        </w:div>
                      </w:divsChild>
                    </w:div>
                    <w:div w:id="1708489550">
                      <w:marLeft w:val="0"/>
                      <w:marRight w:val="0"/>
                      <w:marTop w:val="0"/>
                      <w:marBottom w:val="0"/>
                      <w:divBdr>
                        <w:top w:val="none" w:sz="0" w:space="0" w:color="auto"/>
                        <w:left w:val="none" w:sz="0" w:space="0" w:color="auto"/>
                        <w:bottom w:val="none" w:sz="0" w:space="0" w:color="auto"/>
                        <w:right w:val="none" w:sz="0" w:space="0" w:color="auto"/>
                      </w:divBdr>
                      <w:divsChild>
                        <w:div w:id="88817427">
                          <w:marLeft w:val="0"/>
                          <w:marRight w:val="0"/>
                          <w:marTop w:val="0"/>
                          <w:marBottom w:val="0"/>
                          <w:divBdr>
                            <w:top w:val="none" w:sz="0" w:space="0" w:color="auto"/>
                            <w:left w:val="none" w:sz="0" w:space="0" w:color="auto"/>
                            <w:bottom w:val="none" w:sz="0" w:space="0" w:color="auto"/>
                            <w:right w:val="none" w:sz="0" w:space="0" w:color="auto"/>
                          </w:divBdr>
                        </w:div>
                      </w:divsChild>
                    </w:div>
                    <w:div w:id="1711106029">
                      <w:marLeft w:val="0"/>
                      <w:marRight w:val="0"/>
                      <w:marTop w:val="0"/>
                      <w:marBottom w:val="0"/>
                      <w:divBdr>
                        <w:top w:val="none" w:sz="0" w:space="0" w:color="auto"/>
                        <w:left w:val="none" w:sz="0" w:space="0" w:color="auto"/>
                        <w:bottom w:val="none" w:sz="0" w:space="0" w:color="auto"/>
                        <w:right w:val="none" w:sz="0" w:space="0" w:color="auto"/>
                      </w:divBdr>
                      <w:divsChild>
                        <w:div w:id="841772543">
                          <w:marLeft w:val="0"/>
                          <w:marRight w:val="0"/>
                          <w:marTop w:val="0"/>
                          <w:marBottom w:val="0"/>
                          <w:divBdr>
                            <w:top w:val="none" w:sz="0" w:space="0" w:color="auto"/>
                            <w:left w:val="none" w:sz="0" w:space="0" w:color="auto"/>
                            <w:bottom w:val="none" w:sz="0" w:space="0" w:color="auto"/>
                            <w:right w:val="none" w:sz="0" w:space="0" w:color="auto"/>
                          </w:divBdr>
                        </w:div>
                      </w:divsChild>
                    </w:div>
                    <w:div w:id="1711877437">
                      <w:marLeft w:val="0"/>
                      <w:marRight w:val="0"/>
                      <w:marTop w:val="0"/>
                      <w:marBottom w:val="0"/>
                      <w:divBdr>
                        <w:top w:val="none" w:sz="0" w:space="0" w:color="auto"/>
                        <w:left w:val="none" w:sz="0" w:space="0" w:color="auto"/>
                        <w:bottom w:val="none" w:sz="0" w:space="0" w:color="auto"/>
                        <w:right w:val="none" w:sz="0" w:space="0" w:color="auto"/>
                      </w:divBdr>
                      <w:divsChild>
                        <w:div w:id="1947693550">
                          <w:marLeft w:val="0"/>
                          <w:marRight w:val="0"/>
                          <w:marTop w:val="0"/>
                          <w:marBottom w:val="0"/>
                          <w:divBdr>
                            <w:top w:val="none" w:sz="0" w:space="0" w:color="auto"/>
                            <w:left w:val="none" w:sz="0" w:space="0" w:color="auto"/>
                            <w:bottom w:val="none" w:sz="0" w:space="0" w:color="auto"/>
                            <w:right w:val="none" w:sz="0" w:space="0" w:color="auto"/>
                          </w:divBdr>
                        </w:div>
                      </w:divsChild>
                    </w:div>
                    <w:div w:id="1722242896">
                      <w:marLeft w:val="0"/>
                      <w:marRight w:val="0"/>
                      <w:marTop w:val="0"/>
                      <w:marBottom w:val="0"/>
                      <w:divBdr>
                        <w:top w:val="none" w:sz="0" w:space="0" w:color="auto"/>
                        <w:left w:val="none" w:sz="0" w:space="0" w:color="auto"/>
                        <w:bottom w:val="none" w:sz="0" w:space="0" w:color="auto"/>
                        <w:right w:val="none" w:sz="0" w:space="0" w:color="auto"/>
                      </w:divBdr>
                      <w:divsChild>
                        <w:div w:id="2048211030">
                          <w:marLeft w:val="0"/>
                          <w:marRight w:val="0"/>
                          <w:marTop w:val="0"/>
                          <w:marBottom w:val="0"/>
                          <w:divBdr>
                            <w:top w:val="none" w:sz="0" w:space="0" w:color="auto"/>
                            <w:left w:val="none" w:sz="0" w:space="0" w:color="auto"/>
                            <w:bottom w:val="none" w:sz="0" w:space="0" w:color="auto"/>
                            <w:right w:val="none" w:sz="0" w:space="0" w:color="auto"/>
                          </w:divBdr>
                        </w:div>
                      </w:divsChild>
                    </w:div>
                    <w:div w:id="1729373433">
                      <w:marLeft w:val="0"/>
                      <w:marRight w:val="0"/>
                      <w:marTop w:val="0"/>
                      <w:marBottom w:val="0"/>
                      <w:divBdr>
                        <w:top w:val="none" w:sz="0" w:space="0" w:color="auto"/>
                        <w:left w:val="none" w:sz="0" w:space="0" w:color="auto"/>
                        <w:bottom w:val="none" w:sz="0" w:space="0" w:color="auto"/>
                        <w:right w:val="none" w:sz="0" w:space="0" w:color="auto"/>
                      </w:divBdr>
                      <w:divsChild>
                        <w:div w:id="1437214358">
                          <w:marLeft w:val="0"/>
                          <w:marRight w:val="0"/>
                          <w:marTop w:val="0"/>
                          <w:marBottom w:val="0"/>
                          <w:divBdr>
                            <w:top w:val="none" w:sz="0" w:space="0" w:color="auto"/>
                            <w:left w:val="none" w:sz="0" w:space="0" w:color="auto"/>
                            <w:bottom w:val="none" w:sz="0" w:space="0" w:color="auto"/>
                            <w:right w:val="none" w:sz="0" w:space="0" w:color="auto"/>
                          </w:divBdr>
                        </w:div>
                      </w:divsChild>
                    </w:div>
                    <w:div w:id="1734694095">
                      <w:marLeft w:val="0"/>
                      <w:marRight w:val="0"/>
                      <w:marTop w:val="0"/>
                      <w:marBottom w:val="0"/>
                      <w:divBdr>
                        <w:top w:val="none" w:sz="0" w:space="0" w:color="auto"/>
                        <w:left w:val="none" w:sz="0" w:space="0" w:color="auto"/>
                        <w:bottom w:val="none" w:sz="0" w:space="0" w:color="auto"/>
                        <w:right w:val="none" w:sz="0" w:space="0" w:color="auto"/>
                      </w:divBdr>
                      <w:divsChild>
                        <w:div w:id="462237368">
                          <w:marLeft w:val="0"/>
                          <w:marRight w:val="0"/>
                          <w:marTop w:val="0"/>
                          <w:marBottom w:val="0"/>
                          <w:divBdr>
                            <w:top w:val="none" w:sz="0" w:space="0" w:color="auto"/>
                            <w:left w:val="none" w:sz="0" w:space="0" w:color="auto"/>
                            <w:bottom w:val="none" w:sz="0" w:space="0" w:color="auto"/>
                            <w:right w:val="none" w:sz="0" w:space="0" w:color="auto"/>
                          </w:divBdr>
                        </w:div>
                      </w:divsChild>
                    </w:div>
                    <w:div w:id="1746108183">
                      <w:marLeft w:val="0"/>
                      <w:marRight w:val="0"/>
                      <w:marTop w:val="0"/>
                      <w:marBottom w:val="0"/>
                      <w:divBdr>
                        <w:top w:val="none" w:sz="0" w:space="0" w:color="auto"/>
                        <w:left w:val="none" w:sz="0" w:space="0" w:color="auto"/>
                        <w:bottom w:val="none" w:sz="0" w:space="0" w:color="auto"/>
                        <w:right w:val="none" w:sz="0" w:space="0" w:color="auto"/>
                      </w:divBdr>
                      <w:divsChild>
                        <w:div w:id="1985694468">
                          <w:marLeft w:val="0"/>
                          <w:marRight w:val="0"/>
                          <w:marTop w:val="0"/>
                          <w:marBottom w:val="0"/>
                          <w:divBdr>
                            <w:top w:val="none" w:sz="0" w:space="0" w:color="auto"/>
                            <w:left w:val="none" w:sz="0" w:space="0" w:color="auto"/>
                            <w:bottom w:val="none" w:sz="0" w:space="0" w:color="auto"/>
                            <w:right w:val="none" w:sz="0" w:space="0" w:color="auto"/>
                          </w:divBdr>
                        </w:div>
                      </w:divsChild>
                    </w:div>
                    <w:div w:id="1760711333">
                      <w:marLeft w:val="0"/>
                      <w:marRight w:val="0"/>
                      <w:marTop w:val="0"/>
                      <w:marBottom w:val="0"/>
                      <w:divBdr>
                        <w:top w:val="none" w:sz="0" w:space="0" w:color="auto"/>
                        <w:left w:val="none" w:sz="0" w:space="0" w:color="auto"/>
                        <w:bottom w:val="none" w:sz="0" w:space="0" w:color="auto"/>
                        <w:right w:val="none" w:sz="0" w:space="0" w:color="auto"/>
                      </w:divBdr>
                      <w:divsChild>
                        <w:div w:id="1605187664">
                          <w:marLeft w:val="0"/>
                          <w:marRight w:val="0"/>
                          <w:marTop w:val="0"/>
                          <w:marBottom w:val="0"/>
                          <w:divBdr>
                            <w:top w:val="none" w:sz="0" w:space="0" w:color="auto"/>
                            <w:left w:val="none" w:sz="0" w:space="0" w:color="auto"/>
                            <w:bottom w:val="none" w:sz="0" w:space="0" w:color="auto"/>
                            <w:right w:val="none" w:sz="0" w:space="0" w:color="auto"/>
                          </w:divBdr>
                        </w:div>
                      </w:divsChild>
                    </w:div>
                    <w:div w:id="1771391628">
                      <w:marLeft w:val="0"/>
                      <w:marRight w:val="0"/>
                      <w:marTop w:val="0"/>
                      <w:marBottom w:val="0"/>
                      <w:divBdr>
                        <w:top w:val="none" w:sz="0" w:space="0" w:color="auto"/>
                        <w:left w:val="none" w:sz="0" w:space="0" w:color="auto"/>
                        <w:bottom w:val="none" w:sz="0" w:space="0" w:color="auto"/>
                        <w:right w:val="none" w:sz="0" w:space="0" w:color="auto"/>
                      </w:divBdr>
                      <w:divsChild>
                        <w:div w:id="1800995870">
                          <w:marLeft w:val="0"/>
                          <w:marRight w:val="0"/>
                          <w:marTop w:val="0"/>
                          <w:marBottom w:val="0"/>
                          <w:divBdr>
                            <w:top w:val="none" w:sz="0" w:space="0" w:color="auto"/>
                            <w:left w:val="none" w:sz="0" w:space="0" w:color="auto"/>
                            <w:bottom w:val="none" w:sz="0" w:space="0" w:color="auto"/>
                            <w:right w:val="none" w:sz="0" w:space="0" w:color="auto"/>
                          </w:divBdr>
                        </w:div>
                      </w:divsChild>
                    </w:div>
                    <w:div w:id="1771511866">
                      <w:marLeft w:val="0"/>
                      <w:marRight w:val="0"/>
                      <w:marTop w:val="0"/>
                      <w:marBottom w:val="0"/>
                      <w:divBdr>
                        <w:top w:val="none" w:sz="0" w:space="0" w:color="auto"/>
                        <w:left w:val="none" w:sz="0" w:space="0" w:color="auto"/>
                        <w:bottom w:val="none" w:sz="0" w:space="0" w:color="auto"/>
                        <w:right w:val="none" w:sz="0" w:space="0" w:color="auto"/>
                      </w:divBdr>
                      <w:divsChild>
                        <w:div w:id="1171916076">
                          <w:marLeft w:val="0"/>
                          <w:marRight w:val="0"/>
                          <w:marTop w:val="0"/>
                          <w:marBottom w:val="0"/>
                          <w:divBdr>
                            <w:top w:val="none" w:sz="0" w:space="0" w:color="auto"/>
                            <w:left w:val="none" w:sz="0" w:space="0" w:color="auto"/>
                            <w:bottom w:val="none" w:sz="0" w:space="0" w:color="auto"/>
                            <w:right w:val="none" w:sz="0" w:space="0" w:color="auto"/>
                          </w:divBdr>
                        </w:div>
                      </w:divsChild>
                    </w:div>
                    <w:div w:id="1810585154">
                      <w:marLeft w:val="0"/>
                      <w:marRight w:val="0"/>
                      <w:marTop w:val="0"/>
                      <w:marBottom w:val="0"/>
                      <w:divBdr>
                        <w:top w:val="none" w:sz="0" w:space="0" w:color="auto"/>
                        <w:left w:val="none" w:sz="0" w:space="0" w:color="auto"/>
                        <w:bottom w:val="none" w:sz="0" w:space="0" w:color="auto"/>
                        <w:right w:val="none" w:sz="0" w:space="0" w:color="auto"/>
                      </w:divBdr>
                      <w:divsChild>
                        <w:div w:id="324213041">
                          <w:marLeft w:val="0"/>
                          <w:marRight w:val="0"/>
                          <w:marTop w:val="0"/>
                          <w:marBottom w:val="0"/>
                          <w:divBdr>
                            <w:top w:val="none" w:sz="0" w:space="0" w:color="auto"/>
                            <w:left w:val="none" w:sz="0" w:space="0" w:color="auto"/>
                            <w:bottom w:val="none" w:sz="0" w:space="0" w:color="auto"/>
                            <w:right w:val="none" w:sz="0" w:space="0" w:color="auto"/>
                          </w:divBdr>
                        </w:div>
                      </w:divsChild>
                    </w:div>
                    <w:div w:id="1812404655">
                      <w:marLeft w:val="0"/>
                      <w:marRight w:val="0"/>
                      <w:marTop w:val="0"/>
                      <w:marBottom w:val="0"/>
                      <w:divBdr>
                        <w:top w:val="none" w:sz="0" w:space="0" w:color="auto"/>
                        <w:left w:val="none" w:sz="0" w:space="0" w:color="auto"/>
                        <w:bottom w:val="none" w:sz="0" w:space="0" w:color="auto"/>
                        <w:right w:val="none" w:sz="0" w:space="0" w:color="auto"/>
                      </w:divBdr>
                      <w:divsChild>
                        <w:div w:id="439646689">
                          <w:marLeft w:val="0"/>
                          <w:marRight w:val="0"/>
                          <w:marTop w:val="0"/>
                          <w:marBottom w:val="0"/>
                          <w:divBdr>
                            <w:top w:val="none" w:sz="0" w:space="0" w:color="auto"/>
                            <w:left w:val="none" w:sz="0" w:space="0" w:color="auto"/>
                            <w:bottom w:val="none" w:sz="0" w:space="0" w:color="auto"/>
                            <w:right w:val="none" w:sz="0" w:space="0" w:color="auto"/>
                          </w:divBdr>
                        </w:div>
                      </w:divsChild>
                    </w:div>
                    <w:div w:id="1828016055">
                      <w:marLeft w:val="0"/>
                      <w:marRight w:val="0"/>
                      <w:marTop w:val="0"/>
                      <w:marBottom w:val="0"/>
                      <w:divBdr>
                        <w:top w:val="none" w:sz="0" w:space="0" w:color="auto"/>
                        <w:left w:val="none" w:sz="0" w:space="0" w:color="auto"/>
                        <w:bottom w:val="none" w:sz="0" w:space="0" w:color="auto"/>
                        <w:right w:val="none" w:sz="0" w:space="0" w:color="auto"/>
                      </w:divBdr>
                      <w:divsChild>
                        <w:div w:id="1440026531">
                          <w:marLeft w:val="0"/>
                          <w:marRight w:val="0"/>
                          <w:marTop w:val="0"/>
                          <w:marBottom w:val="0"/>
                          <w:divBdr>
                            <w:top w:val="none" w:sz="0" w:space="0" w:color="auto"/>
                            <w:left w:val="none" w:sz="0" w:space="0" w:color="auto"/>
                            <w:bottom w:val="none" w:sz="0" w:space="0" w:color="auto"/>
                            <w:right w:val="none" w:sz="0" w:space="0" w:color="auto"/>
                          </w:divBdr>
                        </w:div>
                      </w:divsChild>
                    </w:div>
                    <w:div w:id="1851528453">
                      <w:marLeft w:val="0"/>
                      <w:marRight w:val="0"/>
                      <w:marTop w:val="0"/>
                      <w:marBottom w:val="0"/>
                      <w:divBdr>
                        <w:top w:val="none" w:sz="0" w:space="0" w:color="auto"/>
                        <w:left w:val="none" w:sz="0" w:space="0" w:color="auto"/>
                        <w:bottom w:val="none" w:sz="0" w:space="0" w:color="auto"/>
                        <w:right w:val="none" w:sz="0" w:space="0" w:color="auto"/>
                      </w:divBdr>
                      <w:divsChild>
                        <w:div w:id="1079445868">
                          <w:marLeft w:val="0"/>
                          <w:marRight w:val="0"/>
                          <w:marTop w:val="0"/>
                          <w:marBottom w:val="0"/>
                          <w:divBdr>
                            <w:top w:val="none" w:sz="0" w:space="0" w:color="auto"/>
                            <w:left w:val="none" w:sz="0" w:space="0" w:color="auto"/>
                            <w:bottom w:val="none" w:sz="0" w:space="0" w:color="auto"/>
                            <w:right w:val="none" w:sz="0" w:space="0" w:color="auto"/>
                          </w:divBdr>
                        </w:div>
                      </w:divsChild>
                    </w:div>
                    <w:div w:id="1865945589">
                      <w:marLeft w:val="0"/>
                      <w:marRight w:val="0"/>
                      <w:marTop w:val="0"/>
                      <w:marBottom w:val="0"/>
                      <w:divBdr>
                        <w:top w:val="none" w:sz="0" w:space="0" w:color="auto"/>
                        <w:left w:val="none" w:sz="0" w:space="0" w:color="auto"/>
                        <w:bottom w:val="none" w:sz="0" w:space="0" w:color="auto"/>
                        <w:right w:val="none" w:sz="0" w:space="0" w:color="auto"/>
                      </w:divBdr>
                      <w:divsChild>
                        <w:div w:id="965505498">
                          <w:marLeft w:val="0"/>
                          <w:marRight w:val="0"/>
                          <w:marTop w:val="0"/>
                          <w:marBottom w:val="0"/>
                          <w:divBdr>
                            <w:top w:val="none" w:sz="0" w:space="0" w:color="auto"/>
                            <w:left w:val="none" w:sz="0" w:space="0" w:color="auto"/>
                            <w:bottom w:val="none" w:sz="0" w:space="0" w:color="auto"/>
                            <w:right w:val="none" w:sz="0" w:space="0" w:color="auto"/>
                          </w:divBdr>
                        </w:div>
                      </w:divsChild>
                    </w:div>
                    <w:div w:id="1903563870">
                      <w:marLeft w:val="0"/>
                      <w:marRight w:val="0"/>
                      <w:marTop w:val="0"/>
                      <w:marBottom w:val="0"/>
                      <w:divBdr>
                        <w:top w:val="none" w:sz="0" w:space="0" w:color="auto"/>
                        <w:left w:val="none" w:sz="0" w:space="0" w:color="auto"/>
                        <w:bottom w:val="none" w:sz="0" w:space="0" w:color="auto"/>
                        <w:right w:val="none" w:sz="0" w:space="0" w:color="auto"/>
                      </w:divBdr>
                      <w:divsChild>
                        <w:div w:id="1760712553">
                          <w:marLeft w:val="0"/>
                          <w:marRight w:val="0"/>
                          <w:marTop w:val="0"/>
                          <w:marBottom w:val="0"/>
                          <w:divBdr>
                            <w:top w:val="none" w:sz="0" w:space="0" w:color="auto"/>
                            <w:left w:val="none" w:sz="0" w:space="0" w:color="auto"/>
                            <w:bottom w:val="none" w:sz="0" w:space="0" w:color="auto"/>
                            <w:right w:val="none" w:sz="0" w:space="0" w:color="auto"/>
                          </w:divBdr>
                        </w:div>
                      </w:divsChild>
                    </w:div>
                    <w:div w:id="1966227549">
                      <w:marLeft w:val="0"/>
                      <w:marRight w:val="0"/>
                      <w:marTop w:val="0"/>
                      <w:marBottom w:val="0"/>
                      <w:divBdr>
                        <w:top w:val="none" w:sz="0" w:space="0" w:color="auto"/>
                        <w:left w:val="none" w:sz="0" w:space="0" w:color="auto"/>
                        <w:bottom w:val="none" w:sz="0" w:space="0" w:color="auto"/>
                        <w:right w:val="none" w:sz="0" w:space="0" w:color="auto"/>
                      </w:divBdr>
                      <w:divsChild>
                        <w:div w:id="1262226693">
                          <w:marLeft w:val="0"/>
                          <w:marRight w:val="0"/>
                          <w:marTop w:val="0"/>
                          <w:marBottom w:val="0"/>
                          <w:divBdr>
                            <w:top w:val="none" w:sz="0" w:space="0" w:color="auto"/>
                            <w:left w:val="none" w:sz="0" w:space="0" w:color="auto"/>
                            <w:bottom w:val="none" w:sz="0" w:space="0" w:color="auto"/>
                            <w:right w:val="none" w:sz="0" w:space="0" w:color="auto"/>
                          </w:divBdr>
                        </w:div>
                      </w:divsChild>
                    </w:div>
                    <w:div w:id="1990984180">
                      <w:marLeft w:val="0"/>
                      <w:marRight w:val="0"/>
                      <w:marTop w:val="0"/>
                      <w:marBottom w:val="0"/>
                      <w:divBdr>
                        <w:top w:val="none" w:sz="0" w:space="0" w:color="auto"/>
                        <w:left w:val="none" w:sz="0" w:space="0" w:color="auto"/>
                        <w:bottom w:val="none" w:sz="0" w:space="0" w:color="auto"/>
                        <w:right w:val="none" w:sz="0" w:space="0" w:color="auto"/>
                      </w:divBdr>
                      <w:divsChild>
                        <w:div w:id="1324626817">
                          <w:marLeft w:val="0"/>
                          <w:marRight w:val="0"/>
                          <w:marTop w:val="0"/>
                          <w:marBottom w:val="0"/>
                          <w:divBdr>
                            <w:top w:val="none" w:sz="0" w:space="0" w:color="auto"/>
                            <w:left w:val="none" w:sz="0" w:space="0" w:color="auto"/>
                            <w:bottom w:val="none" w:sz="0" w:space="0" w:color="auto"/>
                            <w:right w:val="none" w:sz="0" w:space="0" w:color="auto"/>
                          </w:divBdr>
                        </w:div>
                      </w:divsChild>
                    </w:div>
                    <w:div w:id="2003704021">
                      <w:marLeft w:val="0"/>
                      <w:marRight w:val="0"/>
                      <w:marTop w:val="0"/>
                      <w:marBottom w:val="0"/>
                      <w:divBdr>
                        <w:top w:val="none" w:sz="0" w:space="0" w:color="auto"/>
                        <w:left w:val="none" w:sz="0" w:space="0" w:color="auto"/>
                        <w:bottom w:val="none" w:sz="0" w:space="0" w:color="auto"/>
                        <w:right w:val="none" w:sz="0" w:space="0" w:color="auto"/>
                      </w:divBdr>
                      <w:divsChild>
                        <w:div w:id="1333802024">
                          <w:marLeft w:val="0"/>
                          <w:marRight w:val="0"/>
                          <w:marTop w:val="0"/>
                          <w:marBottom w:val="0"/>
                          <w:divBdr>
                            <w:top w:val="none" w:sz="0" w:space="0" w:color="auto"/>
                            <w:left w:val="none" w:sz="0" w:space="0" w:color="auto"/>
                            <w:bottom w:val="none" w:sz="0" w:space="0" w:color="auto"/>
                            <w:right w:val="none" w:sz="0" w:space="0" w:color="auto"/>
                          </w:divBdr>
                        </w:div>
                      </w:divsChild>
                    </w:div>
                    <w:div w:id="2009363226">
                      <w:marLeft w:val="0"/>
                      <w:marRight w:val="0"/>
                      <w:marTop w:val="0"/>
                      <w:marBottom w:val="0"/>
                      <w:divBdr>
                        <w:top w:val="none" w:sz="0" w:space="0" w:color="auto"/>
                        <w:left w:val="none" w:sz="0" w:space="0" w:color="auto"/>
                        <w:bottom w:val="none" w:sz="0" w:space="0" w:color="auto"/>
                        <w:right w:val="none" w:sz="0" w:space="0" w:color="auto"/>
                      </w:divBdr>
                      <w:divsChild>
                        <w:div w:id="21562598">
                          <w:marLeft w:val="0"/>
                          <w:marRight w:val="0"/>
                          <w:marTop w:val="0"/>
                          <w:marBottom w:val="0"/>
                          <w:divBdr>
                            <w:top w:val="none" w:sz="0" w:space="0" w:color="auto"/>
                            <w:left w:val="none" w:sz="0" w:space="0" w:color="auto"/>
                            <w:bottom w:val="none" w:sz="0" w:space="0" w:color="auto"/>
                            <w:right w:val="none" w:sz="0" w:space="0" w:color="auto"/>
                          </w:divBdr>
                        </w:div>
                      </w:divsChild>
                    </w:div>
                    <w:div w:id="2024281226">
                      <w:marLeft w:val="0"/>
                      <w:marRight w:val="0"/>
                      <w:marTop w:val="0"/>
                      <w:marBottom w:val="0"/>
                      <w:divBdr>
                        <w:top w:val="none" w:sz="0" w:space="0" w:color="auto"/>
                        <w:left w:val="none" w:sz="0" w:space="0" w:color="auto"/>
                        <w:bottom w:val="none" w:sz="0" w:space="0" w:color="auto"/>
                        <w:right w:val="none" w:sz="0" w:space="0" w:color="auto"/>
                      </w:divBdr>
                      <w:divsChild>
                        <w:div w:id="2142570690">
                          <w:marLeft w:val="0"/>
                          <w:marRight w:val="0"/>
                          <w:marTop w:val="0"/>
                          <w:marBottom w:val="0"/>
                          <w:divBdr>
                            <w:top w:val="none" w:sz="0" w:space="0" w:color="auto"/>
                            <w:left w:val="none" w:sz="0" w:space="0" w:color="auto"/>
                            <w:bottom w:val="none" w:sz="0" w:space="0" w:color="auto"/>
                            <w:right w:val="none" w:sz="0" w:space="0" w:color="auto"/>
                          </w:divBdr>
                        </w:div>
                      </w:divsChild>
                    </w:div>
                    <w:div w:id="2037537429">
                      <w:marLeft w:val="0"/>
                      <w:marRight w:val="0"/>
                      <w:marTop w:val="0"/>
                      <w:marBottom w:val="0"/>
                      <w:divBdr>
                        <w:top w:val="none" w:sz="0" w:space="0" w:color="auto"/>
                        <w:left w:val="none" w:sz="0" w:space="0" w:color="auto"/>
                        <w:bottom w:val="none" w:sz="0" w:space="0" w:color="auto"/>
                        <w:right w:val="none" w:sz="0" w:space="0" w:color="auto"/>
                      </w:divBdr>
                      <w:divsChild>
                        <w:div w:id="1613854238">
                          <w:marLeft w:val="0"/>
                          <w:marRight w:val="0"/>
                          <w:marTop w:val="0"/>
                          <w:marBottom w:val="0"/>
                          <w:divBdr>
                            <w:top w:val="none" w:sz="0" w:space="0" w:color="auto"/>
                            <w:left w:val="none" w:sz="0" w:space="0" w:color="auto"/>
                            <w:bottom w:val="none" w:sz="0" w:space="0" w:color="auto"/>
                            <w:right w:val="none" w:sz="0" w:space="0" w:color="auto"/>
                          </w:divBdr>
                        </w:div>
                      </w:divsChild>
                    </w:div>
                    <w:div w:id="2038311858">
                      <w:marLeft w:val="0"/>
                      <w:marRight w:val="0"/>
                      <w:marTop w:val="0"/>
                      <w:marBottom w:val="0"/>
                      <w:divBdr>
                        <w:top w:val="none" w:sz="0" w:space="0" w:color="auto"/>
                        <w:left w:val="none" w:sz="0" w:space="0" w:color="auto"/>
                        <w:bottom w:val="none" w:sz="0" w:space="0" w:color="auto"/>
                        <w:right w:val="none" w:sz="0" w:space="0" w:color="auto"/>
                      </w:divBdr>
                      <w:divsChild>
                        <w:div w:id="288628234">
                          <w:marLeft w:val="0"/>
                          <w:marRight w:val="0"/>
                          <w:marTop w:val="0"/>
                          <w:marBottom w:val="0"/>
                          <w:divBdr>
                            <w:top w:val="none" w:sz="0" w:space="0" w:color="auto"/>
                            <w:left w:val="none" w:sz="0" w:space="0" w:color="auto"/>
                            <w:bottom w:val="none" w:sz="0" w:space="0" w:color="auto"/>
                            <w:right w:val="none" w:sz="0" w:space="0" w:color="auto"/>
                          </w:divBdr>
                        </w:div>
                      </w:divsChild>
                    </w:div>
                    <w:div w:id="2052074148">
                      <w:marLeft w:val="0"/>
                      <w:marRight w:val="0"/>
                      <w:marTop w:val="0"/>
                      <w:marBottom w:val="0"/>
                      <w:divBdr>
                        <w:top w:val="none" w:sz="0" w:space="0" w:color="auto"/>
                        <w:left w:val="none" w:sz="0" w:space="0" w:color="auto"/>
                        <w:bottom w:val="none" w:sz="0" w:space="0" w:color="auto"/>
                        <w:right w:val="none" w:sz="0" w:space="0" w:color="auto"/>
                      </w:divBdr>
                      <w:divsChild>
                        <w:div w:id="191579234">
                          <w:marLeft w:val="0"/>
                          <w:marRight w:val="0"/>
                          <w:marTop w:val="0"/>
                          <w:marBottom w:val="0"/>
                          <w:divBdr>
                            <w:top w:val="none" w:sz="0" w:space="0" w:color="auto"/>
                            <w:left w:val="none" w:sz="0" w:space="0" w:color="auto"/>
                            <w:bottom w:val="none" w:sz="0" w:space="0" w:color="auto"/>
                            <w:right w:val="none" w:sz="0" w:space="0" w:color="auto"/>
                          </w:divBdr>
                        </w:div>
                      </w:divsChild>
                    </w:div>
                    <w:div w:id="2057076629">
                      <w:marLeft w:val="0"/>
                      <w:marRight w:val="0"/>
                      <w:marTop w:val="0"/>
                      <w:marBottom w:val="0"/>
                      <w:divBdr>
                        <w:top w:val="none" w:sz="0" w:space="0" w:color="auto"/>
                        <w:left w:val="none" w:sz="0" w:space="0" w:color="auto"/>
                        <w:bottom w:val="none" w:sz="0" w:space="0" w:color="auto"/>
                        <w:right w:val="none" w:sz="0" w:space="0" w:color="auto"/>
                      </w:divBdr>
                      <w:divsChild>
                        <w:div w:id="1862434261">
                          <w:marLeft w:val="0"/>
                          <w:marRight w:val="0"/>
                          <w:marTop w:val="0"/>
                          <w:marBottom w:val="0"/>
                          <w:divBdr>
                            <w:top w:val="none" w:sz="0" w:space="0" w:color="auto"/>
                            <w:left w:val="none" w:sz="0" w:space="0" w:color="auto"/>
                            <w:bottom w:val="none" w:sz="0" w:space="0" w:color="auto"/>
                            <w:right w:val="none" w:sz="0" w:space="0" w:color="auto"/>
                          </w:divBdr>
                        </w:div>
                      </w:divsChild>
                    </w:div>
                    <w:div w:id="2059671295">
                      <w:marLeft w:val="0"/>
                      <w:marRight w:val="0"/>
                      <w:marTop w:val="0"/>
                      <w:marBottom w:val="0"/>
                      <w:divBdr>
                        <w:top w:val="none" w:sz="0" w:space="0" w:color="auto"/>
                        <w:left w:val="none" w:sz="0" w:space="0" w:color="auto"/>
                        <w:bottom w:val="none" w:sz="0" w:space="0" w:color="auto"/>
                        <w:right w:val="none" w:sz="0" w:space="0" w:color="auto"/>
                      </w:divBdr>
                      <w:divsChild>
                        <w:div w:id="15424635">
                          <w:marLeft w:val="0"/>
                          <w:marRight w:val="0"/>
                          <w:marTop w:val="0"/>
                          <w:marBottom w:val="0"/>
                          <w:divBdr>
                            <w:top w:val="none" w:sz="0" w:space="0" w:color="auto"/>
                            <w:left w:val="none" w:sz="0" w:space="0" w:color="auto"/>
                            <w:bottom w:val="none" w:sz="0" w:space="0" w:color="auto"/>
                            <w:right w:val="none" w:sz="0" w:space="0" w:color="auto"/>
                          </w:divBdr>
                        </w:div>
                      </w:divsChild>
                    </w:div>
                    <w:div w:id="2084528719">
                      <w:marLeft w:val="0"/>
                      <w:marRight w:val="0"/>
                      <w:marTop w:val="0"/>
                      <w:marBottom w:val="0"/>
                      <w:divBdr>
                        <w:top w:val="none" w:sz="0" w:space="0" w:color="auto"/>
                        <w:left w:val="none" w:sz="0" w:space="0" w:color="auto"/>
                        <w:bottom w:val="none" w:sz="0" w:space="0" w:color="auto"/>
                        <w:right w:val="none" w:sz="0" w:space="0" w:color="auto"/>
                      </w:divBdr>
                      <w:divsChild>
                        <w:div w:id="1229919794">
                          <w:marLeft w:val="0"/>
                          <w:marRight w:val="0"/>
                          <w:marTop w:val="0"/>
                          <w:marBottom w:val="0"/>
                          <w:divBdr>
                            <w:top w:val="none" w:sz="0" w:space="0" w:color="auto"/>
                            <w:left w:val="none" w:sz="0" w:space="0" w:color="auto"/>
                            <w:bottom w:val="none" w:sz="0" w:space="0" w:color="auto"/>
                            <w:right w:val="none" w:sz="0" w:space="0" w:color="auto"/>
                          </w:divBdr>
                        </w:div>
                      </w:divsChild>
                    </w:div>
                    <w:div w:id="2098862342">
                      <w:marLeft w:val="0"/>
                      <w:marRight w:val="0"/>
                      <w:marTop w:val="0"/>
                      <w:marBottom w:val="0"/>
                      <w:divBdr>
                        <w:top w:val="none" w:sz="0" w:space="0" w:color="auto"/>
                        <w:left w:val="none" w:sz="0" w:space="0" w:color="auto"/>
                        <w:bottom w:val="none" w:sz="0" w:space="0" w:color="auto"/>
                        <w:right w:val="none" w:sz="0" w:space="0" w:color="auto"/>
                      </w:divBdr>
                      <w:divsChild>
                        <w:div w:id="1309747646">
                          <w:marLeft w:val="0"/>
                          <w:marRight w:val="0"/>
                          <w:marTop w:val="0"/>
                          <w:marBottom w:val="0"/>
                          <w:divBdr>
                            <w:top w:val="none" w:sz="0" w:space="0" w:color="auto"/>
                            <w:left w:val="none" w:sz="0" w:space="0" w:color="auto"/>
                            <w:bottom w:val="none" w:sz="0" w:space="0" w:color="auto"/>
                            <w:right w:val="none" w:sz="0" w:space="0" w:color="auto"/>
                          </w:divBdr>
                        </w:div>
                      </w:divsChild>
                    </w:div>
                    <w:div w:id="2100251346">
                      <w:marLeft w:val="0"/>
                      <w:marRight w:val="0"/>
                      <w:marTop w:val="0"/>
                      <w:marBottom w:val="0"/>
                      <w:divBdr>
                        <w:top w:val="none" w:sz="0" w:space="0" w:color="auto"/>
                        <w:left w:val="none" w:sz="0" w:space="0" w:color="auto"/>
                        <w:bottom w:val="none" w:sz="0" w:space="0" w:color="auto"/>
                        <w:right w:val="none" w:sz="0" w:space="0" w:color="auto"/>
                      </w:divBdr>
                      <w:divsChild>
                        <w:div w:id="1308436753">
                          <w:marLeft w:val="0"/>
                          <w:marRight w:val="0"/>
                          <w:marTop w:val="0"/>
                          <w:marBottom w:val="0"/>
                          <w:divBdr>
                            <w:top w:val="none" w:sz="0" w:space="0" w:color="auto"/>
                            <w:left w:val="none" w:sz="0" w:space="0" w:color="auto"/>
                            <w:bottom w:val="none" w:sz="0" w:space="0" w:color="auto"/>
                            <w:right w:val="none" w:sz="0" w:space="0" w:color="auto"/>
                          </w:divBdr>
                        </w:div>
                      </w:divsChild>
                    </w:div>
                    <w:div w:id="2133161280">
                      <w:marLeft w:val="0"/>
                      <w:marRight w:val="0"/>
                      <w:marTop w:val="0"/>
                      <w:marBottom w:val="0"/>
                      <w:divBdr>
                        <w:top w:val="none" w:sz="0" w:space="0" w:color="auto"/>
                        <w:left w:val="none" w:sz="0" w:space="0" w:color="auto"/>
                        <w:bottom w:val="none" w:sz="0" w:space="0" w:color="auto"/>
                        <w:right w:val="none" w:sz="0" w:space="0" w:color="auto"/>
                      </w:divBdr>
                      <w:divsChild>
                        <w:div w:id="338583956">
                          <w:marLeft w:val="0"/>
                          <w:marRight w:val="0"/>
                          <w:marTop w:val="0"/>
                          <w:marBottom w:val="0"/>
                          <w:divBdr>
                            <w:top w:val="none" w:sz="0" w:space="0" w:color="auto"/>
                            <w:left w:val="none" w:sz="0" w:space="0" w:color="auto"/>
                            <w:bottom w:val="none" w:sz="0" w:space="0" w:color="auto"/>
                            <w:right w:val="none" w:sz="0" w:space="0" w:color="auto"/>
                          </w:divBdr>
                        </w:div>
                      </w:divsChild>
                    </w:div>
                    <w:div w:id="2140343063">
                      <w:marLeft w:val="0"/>
                      <w:marRight w:val="0"/>
                      <w:marTop w:val="0"/>
                      <w:marBottom w:val="0"/>
                      <w:divBdr>
                        <w:top w:val="none" w:sz="0" w:space="0" w:color="auto"/>
                        <w:left w:val="none" w:sz="0" w:space="0" w:color="auto"/>
                        <w:bottom w:val="none" w:sz="0" w:space="0" w:color="auto"/>
                        <w:right w:val="none" w:sz="0" w:space="0" w:color="auto"/>
                      </w:divBdr>
                      <w:divsChild>
                        <w:div w:id="2129158000">
                          <w:marLeft w:val="0"/>
                          <w:marRight w:val="0"/>
                          <w:marTop w:val="0"/>
                          <w:marBottom w:val="0"/>
                          <w:divBdr>
                            <w:top w:val="none" w:sz="0" w:space="0" w:color="auto"/>
                            <w:left w:val="none" w:sz="0" w:space="0" w:color="auto"/>
                            <w:bottom w:val="none" w:sz="0" w:space="0" w:color="auto"/>
                            <w:right w:val="none" w:sz="0" w:space="0" w:color="auto"/>
                          </w:divBdr>
                        </w:div>
                      </w:divsChild>
                    </w:div>
                    <w:div w:id="2144081279">
                      <w:marLeft w:val="0"/>
                      <w:marRight w:val="0"/>
                      <w:marTop w:val="0"/>
                      <w:marBottom w:val="0"/>
                      <w:divBdr>
                        <w:top w:val="none" w:sz="0" w:space="0" w:color="auto"/>
                        <w:left w:val="none" w:sz="0" w:space="0" w:color="auto"/>
                        <w:bottom w:val="none" w:sz="0" w:space="0" w:color="auto"/>
                        <w:right w:val="none" w:sz="0" w:space="0" w:color="auto"/>
                      </w:divBdr>
                      <w:divsChild>
                        <w:div w:id="120351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997297">
      <w:bodyDiv w:val="1"/>
      <w:marLeft w:val="0"/>
      <w:marRight w:val="0"/>
      <w:marTop w:val="0"/>
      <w:marBottom w:val="0"/>
      <w:divBdr>
        <w:top w:val="none" w:sz="0" w:space="0" w:color="auto"/>
        <w:left w:val="none" w:sz="0" w:space="0" w:color="auto"/>
        <w:bottom w:val="none" w:sz="0" w:space="0" w:color="auto"/>
        <w:right w:val="none" w:sz="0" w:space="0" w:color="auto"/>
      </w:divBdr>
    </w:div>
    <w:div w:id="1643652247">
      <w:bodyDiv w:val="1"/>
      <w:marLeft w:val="0"/>
      <w:marRight w:val="0"/>
      <w:marTop w:val="0"/>
      <w:marBottom w:val="0"/>
      <w:divBdr>
        <w:top w:val="none" w:sz="0" w:space="0" w:color="auto"/>
        <w:left w:val="none" w:sz="0" w:space="0" w:color="auto"/>
        <w:bottom w:val="none" w:sz="0" w:space="0" w:color="auto"/>
        <w:right w:val="none" w:sz="0" w:space="0" w:color="auto"/>
      </w:divBdr>
      <w:divsChild>
        <w:div w:id="1411535143">
          <w:marLeft w:val="0"/>
          <w:marRight w:val="0"/>
          <w:marTop w:val="0"/>
          <w:marBottom w:val="0"/>
          <w:divBdr>
            <w:top w:val="none" w:sz="0" w:space="0" w:color="auto"/>
            <w:left w:val="none" w:sz="0" w:space="0" w:color="auto"/>
            <w:bottom w:val="none" w:sz="0" w:space="0" w:color="auto"/>
            <w:right w:val="none" w:sz="0" w:space="0" w:color="auto"/>
          </w:divBdr>
        </w:div>
      </w:divsChild>
    </w:div>
    <w:div w:id="1753044778">
      <w:bodyDiv w:val="1"/>
      <w:marLeft w:val="0"/>
      <w:marRight w:val="0"/>
      <w:marTop w:val="0"/>
      <w:marBottom w:val="0"/>
      <w:divBdr>
        <w:top w:val="none" w:sz="0" w:space="0" w:color="auto"/>
        <w:left w:val="none" w:sz="0" w:space="0" w:color="auto"/>
        <w:bottom w:val="none" w:sz="0" w:space="0" w:color="auto"/>
        <w:right w:val="none" w:sz="0" w:space="0" w:color="auto"/>
      </w:divBdr>
    </w:div>
    <w:div w:id="1821579464">
      <w:bodyDiv w:val="1"/>
      <w:marLeft w:val="0"/>
      <w:marRight w:val="0"/>
      <w:marTop w:val="0"/>
      <w:marBottom w:val="0"/>
      <w:divBdr>
        <w:top w:val="none" w:sz="0" w:space="0" w:color="auto"/>
        <w:left w:val="none" w:sz="0" w:space="0" w:color="auto"/>
        <w:bottom w:val="none" w:sz="0" w:space="0" w:color="auto"/>
        <w:right w:val="none" w:sz="0" w:space="0" w:color="auto"/>
      </w:divBdr>
    </w:div>
    <w:div w:id="1856335156">
      <w:bodyDiv w:val="1"/>
      <w:marLeft w:val="0"/>
      <w:marRight w:val="0"/>
      <w:marTop w:val="0"/>
      <w:marBottom w:val="0"/>
      <w:divBdr>
        <w:top w:val="none" w:sz="0" w:space="0" w:color="auto"/>
        <w:left w:val="none" w:sz="0" w:space="0" w:color="auto"/>
        <w:bottom w:val="none" w:sz="0" w:space="0" w:color="auto"/>
        <w:right w:val="none" w:sz="0" w:space="0" w:color="auto"/>
      </w:divBdr>
    </w:div>
    <w:div w:id="2025326040">
      <w:bodyDiv w:val="1"/>
      <w:marLeft w:val="0"/>
      <w:marRight w:val="0"/>
      <w:marTop w:val="0"/>
      <w:marBottom w:val="0"/>
      <w:divBdr>
        <w:top w:val="none" w:sz="0" w:space="0" w:color="auto"/>
        <w:left w:val="none" w:sz="0" w:space="0" w:color="auto"/>
        <w:bottom w:val="none" w:sz="0" w:space="0" w:color="auto"/>
        <w:right w:val="none" w:sz="0" w:space="0" w:color="auto"/>
      </w:divBdr>
      <w:divsChild>
        <w:div w:id="256446395">
          <w:marLeft w:val="0"/>
          <w:marRight w:val="0"/>
          <w:marTop w:val="0"/>
          <w:marBottom w:val="0"/>
          <w:divBdr>
            <w:top w:val="none" w:sz="0" w:space="0" w:color="auto"/>
            <w:left w:val="none" w:sz="0" w:space="0" w:color="auto"/>
            <w:bottom w:val="none" w:sz="0" w:space="0" w:color="auto"/>
            <w:right w:val="none" w:sz="0" w:space="0" w:color="auto"/>
          </w:divBdr>
        </w:div>
      </w:divsChild>
    </w:div>
    <w:div w:id="2062944898">
      <w:bodyDiv w:val="1"/>
      <w:marLeft w:val="0"/>
      <w:marRight w:val="0"/>
      <w:marTop w:val="0"/>
      <w:marBottom w:val="0"/>
      <w:divBdr>
        <w:top w:val="none" w:sz="0" w:space="0" w:color="auto"/>
        <w:left w:val="none" w:sz="0" w:space="0" w:color="auto"/>
        <w:bottom w:val="none" w:sz="0" w:space="0" w:color="auto"/>
        <w:right w:val="none" w:sz="0" w:space="0" w:color="auto"/>
      </w:divBdr>
    </w:div>
    <w:div w:id="2123451290">
      <w:bodyDiv w:val="1"/>
      <w:marLeft w:val="0"/>
      <w:marRight w:val="0"/>
      <w:marTop w:val="0"/>
      <w:marBottom w:val="0"/>
      <w:divBdr>
        <w:top w:val="none" w:sz="0" w:space="0" w:color="auto"/>
        <w:left w:val="none" w:sz="0" w:space="0" w:color="auto"/>
        <w:bottom w:val="none" w:sz="0" w:space="0" w:color="auto"/>
        <w:right w:val="none" w:sz="0" w:space="0" w:color="auto"/>
      </w:divBdr>
      <w:divsChild>
        <w:div w:id="402025009">
          <w:marLeft w:val="0"/>
          <w:marRight w:val="0"/>
          <w:marTop w:val="0"/>
          <w:marBottom w:val="0"/>
          <w:divBdr>
            <w:top w:val="none" w:sz="0" w:space="0" w:color="auto"/>
            <w:left w:val="none" w:sz="0" w:space="0" w:color="auto"/>
            <w:bottom w:val="none" w:sz="0" w:space="0" w:color="auto"/>
            <w:right w:val="none" w:sz="0" w:space="0" w:color="auto"/>
          </w:divBdr>
          <w:divsChild>
            <w:div w:id="1861624531">
              <w:marLeft w:val="0"/>
              <w:marRight w:val="0"/>
              <w:marTop w:val="0"/>
              <w:marBottom w:val="0"/>
              <w:divBdr>
                <w:top w:val="none" w:sz="0" w:space="0" w:color="auto"/>
                <w:left w:val="none" w:sz="0" w:space="0" w:color="auto"/>
                <w:bottom w:val="none" w:sz="0" w:space="0" w:color="auto"/>
                <w:right w:val="none" w:sz="0" w:space="0" w:color="auto"/>
              </w:divBdr>
              <w:divsChild>
                <w:div w:id="223764293">
                  <w:marLeft w:val="0"/>
                  <w:marRight w:val="0"/>
                  <w:marTop w:val="0"/>
                  <w:marBottom w:val="0"/>
                  <w:divBdr>
                    <w:top w:val="none" w:sz="0" w:space="0" w:color="auto"/>
                    <w:left w:val="none" w:sz="0" w:space="0" w:color="auto"/>
                    <w:bottom w:val="none" w:sz="0" w:space="0" w:color="auto"/>
                    <w:right w:val="none" w:sz="0" w:space="0" w:color="auto"/>
                  </w:divBdr>
                  <w:divsChild>
                    <w:div w:id="862930">
                      <w:marLeft w:val="0"/>
                      <w:marRight w:val="0"/>
                      <w:marTop w:val="0"/>
                      <w:marBottom w:val="0"/>
                      <w:divBdr>
                        <w:top w:val="none" w:sz="0" w:space="0" w:color="auto"/>
                        <w:left w:val="none" w:sz="0" w:space="0" w:color="auto"/>
                        <w:bottom w:val="none" w:sz="0" w:space="0" w:color="auto"/>
                        <w:right w:val="none" w:sz="0" w:space="0" w:color="auto"/>
                      </w:divBdr>
                      <w:divsChild>
                        <w:div w:id="1047997063">
                          <w:marLeft w:val="0"/>
                          <w:marRight w:val="0"/>
                          <w:marTop w:val="0"/>
                          <w:marBottom w:val="0"/>
                          <w:divBdr>
                            <w:top w:val="none" w:sz="0" w:space="0" w:color="auto"/>
                            <w:left w:val="none" w:sz="0" w:space="0" w:color="auto"/>
                            <w:bottom w:val="none" w:sz="0" w:space="0" w:color="auto"/>
                            <w:right w:val="none" w:sz="0" w:space="0" w:color="auto"/>
                          </w:divBdr>
                        </w:div>
                      </w:divsChild>
                    </w:div>
                    <w:div w:id="10107173">
                      <w:marLeft w:val="0"/>
                      <w:marRight w:val="0"/>
                      <w:marTop w:val="0"/>
                      <w:marBottom w:val="0"/>
                      <w:divBdr>
                        <w:top w:val="none" w:sz="0" w:space="0" w:color="auto"/>
                        <w:left w:val="none" w:sz="0" w:space="0" w:color="auto"/>
                        <w:bottom w:val="none" w:sz="0" w:space="0" w:color="auto"/>
                        <w:right w:val="none" w:sz="0" w:space="0" w:color="auto"/>
                      </w:divBdr>
                      <w:divsChild>
                        <w:div w:id="1346402769">
                          <w:marLeft w:val="0"/>
                          <w:marRight w:val="0"/>
                          <w:marTop w:val="0"/>
                          <w:marBottom w:val="0"/>
                          <w:divBdr>
                            <w:top w:val="none" w:sz="0" w:space="0" w:color="auto"/>
                            <w:left w:val="none" w:sz="0" w:space="0" w:color="auto"/>
                            <w:bottom w:val="none" w:sz="0" w:space="0" w:color="auto"/>
                            <w:right w:val="none" w:sz="0" w:space="0" w:color="auto"/>
                          </w:divBdr>
                        </w:div>
                      </w:divsChild>
                    </w:div>
                    <w:div w:id="13655628">
                      <w:marLeft w:val="0"/>
                      <w:marRight w:val="0"/>
                      <w:marTop w:val="0"/>
                      <w:marBottom w:val="0"/>
                      <w:divBdr>
                        <w:top w:val="none" w:sz="0" w:space="0" w:color="auto"/>
                        <w:left w:val="none" w:sz="0" w:space="0" w:color="auto"/>
                        <w:bottom w:val="none" w:sz="0" w:space="0" w:color="auto"/>
                        <w:right w:val="none" w:sz="0" w:space="0" w:color="auto"/>
                      </w:divBdr>
                      <w:divsChild>
                        <w:div w:id="190533624">
                          <w:marLeft w:val="0"/>
                          <w:marRight w:val="0"/>
                          <w:marTop w:val="0"/>
                          <w:marBottom w:val="0"/>
                          <w:divBdr>
                            <w:top w:val="none" w:sz="0" w:space="0" w:color="auto"/>
                            <w:left w:val="none" w:sz="0" w:space="0" w:color="auto"/>
                            <w:bottom w:val="none" w:sz="0" w:space="0" w:color="auto"/>
                            <w:right w:val="none" w:sz="0" w:space="0" w:color="auto"/>
                          </w:divBdr>
                        </w:div>
                      </w:divsChild>
                    </w:div>
                    <w:div w:id="15545469">
                      <w:marLeft w:val="0"/>
                      <w:marRight w:val="0"/>
                      <w:marTop w:val="0"/>
                      <w:marBottom w:val="0"/>
                      <w:divBdr>
                        <w:top w:val="none" w:sz="0" w:space="0" w:color="auto"/>
                        <w:left w:val="none" w:sz="0" w:space="0" w:color="auto"/>
                        <w:bottom w:val="none" w:sz="0" w:space="0" w:color="auto"/>
                        <w:right w:val="none" w:sz="0" w:space="0" w:color="auto"/>
                      </w:divBdr>
                      <w:divsChild>
                        <w:div w:id="1401368232">
                          <w:marLeft w:val="0"/>
                          <w:marRight w:val="0"/>
                          <w:marTop w:val="0"/>
                          <w:marBottom w:val="0"/>
                          <w:divBdr>
                            <w:top w:val="none" w:sz="0" w:space="0" w:color="auto"/>
                            <w:left w:val="none" w:sz="0" w:space="0" w:color="auto"/>
                            <w:bottom w:val="none" w:sz="0" w:space="0" w:color="auto"/>
                            <w:right w:val="none" w:sz="0" w:space="0" w:color="auto"/>
                          </w:divBdr>
                        </w:div>
                      </w:divsChild>
                    </w:div>
                    <w:div w:id="16321788">
                      <w:marLeft w:val="0"/>
                      <w:marRight w:val="0"/>
                      <w:marTop w:val="0"/>
                      <w:marBottom w:val="0"/>
                      <w:divBdr>
                        <w:top w:val="none" w:sz="0" w:space="0" w:color="auto"/>
                        <w:left w:val="none" w:sz="0" w:space="0" w:color="auto"/>
                        <w:bottom w:val="none" w:sz="0" w:space="0" w:color="auto"/>
                        <w:right w:val="none" w:sz="0" w:space="0" w:color="auto"/>
                      </w:divBdr>
                      <w:divsChild>
                        <w:div w:id="220795138">
                          <w:marLeft w:val="0"/>
                          <w:marRight w:val="0"/>
                          <w:marTop w:val="0"/>
                          <w:marBottom w:val="0"/>
                          <w:divBdr>
                            <w:top w:val="none" w:sz="0" w:space="0" w:color="auto"/>
                            <w:left w:val="none" w:sz="0" w:space="0" w:color="auto"/>
                            <w:bottom w:val="none" w:sz="0" w:space="0" w:color="auto"/>
                            <w:right w:val="none" w:sz="0" w:space="0" w:color="auto"/>
                          </w:divBdr>
                        </w:div>
                      </w:divsChild>
                    </w:div>
                    <w:div w:id="20596264">
                      <w:marLeft w:val="0"/>
                      <w:marRight w:val="0"/>
                      <w:marTop w:val="0"/>
                      <w:marBottom w:val="0"/>
                      <w:divBdr>
                        <w:top w:val="none" w:sz="0" w:space="0" w:color="auto"/>
                        <w:left w:val="none" w:sz="0" w:space="0" w:color="auto"/>
                        <w:bottom w:val="none" w:sz="0" w:space="0" w:color="auto"/>
                        <w:right w:val="none" w:sz="0" w:space="0" w:color="auto"/>
                      </w:divBdr>
                      <w:divsChild>
                        <w:div w:id="243076460">
                          <w:marLeft w:val="0"/>
                          <w:marRight w:val="0"/>
                          <w:marTop w:val="0"/>
                          <w:marBottom w:val="0"/>
                          <w:divBdr>
                            <w:top w:val="none" w:sz="0" w:space="0" w:color="auto"/>
                            <w:left w:val="none" w:sz="0" w:space="0" w:color="auto"/>
                            <w:bottom w:val="none" w:sz="0" w:space="0" w:color="auto"/>
                            <w:right w:val="none" w:sz="0" w:space="0" w:color="auto"/>
                          </w:divBdr>
                        </w:div>
                      </w:divsChild>
                    </w:div>
                    <w:div w:id="29190203">
                      <w:marLeft w:val="0"/>
                      <w:marRight w:val="0"/>
                      <w:marTop w:val="0"/>
                      <w:marBottom w:val="0"/>
                      <w:divBdr>
                        <w:top w:val="none" w:sz="0" w:space="0" w:color="auto"/>
                        <w:left w:val="none" w:sz="0" w:space="0" w:color="auto"/>
                        <w:bottom w:val="none" w:sz="0" w:space="0" w:color="auto"/>
                        <w:right w:val="none" w:sz="0" w:space="0" w:color="auto"/>
                      </w:divBdr>
                      <w:divsChild>
                        <w:div w:id="369762920">
                          <w:marLeft w:val="0"/>
                          <w:marRight w:val="0"/>
                          <w:marTop w:val="0"/>
                          <w:marBottom w:val="0"/>
                          <w:divBdr>
                            <w:top w:val="none" w:sz="0" w:space="0" w:color="auto"/>
                            <w:left w:val="none" w:sz="0" w:space="0" w:color="auto"/>
                            <w:bottom w:val="none" w:sz="0" w:space="0" w:color="auto"/>
                            <w:right w:val="none" w:sz="0" w:space="0" w:color="auto"/>
                          </w:divBdr>
                        </w:div>
                      </w:divsChild>
                    </w:div>
                    <w:div w:id="37435087">
                      <w:marLeft w:val="0"/>
                      <w:marRight w:val="0"/>
                      <w:marTop w:val="0"/>
                      <w:marBottom w:val="0"/>
                      <w:divBdr>
                        <w:top w:val="none" w:sz="0" w:space="0" w:color="auto"/>
                        <w:left w:val="none" w:sz="0" w:space="0" w:color="auto"/>
                        <w:bottom w:val="none" w:sz="0" w:space="0" w:color="auto"/>
                        <w:right w:val="none" w:sz="0" w:space="0" w:color="auto"/>
                      </w:divBdr>
                      <w:divsChild>
                        <w:div w:id="1758599780">
                          <w:marLeft w:val="0"/>
                          <w:marRight w:val="0"/>
                          <w:marTop w:val="0"/>
                          <w:marBottom w:val="0"/>
                          <w:divBdr>
                            <w:top w:val="none" w:sz="0" w:space="0" w:color="auto"/>
                            <w:left w:val="none" w:sz="0" w:space="0" w:color="auto"/>
                            <w:bottom w:val="none" w:sz="0" w:space="0" w:color="auto"/>
                            <w:right w:val="none" w:sz="0" w:space="0" w:color="auto"/>
                          </w:divBdr>
                        </w:div>
                      </w:divsChild>
                    </w:div>
                    <w:div w:id="40057155">
                      <w:marLeft w:val="0"/>
                      <w:marRight w:val="0"/>
                      <w:marTop w:val="0"/>
                      <w:marBottom w:val="0"/>
                      <w:divBdr>
                        <w:top w:val="none" w:sz="0" w:space="0" w:color="auto"/>
                        <w:left w:val="none" w:sz="0" w:space="0" w:color="auto"/>
                        <w:bottom w:val="none" w:sz="0" w:space="0" w:color="auto"/>
                        <w:right w:val="none" w:sz="0" w:space="0" w:color="auto"/>
                      </w:divBdr>
                      <w:divsChild>
                        <w:div w:id="712265250">
                          <w:marLeft w:val="0"/>
                          <w:marRight w:val="0"/>
                          <w:marTop w:val="0"/>
                          <w:marBottom w:val="0"/>
                          <w:divBdr>
                            <w:top w:val="none" w:sz="0" w:space="0" w:color="auto"/>
                            <w:left w:val="none" w:sz="0" w:space="0" w:color="auto"/>
                            <w:bottom w:val="none" w:sz="0" w:space="0" w:color="auto"/>
                            <w:right w:val="none" w:sz="0" w:space="0" w:color="auto"/>
                          </w:divBdr>
                        </w:div>
                      </w:divsChild>
                    </w:div>
                    <w:div w:id="42870286">
                      <w:marLeft w:val="0"/>
                      <w:marRight w:val="0"/>
                      <w:marTop w:val="0"/>
                      <w:marBottom w:val="0"/>
                      <w:divBdr>
                        <w:top w:val="none" w:sz="0" w:space="0" w:color="auto"/>
                        <w:left w:val="none" w:sz="0" w:space="0" w:color="auto"/>
                        <w:bottom w:val="none" w:sz="0" w:space="0" w:color="auto"/>
                        <w:right w:val="none" w:sz="0" w:space="0" w:color="auto"/>
                      </w:divBdr>
                      <w:divsChild>
                        <w:div w:id="1986353872">
                          <w:marLeft w:val="0"/>
                          <w:marRight w:val="0"/>
                          <w:marTop w:val="0"/>
                          <w:marBottom w:val="0"/>
                          <w:divBdr>
                            <w:top w:val="none" w:sz="0" w:space="0" w:color="auto"/>
                            <w:left w:val="none" w:sz="0" w:space="0" w:color="auto"/>
                            <w:bottom w:val="none" w:sz="0" w:space="0" w:color="auto"/>
                            <w:right w:val="none" w:sz="0" w:space="0" w:color="auto"/>
                          </w:divBdr>
                        </w:div>
                      </w:divsChild>
                    </w:div>
                    <w:div w:id="50814418">
                      <w:marLeft w:val="0"/>
                      <w:marRight w:val="0"/>
                      <w:marTop w:val="0"/>
                      <w:marBottom w:val="0"/>
                      <w:divBdr>
                        <w:top w:val="none" w:sz="0" w:space="0" w:color="auto"/>
                        <w:left w:val="none" w:sz="0" w:space="0" w:color="auto"/>
                        <w:bottom w:val="none" w:sz="0" w:space="0" w:color="auto"/>
                        <w:right w:val="none" w:sz="0" w:space="0" w:color="auto"/>
                      </w:divBdr>
                      <w:divsChild>
                        <w:div w:id="681931968">
                          <w:marLeft w:val="0"/>
                          <w:marRight w:val="0"/>
                          <w:marTop w:val="0"/>
                          <w:marBottom w:val="0"/>
                          <w:divBdr>
                            <w:top w:val="none" w:sz="0" w:space="0" w:color="auto"/>
                            <w:left w:val="none" w:sz="0" w:space="0" w:color="auto"/>
                            <w:bottom w:val="none" w:sz="0" w:space="0" w:color="auto"/>
                            <w:right w:val="none" w:sz="0" w:space="0" w:color="auto"/>
                          </w:divBdr>
                        </w:div>
                      </w:divsChild>
                    </w:div>
                    <w:div w:id="52045694">
                      <w:marLeft w:val="0"/>
                      <w:marRight w:val="0"/>
                      <w:marTop w:val="0"/>
                      <w:marBottom w:val="0"/>
                      <w:divBdr>
                        <w:top w:val="none" w:sz="0" w:space="0" w:color="auto"/>
                        <w:left w:val="none" w:sz="0" w:space="0" w:color="auto"/>
                        <w:bottom w:val="none" w:sz="0" w:space="0" w:color="auto"/>
                        <w:right w:val="none" w:sz="0" w:space="0" w:color="auto"/>
                      </w:divBdr>
                      <w:divsChild>
                        <w:div w:id="531920207">
                          <w:marLeft w:val="0"/>
                          <w:marRight w:val="0"/>
                          <w:marTop w:val="0"/>
                          <w:marBottom w:val="0"/>
                          <w:divBdr>
                            <w:top w:val="none" w:sz="0" w:space="0" w:color="auto"/>
                            <w:left w:val="none" w:sz="0" w:space="0" w:color="auto"/>
                            <w:bottom w:val="none" w:sz="0" w:space="0" w:color="auto"/>
                            <w:right w:val="none" w:sz="0" w:space="0" w:color="auto"/>
                          </w:divBdr>
                        </w:div>
                      </w:divsChild>
                    </w:div>
                    <w:div w:id="57217866">
                      <w:marLeft w:val="0"/>
                      <w:marRight w:val="0"/>
                      <w:marTop w:val="0"/>
                      <w:marBottom w:val="0"/>
                      <w:divBdr>
                        <w:top w:val="none" w:sz="0" w:space="0" w:color="auto"/>
                        <w:left w:val="none" w:sz="0" w:space="0" w:color="auto"/>
                        <w:bottom w:val="none" w:sz="0" w:space="0" w:color="auto"/>
                        <w:right w:val="none" w:sz="0" w:space="0" w:color="auto"/>
                      </w:divBdr>
                      <w:divsChild>
                        <w:div w:id="1929926265">
                          <w:marLeft w:val="0"/>
                          <w:marRight w:val="0"/>
                          <w:marTop w:val="0"/>
                          <w:marBottom w:val="0"/>
                          <w:divBdr>
                            <w:top w:val="none" w:sz="0" w:space="0" w:color="auto"/>
                            <w:left w:val="none" w:sz="0" w:space="0" w:color="auto"/>
                            <w:bottom w:val="none" w:sz="0" w:space="0" w:color="auto"/>
                            <w:right w:val="none" w:sz="0" w:space="0" w:color="auto"/>
                          </w:divBdr>
                        </w:div>
                      </w:divsChild>
                    </w:div>
                    <w:div w:id="64422650">
                      <w:marLeft w:val="0"/>
                      <w:marRight w:val="0"/>
                      <w:marTop w:val="0"/>
                      <w:marBottom w:val="0"/>
                      <w:divBdr>
                        <w:top w:val="none" w:sz="0" w:space="0" w:color="auto"/>
                        <w:left w:val="none" w:sz="0" w:space="0" w:color="auto"/>
                        <w:bottom w:val="none" w:sz="0" w:space="0" w:color="auto"/>
                        <w:right w:val="none" w:sz="0" w:space="0" w:color="auto"/>
                      </w:divBdr>
                      <w:divsChild>
                        <w:div w:id="1157920586">
                          <w:marLeft w:val="0"/>
                          <w:marRight w:val="0"/>
                          <w:marTop w:val="0"/>
                          <w:marBottom w:val="0"/>
                          <w:divBdr>
                            <w:top w:val="none" w:sz="0" w:space="0" w:color="auto"/>
                            <w:left w:val="none" w:sz="0" w:space="0" w:color="auto"/>
                            <w:bottom w:val="none" w:sz="0" w:space="0" w:color="auto"/>
                            <w:right w:val="none" w:sz="0" w:space="0" w:color="auto"/>
                          </w:divBdr>
                        </w:div>
                      </w:divsChild>
                    </w:div>
                    <w:div w:id="69236741">
                      <w:marLeft w:val="0"/>
                      <w:marRight w:val="0"/>
                      <w:marTop w:val="0"/>
                      <w:marBottom w:val="0"/>
                      <w:divBdr>
                        <w:top w:val="none" w:sz="0" w:space="0" w:color="auto"/>
                        <w:left w:val="none" w:sz="0" w:space="0" w:color="auto"/>
                        <w:bottom w:val="none" w:sz="0" w:space="0" w:color="auto"/>
                        <w:right w:val="none" w:sz="0" w:space="0" w:color="auto"/>
                      </w:divBdr>
                      <w:divsChild>
                        <w:div w:id="1061945844">
                          <w:marLeft w:val="0"/>
                          <w:marRight w:val="0"/>
                          <w:marTop w:val="0"/>
                          <w:marBottom w:val="0"/>
                          <w:divBdr>
                            <w:top w:val="none" w:sz="0" w:space="0" w:color="auto"/>
                            <w:left w:val="none" w:sz="0" w:space="0" w:color="auto"/>
                            <w:bottom w:val="none" w:sz="0" w:space="0" w:color="auto"/>
                            <w:right w:val="none" w:sz="0" w:space="0" w:color="auto"/>
                          </w:divBdr>
                        </w:div>
                      </w:divsChild>
                    </w:div>
                    <w:div w:id="76178156">
                      <w:marLeft w:val="0"/>
                      <w:marRight w:val="0"/>
                      <w:marTop w:val="0"/>
                      <w:marBottom w:val="0"/>
                      <w:divBdr>
                        <w:top w:val="none" w:sz="0" w:space="0" w:color="auto"/>
                        <w:left w:val="none" w:sz="0" w:space="0" w:color="auto"/>
                        <w:bottom w:val="none" w:sz="0" w:space="0" w:color="auto"/>
                        <w:right w:val="none" w:sz="0" w:space="0" w:color="auto"/>
                      </w:divBdr>
                      <w:divsChild>
                        <w:div w:id="2133356599">
                          <w:marLeft w:val="0"/>
                          <w:marRight w:val="0"/>
                          <w:marTop w:val="0"/>
                          <w:marBottom w:val="0"/>
                          <w:divBdr>
                            <w:top w:val="none" w:sz="0" w:space="0" w:color="auto"/>
                            <w:left w:val="none" w:sz="0" w:space="0" w:color="auto"/>
                            <w:bottom w:val="none" w:sz="0" w:space="0" w:color="auto"/>
                            <w:right w:val="none" w:sz="0" w:space="0" w:color="auto"/>
                          </w:divBdr>
                        </w:div>
                      </w:divsChild>
                    </w:div>
                    <w:div w:id="91359360">
                      <w:marLeft w:val="0"/>
                      <w:marRight w:val="0"/>
                      <w:marTop w:val="0"/>
                      <w:marBottom w:val="0"/>
                      <w:divBdr>
                        <w:top w:val="none" w:sz="0" w:space="0" w:color="auto"/>
                        <w:left w:val="none" w:sz="0" w:space="0" w:color="auto"/>
                        <w:bottom w:val="none" w:sz="0" w:space="0" w:color="auto"/>
                        <w:right w:val="none" w:sz="0" w:space="0" w:color="auto"/>
                      </w:divBdr>
                      <w:divsChild>
                        <w:div w:id="72120856">
                          <w:marLeft w:val="0"/>
                          <w:marRight w:val="0"/>
                          <w:marTop w:val="0"/>
                          <w:marBottom w:val="0"/>
                          <w:divBdr>
                            <w:top w:val="none" w:sz="0" w:space="0" w:color="auto"/>
                            <w:left w:val="none" w:sz="0" w:space="0" w:color="auto"/>
                            <w:bottom w:val="none" w:sz="0" w:space="0" w:color="auto"/>
                            <w:right w:val="none" w:sz="0" w:space="0" w:color="auto"/>
                          </w:divBdr>
                        </w:div>
                      </w:divsChild>
                    </w:div>
                    <w:div w:id="94521652">
                      <w:marLeft w:val="0"/>
                      <w:marRight w:val="0"/>
                      <w:marTop w:val="0"/>
                      <w:marBottom w:val="0"/>
                      <w:divBdr>
                        <w:top w:val="none" w:sz="0" w:space="0" w:color="auto"/>
                        <w:left w:val="none" w:sz="0" w:space="0" w:color="auto"/>
                        <w:bottom w:val="none" w:sz="0" w:space="0" w:color="auto"/>
                        <w:right w:val="none" w:sz="0" w:space="0" w:color="auto"/>
                      </w:divBdr>
                      <w:divsChild>
                        <w:div w:id="287977175">
                          <w:marLeft w:val="0"/>
                          <w:marRight w:val="0"/>
                          <w:marTop w:val="0"/>
                          <w:marBottom w:val="0"/>
                          <w:divBdr>
                            <w:top w:val="none" w:sz="0" w:space="0" w:color="auto"/>
                            <w:left w:val="none" w:sz="0" w:space="0" w:color="auto"/>
                            <w:bottom w:val="none" w:sz="0" w:space="0" w:color="auto"/>
                            <w:right w:val="none" w:sz="0" w:space="0" w:color="auto"/>
                          </w:divBdr>
                        </w:div>
                      </w:divsChild>
                    </w:div>
                    <w:div w:id="100493843">
                      <w:marLeft w:val="0"/>
                      <w:marRight w:val="0"/>
                      <w:marTop w:val="0"/>
                      <w:marBottom w:val="0"/>
                      <w:divBdr>
                        <w:top w:val="none" w:sz="0" w:space="0" w:color="auto"/>
                        <w:left w:val="none" w:sz="0" w:space="0" w:color="auto"/>
                        <w:bottom w:val="none" w:sz="0" w:space="0" w:color="auto"/>
                        <w:right w:val="none" w:sz="0" w:space="0" w:color="auto"/>
                      </w:divBdr>
                      <w:divsChild>
                        <w:div w:id="120609361">
                          <w:marLeft w:val="0"/>
                          <w:marRight w:val="0"/>
                          <w:marTop w:val="0"/>
                          <w:marBottom w:val="0"/>
                          <w:divBdr>
                            <w:top w:val="none" w:sz="0" w:space="0" w:color="auto"/>
                            <w:left w:val="none" w:sz="0" w:space="0" w:color="auto"/>
                            <w:bottom w:val="none" w:sz="0" w:space="0" w:color="auto"/>
                            <w:right w:val="none" w:sz="0" w:space="0" w:color="auto"/>
                          </w:divBdr>
                        </w:div>
                      </w:divsChild>
                    </w:div>
                    <w:div w:id="105538266">
                      <w:marLeft w:val="0"/>
                      <w:marRight w:val="0"/>
                      <w:marTop w:val="0"/>
                      <w:marBottom w:val="0"/>
                      <w:divBdr>
                        <w:top w:val="none" w:sz="0" w:space="0" w:color="auto"/>
                        <w:left w:val="none" w:sz="0" w:space="0" w:color="auto"/>
                        <w:bottom w:val="none" w:sz="0" w:space="0" w:color="auto"/>
                        <w:right w:val="none" w:sz="0" w:space="0" w:color="auto"/>
                      </w:divBdr>
                      <w:divsChild>
                        <w:div w:id="1723865433">
                          <w:marLeft w:val="0"/>
                          <w:marRight w:val="0"/>
                          <w:marTop w:val="0"/>
                          <w:marBottom w:val="0"/>
                          <w:divBdr>
                            <w:top w:val="none" w:sz="0" w:space="0" w:color="auto"/>
                            <w:left w:val="none" w:sz="0" w:space="0" w:color="auto"/>
                            <w:bottom w:val="none" w:sz="0" w:space="0" w:color="auto"/>
                            <w:right w:val="none" w:sz="0" w:space="0" w:color="auto"/>
                          </w:divBdr>
                        </w:div>
                      </w:divsChild>
                    </w:div>
                    <w:div w:id="124398736">
                      <w:marLeft w:val="0"/>
                      <w:marRight w:val="0"/>
                      <w:marTop w:val="0"/>
                      <w:marBottom w:val="0"/>
                      <w:divBdr>
                        <w:top w:val="none" w:sz="0" w:space="0" w:color="auto"/>
                        <w:left w:val="none" w:sz="0" w:space="0" w:color="auto"/>
                        <w:bottom w:val="none" w:sz="0" w:space="0" w:color="auto"/>
                        <w:right w:val="none" w:sz="0" w:space="0" w:color="auto"/>
                      </w:divBdr>
                      <w:divsChild>
                        <w:div w:id="2102483514">
                          <w:marLeft w:val="0"/>
                          <w:marRight w:val="0"/>
                          <w:marTop w:val="0"/>
                          <w:marBottom w:val="0"/>
                          <w:divBdr>
                            <w:top w:val="none" w:sz="0" w:space="0" w:color="auto"/>
                            <w:left w:val="none" w:sz="0" w:space="0" w:color="auto"/>
                            <w:bottom w:val="none" w:sz="0" w:space="0" w:color="auto"/>
                            <w:right w:val="none" w:sz="0" w:space="0" w:color="auto"/>
                          </w:divBdr>
                        </w:div>
                      </w:divsChild>
                    </w:div>
                    <w:div w:id="125201873">
                      <w:marLeft w:val="0"/>
                      <w:marRight w:val="0"/>
                      <w:marTop w:val="0"/>
                      <w:marBottom w:val="0"/>
                      <w:divBdr>
                        <w:top w:val="none" w:sz="0" w:space="0" w:color="auto"/>
                        <w:left w:val="none" w:sz="0" w:space="0" w:color="auto"/>
                        <w:bottom w:val="none" w:sz="0" w:space="0" w:color="auto"/>
                        <w:right w:val="none" w:sz="0" w:space="0" w:color="auto"/>
                      </w:divBdr>
                      <w:divsChild>
                        <w:div w:id="302665350">
                          <w:marLeft w:val="0"/>
                          <w:marRight w:val="0"/>
                          <w:marTop w:val="0"/>
                          <w:marBottom w:val="0"/>
                          <w:divBdr>
                            <w:top w:val="none" w:sz="0" w:space="0" w:color="auto"/>
                            <w:left w:val="none" w:sz="0" w:space="0" w:color="auto"/>
                            <w:bottom w:val="none" w:sz="0" w:space="0" w:color="auto"/>
                            <w:right w:val="none" w:sz="0" w:space="0" w:color="auto"/>
                          </w:divBdr>
                        </w:div>
                      </w:divsChild>
                    </w:div>
                    <w:div w:id="131220760">
                      <w:marLeft w:val="0"/>
                      <w:marRight w:val="0"/>
                      <w:marTop w:val="0"/>
                      <w:marBottom w:val="0"/>
                      <w:divBdr>
                        <w:top w:val="none" w:sz="0" w:space="0" w:color="auto"/>
                        <w:left w:val="none" w:sz="0" w:space="0" w:color="auto"/>
                        <w:bottom w:val="none" w:sz="0" w:space="0" w:color="auto"/>
                        <w:right w:val="none" w:sz="0" w:space="0" w:color="auto"/>
                      </w:divBdr>
                      <w:divsChild>
                        <w:div w:id="796676876">
                          <w:marLeft w:val="0"/>
                          <w:marRight w:val="0"/>
                          <w:marTop w:val="0"/>
                          <w:marBottom w:val="0"/>
                          <w:divBdr>
                            <w:top w:val="none" w:sz="0" w:space="0" w:color="auto"/>
                            <w:left w:val="none" w:sz="0" w:space="0" w:color="auto"/>
                            <w:bottom w:val="none" w:sz="0" w:space="0" w:color="auto"/>
                            <w:right w:val="none" w:sz="0" w:space="0" w:color="auto"/>
                          </w:divBdr>
                        </w:div>
                      </w:divsChild>
                    </w:div>
                    <w:div w:id="133908945">
                      <w:marLeft w:val="0"/>
                      <w:marRight w:val="0"/>
                      <w:marTop w:val="0"/>
                      <w:marBottom w:val="0"/>
                      <w:divBdr>
                        <w:top w:val="none" w:sz="0" w:space="0" w:color="auto"/>
                        <w:left w:val="none" w:sz="0" w:space="0" w:color="auto"/>
                        <w:bottom w:val="none" w:sz="0" w:space="0" w:color="auto"/>
                        <w:right w:val="none" w:sz="0" w:space="0" w:color="auto"/>
                      </w:divBdr>
                      <w:divsChild>
                        <w:div w:id="2016229277">
                          <w:marLeft w:val="0"/>
                          <w:marRight w:val="0"/>
                          <w:marTop w:val="0"/>
                          <w:marBottom w:val="0"/>
                          <w:divBdr>
                            <w:top w:val="none" w:sz="0" w:space="0" w:color="auto"/>
                            <w:left w:val="none" w:sz="0" w:space="0" w:color="auto"/>
                            <w:bottom w:val="none" w:sz="0" w:space="0" w:color="auto"/>
                            <w:right w:val="none" w:sz="0" w:space="0" w:color="auto"/>
                          </w:divBdr>
                        </w:div>
                      </w:divsChild>
                    </w:div>
                    <w:div w:id="139004051">
                      <w:marLeft w:val="0"/>
                      <w:marRight w:val="0"/>
                      <w:marTop w:val="0"/>
                      <w:marBottom w:val="0"/>
                      <w:divBdr>
                        <w:top w:val="none" w:sz="0" w:space="0" w:color="auto"/>
                        <w:left w:val="none" w:sz="0" w:space="0" w:color="auto"/>
                        <w:bottom w:val="none" w:sz="0" w:space="0" w:color="auto"/>
                        <w:right w:val="none" w:sz="0" w:space="0" w:color="auto"/>
                      </w:divBdr>
                      <w:divsChild>
                        <w:div w:id="1693532165">
                          <w:marLeft w:val="0"/>
                          <w:marRight w:val="0"/>
                          <w:marTop w:val="0"/>
                          <w:marBottom w:val="0"/>
                          <w:divBdr>
                            <w:top w:val="none" w:sz="0" w:space="0" w:color="auto"/>
                            <w:left w:val="none" w:sz="0" w:space="0" w:color="auto"/>
                            <w:bottom w:val="none" w:sz="0" w:space="0" w:color="auto"/>
                            <w:right w:val="none" w:sz="0" w:space="0" w:color="auto"/>
                          </w:divBdr>
                        </w:div>
                      </w:divsChild>
                    </w:div>
                    <w:div w:id="144126785">
                      <w:marLeft w:val="0"/>
                      <w:marRight w:val="0"/>
                      <w:marTop w:val="0"/>
                      <w:marBottom w:val="0"/>
                      <w:divBdr>
                        <w:top w:val="none" w:sz="0" w:space="0" w:color="auto"/>
                        <w:left w:val="none" w:sz="0" w:space="0" w:color="auto"/>
                        <w:bottom w:val="none" w:sz="0" w:space="0" w:color="auto"/>
                        <w:right w:val="none" w:sz="0" w:space="0" w:color="auto"/>
                      </w:divBdr>
                      <w:divsChild>
                        <w:div w:id="168300845">
                          <w:marLeft w:val="0"/>
                          <w:marRight w:val="0"/>
                          <w:marTop w:val="0"/>
                          <w:marBottom w:val="0"/>
                          <w:divBdr>
                            <w:top w:val="none" w:sz="0" w:space="0" w:color="auto"/>
                            <w:left w:val="none" w:sz="0" w:space="0" w:color="auto"/>
                            <w:bottom w:val="none" w:sz="0" w:space="0" w:color="auto"/>
                            <w:right w:val="none" w:sz="0" w:space="0" w:color="auto"/>
                          </w:divBdr>
                        </w:div>
                      </w:divsChild>
                    </w:div>
                    <w:div w:id="146751017">
                      <w:marLeft w:val="0"/>
                      <w:marRight w:val="0"/>
                      <w:marTop w:val="0"/>
                      <w:marBottom w:val="0"/>
                      <w:divBdr>
                        <w:top w:val="none" w:sz="0" w:space="0" w:color="auto"/>
                        <w:left w:val="none" w:sz="0" w:space="0" w:color="auto"/>
                        <w:bottom w:val="none" w:sz="0" w:space="0" w:color="auto"/>
                        <w:right w:val="none" w:sz="0" w:space="0" w:color="auto"/>
                      </w:divBdr>
                      <w:divsChild>
                        <w:div w:id="1774280587">
                          <w:marLeft w:val="0"/>
                          <w:marRight w:val="0"/>
                          <w:marTop w:val="0"/>
                          <w:marBottom w:val="0"/>
                          <w:divBdr>
                            <w:top w:val="none" w:sz="0" w:space="0" w:color="auto"/>
                            <w:left w:val="none" w:sz="0" w:space="0" w:color="auto"/>
                            <w:bottom w:val="none" w:sz="0" w:space="0" w:color="auto"/>
                            <w:right w:val="none" w:sz="0" w:space="0" w:color="auto"/>
                          </w:divBdr>
                        </w:div>
                      </w:divsChild>
                    </w:div>
                    <w:div w:id="152912954">
                      <w:marLeft w:val="0"/>
                      <w:marRight w:val="0"/>
                      <w:marTop w:val="0"/>
                      <w:marBottom w:val="0"/>
                      <w:divBdr>
                        <w:top w:val="none" w:sz="0" w:space="0" w:color="auto"/>
                        <w:left w:val="none" w:sz="0" w:space="0" w:color="auto"/>
                        <w:bottom w:val="none" w:sz="0" w:space="0" w:color="auto"/>
                        <w:right w:val="none" w:sz="0" w:space="0" w:color="auto"/>
                      </w:divBdr>
                      <w:divsChild>
                        <w:div w:id="1629244071">
                          <w:marLeft w:val="0"/>
                          <w:marRight w:val="0"/>
                          <w:marTop w:val="0"/>
                          <w:marBottom w:val="0"/>
                          <w:divBdr>
                            <w:top w:val="none" w:sz="0" w:space="0" w:color="auto"/>
                            <w:left w:val="none" w:sz="0" w:space="0" w:color="auto"/>
                            <w:bottom w:val="none" w:sz="0" w:space="0" w:color="auto"/>
                            <w:right w:val="none" w:sz="0" w:space="0" w:color="auto"/>
                          </w:divBdr>
                        </w:div>
                      </w:divsChild>
                    </w:div>
                    <w:div w:id="153109394">
                      <w:marLeft w:val="0"/>
                      <w:marRight w:val="0"/>
                      <w:marTop w:val="0"/>
                      <w:marBottom w:val="0"/>
                      <w:divBdr>
                        <w:top w:val="none" w:sz="0" w:space="0" w:color="auto"/>
                        <w:left w:val="none" w:sz="0" w:space="0" w:color="auto"/>
                        <w:bottom w:val="none" w:sz="0" w:space="0" w:color="auto"/>
                        <w:right w:val="none" w:sz="0" w:space="0" w:color="auto"/>
                      </w:divBdr>
                      <w:divsChild>
                        <w:div w:id="14894065">
                          <w:marLeft w:val="0"/>
                          <w:marRight w:val="0"/>
                          <w:marTop w:val="0"/>
                          <w:marBottom w:val="0"/>
                          <w:divBdr>
                            <w:top w:val="none" w:sz="0" w:space="0" w:color="auto"/>
                            <w:left w:val="none" w:sz="0" w:space="0" w:color="auto"/>
                            <w:bottom w:val="none" w:sz="0" w:space="0" w:color="auto"/>
                            <w:right w:val="none" w:sz="0" w:space="0" w:color="auto"/>
                          </w:divBdr>
                        </w:div>
                      </w:divsChild>
                    </w:div>
                    <w:div w:id="153838303">
                      <w:marLeft w:val="0"/>
                      <w:marRight w:val="0"/>
                      <w:marTop w:val="0"/>
                      <w:marBottom w:val="0"/>
                      <w:divBdr>
                        <w:top w:val="none" w:sz="0" w:space="0" w:color="auto"/>
                        <w:left w:val="none" w:sz="0" w:space="0" w:color="auto"/>
                        <w:bottom w:val="none" w:sz="0" w:space="0" w:color="auto"/>
                        <w:right w:val="none" w:sz="0" w:space="0" w:color="auto"/>
                      </w:divBdr>
                      <w:divsChild>
                        <w:div w:id="785077384">
                          <w:marLeft w:val="0"/>
                          <w:marRight w:val="0"/>
                          <w:marTop w:val="0"/>
                          <w:marBottom w:val="0"/>
                          <w:divBdr>
                            <w:top w:val="none" w:sz="0" w:space="0" w:color="auto"/>
                            <w:left w:val="none" w:sz="0" w:space="0" w:color="auto"/>
                            <w:bottom w:val="none" w:sz="0" w:space="0" w:color="auto"/>
                            <w:right w:val="none" w:sz="0" w:space="0" w:color="auto"/>
                          </w:divBdr>
                        </w:div>
                      </w:divsChild>
                    </w:div>
                    <w:div w:id="155658518">
                      <w:marLeft w:val="0"/>
                      <w:marRight w:val="0"/>
                      <w:marTop w:val="0"/>
                      <w:marBottom w:val="0"/>
                      <w:divBdr>
                        <w:top w:val="none" w:sz="0" w:space="0" w:color="auto"/>
                        <w:left w:val="none" w:sz="0" w:space="0" w:color="auto"/>
                        <w:bottom w:val="none" w:sz="0" w:space="0" w:color="auto"/>
                        <w:right w:val="none" w:sz="0" w:space="0" w:color="auto"/>
                      </w:divBdr>
                      <w:divsChild>
                        <w:div w:id="312174222">
                          <w:marLeft w:val="0"/>
                          <w:marRight w:val="0"/>
                          <w:marTop w:val="0"/>
                          <w:marBottom w:val="0"/>
                          <w:divBdr>
                            <w:top w:val="none" w:sz="0" w:space="0" w:color="auto"/>
                            <w:left w:val="none" w:sz="0" w:space="0" w:color="auto"/>
                            <w:bottom w:val="none" w:sz="0" w:space="0" w:color="auto"/>
                            <w:right w:val="none" w:sz="0" w:space="0" w:color="auto"/>
                          </w:divBdr>
                        </w:div>
                      </w:divsChild>
                    </w:div>
                    <w:div w:id="157891054">
                      <w:marLeft w:val="0"/>
                      <w:marRight w:val="0"/>
                      <w:marTop w:val="0"/>
                      <w:marBottom w:val="0"/>
                      <w:divBdr>
                        <w:top w:val="none" w:sz="0" w:space="0" w:color="auto"/>
                        <w:left w:val="none" w:sz="0" w:space="0" w:color="auto"/>
                        <w:bottom w:val="none" w:sz="0" w:space="0" w:color="auto"/>
                        <w:right w:val="none" w:sz="0" w:space="0" w:color="auto"/>
                      </w:divBdr>
                      <w:divsChild>
                        <w:div w:id="1351182290">
                          <w:marLeft w:val="0"/>
                          <w:marRight w:val="0"/>
                          <w:marTop w:val="0"/>
                          <w:marBottom w:val="0"/>
                          <w:divBdr>
                            <w:top w:val="none" w:sz="0" w:space="0" w:color="auto"/>
                            <w:left w:val="none" w:sz="0" w:space="0" w:color="auto"/>
                            <w:bottom w:val="none" w:sz="0" w:space="0" w:color="auto"/>
                            <w:right w:val="none" w:sz="0" w:space="0" w:color="auto"/>
                          </w:divBdr>
                        </w:div>
                      </w:divsChild>
                    </w:div>
                    <w:div w:id="159389806">
                      <w:marLeft w:val="0"/>
                      <w:marRight w:val="0"/>
                      <w:marTop w:val="0"/>
                      <w:marBottom w:val="0"/>
                      <w:divBdr>
                        <w:top w:val="none" w:sz="0" w:space="0" w:color="auto"/>
                        <w:left w:val="none" w:sz="0" w:space="0" w:color="auto"/>
                        <w:bottom w:val="none" w:sz="0" w:space="0" w:color="auto"/>
                        <w:right w:val="none" w:sz="0" w:space="0" w:color="auto"/>
                      </w:divBdr>
                      <w:divsChild>
                        <w:div w:id="1882595887">
                          <w:marLeft w:val="0"/>
                          <w:marRight w:val="0"/>
                          <w:marTop w:val="0"/>
                          <w:marBottom w:val="0"/>
                          <w:divBdr>
                            <w:top w:val="none" w:sz="0" w:space="0" w:color="auto"/>
                            <w:left w:val="none" w:sz="0" w:space="0" w:color="auto"/>
                            <w:bottom w:val="none" w:sz="0" w:space="0" w:color="auto"/>
                            <w:right w:val="none" w:sz="0" w:space="0" w:color="auto"/>
                          </w:divBdr>
                        </w:div>
                      </w:divsChild>
                    </w:div>
                    <w:div w:id="164980379">
                      <w:marLeft w:val="0"/>
                      <w:marRight w:val="0"/>
                      <w:marTop w:val="0"/>
                      <w:marBottom w:val="0"/>
                      <w:divBdr>
                        <w:top w:val="none" w:sz="0" w:space="0" w:color="auto"/>
                        <w:left w:val="none" w:sz="0" w:space="0" w:color="auto"/>
                        <w:bottom w:val="none" w:sz="0" w:space="0" w:color="auto"/>
                        <w:right w:val="none" w:sz="0" w:space="0" w:color="auto"/>
                      </w:divBdr>
                      <w:divsChild>
                        <w:div w:id="1327368610">
                          <w:marLeft w:val="0"/>
                          <w:marRight w:val="0"/>
                          <w:marTop w:val="0"/>
                          <w:marBottom w:val="0"/>
                          <w:divBdr>
                            <w:top w:val="none" w:sz="0" w:space="0" w:color="auto"/>
                            <w:left w:val="none" w:sz="0" w:space="0" w:color="auto"/>
                            <w:bottom w:val="none" w:sz="0" w:space="0" w:color="auto"/>
                            <w:right w:val="none" w:sz="0" w:space="0" w:color="auto"/>
                          </w:divBdr>
                        </w:div>
                      </w:divsChild>
                    </w:div>
                    <w:div w:id="165949752">
                      <w:marLeft w:val="0"/>
                      <w:marRight w:val="0"/>
                      <w:marTop w:val="0"/>
                      <w:marBottom w:val="0"/>
                      <w:divBdr>
                        <w:top w:val="none" w:sz="0" w:space="0" w:color="auto"/>
                        <w:left w:val="none" w:sz="0" w:space="0" w:color="auto"/>
                        <w:bottom w:val="none" w:sz="0" w:space="0" w:color="auto"/>
                        <w:right w:val="none" w:sz="0" w:space="0" w:color="auto"/>
                      </w:divBdr>
                      <w:divsChild>
                        <w:div w:id="429010704">
                          <w:marLeft w:val="0"/>
                          <w:marRight w:val="0"/>
                          <w:marTop w:val="0"/>
                          <w:marBottom w:val="0"/>
                          <w:divBdr>
                            <w:top w:val="none" w:sz="0" w:space="0" w:color="auto"/>
                            <w:left w:val="none" w:sz="0" w:space="0" w:color="auto"/>
                            <w:bottom w:val="none" w:sz="0" w:space="0" w:color="auto"/>
                            <w:right w:val="none" w:sz="0" w:space="0" w:color="auto"/>
                          </w:divBdr>
                        </w:div>
                      </w:divsChild>
                    </w:div>
                    <w:div w:id="170024750">
                      <w:marLeft w:val="0"/>
                      <w:marRight w:val="0"/>
                      <w:marTop w:val="0"/>
                      <w:marBottom w:val="0"/>
                      <w:divBdr>
                        <w:top w:val="none" w:sz="0" w:space="0" w:color="auto"/>
                        <w:left w:val="none" w:sz="0" w:space="0" w:color="auto"/>
                        <w:bottom w:val="none" w:sz="0" w:space="0" w:color="auto"/>
                        <w:right w:val="none" w:sz="0" w:space="0" w:color="auto"/>
                      </w:divBdr>
                      <w:divsChild>
                        <w:div w:id="1866282552">
                          <w:marLeft w:val="0"/>
                          <w:marRight w:val="0"/>
                          <w:marTop w:val="0"/>
                          <w:marBottom w:val="0"/>
                          <w:divBdr>
                            <w:top w:val="none" w:sz="0" w:space="0" w:color="auto"/>
                            <w:left w:val="none" w:sz="0" w:space="0" w:color="auto"/>
                            <w:bottom w:val="none" w:sz="0" w:space="0" w:color="auto"/>
                            <w:right w:val="none" w:sz="0" w:space="0" w:color="auto"/>
                          </w:divBdr>
                        </w:div>
                      </w:divsChild>
                    </w:div>
                    <w:div w:id="174734383">
                      <w:marLeft w:val="0"/>
                      <w:marRight w:val="0"/>
                      <w:marTop w:val="0"/>
                      <w:marBottom w:val="0"/>
                      <w:divBdr>
                        <w:top w:val="none" w:sz="0" w:space="0" w:color="auto"/>
                        <w:left w:val="none" w:sz="0" w:space="0" w:color="auto"/>
                        <w:bottom w:val="none" w:sz="0" w:space="0" w:color="auto"/>
                        <w:right w:val="none" w:sz="0" w:space="0" w:color="auto"/>
                      </w:divBdr>
                      <w:divsChild>
                        <w:div w:id="3173500">
                          <w:marLeft w:val="0"/>
                          <w:marRight w:val="0"/>
                          <w:marTop w:val="0"/>
                          <w:marBottom w:val="0"/>
                          <w:divBdr>
                            <w:top w:val="none" w:sz="0" w:space="0" w:color="auto"/>
                            <w:left w:val="none" w:sz="0" w:space="0" w:color="auto"/>
                            <w:bottom w:val="none" w:sz="0" w:space="0" w:color="auto"/>
                            <w:right w:val="none" w:sz="0" w:space="0" w:color="auto"/>
                          </w:divBdr>
                        </w:div>
                      </w:divsChild>
                    </w:div>
                    <w:div w:id="187984725">
                      <w:marLeft w:val="0"/>
                      <w:marRight w:val="0"/>
                      <w:marTop w:val="0"/>
                      <w:marBottom w:val="0"/>
                      <w:divBdr>
                        <w:top w:val="none" w:sz="0" w:space="0" w:color="auto"/>
                        <w:left w:val="none" w:sz="0" w:space="0" w:color="auto"/>
                        <w:bottom w:val="none" w:sz="0" w:space="0" w:color="auto"/>
                        <w:right w:val="none" w:sz="0" w:space="0" w:color="auto"/>
                      </w:divBdr>
                      <w:divsChild>
                        <w:div w:id="922105707">
                          <w:marLeft w:val="0"/>
                          <w:marRight w:val="0"/>
                          <w:marTop w:val="0"/>
                          <w:marBottom w:val="0"/>
                          <w:divBdr>
                            <w:top w:val="none" w:sz="0" w:space="0" w:color="auto"/>
                            <w:left w:val="none" w:sz="0" w:space="0" w:color="auto"/>
                            <w:bottom w:val="none" w:sz="0" w:space="0" w:color="auto"/>
                            <w:right w:val="none" w:sz="0" w:space="0" w:color="auto"/>
                          </w:divBdr>
                        </w:div>
                      </w:divsChild>
                    </w:div>
                    <w:div w:id="189034548">
                      <w:marLeft w:val="0"/>
                      <w:marRight w:val="0"/>
                      <w:marTop w:val="0"/>
                      <w:marBottom w:val="0"/>
                      <w:divBdr>
                        <w:top w:val="none" w:sz="0" w:space="0" w:color="auto"/>
                        <w:left w:val="none" w:sz="0" w:space="0" w:color="auto"/>
                        <w:bottom w:val="none" w:sz="0" w:space="0" w:color="auto"/>
                        <w:right w:val="none" w:sz="0" w:space="0" w:color="auto"/>
                      </w:divBdr>
                      <w:divsChild>
                        <w:div w:id="420681379">
                          <w:marLeft w:val="0"/>
                          <w:marRight w:val="0"/>
                          <w:marTop w:val="0"/>
                          <w:marBottom w:val="0"/>
                          <w:divBdr>
                            <w:top w:val="none" w:sz="0" w:space="0" w:color="auto"/>
                            <w:left w:val="none" w:sz="0" w:space="0" w:color="auto"/>
                            <w:bottom w:val="none" w:sz="0" w:space="0" w:color="auto"/>
                            <w:right w:val="none" w:sz="0" w:space="0" w:color="auto"/>
                          </w:divBdr>
                        </w:div>
                      </w:divsChild>
                    </w:div>
                    <w:div w:id="192110082">
                      <w:marLeft w:val="0"/>
                      <w:marRight w:val="0"/>
                      <w:marTop w:val="0"/>
                      <w:marBottom w:val="0"/>
                      <w:divBdr>
                        <w:top w:val="none" w:sz="0" w:space="0" w:color="auto"/>
                        <w:left w:val="none" w:sz="0" w:space="0" w:color="auto"/>
                        <w:bottom w:val="none" w:sz="0" w:space="0" w:color="auto"/>
                        <w:right w:val="none" w:sz="0" w:space="0" w:color="auto"/>
                      </w:divBdr>
                      <w:divsChild>
                        <w:div w:id="675154691">
                          <w:marLeft w:val="0"/>
                          <w:marRight w:val="0"/>
                          <w:marTop w:val="0"/>
                          <w:marBottom w:val="0"/>
                          <w:divBdr>
                            <w:top w:val="none" w:sz="0" w:space="0" w:color="auto"/>
                            <w:left w:val="none" w:sz="0" w:space="0" w:color="auto"/>
                            <w:bottom w:val="none" w:sz="0" w:space="0" w:color="auto"/>
                            <w:right w:val="none" w:sz="0" w:space="0" w:color="auto"/>
                          </w:divBdr>
                        </w:div>
                      </w:divsChild>
                    </w:div>
                    <w:div w:id="194083912">
                      <w:marLeft w:val="0"/>
                      <w:marRight w:val="0"/>
                      <w:marTop w:val="0"/>
                      <w:marBottom w:val="0"/>
                      <w:divBdr>
                        <w:top w:val="none" w:sz="0" w:space="0" w:color="auto"/>
                        <w:left w:val="none" w:sz="0" w:space="0" w:color="auto"/>
                        <w:bottom w:val="none" w:sz="0" w:space="0" w:color="auto"/>
                        <w:right w:val="none" w:sz="0" w:space="0" w:color="auto"/>
                      </w:divBdr>
                      <w:divsChild>
                        <w:div w:id="1265188505">
                          <w:marLeft w:val="0"/>
                          <w:marRight w:val="0"/>
                          <w:marTop w:val="0"/>
                          <w:marBottom w:val="0"/>
                          <w:divBdr>
                            <w:top w:val="none" w:sz="0" w:space="0" w:color="auto"/>
                            <w:left w:val="none" w:sz="0" w:space="0" w:color="auto"/>
                            <w:bottom w:val="none" w:sz="0" w:space="0" w:color="auto"/>
                            <w:right w:val="none" w:sz="0" w:space="0" w:color="auto"/>
                          </w:divBdr>
                        </w:div>
                      </w:divsChild>
                    </w:div>
                    <w:div w:id="195118170">
                      <w:marLeft w:val="0"/>
                      <w:marRight w:val="0"/>
                      <w:marTop w:val="0"/>
                      <w:marBottom w:val="0"/>
                      <w:divBdr>
                        <w:top w:val="none" w:sz="0" w:space="0" w:color="auto"/>
                        <w:left w:val="none" w:sz="0" w:space="0" w:color="auto"/>
                        <w:bottom w:val="none" w:sz="0" w:space="0" w:color="auto"/>
                        <w:right w:val="none" w:sz="0" w:space="0" w:color="auto"/>
                      </w:divBdr>
                      <w:divsChild>
                        <w:div w:id="623198436">
                          <w:marLeft w:val="0"/>
                          <w:marRight w:val="0"/>
                          <w:marTop w:val="0"/>
                          <w:marBottom w:val="0"/>
                          <w:divBdr>
                            <w:top w:val="none" w:sz="0" w:space="0" w:color="auto"/>
                            <w:left w:val="none" w:sz="0" w:space="0" w:color="auto"/>
                            <w:bottom w:val="none" w:sz="0" w:space="0" w:color="auto"/>
                            <w:right w:val="none" w:sz="0" w:space="0" w:color="auto"/>
                          </w:divBdr>
                        </w:div>
                      </w:divsChild>
                    </w:div>
                    <w:div w:id="195120423">
                      <w:marLeft w:val="0"/>
                      <w:marRight w:val="0"/>
                      <w:marTop w:val="0"/>
                      <w:marBottom w:val="0"/>
                      <w:divBdr>
                        <w:top w:val="none" w:sz="0" w:space="0" w:color="auto"/>
                        <w:left w:val="none" w:sz="0" w:space="0" w:color="auto"/>
                        <w:bottom w:val="none" w:sz="0" w:space="0" w:color="auto"/>
                        <w:right w:val="none" w:sz="0" w:space="0" w:color="auto"/>
                      </w:divBdr>
                      <w:divsChild>
                        <w:div w:id="1648558310">
                          <w:marLeft w:val="0"/>
                          <w:marRight w:val="0"/>
                          <w:marTop w:val="0"/>
                          <w:marBottom w:val="0"/>
                          <w:divBdr>
                            <w:top w:val="none" w:sz="0" w:space="0" w:color="auto"/>
                            <w:left w:val="none" w:sz="0" w:space="0" w:color="auto"/>
                            <w:bottom w:val="none" w:sz="0" w:space="0" w:color="auto"/>
                            <w:right w:val="none" w:sz="0" w:space="0" w:color="auto"/>
                          </w:divBdr>
                        </w:div>
                      </w:divsChild>
                    </w:div>
                    <w:div w:id="195124620">
                      <w:marLeft w:val="0"/>
                      <w:marRight w:val="0"/>
                      <w:marTop w:val="0"/>
                      <w:marBottom w:val="0"/>
                      <w:divBdr>
                        <w:top w:val="none" w:sz="0" w:space="0" w:color="auto"/>
                        <w:left w:val="none" w:sz="0" w:space="0" w:color="auto"/>
                        <w:bottom w:val="none" w:sz="0" w:space="0" w:color="auto"/>
                        <w:right w:val="none" w:sz="0" w:space="0" w:color="auto"/>
                      </w:divBdr>
                      <w:divsChild>
                        <w:div w:id="580406581">
                          <w:marLeft w:val="0"/>
                          <w:marRight w:val="0"/>
                          <w:marTop w:val="0"/>
                          <w:marBottom w:val="0"/>
                          <w:divBdr>
                            <w:top w:val="none" w:sz="0" w:space="0" w:color="auto"/>
                            <w:left w:val="none" w:sz="0" w:space="0" w:color="auto"/>
                            <w:bottom w:val="none" w:sz="0" w:space="0" w:color="auto"/>
                            <w:right w:val="none" w:sz="0" w:space="0" w:color="auto"/>
                          </w:divBdr>
                        </w:div>
                      </w:divsChild>
                    </w:div>
                    <w:div w:id="197666557">
                      <w:marLeft w:val="0"/>
                      <w:marRight w:val="0"/>
                      <w:marTop w:val="0"/>
                      <w:marBottom w:val="0"/>
                      <w:divBdr>
                        <w:top w:val="none" w:sz="0" w:space="0" w:color="auto"/>
                        <w:left w:val="none" w:sz="0" w:space="0" w:color="auto"/>
                        <w:bottom w:val="none" w:sz="0" w:space="0" w:color="auto"/>
                        <w:right w:val="none" w:sz="0" w:space="0" w:color="auto"/>
                      </w:divBdr>
                      <w:divsChild>
                        <w:div w:id="826169684">
                          <w:marLeft w:val="0"/>
                          <w:marRight w:val="0"/>
                          <w:marTop w:val="0"/>
                          <w:marBottom w:val="0"/>
                          <w:divBdr>
                            <w:top w:val="none" w:sz="0" w:space="0" w:color="auto"/>
                            <w:left w:val="none" w:sz="0" w:space="0" w:color="auto"/>
                            <w:bottom w:val="none" w:sz="0" w:space="0" w:color="auto"/>
                            <w:right w:val="none" w:sz="0" w:space="0" w:color="auto"/>
                          </w:divBdr>
                        </w:div>
                      </w:divsChild>
                    </w:div>
                    <w:div w:id="202988015">
                      <w:marLeft w:val="0"/>
                      <w:marRight w:val="0"/>
                      <w:marTop w:val="0"/>
                      <w:marBottom w:val="0"/>
                      <w:divBdr>
                        <w:top w:val="none" w:sz="0" w:space="0" w:color="auto"/>
                        <w:left w:val="none" w:sz="0" w:space="0" w:color="auto"/>
                        <w:bottom w:val="none" w:sz="0" w:space="0" w:color="auto"/>
                        <w:right w:val="none" w:sz="0" w:space="0" w:color="auto"/>
                      </w:divBdr>
                      <w:divsChild>
                        <w:div w:id="39399521">
                          <w:marLeft w:val="0"/>
                          <w:marRight w:val="0"/>
                          <w:marTop w:val="0"/>
                          <w:marBottom w:val="0"/>
                          <w:divBdr>
                            <w:top w:val="none" w:sz="0" w:space="0" w:color="auto"/>
                            <w:left w:val="none" w:sz="0" w:space="0" w:color="auto"/>
                            <w:bottom w:val="none" w:sz="0" w:space="0" w:color="auto"/>
                            <w:right w:val="none" w:sz="0" w:space="0" w:color="auto"/>
                          </w:divBdr>
                        </w:div>
                      </w:divsChild>
                    </w:div>
                    <w:div w:id="204831725">
                      <w:marLeft w:val="0"/>
                      <w:marRight w:val="0"/>
                      <w:marTop w:val="0"/>
                      <w:marBottom w:val="0"/>
                      <w:divBdr>
                        <w:top w:val="none" w:sz="0" w:space="0" w:color="auto"/>
                        <w:left w:val="none" w:sz="0" w:space="0" w:color="auto"/>
                        <w:bottom w:val="none" w:sz="0" w:space="0" w:color="auto"/>
                        <w:right w:val="none" w:sz="0" w:space="0" w:color="auto"/>
                      </w:divBdr>
                      <w:divsChild>
                        <w:div w:id="1682007594">
                          <w:marLeft w:val="0"/>
                          <w:marRight w:val="0"/>
                          <w:marTop w:val="0"/>
                          <w:marBottom w:val="0"/>
                          <w:divBdr>
                            <w:top w:val="none" w:sz="0" w:space="0" w:color="auto"/>
                            <w:left w:val="none" w:sz="0" w:space="0" w:color="auto"/>
                            <w:bottom w:val="none" w:sz="0" w:space="0" w:color="auto"/>
                            <w:right w:val="none" w:sz="0" w:space="0" w:color="auto"/>
                          </w:divBdr>
                        </w:div>
                      </w:divsChild>
                    </w:div>
                    <w:div w:id="209614347">
                      <w:marLeft w:val="0"/>
                      <w:marRight w:val="0"/>
                      <w:marTop w:val="0"/>
                      <w:marBottom w:val="0"/>
                      <w:divBdr>
                        <w:top w:val="none" w:sz="0" w:space="0" w:color="auto"/>
                        <w:left w:val="none" w:sz="0" w:space="0" w:color="auto"/>
                        <w:bottom w:val="none" w:sz="0" w:space="0" w:color="auto"/>
                        <w:right w:val="none" w:sz="0" w:space="0" w:color="auto"/>
                      </w:divBdr>
                      <w:divsChild>
                        <w:div w:id="517819574">
                          <w:marLeft w:val="0"/>
                          <w:marRight w:val="0"/>
                          <w:marTop w:val="0"/>
                          <w:marBottom w:val="0"/>
                          <w:divBdr>
                            <w:top w:val="none" w:sz="0" w:space="0" w:color="auto"/>
                            <w:left w:val="none" w:sz="0" w:space="0" w:color="auto"/>
                            <w:bottom w:val="none" w:sz="0" w:space="0" w:color="auto"/>
                            <w:right w:val="none" w:sz="0" w:space="0" w:color="auto"/>
                          </w:divBdr>
                        </w:div>
                      </w:divsChild>
                    </w:div>
                    <w:div w:id="210579485">
                      <w:marLeft w:val="0"/>
                      <w:marRight w:val="0"/>
                      <w:marTop w:val="0"/>
                      <w:marBottom w:val="0"/>
                      <w:divBdr>
                        <w:top w:val="none" w:sz="0" w:space="0" w:color="auto"/>
                        <w:left w:val="none" w:sz="0" w:space="0" w:color="auto"/>
                        <w:bottom w:val="none" w:sz="0" w:space="0" w:color="auto"/>
                        <w:right w:val="none" w:sz="0" w:space="0" w:color="auto"/>
                      </w:divBdr>
                      <w:divsChild>
                        <w:div w:id="1094326190">
                          <w:marLeft w:val="0"/>
                          <w:marRight w:val="0"/>
                          <w:marTop w:val="0"/>
                          <w:marBottom w:val="0"/>
                          <w:divBdr>
                            <w:top w:val="none" w:sz="0" w:space="0" w:color="auto"/>
                            <w:left w:val="none" w:sz="0" w:space="0" w:color="auto"/>
                            <w:bottom w:val="none" w:sz="0" w:space="0" w:color="auto"/>
                            <w:right w:val="none" w:sz="0" w:space="0" w:color="auto"/>
                          </w:divBdr>
                        </w:div>
                      </w:divsChild>
                    </w:div>
                    <w:div w:id="216938950">
                      <w:marLeft w:val="0"/>
                      <w:marRight w:val="0"/>
                      <w:marTop w:val="0"/>
                      <w:marBottom w:val="0"/>
                      <w:divBdr>
                        <w:top w:val="none" w:sz="0" w:space="0" w:color="auto"/>
                        <w:left w:val="none" w:sz="0" w:space="0" w:color="auto"/>
                        <w:bottom w:val="none" w:sz="0" w:space="0" w:color="auto"/>
                        <w:right w:val="none" w:sz="0" w:space="0" w:color="auto"/>
                      </w:divBdr>
                      <w:divsChild>
                        <w:div w:id="632446633">
                          <w:marLeft w:val="0"/>
                          <w:marRight w:val="0"/>
                          <w:marTop w:val="0"/>
                          <w:marBottom w:val="0"/>
                          <w:divBdr>
                            <w:top w:val="none" w:sz="0" w:space="0" w:color="auto"/>
                            <w:left w:val="none" w:sz="0" w:space="0" w:color="auto"/>
                            <w:bottom w:val="none" w:sz="0" w:space="0" w:color="auto"/>
                            <w:right w:val="none" w:sz="0" w:space="0" w:color="auto"/>
                          </w:divBdr>
                        </w:div>
                      </w:divsChild>
                    </w:div>
                    <w:div w:id="220214526">
                      <w:marLeft w:val="0"/>
                      <w:marRight w:val="0"/>
                      <w:marTop w:val="0"/>
                      <w:marBottom w:val="0"/>
                      <w:divBdr>
                        <w:top w:val="none" w:sz="0" w:space="0" w:color="auto"/>
                        <w:left w:val="none" w:sz="0" w:space="0" w:color="auto"/>
                        <w:bottom w:val="none" w:sz="0" w:space="0" w:color="auto"/>
                        <w:right w:val="none" w:sz="0" w:space="0" w:color="auto"/>
                      </w:divBdr>
                      <w:divsChild>
                        <w:div w:id="1448425379">
                          <w:marLeft w:val="0"/>
                          <w:marRight w:val="0"/>
                          <w:marTop w:val="0"/>
                          <w:marBottom w:val="0"/>
                          <w:divBdr>
                            <w:top w:val="none" w:sz="0" w:space="0" w:color="auto"/>
                            <w:left w:val="none" w:sz="0" w:space="0" w:color="auto"/>
                            <w:bottom w:val="none" w:sz="0" w:space="0" w:color="auto"/>
                            <w:right w:val="none" w:sz="0" w:space="0" w:color="auto"/>
                          </w:divBdr>
                        </w:div>
                      </w:divsChild>
                    </w:div>
                    <w:div w:id="230048906">
                      <w:marLeft w:val="0"/>
                      <w:marRight w:val="0"/>
                      <w:marTop w:val="0"/>
                      <w:marBottom w:val="0"/>
                      <w:divBdr>
                        <w:top w:val="none" w:sz="0" w:space="0" w:color="auto"/>
                        <w:left w:val="none" w:sz="0" w:space="0" w:color="auto"/>
                        <w:bottom w:val="none" w:sz="0" w:space="0" w:color="auto"/>
                        <w:right w:val="none" w:sz="0" w:space="0" w:color="auto"/>
                      </w:divBdr>
                      <w:divsChild>
                        <w:div w:id="55858289">
                          <w:marLeft w:val="0"/>
                          <w:marRight w:val="0"/>
                          <w:marTop w:val="0"/>
                          <w:marBottom w:val="0"/>
                          <w:divBdr>
                            <w:top w:val="none" w:sz="0" w:space="0" w:color="auto"/>
                            <w:left w:val="none" w:sz="0" w:space="0" w:color="auto"/>
                            <w:bottom w:val="none" w:sz="0" w:space="0" w:color="auto"/>
                            <w:right w:val="none" w:sz="0" w:space="0" w:color="auto"/>
                          </w:divBdr>
                        </w:div>
                      </w:divsChild>
                    </w:div>
                    <w:div w:id="231276594">
                      <w:marLeft w:val="0"/>
                      <w:marRight w:val="0"/>
                      <w:marTop w:val="0"/>
                      <w:marBottom w:val="0"/>
                      <w:divBdr>
                        <w:top w:val="none" w:sz="0" w:space="0" w:color="auto"/>
                        <w:left w:val="none" w:sz="0" w:space="0" w:color="auto"/>
                        <w:bottom w:val="none" w:sz="0" w:space="0" w:color="auto"/>
                        <w:right w:val="none" w:sz="0" w:space="0" w:color="auto"/>
                      </w:divBdr>
                      <w:divsChild>
                        <w:div w:id="380326594">
                          <w:marLeft w:val="0"/>
                          <w:marRight w:val="0"/>
                          <w:marTop w:val="0"/>
                          <w:marBottom w:val="0"/>
                          <w:divBdr>
                            <w:top w:val="none" w:sz="0" w:space="0" w:color="auto"/>
                            <w:left w:val="none" w:sz="0" w:space="0" w:color="auto"/>
                            <w:bottom w:val="none" w:sz="0" w:space="0" w:color="auto"/>
                            <w:right w:val="none" w:sz="0" w:space="0" w:color="auto"/>
                          </w:divBdr>
                        </w:div>
                      </w:divsChild>
                    </w:div>
                    <w:div w:id="237398959">
                      <w:marLeft w:val="0"/>
                      <w:marRight w:val="0"/>
                      <w:marTop w:val="0"/>
                      <w:marBottom w:val="0"/>
                      <w:divBdr>
                        <w:top w:val="none" w:sz="0" w:space="0" w:color="auto"/>
                        <w:left w:val="none" w:sz="0" w:space="0" w:color="auto"/>
                        <w:bottom w:val="none" w:sz="0" w:space="0" w:color="auto"/>
                        <w:right w:val="none" w:sz="0" w:space="0" w:color="auto"/>
                      </w:divBdr>
                      <w:divsChild>
                        <w:div w:id="1267663829">
                          <w:marLeft w:val="0"/>
                          <w:marRight w:val="0"/>
                          <w:marTop w:val="0"/>
                          <w:marBottom w:val="0"/>
                          <w:divBdr>
                            <w:top w:val="none" w:sz="0" w:space="0" w:color="auto"/>
                            <w:left w:val="none" w:sz="0" w:space="0" w:color="auto"/>
                            <w:bottom w:val="none" w:sz="0" w:space="0" w:color="auto"/>
                            <w:right w:val="none" w:sz="0" w:space="0" w:color="auto"/>
                          </w:divBdr>
                        </w:div>
                      </w:divsChild>
                    </w:div>
                    <w:div w:id="243805561">
                      <w:marLeft w:val="0"/>
                      <w:marRight w:val="0"/>
                      <w:marTop w:val="0"/>
                      <w:marBottom w:val="0"/>
                      <w:divBdr>
                        <w:top w:val="none" w:sz="0" w:space="0" w:color="auto"/>
                        <w:left w:val="none" w:sz="0" w:space="0" w:color="auto"/>
                        <w:bottom w:val="none" w:sz="0" w:space="0" w:color="auto"/>
                        <w:right w:val="none" w:sz="0" w:space="0" w:color="auto"/>
                      </w:divBdr>
                      <w:divsChild>
                        <w:div w:id="1917781002">
                          <w:marLeft w:val="0"/>
                          <w:marRight w:val="0"/>
                          <w:marTop w:val="0"/>
                          <w:marBottom w:val="0"/>
                          <w:divBdr>
                            <w:top w:val="none" w:sz="0" w:space="0" w:color="auto"/>
                            <w:left w:val="none" w:sz="0" w:space="0" w:color="auto"/>
                            <w:bottom w:val="none" w:sz="0" w:space="0" w:color="auto"/>
                            <w:right w:val="none" w:sz="0" w:space="0" w:color="auto"/>
                          </w:divBdr>
                        </w:div>
                      </w:divsChild>
                    </w:div>
                    <w:div w:id="257371284">
                      <w:marLeft w:val="0"/>
                      <w:marRight w:val="0"/>
                      <w:marTop w:val="0"/>
                      <w:marBottom w:val="0"/>
                      <w:divBdr>
                        <w:top w:val="none" w:sz="0" w:space="0" w:color="auto"/>
                        <w:left w:val="none" w:sz="0" w:space="0" w:color="auto"/>
                        <w:bottom w:val="none" w:sz="0" w:space="0" w:color="auto"/>
                        <w:right w:val="none" w:sz="0" w:space="0" w:color="auto"/>
                      </w:divBdr>
                      <w:divsChild>
                        <w:div w:id="1927419666">
                          <w:marLeft w:val="0"/>
                          <w:marRight w:val="0"/>
                          <w:marTop w:val="0"/>
                          <w:marBottom w:val="0"/>
                          <w:divBdr>
                            <w:top w:val="none" w:sz="0" w:space="0" w:color="auto"/>
                            <w:left w:val="none" w:sz="0" w:space="0" w:color="auto"/>
                            <w:bottom w:val="none" w:sz="0" w:space="0" w:color="auto"/>
                            <w:right w:val="none" w:sz="0" w:space="0" w:color="auto"/>
                          </w:divBdr>
                        </w:div>
                      </w:divsChild>
                    </w:div>
                    <w:div w:id="266737049">
                      <w:marLeft w:val="0"/>
                      <w:marRight w:val="0"/>
                      <w:marTop w:val="0"/>
                      <w:marBottom w:val="0"/>
                      <w:divBdr>
                        <w:top w:val="none" w:sz="0" w:space="0" w:color="auto"/>
                        <w:left w:val="none" w:sz="0" w:space="0" w:color="auto"/>
                        <w:bottom w:val="none" w:sz="0" w:space="0" w:color="auto"/>
                        <w:right w:val="none" w:sz="0" w:space="0" w:color="auto"/>
                      </w:divBdr>
                      <w:divsChild>
                        <w:div w:id="1561600963">
                          <w:marLeft w:val="0"/>
                          <w:marRight w:val="0"/>
                          <w:marTop w:val="0"/>
                          <w:marBottom w:val="0"/>
                          <w:divBdr>
                            <w:top w:val="none" w:sz="0" w:space="0" w:color="auto"/>
                            <w:left w:val="none" w:sz="0" w:space="0" w:color="auto"/>
                            <w:bottom w:val="none" w:sz="0" w:space="0" w:color="auto"/>
                            <w:right w:val="none" w:sz="0" w:space="0" w:color="auto"/>
                          </w:divBdr>
                        </w:div>
                      </w:divsChild>
                    </w:div>
                    <w:div w:id="270093408">
                      <w:marLeft w:val="0"/>
                      <w:marRight w:val="0"/>
                      <w:marTop w:val="0"/>
                      <w:marBottom w:val="0"/>
                      <w:divBdr>
                        <w:top w:val="none" w:sz="0" w:space="0" w:color="auto"/>
                        <w:left w:val="none" w:sz="0" w:space="0" w:color="auto"/>
                        <w:bottom w:val="none" w:sz="0" w:space="0" w:color="auto"/>
                        <w:right w:val="none" w:sz="0" w:space="0" w:color="auto"/>
                      </w:divBdr>
                      <w:divsChild>
                        <w:div w:id="2442525">
                          <w:marLeft w:val="0"/>
                          <w:marRight w:val="0"/>
                          <w:marTop w:val="0"/>
                          <w:marBottom w:val="0"/>
                          <w:divBdr>
                            <w:top w:val="none" w:sz="0" w:space="0" w:color="auto"/>
                            <w:left w:val="none" w:sz="0" w:space="0" w:color="auto"/>
                            <w:bottom w:val="none" w:sz="0" w:space="0" w:color="auto"/>
                            <w:right w:val="none" w:sz="0" w:space="0" w:color="auto"/>
                          </w:divBdr>
                        </w:div>
                      </w:divsChild>
                    </w:div>
                    <w:div w:id="275675885">
                      <w:marLeft w:val="0"/>
                      <w:marRight w:val="0"/>
                      <w:marTop w:val="0"/>
                      <w:marBottom w:val="0"/>
                      <w:divBdr>
                        <w:top w:val="none" w:sz="0" w:space="0" w:color="auto"/>
                        <w:left w:val="none" w:sz="0" w:space="0" w:color="auto"/>
                        <w:bottom w:val="none" w:sz="0" w:space="0" w:color="auto"/>
                        <w:right w:val="none" w:sz="0" w:space="0" w:color="auto"/>
                      </w:divBdr>
                      <w:divsChild>
                        <w:div w:id="2126658785">
                          <w:marLeft w:val="0"/>
                          <w:marRight w:val="0"/>
                          <w:marTop w:val="0"/>
                          <w:marBottom w:val="0"/>
                          <w:divBdr>
                            <w:top w:val="none" w:sz="0" w:space="0" w:color="auto"/>
                            <w:left w:val="none" w:sz="0" w:space="0" w:color="auto"/>
                            <w:bottom w:val="none" w:sz="0" w:space="0" w:color="auto"/>
                            <w:right w:val="none" w:sz="0" w:space="0" w:color="auto"/>
                          </w:divBdr>
                        </w:div>
                      </w:divsChild>
                    </w:div>
                    <w:div w:id="280773263">
                      <w:marLeft w:val="0"/>
                      <w:marRight w:val="0"/>
                      <w:marTop w:val="0"/>
                      <w:marBottom w:val="0"/>
                      <w:divBdr>
                        <w:top w:val="none" w:sz="0" w:space="0" w:color="auto"/>
                        <w:left w:val="none" w:sz="0" w:space="0" w:color="auto"/>
                        <w:bottom w:val="none" w:sz="0" w:space="0" w:color="auto"/>
                        <w:right w:val="none" w:sz="0" w:space="0" w:color="auto"/>
                      </w:divBdr>
                      <w:divsChild>
                        <w:div w:id="2065054764">
                          <w:marLeft w:val="0"/>
                          <w:marRight w:val="0"/>
                          <w:marTop w:val="0"/>
                          <w:marBottom w:val="0"/>
                          <w:divBdr>
                            <w:top w:val="none" w:sz="0" w:space="0" w:color="auto"/>
                            <w:left w:val="none" w:sz="0" w:space="0" w:color="auto"/>
                            <w:bottom w:val="none" w:sz="0" w:space="0" w:color="auto"/>
                            <w:right w:val="none" w:sz="0" w:space="0" w:color="auto"/>
                          </w:divBdr>
                        </w:div>
                      </w:divsChild>
                    </w:div>
                    <w:div w:id="281769698">
                      <w:marLeft w:val="0"/>
                      <w:marRight w:val="0"/>
                      <w:marTop w:val="0"/>
                      <w:marBottom w:val="0"/>
                      <w:divBdr>
                        <w:top w:val="none" w:sz="0" w:space="0" w:color="auto"/>
                        <w:left w:val="none" w:sz="0" w:space="0" w:color="auto"/>
                        <w:bottom w:val="none" w:sz="0" w:space="0" w:color="auto"/>
                        <w:right w:val="none" w:sz="0" w:space="0" w:color="auto"/>
                      </w:divBdr>
                      <w:divsChild>
                        <w:div w:id="1927566152">
                          <w:marLeft w:val="0"/>
                          <w:marRight w:val="0"/>
                          <w:marTop w:val="0"/>
                          <w:marBottom w:val="0"/>
                          <w:divBdr>
                            <w:top w:val="none" w:sz="0" w:space="0" w:color="auto"/>
                            <w:left w:val="none" w:sz="0" w:space="0" w:color="auto"/>
                            <w:bottom w:val="none" w:sz="0" w:space="0" w:color="auto"/>
                            <w:right w:val="none" w:sz="0" w:space="0" w:color="auto"/>
                          </w:divBdr>
                        </w:div>
                      </w:divsChild>
                    </w:div>
                    <w:div w:id="283971901">
                      <w:marLeft w:val="0"/>
                      <w:marRight w:val="0"/>
                      <w:marTop w:val="0"/>
                      <w:marBottom w:val="0"/>
                      <w:divBdr>
                        <w:top w:val="none" w:sz="0" w:space="0" w:color="auto"/>
                        <w:left w:val="none" w:sz="0" w:space="0" w:color="auto"/>
                        <w:bottom w:val="none" w:sz="0" w:space="0" w:color="auto"/>
                        <w:right w:val="none" w:sz="0" w:space="0" w:color="auto"/>
                      </w:divBdr>
                      <w:divsChild>
                        <w:div w:id="80876462">
                          <w:marLeft w:val="0"/>
                          <w:marRight w:val="0"/>
                          <w:marTop w:val="0"/>
                          <w:marBottom w:val="0"/>
                          <w:divBdr>
                            <w:top w:val="none" w:sz="0" w:space="0" w:color="auto"/>
                            <w:left w:val="none" w:sz="0" w:space="0" w:color="auto"/>
                            <w:bottom w:val="none" w:sz="0" w:space="0" w:color="auto"/>
                            <w:right w:val="none" w:sz="0" w:space="0" w:color="auto"/>
                          </w:divBdr>
                        </w:div>
                      </w:divsChild>
                    </w:div>
                    <w:div w:id="292101634">
                      <w:marLeft w:val="0"/>
                      <w:marRight w:val="0"/>
                      <w:marTop w:val="0"/>
                      <w:marBottom w:val="0"/>
                      <w:divBdr>
                        <w:top w:val="none" w:sz="0" w:space="0" w:color="auto"/>
                        <w:left w:val="none" w:sz="0" w:space="0" w:color="auto"/>
                        <w:bottom w:val="none" w:sz="0" w:space="0" w:color="auto"/>
                        <w:right w:val="none" w:sz="0" w:space="0" w:color="auto"/>
                      </w:divBdr>
                      <w:divsChild>
                        <w:div w:id="1278758671">
                          <w:marLeft w:val="0"/>
                          <w:marRight w:val="0"/>
                          <w:marTop w:val="0"/>
                          <w:marBottom w:val="0"/>
                          <w:divBdr>
                            <w:top w:val="none" w:sz="0" w:space="0" w:color="auto"/>
                            <w:left w:val="none" w:sz="0" w:space="0" w:color="auto"/>
                            <w:bottom w:val="none" w:sz="0" w:space="0" w:color="auto"/>
                            <w:right w:val="none" w:sz="0" w:space="0" w:color="auto"/>
                          </w:divBdr>
                        </w:div>
                      </w:divsChild>
                    </w:div>
                    <w:div w:id="317806338">
                      <w:marLeft w:val="0"/>
                      <w:marRight w:val="0"/>
                      <w:marTop w:val="0"/>
                      <w:marBottom w:val="0"/>
                      <w:divBdr>
                        <w:top w:val="none" w:sz="0" w:space="0" w:color="auto"/>
                        <w:left w:val="none" w:sz="0" w:space="0" w:color="auto"/>
                        <w:bottom w:val="none" w:sz="0" w:space="0" w:color="auto"/>
                        <w:right w:val="none" w:sz="0" w:space="0" w:color="auto"/>
                      </w:divBdr>
                      <w:divsChild>
                        <w:div w:id="1455367988">
                          <w:marLeft w:val="0"/>
                          <w:marRight w:val="0"/>
                          <w:marTop w:val="0"/>
                          <w:marBottom w:val="0"/>
                          <w:divBdr>
                            <w:top w:val="none" w:sz="0" w:space="0" w:color="auto"/>
                            <w:left w:val="none" w:sz="0" w:space="0" w:color="auto"/>
                            <w:bottom w:val="none" w:sz="0" w:space="0" w:color="auto"/>
                            <w:right w:val="none" w:sz="0" w:space="0" w:color="auto"/>
                          </w:divBdr>
                        </w:div>
                      </w:divsChild>
                    </w:div>
                    <w:div w:id="320889348">
                      <w:marLeft w:val="0"/>
                      <w:marRight w:val="0"/>
                      <w:marTop w:val="0"/>
                      <w:marBottom w:val="0"/>
                      <w:divBdr>
                        <w:top w:val="none" w:sz="0" w:space="0" w:color="auto"/>
                        <w:left w:val="none" w:sz="0" w:space="0" w:color="auto"/>
                        <w:bottom w:val="none" w:sz="0" w:space="0" w:color="auto"/>
                        <w:right w:val="none" w:sz="0" w:space="0" w:color="auto"/>
                      </w:divBdr>
                      <w:divsChild>
                        <w:div w:id="973294581">
                          <w:marLeft w:val="0"/>
                          <w:marRight w:val="0"/>
                          <w:marTop w:val="0"/>
                          <w:marBottom w:val="0"/>
                          <w:divBdr>
                            <w:top w:val="none" w:sz="0" w:space="0" w:color="auto"/>
                            <w:left w:val="none" w:sz="0" w:space="0" w:color="auto"/>
                            <w:bottom w:val="none" w:sz="0" w:space="0" w:color="auto"/>
                            <w:right w:val="none" w:sz="0" w:space="0" w:color="auto"/>
                          </w:divBdr>
                        </w:div>
                      </w:divsChild>
                    </w:div>
                    <w:div w:id="321931162">
                      <w:marLeft w:val="0"/>
                      <w:marRight w:val="0"/>
                      <w:marTop w:val="0"/>
                      <w:marBottom w:val="0"/>
                      <w:divBdr>
                        <w:top w:val="none" w:sz="0" w:space="0" w:color="auto"/>
                        <w:left w:val="none" w:sz="0" w:space="0" w:color="auto"/>
                        <w:bottom w:val="none" w:sz="0" w:space="0" w:color="auto"/>
                        <w:right w:val="none" w:sz="0" w:space="0" w:color="auto"/>
                      </w:divBdr>
                      <w:divsChild>
                        <w:div w:id="2136093340">
                          <w:marLeft w:val="0"/>
                          <w:marRight w:val="0"/>
                          <w:marTop w:val="0"/>
                          <w:marBottom w:val="0"/>
                          <w:divBdr>
                            <w:top w:val="none" w:sz="0" w:space="0" w:color="auto"/>
                            <w:left w:val="none" w:sz="0" w:space="0" w:color="auto"/>
                            <w:bottom w:val="none" w:sz="0" w:space="0" w:color="auto"/>
                            <w:right w:val="none" w:sz="0" w:space="0" w:color="auto"/>
                          </w:divBdr>
                        </w:div>
                      </w:divsChild>
                    </w:div>
                    <w:div w:id="322903259">
                      <w:marLeft w:val="0"/>
                      <w:marRight w:val="0"/>
                      <w:marTop w:val="0"/>
                      <w:marBottom w:val="0"/>
                      <w:divBdr>
                        <w:top w:val="none" w:sz="0" w:space="0" w:color="auto"/>
                        <w:left w:val="none" w:sz="0" w:space="0" w:color="auto"/>
                        <w:bottom w:val="none" w:sz="0" w:space="0" w:color="auto"/>
                        <w:right w:val="none" w:sz="0" w:space="0" w:color="auto"/>
                      </w:divBdr>
                      <w:divsChild>
                        <w:div w:id="9765048">
                          <w:marLeft w:val="0"/>
                          <w:marRight w:val="0"/>
                          <w:marTop w:val="0"/>
                          <w:marBottom w:val="0"/>
                          <w:divBdr>
                            <w:top w:val="none" w:sz="0" w:space="0" w:color="auto"/>
                            <w:left w:val="none" w:sz="0" w:space="0" w:color="auto"/>
                            <w:bottom w:val="none" w:sz="0" w:space="0" w:color="auto"/>
                            <w:right w:val="none" w:sz="0" w:space="0" w:color="auto"/>
                          </w:divBdr>
                        </w:div>
                      </w:divsChild>
                    </w:div>
                    <w:div w:id="326448398">
                      <w:marLeft w:val="0"/>
                      <w:marRight w:val="0"/>
                      <w:marTop w:val="0"/>
                      <w:marBottom w:val="0"/>
                      <w:divBdr>
                        <w:top w:val="none" w:sz="0" w:space="0" w:color="auto"/>
                        <w:left w:val="none" w:sz="0" w:space="0" w:color="auto"/>
                        <w:bottom w:val="none" w:sz="0" w:space="0" w:color="auto"/>
                        <w:right w:val="none" w:sz="0" w:space="0" w:color="auto"/>
                      </w:divBdr>
                      <w:divsChild>
                        <w:div w:id="1685128646">
                          <w:marLeft w:val="0"/>
                          <w:marRight w:val="0"/>
                          <w:marTop w:val="0"/>
                          <w:marBottom w:val="0"/>
                          <w:divBdr>
                            <w:top w:val="none" w:sz="0" w:space="0" w:color="auto"/>
                            <w:left w:val="none" w:sz="0" w:space="0" w:color="auto"/>
                            <w:bottom w:val="none" w:sz="0" w:space="0" w:color="auto"/>
                            <w:right w:val="none" w:sz="0" w:space="0" w:color="auto"/>
                          </w:divBdr>
                        </w:div>
                      </w:divsChild>
                    </w:div>
                    <w:div w:id="332300036">
                      <w:marLeft w:val="0"/>
                      <w:marRight w:val="0"/>
                      <w:marTop w:val="0"/>
                      <w:marBottom w:val="0"/>
                      <w:divBdr>
                        <w:top w:val="none" w:sz="0" w:space="0" w:color="auto"/>
                        <w:left w:val="none" w:sz="0" w:space="0" w:color="auto"/>
                        <w:bottom w:val="none" w:sz="0" w:space="0" w:color="auto"/>
                        <w:right w:val="none" w:sz="0" w:space="0" w:color="auto"/>
                      </w:divBdr>
                      <w:divsChild>
                        <w:div w:id="703141066">
                          <w:marLeft w:val="0"/>
                          <w:marRight w:val="0"/>
                          <w:marTop w:val="0"/>
                          <w:marBottom w:val="0"/>
                          <w:divBdr>
                            <w:top w:val="none" w:sz="0" w:space="0" w:color="auto"/>
                            <w:left w:val="none" w:sz="0" w:space="0" w:color="auto"/>
                            <w:bottom w:val="none" w:sz="0" w:space="0" w:color="auto"/>
                            <w:right w:val="none" w:sz="0" w:space="0" w:color="auto"/>
                          </w:divBdr>
                        </w:div>
                      </w:divsChild>
                    </w:div>
                    <w:div w:id="349185020">
                      <w:marLeft w:val="0"/>
                      <w:marRight w:val="0"/>
                      <w:marTop w:val="0"/>
                      <w:marBottom w:val="0"/>
                      <w:divBdr>
                        <w:top w:val="none" w:sz="0" w:space="0" w:color="auto"/>
                        <w:left w:val="none" w:sz="0" w:space="0" w:color="auto"/>
                        <w:bottom w:val="none" w:sz="0" w:space="0" w:color="auto"/>
                        <w:right w:val="none" w:sz="0" w:space="0" w:color="auto"/>
                      </w:divBdr>
                      <w:divsChild>
                        <w:div w:id="1320383710">
                          <w:marLeft w:val="0"/>
                          <w:marRight w:val="0"/>
                          <w:marTop w:val="0"/>
                          <w:marBottom w:val="0"/>
                          <w:divBdr>
                            <w:top w:val="none" w:sz="0" w:space="0" w:color="auto"/>
                            <w:left w:val="none" w:sz="0" w:space="0" w:color="auto"/>
                            <w:bottom w:val="none" w:sz="0" w:space="0" w:color="auto"/>
                            <w:right w:val="none" w:sz="0" w:space="0" w:color="auto"/>
                          </w:divBdr>
                        </w:div>
                      </w:divsChild>
                    </w:div>
                    <w:div w:id="357126377">
                      <w:marLeft w:val="0"/>
                      <w:marRight w:val="0"/>
                      <w:marTop w:val="0"/>
                      <w:marBottom w:val="0"/>
                      <w:divBdr>
                        <w:top w:val="none" w:sz="0" w:space="0" w:color="auto"/>
                        <w:left w:val="none" w:sz="0" w:space="0" w:color="auto"/>
                        <w:bottom w:val="none" w:sz="0" w:space="0" w:color="auto"/>
                        <w:right w:val="none" w:sz="0" w:space="0" w:color="auto"/>
                      </w:divBdr>
                      <w:divsChild>
                        <w:div w:id="282154868">
                          <w:marLeft w:val="0"/>
                          <w:marRight w:val="0"/>
                          <w:marTop w:val="0"/>
                          <w:marBottom w:val="0"/>
                          <w:divBdr>
                            <w:top w:val="none" w:sz="0" w:space="0" w:color="auto"/>
                            <w:left w:val="none" w:sz="0" w:space="0" w:color="auto"/>
                            <w:bottom w:val="none" w:sz="0" w:space="0" w:color="auto"/>
                            <w:right w:val="none" w:sz="0" w:space="0" w:color="auto"/>
                          </w:divBdr>
                        </w:div>
                      </w:divsChild>
                    </w:div>
                    <w:div w:id="365638089">
                      <w:marLeft w:val="0"/>
                      <w:marRight w:val="0"/>
                      <w:marTop w:val="0"/>
                      <w:marBottom w:val="0"/>
                      <w:divBdr>
                        <w:top w:val="none" w:sz="0" w:space="0" w:color="auto"/>
                        <w:left w:val="none" w:sz="0" w:space="0" w:color="auto"/>
                        <w:bottom w:val="none" w:sz="0" w:space="0" w:color="auto"/>
                        <w:right w:val="none" w:sz="0" w:space="0" w:color="auto"/>
                      </w:divBdr>
                      <w:divsChild>
                        <w:div w:id="1965623497">
                          <w:marLeft w:val="0"/>
                          <w:marRight w:val="0"/>
                          <w:marTop w:val="0"/>
                          <w:marBottom w:val="0"/>
                          <w:divBdr>
                            <w:top w:val="none" w:sz="0" w:space="0" w:color="auto"/>
                            <w:left w:val="none" w:sz="0" w:space="0" w:color="auto"/>
                            <w:bottom w:val="none" w:sz="0" w:space="0" w:color="auto"/>
                            <w:right w:val="none" w:sz="0" w:space="0" w:color="auto"/>
                          </w:divBdr>
                        </w:div>
                      </w:divsChild>
                    </w:div>
                    <w:div w:id="366951676">
                      <w:marLeft w:val="0"/>
                      <w:marRight w:val="0"/>
                      <w:marTop w:val="0"/>
                      <w:marBottom w:val="0"/>
                      <w:divBdr>
                        <w:top w:val="none" w:sz="0" w:space="0" w:color="auto"/>
                        <w:left w:val="none" w:sz="0" w:space="0" w:color="auto"/>
                        <w:bottom w:val="none" w:sz="0" w:space="0" w:color="auto"/>
                        <w:right w:val="none" w:sz="0" w:space="0" w:color="auto"/>
                      </w:divBdr>
                      <w:divsChild>
                        <w:div w:id="1091506668">
                          <w:marLeft w:val="0"/>
                          <w:marRight w:val="0"/>
                          <w:marTop w:val="0"/>
                          <w:marBottom w:val="0"/>
                          <w:divBdr>
                            <w:top w:val="none" w:sz="0" w:space="0" w:color="auto"/>
                            <w:left w:val="none" w:sz="0" w:space="0" w:color="auto"/>
                            <w:bottom w:val="none" w:sz="0" w:space="0" w:color="auto"/>
                            <w:right w:val="none" w:sz="0" w:space="0" w:color="auto"/>
                          </w:divBdr>
                        </w:div>
                      </w:divsChild>
                    </w:div>
                    <w:div w:id="374474998">
                      <w:marLeft w:val="0"/>
                      <w:marRight w:val="0"/>
                      <w:marTop w:val="0"/>
                      <w:marBottom w:val="0"/>
                      <w:divBdr>
                        <w:top w:val="none" w:sz="0" w:space="0" w:color="auto"/>
                        <w:left w:val="none" w:sz="0" w:space="0" w:color="auto"/>
                        <w:bottom w:val="none" w:sz="0" w:space="0" w:color="auto"/>
                        <w:right w:val="none" w:sz="0" w:space="0" w:color="auto"/>
                      </w:divBdr>
                      <w:divsChild>
                        <w:div w:id="280301559">
                          <w:marLeft w:val="0"/>
                          <w:marRight w:val="0"/>
                          <w:marTop w:val="0"/>
                          <w:marBottom w:val="0"/>
                          <w:divBdr>
                            <w:top w:val="none" w:sz="0" w:space="0" w:color="auto"/>
                            <w:left w:val="none" w:sz="0" w:space="0" w:color="auto"/>
                            <w:bottom w:val="none" w:sz="0" w:space="0" w:color="auto"/>
                            <w:right w:val="none" w:sz="0" w:space="0" w:color="auto"/>
                          </w:divBdr>
                        </w:div>
                      </w:divsChild>
                    </w:div>
                    <w:div w:id="377824345">
                      <w:marLeft w:val="0"/>
                      <w:marRight w:val="0"/>
                      <w:marTop w:val="0"/>
                      <w:marBottom w:val="0"/>
                      <w:divBdr>
                        <w:top w:val="none" w:sz="0" w:space="0" w:color="auto"/>
                        <w:left w:val="none" w:sz="0" w:space="0" w:color="auto"/>
                        <w:bottom w:val="none" w:sz="0" w:space="0" w:color="auto"/>
                        <w:right w:val="none" w:sz="0" w:space="0" w:color="auto"/>
                      </w:divBdr>
                      <w:divsChild>
                        <w:div w:id="1165781080">
                          <w:marLeft w:val="0"/>
                          <w:marRight w:val="0"/>
                          <w:marTop w:val="0"/>
                          <w:marBottom w:val="0"/>
                          <w:divBdr>
                            <w:top w:val="none" w:sz="0" w:space="0" w:color="auto"/>
                            <w:left w:val="none" w:sz="0" w:space="0" w:color="auto"/>
                            <w:bottom w:val="none" w:sz="0" w:space="0" w:color="auto"/>
                            <w:right w:val="none" w:sz="0" w:space="0" w:color="auto"/>
                          </w:divBdr>
                        </w:div>
                      </w:divsChild>
                    </w:div>
                    <w:div w:id="384181946">
                      <w:marLeft w:val="0"/>
                      <w:marRight w:val="0"/>
                      <w:marTop w:val="0"/>
                      <w:marBottom w:val="0"/>
                      <w:divBdr>
                        <w:top w:val="none" w:sz="0" w:space="0" w:color="auto"/>
                        <w:left w:val="none" w:sz="0" w:space="0" w:color="auto"/>
                        <w:bottom w:val="none" w:sz="0" w:space="0" w:color="auto"/>
                        <w:right w:val="none" w:sz="0" w:space="0" w:color="auto"/>
                      </w:divBdr>
                      <w:divsChild>
                        <w:div w:id="1514145659">
                          <w:marLeft w:val="0"/>
                          <w:marRight w:val="0"/>
                          <w:marTop w:val="0"/>
                          <w:marBottom w:val="0"/>
                          <w:divBdr>
                            <w:top w:val="none" w:sz="0" w:space="0" w:color="auto"/>
                            <w:left w:val="none" w:sz="0" w:space="0" w:color="auto"/>
                            <w:bottom w:val="none" w:sz="0" w:space="0" w:color="auto"/>
                            <w:right w:val="none" w:sz="0" w:space="0" w:color="auto"/>
                          </w:divBdr>
                        </w:div>
                      </w:divsChild>
                    </w:div>
                    <w:div w:id="394089915">
                      <w:marLeft w:val="0"/>
                      <w:marRight w:val="0"/>
                      <w:marTop w:val="0"/>
                      <w:marBottom w:val="0"/>
                      <w:divBdr>
                        <w:top w:val="none" w:sz="0" w:space="0" w:color="auto"/>
                        <w:left w:val="none" w:sz="0" w:space="0" w:color="auto"/>
                        <w:bottom w:val="none" w:sz="0" w:space="0" w:color="auto"/>
                        <w:right w:val="none" w:sz="0" w:space="0" w:color="auto"/>
                      </w:divBdr>
                      <w:divsChild>
                        <w:div w:id="1950580088">
                          <w:marLeft w:val="0"/>
                          <w:marRight w:val="0"/>
                          <w:marTop w:val="0"/>
                          <w:marBottom w:val="0"/>
                          <w:divBdr>
                            <w:top w:val="none" w:sz="0" w:space="0" w:color="auto"/>
                            <w:left w:val="none" w:sz="0" w:space="0" w:color="auto"/>
                            <w:bottom w:val="none" w:sz="0" w:space="0" w:color="auto"/>
                            <w:right w:val="none" w:sz="0" w:space="0" w:color="auto"/>
                          </w:divBdr>
                        </w:div>
                      </w:divsChild>
                    </w:div>
                    <w:div w:id="394282917">
                      <w:marLeft w:val="0"/>
                      <w:marRight w:val="0"/>
                      <w:marTop w:val="0"/>
                      <w:marBottom w:val="0"/>
                      <w:divBdr>
                        <w:top w:val="none" w:sz="0" w:space="0" w:color="auto"/>
                        <w:left w:val="none" w:sz="0" w:space="0" w:color="auto"/>
                        <w:bottom w:val="none" w:sz="0" w:space="0" w:color="auto"/>
                        <w:right w:val="none" w:sz="0" w:space="0" w:color="auto"/>
                      </w:divBdr>
                      <w:divsChild>
                        <w:div w:id="1762292771">
                          <w:marLeft w:val="0"/>
                          <w:marRight w:val="0"/>
                          <w:marTop w:val="0"/>
                          <w:marBottom w:val="0"/>
                          <w:divBdr>
                            <w:top w:val="none" w:sz="0" w:space="0" w:color="auto"/>
                            <w:left w:val="none" w:sz="0" w:space="0" w:color="auto"/>
                            <w:bottom w:val="none" w:sz="0" w:space="0" w:color="auto"/>
                            <w:right w:val="none" w:sz="0" w:space="0" w:color="auto"/>
                          </w:divBdr>
                        </w:div>
                      </w:divsChild>
                    </w:div>
                    <w:div w:id="395058036">
                      <w:marLeft w:val="0"/>
                      <w:marRight w:val="0"/>
                      <w:marTop w:val="0"/>
                      <w:marBottom w:val="0"/>
                      <w:divBdr>
                        <w:top w:val="none" w:sz="0" w:space="0" w:color="auto"/>
                        <w:left w:val="none" w:sz="0" w:space="0" w:color="auto"/>
                        <w:bottom w:val="none" w:sz="0" w:space="0" w:color="auto"/>
                        <w:right w:val="none" w:sz="0" w:space="0" w:color="auto"/>
                      </w:divBdr>
                      <w:divsChild>
                        <w:div w:id="719552131">
                          <w:marLeft w:val="0"/>
                          <w:marRight w:val="0"/>
                          <w:marTop w:val="0"/>
                          <w:marBottom w:val="0"/>
                          <w:divBdr>
                            <w:top w:val="none" w:sz="0" w:space="0" w:color="auto"/>
                            <w:left w:val="none" w:sz="0" w:space="0" w:color="auto"/>
                            <w:bottom w:val="none" w:sz="0" w:space="0" w:color="auto"/>
                            <w:right w:val="none" w:sz="0" w:space="0" w:color="auto"/>
                          </w:divBdr>
                        </w:div>
                      </w:divsChild>
                    </w:div>
                    <w:div w:id="398788241">
                      <w:marLeft w:val="0"/>
                      <w:marRight w:val="0"/>
                      <w:marTop w:val="0"/>
                      <w:marBottom w:val="0"/>
                      <w:divBdr>
                        <w:top w:val="none" w:sz="0" w:space="0" w:color="auto"/>
                        <w:left w:val="none" w:sz="0" w:space="0" w:color="auto"/>
                        <w:bottom w:val="none" w:sz="0" w:space="0" w:color="auto"/>
                        <w:right w:val="none" w:sz="0" w:space="0" w:color="auto"/>
                      </w:divBdr>
                      <w:divsChild>
                        <w:div w:id="799613184">
                          <w:marLeft w:val="0"/>
                          <w:marRight w:val="0"/>
                          <w:marTop w:val="0"/>
                          <w:marBottom w:val="0"/>
                          <w:divBdr>
                            <w:top w:val="none" w:sz="0" w:space="0" w:color="auto"/>
                            <w:left w:val="none" w:sz="0" w:space="0" w:color="auto"/>
                            <w:bottom w:val="none" w:sz="0" w:space="0" w:color="auto"/>
                            <w:right w:val="none" w:sz="0" w:space="0" w:color="auto"/>
                          </w:divBdr>
                        </w:div>
                      </w:divsChild>
                    </w:div>
                    <w:div w:id="401875471">
                      <w:marLeft w:val="0"/>
                      <w:marRight w:val="0"/>
                      <w:marTop w:val="0"/>
                      <w:marBottom w:val="0"/>
                      <w:divBdr>
                        <w:top w:val="none" w:sz="0" w:space="0" w:color="auto"/>
                        <w:left w:val="none" w:sz="0" w:space="0" w:color="auto"/>
                        <w:bottom w:val="none" w:sz="0" w:space="0" w:color="auto"/>
                        <w:right w:val="none" w:sz="0" w:space="0" w:color="auto"/>
                      </w:divBdr>
                      <w:divsChild>
                        <w:div w:id="971835997">
                          <w:marLeft w:val="0"/>
                          <w:marRight w:val="0"/>
                          <w:marTop w:val="0"/>
                          <w:marBottom w:val="0"/>
                          <w:divBdr>
                            <w:top w:val="none" w:sz="0" w:space="0" w:color="auto"/>
                            <w:left w:val="none" w:sz="0" w:space="0" w:color="auto"/>
                            <w:bottom w:val="none" w:sz="0" w:space="0" w:color="auto"/>
                            <w:right w:val="none" w:sz="0" w:space="0" w:color="auto"/>
                          </w:divBdr>
                        </w:div>
                      </w:divsChild>
                    </w:div>
                    <w:div w:id="404113717">
                      <w:marLeft w:val="0"/>
                      <w:marRight w:val="0"/>
                      <w:marTop w:val="0"/>
                      <w:marBottom w:val="0"/>
                      <w:divBdr>
                        <w:top w:val="none" w:sz="0" w:space="0" w:color="auto"/>
                        <w:left w:val="none" w:sz="0" w:space="0" w:color="auto"/>
                        <w:bottom w:val="none" w:sz="0" w:space="0" w:color="auto"/>
                        <w:right w:val="none" w:sz="0" w:space="0" w:color="auto"/>
                      </w:divBdr>
                      <w:divsChild>
                        <w:div w:id="1880778029">
                          <w:marLeft w:val="0"/>
                          <w:marRight w:val="0"/>
                          <w:marTop w:val="0"/>
                          <w:marBottom w:val="0"/>
                          <w:divBdr>
                            <w:top w:val="none" w:sz="0" w:space="0" w:color="auto"/>
                            <w:left w:val="none" w:sz="0" w:space="0" w:color="auto"/>
                            <w:bottom w:val="none" w:sz="0" w:space="0" w:color="auto"/>
                            <w:right w:val="none" w:sz="0" w:space="0" w:color="auto"/>
                          </w:divBdr>
                        </w:div>
                      </w:divsChild>
                    </w:div>
                    <w:div w:id="406221964">
                      <w:marLeft w:val="0"/>
                      <w:marRight w:val="0"/>
                      <w:marTop w:val="0"/>
                      <w:marBottom w:val="0"/>
                      <w:divBdr>
                        <w:top w:val="none" w:sz="0" w:space="0" w:color="auto"/>
                        <w:left w:val="none" w:sz="0" w:space="0" w:color="auto"/>
                        <w:bottom w:val="none" w:sz="0" w:space="0" w:color="auto"/>
                        <w:right w:val="none" w:sz="0" w:space="0" w:color="auto"/>
                      </w:divBdr>
                      <w:divsChild>
                        <w:div w:id="1030178371">
                          <w:marLeft w:val="0"/>
                          <w:marRight w:val="0"/>
                          <w:marTop w:val="0"/>
                          <w:marBottom w:val="0"/>
                          <w:divBdr>
                            <w:top w:val="none" w:sz="0" w:space="0" w:color="auto"/>
                            <w:left w:val="none" w:sz="0" w:space="0" w:color="auto"/>
                            <w:bottom w:val="none" w:sz="0" w:space="0" w:color="auto"/>
                            <w:right w:val="none" w:sz="0" w:space="0" w:color="auto"/>
                          </w:divBdr>
                        </w:div>
                      </w:divsChild>
                    </w:div>
                    <w:div w:id="410275940">
                      <w:marLeft w:val="0"/>
                      <w:marRight w:val="0"/>
                      <w:marTop w:val="0"/>
                      <w:marBottom w:val="0"/>
                      <w:divBdr>
                        <w:top w:val="none" w:sz="0" w:space="0" w:color="auto"/>
                        <w:left w:val="none" w:sz="0" w:space="0" w:color="auto"/>
                        <w:bottom w:val="none" w:sz="0" w:space="0" w:color="auto"/>
                        <w:right w:val="none" w:sz="0" w:space="0" w:color="auto"/>
                      </w:divBdr>
                      <w:divsChild>
                        <w:div w:id="644748223">
                          <w:marLeft w:val="0"/>
                          <w:marRight w:val="0"/>
                          <w:marTop w:val="0"/>
                          <w:marBottom w:val="0"/>
                          <w:divBdr>
                            <w:top w:val="none" w:sz="0" w:space="0" w:color="auto"/>
                            <w:left w:val="none" w:sz="0" w:space="0" w:color="auto"/>
                            <w:bottom w:val="none" w:sz="0" w:space="0" w:color="auto"/>
                            <w:right w:val="none" w:sz="0" w:space="0" w:color="auto"/>
                          </w:divBdr>
                        </w:div>
                      </w:divsChild>
                    </w:div>
                    <w:div w:id="412897179">
                      <w:marLeft w:val="0"/>
                      <w:marRight w:val="0"/>
                      <w:marTop w:val="0"/>
                      <w:marBottom w:val="0"/>
                      <w:divBdr>
                        <w:top w:val="none" w:sz="0" w:space="0" w:color="auto"/>
                        <w:left w:val="none" w:sz="0" w:space="0" w:color="auto"/>
                        <w:bottom w:val="none" w:sz="0" w:space="0" w:color="auto"/>
                        <w:right w:val="none" w:sz="0" w:space="0" w:color="auto"/>
                      </w:divBdr>
                      <w:divsChild>
                        <w:div w:id="219633854">
                          <w:marLeft w:val="0"/>
                          <w:marRight w:val="0"/>
                          <w:marTop w:val="0"/>
                          <w:marBottom w:val="0"/>
                          <w:divBdr>
                            <w:top w:val="none" w:sz="0" w:space="0" w:color="auto"/>
                            <w:left w:val="none" w:sz="0" w:space="0" w:color="auto"/>
                            <w:bottom w:val="none" w:sz="0" w:space="0" w:color="auto"/>
                            <w:right w:val="none" w:sz="0" w:space="0" w:color="auto"/>
                          </w:divBdr>
                        </w:div>
                      </w:divsChild>
                    </w:div>
                    <w:div w:id="416942023">
                      <w:marLeft w:val="0"/>
                      <w:marRight w:val="0"/>
                      <w:marTop w:val="0"/>
                      <w:marBottom w:val="0"/>
                      <w:divBdr>
                        <w:top w:val="none" w:sz="0" w:space="0" w:color="auto"/>
                        <w:left w:val="none" w:sz="0" w:space="0" w:color="auto"/>
                        <w:bottom w:val="none" w:sz="0" w:space="0" w:color="auto"/>
                        <w:right w:val="none" w:sz="0" w:space="0" w:color="auto"/>
                      </w:divBdr>
                      <w:divsChild>
                        <w:div w:id="32192987">
                          <w:marLeft w:val="0"/>
                          <w:marRight w:val="0"/>
                          <w:marTop w:val="0"/>
                          <w:marBottom w:val="0"/>
                          <w:divBdr>
                            <w:top w:val="none" w:sz="0" w:space="0" w:color="auto"/>
                            <w:left w:val="none" w:sz="0" w:space="0" w:color="auto"/>
                            <w:bottom w:val="none" w:sz="0" w:space="0" w:color="auto"/>
                            <w:right w:val="none" w:sz="0" w:space="0" w:color="auto"/>
                          </w:divBdr>
                        </w:div>
                      </w:divsChild>
                    </w:div>
                    <w:div w:id="419909572">
                      <w:marLeft w:val="0"/>
                      <w:marRight w:val="0"/>
                      <w:marTop w:val="0"/>
                      <w:marBottom w:val="0"/>
                      <w:divBdr>
                        <w:top w:val="none" w:sz="0" w:space="0" w:color="auto"/>
                        <w:left w:val="none" w:sz="0" w:space="0" w:color="auto"/>
                        <w:bottom w:val="none" w:sz="0" w:space="0" w:color="auto"/>
                        <w:right w:val="none" w:sz="0" w:space="0" w:color="auto"/>
                      </w:divBdr>
                      <w:divsChild>
                        <w:div w:id="1397320162">
                          <w:marLeft w:val="0"/>
                          <w:marRight w:val="0"/>
                          <w:marTop w:val="0"/>
                          <w:marBottom w:val="0"/>
                          <w:divBdr>
                            <w:top w:val="none" w:sz="0" w:space="0" w:color="auto"/>
                            <w:left w:val="none" w:sz="0" w:space="0" w:color="auto"/>
                            <w:bottom w:val="none" w:sz="0" w:space="0" w:color="auto"/>
                            <w:right w:val="none" w:sz="0" w:space="0" w:color="auto"/>
                          </w:divBdr>
                        </w:div>
                      </w:divsChild>
                    </w:div>
                    <w:div w:id="434985795">
                      <w:marLeft w:val="0"/>
                      <w:marRight w:val="0"/>
                      <w:marTop w:val="0"/>
                      <w:marBottom w:val="0"/>
                      <w:divBdr>
                        <w:top w:val="none" w:sz="0" w:space="0" w:color="auto"/>
                        <w:left w:val="none" w:sz="0" w:space="0" w:color="auto"/>
                        <w:bottom w:val="none" w:sz="0" w:space="0" w:color="auto"/>
                        <w:right w:val="none" w:sz="0" w:space="0" w:color="auto"/>
                      </w:divBdr>
                      <w:divsChild>
                        <w:div w:id="4091145">
                          <w:marLeft w:val="0"/>
                          <w:marRight w:val="0"/>
                          <w:marTop w:val="0"/>
                          <w:marBottom w:val="0"/>
                          <w:divBdr>
                            <w:top w:val="none" w:sz="0" w:space="0" w:color="auto"/>
                            <w:left w:val="none" w:sz="0" w:space="0" w:color="auto"/>
                            <w:bottom w:val="none" w:sz="0" w:space="0" w:color="auto"/>
                            <w:right w:val="none" w:sz="0" w:space="0" w:color="auto"/>
                          </w:divBdr>
                        </w:div>
                      </w:divsChild>
                    </w:div>
                    <w:div w:id="435103518">
                      <w:marLeft w:val="0"/>
                      <w:marRight w:val="0"/>
                      <w:marTop w:val="0"/>
                      <w:marBottom w:val="0"/>
                      <w:divBdr>
                        <w:top w:val="none" w:sz="0" w:space="0" w:color="auto"/>
                        <w:left w:val="none" w:sz="0" w:space="0" w:color="auto"/>
                        <w:bottom w:val="none" w:sz="0" w:space="0" w:color="auto"/>
                        <w:right w:val="none" w:sz="0" w:space="0" w:color="auto"/>
                      </w:divBdr>
                      <w:divsChild>
                        <w:div w:id="1038552429">
                          <w:marLeft w:val="0"/>
                          <w:marRight w:val="0"/>
                          <w:marTop w:val="0"/>
                          <w:marBottom w:val="0"/>
                          <w:divBdr>
                            <w:top w:val="none" w:sz="0" w:space="0" w:color="auto"/>
                            <w:left w:val="none" w:sz="0" w:space="0" w:color="auto"/>
                            <w:bottom w:val="none" w:sz="0" w:space="0" w:color="auto"/>
                            <w:right w:val="none" w:sz="0" w:space="0" w:color="auto"/>
                          </w:divBdr>
                        </w:div>
                      </w:divsChild>
                    </w:div>
                    <w:div w:id="442044493">
                      <w:marLeft w:val="0"/>
                      <w:marRight w:val="0"/>
                      <w:marTop w:val="0"/>
                      <w:marBottom w:val="0"/>
                      <w:divBdr>
                        <w:top w:val="none" w:sz="0" w:space="0" w:color="auto"/>
                        <w:left w:val="none" w:sz="0" w:space="0" w:color="auto"/>
                        <w:bottom w:val="none" w:sz="0" w:space="0" w:color="auto"/>
                        <w:right w:val="none" w:sz="0" w:space="0" w:color="auto"/>
                      </w:divBdr>
                      <w:divsChild>
                        <w:div w:id="358702557">
                          <w:marLeft w:val="0"/>
                          <w:marRight w:val="0"/>
                          <w:marTop w:val="0"/>
                          <w:marBottom w:val="0"/>
                          <w:divBdr>
                            <w:top w:val="none" w:sz="0" w:space="0" w:color="auto"/>
                            <w:left w:val="none" w:sz="0" w:space="0" w:color="auto"/>
                            <w:bottom w:val="none" w:sz="0" w:space="0" w:color="auto"/>
                            <w:right w:val="none" w:sz="0" w:space="0" w:color="auto"/>
                          </w:divBdr>
                        </w:div>
                      </w:divsChild>
                    </w:div>
                    <w:div w:id="447816603">
                      <w:marLeft w:val="0"/>
                      <w:marRight w:val="0"/>
                      <w:marTop w:val="0"/>
                      <w:marBottom w:val="0"/>
                      <w:divBdr>
                        <w:top w:val="none" w:sz="0" w:space="0" w:color="auto"/>
                        <w:left w:val="none" w:sz="0" w:space="0" w:color="auto"/>
                        <w:bottom w:val="none" w:sz="0" w:space="0" w:color="auto"/>
                        <w:right w:val="none" w:sz="0" w:space="0" w:color="auto"/>
                      </w:divBdr>
                      <w:divsChild>
                        <w:div w:id="1999574875">
                          <w:marLeft w:val="0"/>
                          <w:marRight w:val="0"/>
                          <w:marTop w:val="0"/>
                          <w:marBottom w:val="0"/>
                          <w:divBdr>
                            <w:top w:val="none" w:sz="0" w:space="0" w:color="auto"/>
                            <w:left w:val="none" w:sz="0" w:space="0" w:color="auto"/>
                            <w:bottom w:val="none" w:sz="0" w:space="0" w:color="auto"/>
                            <w:right w:val="none" w:sz="0" w:space="0" w:color="auto"/>
                          </w:divBdr>
                        </w:div>
                      </w:divsChild>
                    </w:div>
                    <w:div w:id="450125512">
                      <w:marLeft w:val="0"/>
                      <w:marRight w:val="0"/>
                      <w:marTop w:val="0"/>
                      <w:marBottom w:val="0"/>
                      <w:divBdr>
                        <w:top w:val="none" w:sz="0" w:space="0" w:color="auto"/>
                        <w:left w:val="none" w:sz="0" w:space="0" w:color="auto"/>
                        <w:bottom w:val="none" w:sz="0" w:space="0" w:color="auto"/>
                        <w:right w:val="none" w:sz="0" w:space="0" w:color="auto"/>
                      </w:divBdr>
                      <w:divsChild>
                        <w:div w:id="946232704">
                          <w:marLeft w:val="0"/>
                          <w:marRight w:val="0"/>
                          <w:marTop w:val="0"/>
                          <w:marBottom w:val="0"/>
                          <w:divBdr>
                            <w:top w:val="none" w:sz="0" w:space="0" w:color="auto"/>
                            <w:left w:val="none" w:sz="0" w:space="0" w:color="auto"/>
                            <w:bottom w:val="none" w:sz="0" w:space="0" w:color="auto"/>
                            <w:right w:val="none" w:sz="0" w:space="0" w:color="auto"/>
                          </w:divBdr>
                        </w:div>
                      </w:divsChild>
                    </w:div>
                    <w:div w:id="450322187">
                      <w:marLeft w:val="0"/>
                      <w:marRight w:val="0"/>
                      <w:marTop w:val="0"/>
                      <w:marBottom w:val="0"/>
                      <w:divBdr>
                        <w:top w:val="none" w:sz="0" w:space="0" w:color="auto"/>
                        <w:left w:val="none" w:sz="0" w:space="0" w:color="auto"/>
                        <w:bottom w:val="none" w:sz="0" w:space="0" w:color="auto"/>
                        <w:right w:val="none" w:sz="0" w:space="0" w:color="auto"/>
                      </w:divBdr>
                      <w:divsChild>
                        <w:div w:id="1855875977">
                          <w:marLeft w:val="0"/>
                          <w:marRight w:val="0"/>
                          <w:marTop w:val="0"/>
                          <w:marBottom w:val="0"/>
                          <w:divBdr>
                            <w:top w:val="none" w:sz="0" w:space="0" w:color="auto"/>
                            <w:left w:val="none" w:sz="0" w:space="0" w:color="auto"/>
                            <w:bottom w:val="none" w:sz="0" w:space="0" w:color="auto"/>
                            <w:right w:val="none" w:sz="0" w:space="0" w:color="auto"/>
                          </w:divBdr>
                        </w:div>
                      </w:divsChild>
                    </w:div>
                    <w:div w:id="452483280">
                      <w:marLeft w:val="0"/>
                      <w:marRight w:val="0"/>
                      <w:marTop w:val="0"/>
                      <w:marBottom w:val="0"/>
                      <w:divBdr>
                        <w:top w:val="none" w:sz="0" w:space="0" w:color="auto"/>
                        <w:left w:val="none" w:sz="0" w:space="0" w:color="auto"/>
                        <w:bottom w:val="none" w:sz="0" w:space="0" w:color="auto"/>
                        <w:right w:val="none" w:sz="0" w:space="0" w:color="auto"/>
                      </w:divBdr>
                      <w:divsChild>
                        <w:div w:id="1750925750">
                          <w:marLeft w:val="0"/>
                          <w:marRight w:val="0"/>
                          <w:marTop w:val="0"/>
                          <w:marBottom w:val="0"/>
                          <w:divBdr>
                            <w:top w:val="none" w:sz="0" w:space="0" w:color="auto"/>
                            <w:left w:val="none" w:sz="0" w:space="0" w:color="auto"/>
                            <w:bottom w:val="none" w:sz="0" w:space="0" w:color="auto"/>
                            <w:right w:val="none" w:sz="0" w:space="0" w:color="auto"/>
                          </w:divBdr>
                        </w:div>
                      </w:divsChild>
                    </w:div>
                    <w:div w:id="459303948">
                      <w:marLeft w:val="0"/>
                      <w:marRight w:val="0"/>
                      <w:marTop w:val="0"/>
                      <w:marBottom w:val="0"/>
                      <w:divBdr>
                        <w:top w:val="none" w:sz="0" w:space="0" w:color="auto"/>
                        <w:left w:val="none" w:sz="0" w:space="0" w:color="auto"/>
                        <w:bottom w:val="none" w:sz="0" w:space="0" w:color="auto"/>
                        <w:right w:val="none" w:sz="0" w:space="0" w:color="auto"/>
                      </w:divBdr>
                      <w:divsChild>
                        <w:div w:id="2115861533">
                          <w:marLeft w:val="0"/>
                          <w:marRight w:val="0"/>
                          <w:marTop w:val="0"/>
                          <w:marBottom w:val="0"/>
                          <w:divBdr>
                            <w:top w:val="none" w:sz="0" w:space="0" w:color="auto"/>
                            <w:left w:val="none" w:sz="0" w:space="0" w:color="auto"/>
                            <w:bottom w:val="none" w:sz="0" w:space="0" w:color="auto"/>
                            <w:right w:val="none" w:sz="0" w:space="0" w:color="auto"/>
                          </w:divBdr>
                        </w:div>
                      </w:divsChild>
                    </w:div>
                    <w:div w:id="480851250">
                      <w:marLeft w:val="0"/>
                      <w:marRight w:val="0"/>
                      <w:marTop w:val="0"/>
                      <w:marBottom w:val="0"/>
                      <w:divBdr>
                        <w:top w:val="none" w:sz="0" w:space="0" w:color="auto"/>
                        <w:left w:val="none" w:sz="0" w:space="0" w:color="auto"/>
                        <w:bottom w:val="none" w:sz="0" w:space="0" w:color="auto"/>
                        <w:right w:val="none" w:sz="0" w:space="0" w:color="auto"/>
                      </w:divBdr>
                      <w:divsChild>
                        <w:div w:id="230427679">
                          <w:marLeft w:val="0"/>
                          <w:marRight w:val="0"/>
                          <w:marTop w:val="0"/>
                          <w:marBottom w:val="0"/>
                          <w:divBdr>
                            <w:top w:val="none" w:sz="0" w:space="0" w:color="auto"/>
                            <w:left w:val="none" w:sz="0" w:space="0" w:color="auto"/>
                            <w:bottom w:val="none" w:sz="0" w:space="0" w:color="auto"/>
                            <w:right w:val="none" w:sz="0" w:space="0" w:color="auto"/>
                          </w:divBdr>
                        </w:div>
                      </w:divsChild>
                    </w:div>
                    <w:div w:id="487282598">
                      <w:marLeft w:val="0"/>
                      <w:marRight w:val="0"/>
                      <w:marTop w:val="0"/>
                      <w:marBottom w:val="0"/>
                      <w:divBdr>
                        <w:top w:val="none" w:sz="0" w:space="0" w:color="auto"/>
                        <w:left w:val="none" w:sz="0" w:space="0" w:color="auto"/>
                        <w:bottom w:val="none" w:sz="0" w:space="0" w:color="auto"/>
                        <w:right w:val="none" w:sz="0" w:space="0" w:color="auto"/>
                      </w:divBdr>
                      <w:divsChild>
                        <w:div w:id="142738403">
                          <w:marLeft w:val="0"/>
                          <w:marRight w:val="0"/>
                          <w:marTop w:val="0"/>
                          <w:marBottom w:val="0"/>
                          <w:divBdr>
                            <w:top w:val="none" w:sz="0" w:space="0" w:color="auto"/>
                            <w:left w:val="none" w:sz="0" w:space="0" w:color="auto"/>
                            <w:bottom w:val="none" w:sz="0" w:space="0" w:color="auto"/>
                            <w:right w:val="none" w:sz="0" w:space="0" w:color="auto"/>
                          </w:divBdr>
                        </w:div>
                      </w:divsChild>
                    </w:div>
                    <w:div w:id="499542236">
                      <w:marLeft w:val="0"/>
                      <w:marRight w:val="0"/>
                      <w:marTop w:val="0"/>
                      <w:marBottom w:val="0"/>
                      <w:divBdr>
                        <w:top w:val="none" w:sz="0" w:space="0" w:color="auto"/>
                        <w:left w:val="none" w:sz="0" w:space="0" w:color="auto"/>
                        <w:bottom w:val="none" w:sz="0" w:space="0" w:color="auto"/>
                        <w:right w:val="none" w:sz="0" w:space="0" w:color="auto"/>
                      </w:divBdr>
                      <w:divsChild>
                        <w:div w:id="1352612208">
                          <w:marLeft w:val="0"/>
                          <w:marRight w:val="0"/>
                          <w:marTop w:val="0"/>
                          <w:marBottom w:val="0"/>
                          <w:divBdr>
                            <w:top w:val="none" w:sz="0" w:space="0" w:color="auto"/>
                            <w:left w:val="none" w:sz="0" w:space="0" w:color="auto"/>
                            <w:bottom w:val="none" w:sz="0" w:space="0" w:color="auto"/>
                            <w:right w:val="none" w:sz="0" w:space="0" w:color="auto"/>
                          </w:divBdr>
                        </w:div>
                      </w:divsChild>
                    </w:div>
                    <w:div w:id="510144934">
                      <w:marLeft w:val="0"/>
                      <w:marRight w:val="0"/>
                      <w:marTop w:val="0"/>
                      <w:marBottom w:val="0"/>
                      <w:divBdr>
                        <w:top w:val="none" w:sz="0" w:space="0" w:color="auto"/>
                        <w:left w:val="none" w:sz="0" w:space="0" w:color="auto"/>
                        <w:bottom w:val="none" w:sz="0" w:space="0" w:color="auto"/>
                        <w:right w:val="none" w:sz="0" w:space="0" w:color="auto"/>
                      </w:divBdr>
                      <w:divsChild>
                        <w:div w:id="568225991">
                          <w:marLeft w:val="0"/>
                          <w:marRight w:val="0"/>
                          <w:marTop w:val="0"/>
                          <w:marBottom w:val="0"/>
                          <w:divBdr>
                            <w:top w:val="none" w:sz="0" w:space="0" w:color="auto"/>
                            <w:left w:val="none" w:sz="0" w:space="0" w:color="auto"/>
                            <w:bottom w:val="none" w:sz="0" w:space="0" w:color="auto"/>
                            <w:right w:val="none" w:sz="0" w:space="0" w:color="auto"/>
                          </w:divBdr>
                        </w:div>
                      </w:divsChild>
                    </w:div>
                    <w:div w:id="515077010">
                      <w:marLeft w:val="0"/>
                      <w:marRight w:val="0"/>
                      <w:marTop w:val="0"/>
                      <w:marBottom w:val="0"/>
                      <w:divBdr>
                        <w:top w:val="none" w:sz="0" w:space="0" w:color="auto"/>
                        <w:left w:val="none" w:sz="0" w:space="0" w:color="auto"/>
                        <w:bottom w:val="none" w:sz="0" w:space="0" w:color="auto"/>
                        <w:right w:val="none" w:sz="0" w:space="0" w:color="auto"/>
                      </w:divBdr>
                      <w:divsChild>
                        <w:div w:id="1867475976">
                          <w:marLeft w:val="0"/>
                          <w:marRight w:val="0"/>
                          <w:marTop w:val="0"/>
                          <w:marBottom w:val="0"/>
                          <w:divBdr>
                            <w:top w:val="none" w:sz="0" w:space="0" w:color="auto"/>
                            <w:left w:val="none" w:sz="0" w:space="0" w:color="auto"/>
                            <w:bottom w:val="none" w:sz="0" w:space="0" w:color="auto"/>
                            <w:right w:val="none" w:sz="0" w:space="0" w:color="auto"/>
                          </w:divBdr>
                        </w:div>
                      </w:divsChild>
                    </w:div>
                    <w:div w:id="522328113">
                      <w:marLeft w:val="0"/>
                      <w:marRight w:val="0"/>
                      <w:marTop w:val="0"/>
                      <w:marBottom w:val="0"/>
                      <w:divBdr>
                        <w:top w:val="none" w:sz="0" w:space="0" w:color="auto"/>
                        <w:left w:val="none" w:sz="0" w:space="0" w:color="auto"/>
                        <w:bottom w:val="none" w:sz="0" w:space="0" w:color="auto"/>
                        <w:right w:val="none" w:sz="0" w:space="0" w:color="auto"/>
                      </w:divBdr>
                      <w:divsChild>
                        <w:div w:id="928852952">
                          <w:marLeft w:val="0"/>
                          <w:marRight w:val="0"/>
                          <w:marTop w:val="0"/>
                          <w:marBottom w:val="0"/>
                          <w:divBdr>
                            <w:top w:val="none" w:sz="0" w:space="0" w:color="auto"/>
                            <w:left w:val="none" w:sz="0" w:space="0" w:color="auto"/>
                            <w:bottom w:val="none" w:sz="0" w:space="0" w:color="auto"/>
                            <w:right w:val="none" w:sz="0" w:space="0" w:color="auto"/>
                          </w:divBdr>
                        </w:div>
                      </w:divsChild>
                    </w:div>
                    <w:div w:id="526993737">
                      <w:marLeft w:val="0"/>
                      <w:marRight w:val="0"/>
                      <w:marTop w:val="0"/>
                      <w:marBottom w:val="0"/>
                      <w:divBdr>
                        <w:top w:val="none" w:sz="0" w:space="0" w:color="auto"/>
                        <w:left w:val="none" w:sz="0" w:space="0" w:color="auto"/>
                        <w:bottom w:val="none" w:sz="0" w:space="0" w:color="auto"/>
                        <w:right w:val="none" w:sz="0" w:space="0" w:color="auto"/>
                      </w:divBdr>
                      <w:divsChild>
                        <w:div w:id="1104496439">
                          <w:marLeft w:val="0"/>
                          <w:marRight w:val="0"/>
                          <w:marTop w:val="0"/>
                          <w:marBottom w:val="0"/>
                          <w:divBdr>
                            <w:top w:val="none" w:sz="0" w:space="0" w:color="auto"/>
                            <w:left w:val="none" w:sz="0" w:space="0" w:color="auto"/>
                            <w:bottom w:val="none" w:sz="0" w:space="0" w:color="auto"/>
                            <w:right w:val="none" w:sz="0" w:space="0" w:color="auto"/>
                          </w:divBdr>
                        </w:div>
                      </w:divsChild>
                    </w:div>
                    <w:div w:id="528951392">
                      <w:marLeft w:val="0"/>
                      <w:marRight w:val="0"/>
                      <w:marTop w:val="0"/>
                      <w:marBottom w:val="0"/>
                      <w:divBdr>
                        <w:top w:val="none" w:sz="0" w:space="0" w:color="auto"/>
                        <w:left w:val="none" w:sz="0" w:space="0" w:color="auto"/>
                        <w:bottom w:val="none" w:sz="0" w:space="0" w:color="auto"/>
                        <w:right w:val="none" w:sz="0" w:space="0" w:color="auto"/>
                      </w:divBdr>
                      <w:divsChild>
                        <w:div w:id="854541141">
                          <w:marLeft w:val="0"/>
                          <w:marRight w:val="0"/>
                          <w:marTop w:val="0"/>
                          <w:marBottom w:val="0"/>
                          <w:divBdr>
                            <w:top w:val="none" w:sz="0" w:space="0" w:color="auto"/>
                            <w:left w:val="none" w:sz="0" w:space="0" w:color="auto"/>
                            <w:bottom w:val="none" w:sz="0" w:space="0" w:color="auto"/>
                            <w:right w:val="none" w:sz="0" w:space="0" w:color="auto"/>
                          </w:divBdr>
                        </w:div>
                      </w:divsChild>
                    </w:div>
                    <w:div w:id="529342101">
                      <w:marLeft w:val="0"/>
                      <w:marRight w:val="0"/>
                      <w:marTop w:val="0"/>
                      <w:marBottom w:val="0"/>
                      <w:divBdr>
                        <w:top w:val="none" w:sz="0" w:space="0" w:color="auto"/>
                        <w:left w:val="none" w:sz="0" w:space="0" w:color="auto"/>
                        <w:bottom w:val="none" w:sz="0" w:space="0" w:color="auto"/>
                        <w:right w:val="none" w:sz="0" w:space="0" w:color="auto"/>
                      </w:divBdr>
                      <w:divsChild>
                        <w:div w:id="166211141">
                          <w:marLeft w:val="0"/>
                          <w:marRight w:val="0"/>
                          <w:marTop w:val="0"/>
                          <w:marBottom w:val="0"/>
                          <w:divBdr>
                            <w:top w:val="none" w:sz="0" w:space="0" w:color="auto"/>
                            <w:left w:val="none" w:sz="0" w:space="0" w:color="auto"/>
                            <w:bottom w:val="none" w:sz="0" w:space="0" w:color="auto"/>
                            <w:right w:val="none" w:sz="0" w:space="0" w:color="auto"/>
                          </w:divBdr>
                        </w:div>
                      </w:divsChild>
                    </w:div>
                    <w:div w:id="529488101">
                      <w:marLeft w:val="0"/>
                      <w:marRight w:val="0"/>
                      <w:marTop w:val="0"/>
                      <w:marBottom w:val="0"/>
                      <w:divBdr>
                        <w:top w:val="none" w:sz="0" w:space="0" w:color="auto"/>
                        <w:left w:val="none" w:sz="0" w:space="0" w:color="auto"/>
                        <w:bottom w:val="none" w:sz="0" w:space="0" w:color="auto"/>
                        <w:right w:val="none" w:sz="0" w:space="0" w:color="auto"/>
                      </w:divBdr>
                      <w:divsChild>
                        <w:div w:id="2087072075">
                          <w:marLeft w:val="0"/>
                          <w:marRight w:val="0"/>
                          <w:marTop w:val="0"/>
                          <w:marBottom w:val="0"/>
                          <w:divBdr>
                            <w:top w:val="none" w:sz="0" w:space="0" w:color="auto"/>
                            <w:left w:val="none" w:sz="0" w:space="0" w:color="auto"/>
                            <w:bottom w:val="none" w:sz="0" w:space="0" w:color="auto"/>
                            <w:right w:val="none" w:sz="0" w:space="0" w:color="auto"/>
                          </w:divBdr>
                        </w:div>
                      </w:divsChild>
                    </w:div>
                    <w:div w:id="546767324">
                      <w:marLeft w:val="0"/>
                      <w:marRight w:val="0"/>
                      <w:marTop w:val="0"/>
                      <w:marBottom w:val="0"/>
                      <w:divBdr>
                        <w:top w:val="none" w:sz="0" w:space="0" w:color="auto"/>
                        <w:left w:val="none" w:sz="0" w:space="0" w:color="auto"/>
                        <w:bottom w:val="none" w:sz="0" w:space="0" w:color="auto"/>
                        <w:right w:val="none" w:sz="0" w:space="0" w:color="auto"/>
                      </w:divBdr>
                      <w:divsChild>
                        <w:div w:id="1901474824">
                          <w:marLeft w:val="0"/>
                          <w:marRight w:val="0"/>
                          <w:marTop w:val="0"/>
                          <w:marBottom w:val="0"/>
                          <w:divBdr>
                            <w:top w:val="none" w:sz="0" w:space="0" w:color="auto"/>
                            <w:left w:val="none" w:sz="0" w:space="0" w:color="auto"/>
                            <w:bottom w:val="none" w:sz="0" w:space="0" w:color="auto"/>
                            <w:right w:val="none" w:sz="0" w:space="0" w:color="auto"/>
                          </w:divBdr>
                        </w:div>
                      </w:divsChild>
                    </w:div>
                    <w:div w:id="548153416">
                      <w:marLeft w:val="0"/>
                      <w:marRight w:val="0"/>
                      <w:marTop w:val="0"/>
                      <w:marBottom w:val="0"/>
                      <w:divBdr>
                        <w:top w:val="none" w:sz="0" w:space="0" w:color="auto"/>
                        <w:left w:val="none" w:sz="0" w:space="0" w:color="auto"/>
                        <w:bottom w:val="none" w:sz="0" w:space="0" w:color="auto"/>
                        <w:right w:val="none" w:sz="0" w:space="0" w:color="auto"/>
                      </w:divBdr>
                      <w:divsChild>
                        <w:div w:id="321979136">
                          <w:marLeft w:val="0"/>
                          <w:marRight w:val="0"/>
                          <w:marTop w:val="0"/>
                          <w:marBottom w:val="0"/>
                          <w:divBdr>
                            <w:top w:val="none" w:sz="0" w:space="0" w:color="auto"/>
                            <w:left w:val="none" w:sz="0" w:space="0" w:color="auto"/>
                            <w:bottom w:val="none" w:sz="0" w:space="0" w:color="auto"/>
                            <w:right w:val="none" w:sz="0" w:space="0" w:color="auto"/>
                          </w:divBdr>
                        </w:div>
                      </w:divsChild>
                    </w:div>
                    <w:div w:id="556746723">
                      <w:marLeft w:val="0"/>
                      <w:marRight w:val="0"/>
                      <w:marTop w:val="0"/>
                      <w:marBottom w:val="0"/>
                      <w:divBdr>
                        <w:top w:val="none" w:sz="0" w:space="0" w:color="auto"/>
                        <w:left w:val="none" w:sz="0" w:space="0" w:color="auto"/>
                        <w:bottom w:val="none" w:sz="0" w:space="0" w:color="auto"/>
                        <w:right w:val="none" w:sz="0" w:space="0" w:color="auto"/>
                      </w:divBdr>
                      <w:divsChild>
                        <w:div w:id="1318222834">
                          <w:marLeft w:val="0"/>
                          <w:marRight w:val="0"/>
                          <w:marTop w:val="0"/>
                          <w:marBottom w:val="0"/>
                          <w:divBdr>
                            <w:top w:val="none" w:sz="0" w:space="0" w:color="auto"/>
                            <w:left w:val="none" w:sz="0" w:space="0" w:color="auto"/>
                            <w:bottom w:val="none" w:sz="0" w:space="0" w:color="auto"/>
                            <w:right w:val="none" w:sz="0" w:space="0" w:color="auto"/>
                          </w:divBdr>
                        </w:div>
                      </w:divsChild>
                    </w:div>
                    <w:div w:id="577204870">
                      <w:marLeft w:val="0"/>
                      <w:marRight w:val="0"/>
                      <w:marTop w:val="0"/>
                      <w:marBottom w:val="0"/>
                      <w:divBdr>
                        <w:top w:val="none" w:sz="0" w:space="0" w:color="auto"/>
                        <w:left w:val="none" w:sz="0" w:space="0" w:color="auto"/>
                        <w:bottom w:val="none" w:sz="0" w:space="0" w:color="auto"/>
                        <w:right w:val="none" w:sz="0" w:space="0" w:color="auto"/>
                      </w:divBdr>
                      <w:divsChild>
                        <w:div w:id="1335690164">
                          <w:marLeft w:val="0"/>
                          <w:marRight w:val="0"/>
                          <w:marTop w:val="0"/>
                          <w:marBottom w:val="0"/>
                          <w:divBdr>
                            <w:top w:val="none" w:sz="0" w:space="0" w:color="auto"/>
                            <w:left w:val="none" w:sz="0" w:space="0" w:color="auto"/>
                            <w:bottom w:val="none" w:sz="0" w:space="0" w:color="auto"/>
                            <w:right w:val="none" w:sz="0" w:space="0" w:color="auto"/>
                          </w:divBdr>
                        </w:div>
                      </w:divsChild>
                    </w:div>
                    <w:div w:id="577441773">
                      <w:marLeft w:val="0"/>
                      <w:marRight w:val="0"/>
                      <w:marTop w:val="0"/>
                      <w:marBottom w:val="0"/>
                      <w:divBdr>
                        <w:top w:val="none" w:sz="0" w:space="0" w:color="auto"/>
                        <w:left w:val="none" w:sz="0" w:space="0" w:color="auto"/>
                        <w:bottom w:val="none" w:sz="0" w:space="0" w:color="auto"/>
                        <w:right w:val="none" w:sz="0" w:space="0" w:color="auto"/>
                      </w:divBdr>
                      <w:divsChild>
                        <w:div w:id="797066189">
                          <w:marLeft w:val="0"/>
                          <w:marRight w:val="0"/>
                          <w:marTop w:val="0"/>
                          <w:marBottom w:val="0"/>
                          <w:divBdr>
                            <w:top w:val="none" w:sz="0" w:space="0" w:color="auto"/>
                            <w:left w:val="none" w:sz="0" w:space="0" w:color="auto"/>
                            <w:bottom w:val="none" w:sz="0" w:space="0" w:color="auto"/>
                            <w:right w:val="none" w:sz="0" w:space="0" w:color="auto"/>
                          </w:divBdr>
                        </w:div>
                      </w:divsChild>
                    </w:div>
                    <w:div w:id="586310590">
                      <w:marLeft w:val="0"/>
                      <w:marRight w:val="0"/>
                      <w:marTop w:val="0"/>
                      <w:marBottom w:val="0"/>
                      <w:divBdr>
                        <w:top w:val="none" w:sz="0" w:space="0" w:color="auto"/>
                        <w:left w:val="none" w:sz="0" w:space="0" w:color="auto"/>
                        <w:bottom w:val="none" w:sz="0" w:space="0" w:color="auto"/>
                        <w:right w:val="none" w:sz="0" w:space="0" w:color="auto"/>
                      </w:divBdr>
                      <w:divsChild>
                        <w:div w:id="1301619769">
                          <w:marLeft w:val="0"/>
                          <w:marRight w:val="0"/>
                          <w:marTop w:val="0"/>
                          <w:marBottom w:val="0"/>
                          <w:divBdr>
                            <w:top w:val="none" w:sz="0" w:space="0" w:color="auto"/>
                            <w:left w:val="none" w:sz="0" w:space="0" w:color="auto"/>
                            <w:bottom w:val="none" w:sz="0" w:space="0" w:color="auto"/>
                            <w:right w:val="none" w:sz="0" w:space="0" w:color="auto"/>
                          </w:divBdr>
                        </w:div>
                      </w:divsChild>
                    </w:div>
                    <w:div w:id="589506031">
                      <w:marLeft w:val="0"/>
                      <w:marRight w:val="0"/>
                      <w:marTop w:val="0"/>
                      <w:marBottom w:val="0"/>
                      <w:divBdr>
                        <w:top w:val="none" w:sz="0" w:space="0" w:color="auto"/>
                        <w:left w:val="none" w:sz="0" w:space="0" w:color="auto"/>
                        <w:bottom w:val="none" w:sz="0" w:space="0" w:color="auto"/>
                        <w:right w:val="none" w:sz="0" w:space="0" w:color="auto"/>
                      </w:divBdr>
                      <w:divsChild>
                        <w:div w:id="1798336227">
                          <w:marLeft w:val="0"/>
                          <w:marRight w:val="0"/>
                          <w:marTop w:val="0"/>
                          <w:marBottom w:val="0"/>
                          <w:divBdr>
                            <w:top w:val="none" w:sz="0" w:space="0" w:color="auto"/>
                            <w:left w:val="none" w:sz="0" w:space="0" w:color="auto"/>
                            <w:bottom w:val="none" w:sz="0" w:space="0" w:color="auto"/>
                            <w:right w:val="none" w:sz="0" w:space="0" w:color="auto"/>
                          </w:divBdr>
                        </w:div>
                      </w:divsChild>
                    </w:div>
                    <w:div w:id="589890378">
                      <w:marLeft w:val="0"/>
                      <w:marRight w:val="0"/>
                      <w:marTop w:val="0"/>
                      <w:marBottom w:val="0"/>
                      <w:divBdr>
                        <w:top w:val="none" w:sz="0" w:space="0" w:color="auto"/>
                        <w:left w:val="none" w:sz="0" w:space="0" w:color="auto"/>
                        <w:bottom w:val="none" w:sz="0" w:space="0" w:color="auto"/>
                        <w:right w:val="none" w:sz="0" w:space="0" w:color="auto"/>
                      </w:divBdr>
                      <w:divsChild>
                        <w:div w:id="1017853740">
                          <w:marLeft w:val="0"/>
                          <w:marRight w:val="0"/>
                          <w:marTop w:val="0"/>
                          <w:marBottom w:val="0"/>
                          <w:divBdr>
                            <w:top w:val="none" w:sz="0" w:space="0" w:color="auto"/>
                            <w:left w:val="none" w:sz="0" w:space="0" w:color="auto"/>
                            <w:bottom w:val="none" w:sz="0" w:space="0" w:color="auto"/>
                            <w:right w:val="none" w:sz="0" w:space="0" w:color="auto"/>
                          </w:divBdr>
                        </w:div>
                      </w:divsChild>
                    </w:div>
                    <w:div w:id="590427467">
                      <w:marLeft w:val="0"/>
                      <w:marRight w:val="0"/>
                      <w:marTop w:val="0"/>
                      <w:marBottom w:val="0"/>
                      <w:divBdr>
                        <w:top w:val="none" w:sz="0" w:space="0" w:color="auto"/>
                        <w:left w:val="none" w:sz="0" w:space="0" w:color="auto"/>
                        <w:bottom w:val="none" w:sz="0" w:space="0" w:color="auto"/>
                        <w:right w:val="none" w:sz="0" w:space="0" w:color="auto"/>
                      </w:divBdr>
                      <w:divsChild>
                        <w:div w:id="945234140">
                          <w:marLeft w:val="0"/>
                          <w:marRight w:val="0"/>
                          <w:marTop w:val="0"/>
                          <w:marBottom w:val="0"/>
                          <w:divBdr>
                            <w:top w:val="none" w:sz="0" w:space="0" w:color="auto"/>
                            <w:left w:val="none" w:sz="0" w:space="0" w:color="auto"/>
                            <w:bottom w:val="none" w:sz="0" w:space="0" w:color="auto"/>
                            <w:right w:val="none" w:sz="0" w:space="0" w:color="auto"/>
                          </w:divBdr>
                        </w:div>
                      </w:divsChild>
                    </w:div>
                    <w:div w:id="592251600">
                      <w:marLeft w:val="0"/>
                      <w:marRight w:val="0"/>
                      <w:marTop w:val="0"/>
                      <w:marBottom w:val="0"/>
                      <w:divBdr>
                        <w:top w:val="none" w:sz="0" w:space="0" w:color="auto"/>
                        <w:left w:val="none" w:sz="0" w:space="0" w:color="auto"/>
                        <w:bottom w:val="none" w:sz="0" w:space="0" w:color="auto"/>
                        <w:right w:val="none" w:sz="0" w:space="0" w:color="auto"/>
                      </w:divBdr>
                      <w:divsChild>
                        <w:div w:id="161509628">
                          <w:marLeft w:val="0"/>
                          <w:marRight w:val="0"/>
                          <w:marTop w:val="0"/>
                          <w:marBottom w:val="0"/>
                          <w:divBdr>
                            <w:top w:val="none" w:sz="0" w:space="0" w:color="auto"/>
                            <w:left w:val="none" w:sz="0" w:space="0" w:color="auto"/>
                            <w:bottom w:val="none" w:sz="0" w:space="0" w:color="auto"/>
                            <w:right w:val="none" w:sz="0" w:space="0" w:color="auto"/>
                          </w:divBdr>
                        </w:div>
                      </w:divsChild>
                    </w:div>
                    <w:div w:id="595091020">
                      <w:marLeft w:val="0"/>
                      <w:marRight w:val="0"/>
                      <w:marTop w:val="0"/>
                      <w:marBottom w:val="0"/>
                      <w:divBdr>
                        <w:top w:val="none" w:sz="0" w:space="0" w:color="auto"/>
                        <w:left w:val="none" w:sz="0" w:space="0" w:color="auto"/>
                        <w:bottom w:val="none" w:sz="0" w:space="0" w:color="auto"/>
                        <w:right w:val="none" w:sz="0" w:space="0" w:color="auto"/>
                      </w:divBdr>
                      <w:divsChild>
                        <w:div w:id="1364936850">
                          <w:marLeft w:val="0"/>
                          <w:marRight w:val="0"/>
                          <w:marTop w:val="0"/>
                          <w:marBottom w:val="0"/>
                          <w:divBdr>
                            <w:top w:val="none" w:sz="0" w:space="0" w:color="auto"/>
                            <w:left w:val="none" w:sz="0" w:space="0" w:color="auto"/>
                            <w:bottom w:val="none" w:sz="0" w:space="0" w:color="auto"/>
                            <w:right w:val="none" w:sz="0" w:space="0" w:color="auto"/>
                          </w:divBdr>
                        </w:div>
                      </w:divsChild>
                    </w:div>
                    <w:div w:id="600836621">
                      <w:marLeft w:val="0"/>
                      <w:marRight w:val="0"/>
                      <w:marTop w:val="0"/>
                      <w:marBottom w:val="0"/>
                      <w:divBdr>
                        <w:top w:val="none" w:sz="0" w:space="0" w:color="auto"/>
                        <w:left w:val="none" w:sz="0" w:space="0" w:color="auto"/>
                        <w:bottom w:val="none" w:sz="0" w:space="0" w:color="auto"/>
                        <w:right w:val="none" w:sz="0" w:space="0" w:color="auto"/>
                      </w:divBdr>
                      <w:divsChild>
                        <w:div w:id="2134206098">
                          <w:marLeft w:val="0"/>
                          <w:marRight w:val="0"/>
                          <w:marTop w:val="0"/>
                          <w:marBottom w:val="0"/>
                          <w:divBdr>
                            <w:top w:val="none" w:sz="0" w:space="0" w:color="auto"/>
                            <w:left w:val="none" w:sz="0" w:space="0" w:color="auto"/>
                            <w:bottom w:val="none" w:sz="0" w:space="0" w:color="auto"/>
                            <w:right w:val="none" w:sz="0" w:space="0" w:color="auto"/>
                          </w:divBdr>
                        </w:div>
                      </w:divsChild>
                    </w:div>
                    <w:div w:id="602036934">
                      <w:marLeft w:val="0"/>
                      <w:marRight w:val="0"/>
                      <w:marTop w:val="0"/>
                      <w:marBottom w:val="0"/>
                      <w:divBdr>
                        <w:top w:val="none" w:sz="0" w:space="0" w:color="auto"/>
                        <w:left w:val="none" w:sz="0" w:space="0" w:color="auto"/>
                        <w:bottom w:val="none" w:sz="0" w:space="0" w:color="auto"/>
                        <w:right w:val="none" w:sz="0" w:space="0" w:color="auto"/>
                      </w:divBdr>
                      <w:divsChild>
                        <w:div w:id="552624556">
                          <w:marLeft w:val="0"/>
                          <w:marRight w:val="0"/>
                          <w:marTop w:val="0"/>
                          <w:marBottom w:val="0"/>
                          <w:divBdr>
                            <w:top w:val="none" w:sz="0" w:space="0" w:color="auto"/>
                            <w:left w:val="none" w:sz="0" w:space="0" w:color="auto"/>
                            <w:bottom w:val="none" w:sz="0" w:space="0" w:color="auto"/>
                            <w:right w:val="none" w:sz="0" w:space="0" w:color="auto"/>
                          </w:divBdr>
                        </w:div>
                      </w:divsChild>
                    </w:div>
                    <w:div w:id="604924744">
                      <w:marLeft w:val="0"/>
                      <w:marRight w:val="0"/>
                      <w:marTop w:val="0"/>
                      <w:marBottom w:val="0"/>
                      <w:divBdr>
                        <w:top w:val="none" w:sz="0" w:space="0" w:color="auto"/>
                        <w:left w:val="none" w:sz="0" w:space="0" w:color="auto"/>
                        <w:bottom w:val="none" w:sz="0" w:space="0" w:color="auto"/>
                        <w:right w:val="none" w:sz="0" w:space="0" w:color="auto"/>
                      </w:divBdr>
                      <w:divsChild>
                        <w:div w:id="884872318">
                          <w:marLeft w:val="0"/>
                          <w:marRight w:val="0"/>
                          <w:marTop w:val="0"/>
                          <w:marBottom w:val="0"/>
                          <w:divBdr>
                            <w:top w:val="none" w:sz="0" w:space="0" w:color="auto"/>
                            <w:left w:val="none" w:sz="0" w:space="0" w:color="auto"/>
                            <w:bottom w:val="none" w:sz="0" w:space="0" w:color="auto"/>
                            <w:right w:val="none" w:sz="0" w:space="0" w:color="auto"/>
                          </w:divBdr>
                        </w:div>
                      </w:divsChild>
                    </w:div>
                    <w:div w:id="607929070">
                      <w:marLeft w:val="0"/>
                      <w:marRight w:val="0"/>
                      <w:marTop w:val="0"/>
                      <w:marBottom w:val="0"/>
                      <w:divBdr>
                        <w:top w:val="none" w:sz="0" w:space="0" w:color="auto"/>
                        <w:left w:val="none" w:sz="0" w:space="0" w:color="auto"/>
                        <w:bottom w:val="none" w:sz="0" w:space="0" w:color="auto"/>
                        <w:right w:val="none" w:sz="0" w:space="0" w:color="auto"/>
                      </w:divBdr>
                      <w:divsChild>
                        <w:div w:id="10690670">
                          <w:marLeft w:val="0"/>
                          <w:marRight w:val="0"/>
                          <w:marTop w:val="0"/>
                          <w:marBottom w:val="0"/>
                          <w:divBdr>
                            <w:top w:val="none" w:sz="0" w:space="0" w:color="auto"/>
                            <w:left w:val="none" w:sz="0" w:space="0" w:color="auto"/>
                            <w:bottom w:val="none" w:sz="0" w:space="0" w:color="auto"/>
                            <w:right w:val="none" w:sz="0" w:space="0" w:color="auto"/>
                          </w:divBdr>
                        </w:div>
                      </w:divsChild>
                    </w:div>
                    <w:div w:id="613556156">
                      <w:marLeft w:val="0"/>
                      <w:marRight w:val="0"/>
                      <w:marTop w:val="0"/>
                      <w:marBottom w:val="0"/>
                      <w:divBdr>
                        <w:top w:val="none" w:sz="0" w:space="0" w:color="auto"/>
                        <w:left w:val="none" w:sz="0" w:space="0" w:color="auto"/>
                        <w:bottom w:val="none" w:sz="0" w:space="0" w:color="auto"/>
                        <w:right w:val="none" w:sz="0" w:space="0" w:color="auto"/>
                      </w:divBdr>
                      <w:divsChild>
                        <w:div w:id="855852154">
                          <w:marLeft w:val="0"/>
                          <w:marRight w:val="0"/>
                          <w:marTop w:val="0"/>
                          <w:marBottom w:val="0"/>
                          <w:divBdr>
                            <w:top w:val="none" w:sz="0" w:space="0" w:color="auto"/>
                            <w:left w:val="none" w:sz="0" w:space="0" w:color="auto"/>
                            <w:bottom w:val="none" w:sz="0" w:space="0" w:color="auto"/>
                            <w:right w:val="none" w:sz="0" w:space="0" w:color="auto"/>
                          </w:divBdr>
                        </w:div>
                      </w:divsChild>
                    </w:div>
                    <w:div w:id="616526988">
                      <w:marLeft w:val="0"/>
                      <w:marRight w:val="0"/>
                      <w:marTop w:val="0"/>
                      <w:marBottom w:val="0"/>
                      <w:divBdr>
                        <w:top w:val="none" w:sz="0" w:space="0" w:color="auto"/>
                        <w:left w:val="none" w:sz="0" w:space="0" w:color="auto"/>
                        <w:bottom w:val="none" w:sz="0" w:space="0" w:color="auto"/>
                        <w:right w:val="none" w:sz="0" w:space="0" w:color="auto"/>
                      </w:divBdr>
                      <w:divsChild>
                        <w:div w:id="1632177033">
                          <w:marLeft w:val="0"/>
                          <w:marRight w:val="0"/>
                          <w:marTop w:val="0"/>
                          <w:marBottom w:val="0"/>
                          <w:divBdr>
                            <w:top w:val="none" w:sz="0" w:space="0" w:color="auto"/>
                            <w:left w:val="none" w:sz="0" w:space="0" w:color="auto"/>
                            <w:bottom w:val="none" w:sz="0" w:space="0" w:color="auto"/>
                            <w:right w:val="none" w:sz="0" w:space="0" w:color="auto"/>
                          </w:divBdr>
                        </w:div>
                      </w:divsChild>
                    </w:div>
                    <w:div w:id="626083662">
                      <w:marLeft w:val="0"/>
                      <w:marRight w:val="0"/>
                      <w:marTop w:val="0"/>
                      <w:marBottom w:val="0"/>
                      <w:divBdr>
                        <w:top w:val="none" w:sz="0" w:space="0" w:color="auto"/>
                        <w:left w:val="none" w:sz="0" w:space="0" w:color="auto"/>
                        <w:bottom w:val="none" w:sz="0" w:space="0" w:color="auto"/>
                        <w:right w:val="none" w:sz="0" w:space="0" w:color="auto"/>
                      </w:divBdr>
                      <w:divsChild>
                        <w:div w:id="193999933">
                          <w:marLeft w:val="0"/>
                          <w:marRight w:val="0"/>
                          <w:marTop w:val="0"/>
                          <w:marBottom w:val="0"/>
                          <w:divBdr>
                            <w:top w:val="none" w:sz="0" w:space="0" w:color="auto"/>
                            <w:left w:val="none" w:sz="0" w:space="0" w:color="auto"/>
                            <w:bottom w:val="none" w:sz="0" w:space="0" w:color="auto"/>
                            <w:right w:val="none" w:sz="0" w:space="0" w:color="auto"/>
                          </w:divBdr>
                        </w:div>
                      </w:divsChild>
                    </w:div>
                    <w:div w:id="635717577">
                      <w:marLeft w:val="0"/>
                      <w:marRight w:val="0"/>
                      <w:marTop w:val="0"/>
                      <w:marBottom w:val="0"/>
                      <w:divBdr>
                        <w:top w:val="none" w:sz="0" w:space="0" w:color="auto"/>
                        <w:left w:val="none" w:sz="0" w:space="0" w:color="auto"/>
                        <w:bottom w:val="none" w:sz="0" w:space="0" w:color="auto"/>
                        <w:right w:val="none" w:sz="0" w:space="0" w:color="auto"/>
                      </w:divBdr>
                      <w:divsChild>
                        <w:div w:id="1932204161">
                          <w:marLeft w:val="0"/>
                          <w:marRight w:val="0"/>
                          <w:marTop w:val="0"/>
                          <w:marBottom w:val="0"/>
                          <w:divBdr>
                            <w:top w:val="none" w:sz="0" w:space="0" w:color="auto"/>
                            <w:left w:val="none" w:sz="0" w:space="0" w:color="auto"/>
                            <w:bottom w:val="none" w:sz="0" w:space="0" w:color="auto"/>
                            <w:right w:val="none" w:sz="0" w:space="0" w:color="auto"/>
                          </w:divBdr>
                        </w:div>
                      </w:divsChild>
                    </w:div>
                    <w:div w:id="650449969">
                      <w:marLeft w:val="0"/>
                      <w:marRight w:val="0"/>
                      <w:marTop w:val="0"/>
                      <w:marBottom w:val="0"/>
                      <w:divBdr>
                        <w:top w:val="none" w:sz="0" w:space="0" w:color="auto"/>
                        <w:left w:val="none" w:sz="0" w:space="0" w:color="auto"/>
                        <w:bottom w:val="none" w:sz="0" w:space="0" w:color="auto"/>
                        <w:right w:val="none" w:sz="0" w:space="0" w:color="auto"/>
                      </w:divBdr>
                      <w:divsChild>
                        <w:div w:id="1422331749">
                          <w:marLeft w:val="0"/>
                          <w:marRight w:val="0"/>
                          <w:marTop w:val="0"/>
                          <w:marBottom w:val="0"/>
                          <w:divBdr>
                            <w:top w:val="none" w:sz="0" w:space="0" w:color="auto"/>
                            <w:left w:val="none" w:sz="0" w:space="0" w:color="auto"/>
                            <w:bottom w:val="none" w:sz="0" w:space="0" w:color="auto"/>
                            <w:right w:val="none" w:sz="0" w:space="0" w:color="auto"/>
                          </w:divBdr>
                        </w:div>
                      </w:divsChild>
                    </w:div>
                    <w:div w:id="650449986">
                      <w:marLeft w:val="0"/>
                      <w:marRight w:val="0"/>
                      <w:marTop w:val="0"/>
                      <w:marBottom w:val="0"/>
                      <w:divBdr>
                        <w:top w:val="none" w:sz="0" w:space="0" w:color="auto"/>
                        <w:left w:val="none" w:sz="0" w:space="0" w:color="auto"/>
                        <w:bottom w:val="none" w:sz="0" w:space="0" w:color="auto"/>
                        <w:right w:val="none" w:sz="0" w:space="0" w:color="auto"/>
                      </w:divBdr>
                      <w:divsChild>
                        <w:div w:id="2010594252">
                          <w:marLeft w:val="0"/>
                          <w:marRight w:val="0"/>
                          <w:marTop w:val="0"/>
                          <w:marBottom w:val="0"/>
                          <w:divBdr>
                            <w:top w:val="none" w:sz="0" w:space="0" w:color="auto"/>
                            <w:left w:val="none" w:sz="0" w:space="0" w:color="auto"/>
                            <w:bottom w:val="none" w:sz="0" w:space="0" w:color="auto"/>
                            <w:right w:val="none" w:sz="0" w:space="0" w:color="auto"/>
                          </w:divBdr>
                        </w:div>
                      </w:divsChild>
                    </w:div>
                    <w:div w:id="654067233">
                      <w:marLeft w:val="0"/>
                      <w:marRight w:val="0"/>
                      <w:marTop w:val="0"/>
                      <w:marBottom w:val="0"/>
                      <w:divBdr>
                        <w:top w:val="none" w:sz="0" w:space="0" w:color="auto"/>
                        <w:left w:val="none" w:sz="0" w:space="0" w:color="auto"/>
                        <w:bottom w:val="none" w:sz="0" w:space="0" w:color="auto"/>
                        <w:right w:val="none" w:sz="0" w:space="0" w:color="auto"/>
                      </w:divBdr>
                      <w:divsChild>
                        <w:div w:id="74405665">
                          <w:marLeft w:val="0"/>
                          <w:marRight w:val="0"/>
                          <w:marTop w:val="0"/>
                          <w:marBottom w:val="0"/>
                          <w:divBdr>
                            <w:top w:val="none" w:sz="0" w:space="0" w:color="auto"/>
                            <w:left w:val="none" w:sz="0" w:space="0" w:color="auto"/>
                            <w:bottom w:val="none" w:sz="0" w:space="0" w:color="auto"/>
                            <w:right w:val="none" w:sz="0" w:space="0" w:color="auto"/>
                          </w:divBdr>
                        </w:div>
                      </w:divsChild>
                    </w:div>
                    <w:div w:id="665282949">
                      <w:marLeft w:val="0"/>
                      <w:marRight w:val="0"/>
                      <w:marTop w:val="0"/>
                      <w:marBottom w:val="0"/>
                      <w:divBdr>
                        <w:top w:val="none" w:sz="0" w:space="0" w:color="auto"/>
                        <w:left w:val="none" w:sz="0" w:space="0" w:color="auto"/>
                        <w:bottom w:val="none" w:sz="0" w:space="0" w:color="auto"/>
                        <w:right w:val="none" w:sz="0" w:space="0" w:color="auto"/>
                      </w:divBdr>
                      <w:divsChild>
                        <w:div w:id="331296699">
                          <w:marLeft w:val="0"/>
                          <w:marRight w:val="0"/>
                          <w:marTop w:val="0"/>
                          <w:marBottom w:val="0"/>
                          <w:divBdr>
                            <w:top w:val="none" w:sz="0" w:space="0" w:color="auto"/>
                            <w:left w:val="none" w:sz="0" w:space="0" w:color="auto"/>
                            <w:bottom w:val="none" w:sz="0" w:space="0" w:color="auto"/>
                            <w:right w:val="none" w:sz="0" w:space="0" w:color="auto"/>
                          </w:divBdr>
                        </w:div>
                      </w:divsChild>
                    </w:div>
                    <w:div w:id="671419099">
                      <w:marLeft w:val="0"/>
                      <w:marRight w:val="0"/>
                      <w:marTop w:val="0"/>
                      <w:marBottom w:val="0"/>
                      <w:divBdr>
                        <w:top w:val="none" w:sz="0" w:space="0" w:color="auto"/>
                        <w:left w:val="none" w:sz="0" w:space="0" w:color="auto"/>
                        <w:bottom w:val="none" w:sz="0" w:space="0" w:color="auto"/>
                        <w:right w:val="none" w:sz="0" w:space="0" w:color="auto"/>
                      </w:divBdr>
                      <w:divsChild>
                        <w:div w:id="1859275118">
                          <w:marLeft w:val="0"/>
                          <w:marRight w:val="0"/>
                          <w:marTop w:val="0"/>
                          <w:marBottom w:val="0"/>
                          <w:divBdr>
                            <w:top w:val="none" w:sz="0" w:space="0" w:color="auto"/>
                            <w:left w:val="none" w:sz="0" w:space="0" w:color="auto"/>
                            <w:bottom w:val="none" w:sz="0" w:space="0" w:color="auto"/>
                            <w:right w:val="none" w:sz="0" w:space="0" w:color="auto"/>
                          </w:divBdr>
                        </w:div>
                      </w:divsChild>
                    </w:div>
                    <w:div w:id="687408455">
                      <w:marLeft w:val="0"/>
                      <w:marRight w:val="0"/>
                      <w:marTop w:val="0"/>
                      <w:marBottom w:val="0"/>
                      <w:divBdr>
                        <w:top w:val="none" w:sz="0" w:space="0" w:color="auto"/>
                        <w:left w:val="none" w:sz="0" w:space="0" w:color="auto"/>
                        <w:bottom w:val="none" w:sz="0" w:space="0" w:color="auto"/>
                        <w:right w:val="none" w:sz="0" w:space="0" w:color="auto"/>
                      </w:divBdr>
                      <w:divsChild>
                        <w:div w:id="2132899959">
                          <w:marLeft w:val="0"/>
                          <w:marRight w:val="0"/>
                          <w:marTop w:val="0"/>
                          <w:marBottom w:val="0"/>
                          <w:divBdr>
                            <w:top w:val="none" w:sz="0" w:space="0" w:color="auto"/>
                            <w:left w:val="none" w:sz="0" w:space="0" w:color="auto"/>
                            <w:bottom w:val="none" w:sz="0" w:space="0" w:color="auto"/>
                            <w:right w:val="none" w:sz="0" w:space="0" w:color="auto"/>
                          </w:divBdr>
                        </w:div>
                      </w:divsChild>
                    </w:div>
                    <w:div w:id="698436220">
                      <w:marLeft w:val="0"/>
                      <w:marRight w:val="0"/>
                      <w:marTop w:val="0"/>
                      <w:marBottom w:val="0"/>
                      <w:divBdr>
                        <w:top w:val="none" w:sz="0" w:space="0" w:color="auto"/>
                        <w:left w:val="none" w:sz="0" w:space="0" w:color="auto"/>
                        <w:bottom w:val="none" w:sz="0" w:space="0" w:color="auto"/>
                        <w:right w:val="none" w:sz="0" w:space="0" w:color="auto"/>
                      </w:divBdr>
                      <w:divsChild>
                        <w:div w:id="1283881333">
                          <w:marLeft w:val="0"/>
                          <w:marRight w:val="0"/>
                          <w:marTop w:val="0"/>
                          <w:marBottom w:val="0"/>
                          <w:divBdr>
                            <w:top w:val="none" w:sz="0" w:space="0" w:color="auto"/>
                            <w:left w:val="none" w:sz="0" w:space="0" w:color="auto"/>
                            <w:bottom w:val="none" w:sz="0" w:space="0" w:color="auto"/>
                            <w:right w:val="none" w:sz="0" w:space="0" w:color="auto"/>
                          </w:divBdr>
                        </w:div>
                      </w:divsChild>
                    </w:div>
                    <w:div w:id="702442063">
                      <w:marLeft w:val="0"/>
                      <w:marRight w:val="0"/>
                      <w:marTop w:val="0"/>
                      <w:marBottom w:val="0"/>
                      <w:divBdr>
                        <w:top w:val="none" w:sz="0" w:space="0" w:color="auto"/>
                        <w:left w:val="none" w:sz="0" w:space="0" w:color="auto"/>
                        <w:bottom w:val="none" w:sz="0" w:space="0" w:color="auto"/>
                        <w:right w:val="none" w:sz="0" w:space="0" w:color="auto"/>
                      </w:divBdr>
                      <w:divsChild>
                        <w:div w:id="904417607">
                          <w:marLeft w:val="0"/>
                          <w:marRight w:val="0"/>
                          <w:marTop w:val="0"/>
                          <w:marBottom w:val="0"/>
                          <w:divBdr>
                            <w:top w:val="none" w:sz="0" w:space="0" w:color="auto"/>
                            <w:left w:val="none" w:sz="0" w:space="0" w:color="auto"/>
                            <w:bottom w:val="none" w:sz="0" w:space="0" w:color="auto"/>
                            <w:right w:val="none" w:sz="0" w:space="0" w:color="auto"/>
                          </w:divBdr>
                        </w:div>
                      </w:divsChild>
                    </w:div>
                    <w:div w:id="716009827">
                      <w:marLeft w:val="0"/>
                      <w:marRight w:val="0"/>
                      <w:marTop w:val="0"/>
                      <w:marBottom w:val="0"/>
                      <w:divBdr>
                        <w:top w:val="none" w:sz="0" w:space="0" w:color="auto"/>
                        <w:left w:val="none" w:sz="0" w:space="0" w:color="auto"/>
                        <w:bottom w:val="none" w:sz="0" w:space="0" w:color="auto"/>
                        <w:right w:val="none" w:sz="0" w:space="0" w:color="auto"/>
                      </w:divBdr>
                      <w:divsChild>
                        <w:div w:id="171265637">
                          <w:marLeft w:val="0"/>
                          <w:marRight w:val="0"/>
                          <w:marTop w:val="0"/>
                          <w:marBottom w:val="0"/>
                          <w:divBdr>
                            <w:top w:val="none" w:sz="0" w:space="0" w:color="auto"/>
                            <w:left w:val="none" w:sz="0" w:space="0" w:color="auto"/>
                            <w:bottom w:val="none" w:sz="0" w:space="0" w:color="auto"/>
                            <w:right w:val="none" w:sz="0" w:space="0" w:color="auto"/>
                          </w:divBdr>
                        </w:div>
                      </w:divsChild>
                    </w:div>
                    <w:div w:id="723256481">
                      <w:marLeft w:val="0"/>
                      <w:marRight w:val="0"/>
                      <w:marTop w:val="0"/>
                      <w:marBottom w:val="0"/>
                      <w:divBdr>
                        <w:top w:val="none" w:sz="0" w:space="0" w:color="auto"/>
                        <w:left w:val="none" w:sz="0" w:space="0" w:color="auto"/>
                        <w:bottom w:val="none" w:sz="0" w:space="0" w:color="auto"/>
                        <w:right w:val="none" w:sz="0" w:space="0" w:color="auto"/>
                      </w:divBdr>
                      <w:divsChild>
                        <w:div w:id="576138324">
                          <w:marLeft w:val="0"/>
                          <w:marRight w:val="0"/>
                          <w:marTop w:val="0"/>
                          <w:marBottom w:val="0"/>
                          <w:divBdr>
                            <w:top w:val="none" w:sz="0" w:space="0" w:color="auto"/>
                            <w:left w:val="none" w:sz="0" w:space="0" w:color="auto"/>
                            <w:bottom w:val="none" w:sz="0" w:space="0" w:color="auto"/>
                            <w:right w:val="none" w:sz="0" w:space="0" w:color="auto"/>
                          </w:divBdr>
                        </w:div>
                      </w:divsChild>
                    </w:div>
                    <w:div w:id="727725374">
                      <w:marLeft w:val="0"/>
                      <w:marRight w:val="0"/>
                      <w:marTop w:val="0"/>
                      <w:marBottom w:val="0"/>
                      <w:divBdr>
                        <w:top w:val="none" w:sz="0" w:space="0" w:color="auto"/>
                        <w:left w:val="none" w:sz="0" w:space="0" w:color="auto"/>
                        <w:bottom w:val="none" w:sz="0" w:space="0" w:color="auto"/>
                        <w:right w:val="none" w:sz="0" w:space="0" w:color="auto"/>
                      </w:divBdr>
                      <w:divsChild>
                        <w:div w:id="1986936100">
                          <w:marLeft w:val="0"/>
                          <w:marRight w:val="0"/>
                          <w:marTop w:val="0"/>
                          <w:marBottom w:val="0"/>
                          <w:divBdr>
                            <w:top w:val="none" w:sz="0" w:space="0" w:color="auto"/>
                            <w:left w:val="none" w:sz="0" w:space="0" w:color="auto"/>
                            <w:bottom w:val="none" w:sz="0" w:space="0" w:color="auto"/>
                            <w:right w:val="none" w:sz="0" w:space="0" w:color="auto"/>
                          </w:divBdr>
                        </w:div>
                      </w:divsChild>
                    </w:div>
                    <w:div w:id="728695278">
                      <w:marLeft w:val="0"/>
                      <w:marRight w:val="0"/>
                      <w:marTop w:val="0"/>
                      <w:marBottom w:val="0"/>
                      <w:divBdr>
                        <w:top w:val="none" w:sz="0" w:space="0" w:color="auto"/>
                        <w:left w:val="none" w:sz="0" w:space="0" w:color="auto"/>
                        <w:bottom w:val="none" w:sz="0" w:space="0" w:color="auto"/>
                        <w:right w:val="none" w:sz="0" w:space="0" w:color="auto"/>
                      </w:divBdr>
                      <w:divsChild>
                        <w:div w:id="1276450655">
                          <w:marLeft w:val="0"/>
                          <w:marRight w:val="0"/>
                          <w:marTop w:val="0"/>
                          <w:marBottom w:val="0"/>
                          <w:divBdr>
                            <w:top w:val="none" w:sz="0" w:space="0" w:color="auto"/>
                            <w:left w:val="none" w:sz="0" w:space="0" w:color="auto"/>
                            <w:bottom w:val="none" w:sz="0" w:space="0" w:color="auto"/>
                            <w:right w:val="none" w:sz="0" w:space="0" w:color="auto"/>
                          </w:divBdr>
                        </w:div>
                      </w:divsChild>
                    </w:div>
                    <w:div w:id="739599345">
                      <w:marLeft w:val="0"/>
                      <w:marRight w:val="0"/>
                      <w:marTop w:val="0"/>
                      <w:marBottom w:val="0"/>
                      <w:divBdr>
                        <w:top w:val="none" w:sz="0" w:space="0" w:color="auto"/>
                        <w:left w:val="none" w:sz="0" w:space="0" w:color="auto"/>
                        <w:bottom w:val="none" w:sz="0" w:space="0" w:color="auto"/>
                        <w:right w:val="none" w:sz="0" w:space="0" w:color="auto"/>
                      </w:divBdr>
                      <w:divsChild>
                        <w:div w:id="988092275">
                          <w:marLeft w:val="0"/>
                          <w:marRight w:val="0"/>
                          <w:marTop w:val="0"/>
                          <w:marBottom w:val="0"/>
                          <w:divBdr>
                            <w:top w:val="none" w:sz="0" w:space="0" w:color="auto"/>
                            <w:left w:val="none" w:sz="0" w:space="0" w:color="auto"/>
                            <w:bottom w:val="none" w:sz="0" w:space="0" w:color="auto"/>
                            <w:right w:val="none" w:sz="0" w:space="0" w:color="auto"/>
                          </w:divBdr>
                        </w:div>
                      </w:divsChild>
                    </w:div>
                    <w:div w:id="746849090">
                      <w:marLeft w:val="0"/>
                      <w:marRight w:val="0"/>
                      <w:marTop w:val="0"/>
                      <w:marBottom w:val="0"/>
                      <w:divBdr>
                        <w:top w:val="none" w:sz="0" w:space="0" w:color="auto"/>
                        <w:left w:val="none" w:sz="0" w:space="0" w:color="auto"/>
                        <w:bottom w:val="none" w:sz="0" w:space="0" w:color="auto"/>
                        <w:right w:val="none" w:sz="0" w:space="0" w:color="auto"/>
                      </w:divBdr>
                      <w:divsChild>
                        <w:div w:id="648510470">
                          <w:marLeft w:val="0"/>
                          <w:marRight w:val="0"/>
                          <w:marTop w:val="0"/>
                          <w:marBottom w:val="0"/>
                          <w:divBdr>
                            <w:top w:val="none" w:sz="0" w:space="0" w:color="auto"/>
                            <w:left w:val="none" w:sz="0" w:space="0" w:color="auto"/>
                            <w:bottom w:val="none" w:sz="0" w:space="0" w:color="auto"/>
                            <w:right w:val="none" w:sz="0" w:space="0" w:color="auto"/>
                          </w:divBdr>
                        </w:div>
                      </w:divsChild>
                    </w:div>
                    <w:div w:id="747113039">
                      <w:marLeft w:val="0"/>
                      <w:marRight w:val="0"/>
                      <w:marTop w:val="0"/>
                      <w:marBottom w:val="0"/>
                      <w:divBdr>
                        <w:top w:val="none" w:sz="0" w:space="0" w:color="auto"/>
                        <w:left w:val="none" w:sz="0" w:space="0" w:color="auto"/>
                        <w:bottom w:val="none" w:sz="0" w:space="0" w:color="auto"/>
                        <w:right w:val="none" w:sz="0" w:space="0" w:color="auto"/>
                      </w:divBdr>
                      <w:divsChild>
                        <w:div w:id="809247127">
                          <w:marLeft w:val="0"/>
                          <w:marRight w:val="0"/>
                          <w:marTop w:val="0"/>
                          <w:marBottom w:val="0"/>
                          <w:divBdr>
                            <w:top w:val="none" w:sz="0" w:space="0" w:color="auto"/>
                            <w:left w:val="none" w:sz="0" w:space="0" w:color="auto"/>
                            <w:bottom w:val="none" w:sz="0" w:space="0" w:color="auto"/>
                            <w:right w:val="none" w:sz="0" w:space="0" w:color="auto"/>
                          </w:divBdr>
                        </w:div>
                      </w:divsChild>
                    </w:div>
                    <w:div w:id="757142215">
                      <w:marLeft w:val="0"/>
                      <w:marRight w:val="0"/>
                      <w:marTop w:val="0"/>
                      <w:marBottom w:val="0"/>
                      <w:divBdr>
                        <w:top w:val="none" w:sz="0" w:space="0" w:color="auto"/>
                        <w:left w:val="none" w:sz="0" w:space="0" w:color="auto"/>
                        <w:bottom w:val="none" w:sz="0" w:space="0" w:color="auto"/>
                        <w:right w:val="none" w:sz="0" w:space="0" w:color="auto"/>
                      </w:divBdr>
                      <w:divsChild>
                        <w:div w:id="329603550">
                          <w:marLeft w:val="0"/>
                          <w:marRight w:val="0"/>
                          <w:marTop w:val="0"/>
                          <w:marBottom w:val="0"/>
                          <w:divBdr>
                            <w:top w:val="none" w:sz="0" w:space="0" w:color="auto"/>
                            <w:left w:val="none" w:sz="0" w:space="0" w:color="auto"/>
                            <w:bottom w:val="none" w:sz="0" w:space="0" w:color="auto"/>
                            <w:right w:val="none" w:sz="0" w:space="0" w:color="auto"/>
                          </w:divBdr>
                        </w:div>
                      </w:divsChild>
                    </w:div>
                    <w:div w:id="759065826">
                      <w:marLeft w:val="0"/>
                      <w:marRight w:val="0"/>
                      <w:marTop w:val="0"/>
                      <w:marBottom w:val="0"/>
                      <w:divBdr>
                        <w:top w:val="none" w:sz="0" w:space="0" w:color="auto"/>
                        <w:left w:val="none" w:sz="0" w:space="0" w:color="auto"/>
                        <w:bottom w:val="none" w:sz="0" w:space="0" w:color="auto"/>
                        <w:right w:val="none" w:sz="0" w:space="0" w:color="auto"/>
                      </w:divBdr>
                      <w:divsChild>
                        <w:div w:id="241258439">
                          <w:marLeft w:val="0"/>
                          <w:marRight w:val="0"/>
                          <w:marTop w:val="0"/>
                          <w:marBottom w:val="0"/>
                          <w:divBdr>
                            <w:top w:val="none" w:sz="0" w:space="0" w:color="auto"/>
                            <w:left w:val="none" w:sz="0" w:space="0" w:color="auto"/>
                            <w:bottom w:val="none" w:sz="0" w:space="0" w:color="auto"/>
                            <w:right w:val="none" w:sz="0" w:space="0" w:color="auto"/>
                          </w:divBdr>
                        </w:div>
                      </w:divsChild>
                    </w:div>
                    <w:div w:id="763695358">
                      <w:marLeft w:val="0"/>
                      <w:marRight w:val="0"/>
                      <w:marTop w:val="0"/>
                      <w:marBottom w:val="0"/>
                      <w:divBdr>
                        <w:top w:val="none" w:sz="0" w:space="0" w:color="auto"/>
                        <w:left w:val="none" w:sz="0" w:space="0" w:color="auto"/>
                        <w:bottom w:val="none" w:sz="0" w:space="0" w:color="auto"/>
                        <w:right w:val="none" w:sz="0" w:space="0" w:color="auto"/>
                      </w:divBdr>
                      <w:divsChild>
                        <w:div w:id="2055110566">
                          <w:marLeft w:val="0"/>
                          <w:marRight w:val="0"/>
                          <w:marTop w:val="0"/>
                          <w:marBottom w:val="0"/>
                          <w:divBdr>
                            <w:top w:val="none" w:sz="0" w:space="0" w:color="auto"/>
                            <w:left w:val="none" w:sz="0" w:space="0" w:color="auto"/>
                            <w:bottom w:val="none" w:sz="0" w:space="0" w:color="auto"/>
                            <w:right w:val="none" w:sz="0" w:space="0" w:color="auto"/>
                          </w:divBdr>
                        </w:div>
                      </w:divsChild>
                    </w:div>
                    <w:div w:id="766922824">
                      <w:marLeft w:val="0"/>
                      <w:marRight w:val="0"/>
                      <w:marTop w:val="0"/>
                      <w:marBottom w:val="0"/>
                      <w:divBdr>
                        <w:top w:val="none" w:sz="0" w:space="0" w:color="auto"/>
                        <w:left w:val="none" w:sz="0" w:space="0" w:color="auto"/>
                        <w:bottom w:val="none" w:sz="0" w:space="0" w:color="auto"/>
                        <w:right w:val="none" w:sz="0" w:space="0" w:color="auto"/>
                      </w:divBdr>
                      <w:divsChild>
                        <w:div w:id="1491941955">
                          <w:marLeft w:val="0"/>
                          <w:marRight w:val="0"/>
                          <w:marTop w:val="0"/>
                          <w:marBottom w:val="0"/>
                          <w:divBdr>
                            <w:top w:val="none" w:sz="0" w:space="0" w:color="auto"/>
                            <w:left w:val="none" w:sz="0" w:space="0" w:color="auto"/>
                            <w:bottom w:val="none" w:sz="0" w:space="0" w:color="auto"/>
                            <w:right w:val="none" w:sz="0" w:space="0" w:color="auto"/>
                          </w:divBdr>
                        </w:div>
                      </w:divsChild>
                    </w:div>
                    <w:div w:id="775684374">
                      <w:marLeft w:val="0"/>
                      <w:marRight w:val="0"/>
                      <w:marTop w:val="0"/>
                      <w:marBottom w:val="0"/>
                      <w:divBdr>
                        <w:top w:val="none" w:sz="0" w:space="0" w:color="auto"/>
                        <w:left w:val="none" w:sz="0" w:space="0" w:color="auto"/>
                        <w:bottom w:val="none" w:sz="0" w:space="0" w:color="auto"/>
                        <w:right w:val="none" w:sz="0" w:space="0" w:color="auto"/>
                      </w:divBdr>
                      <w:divsChild>
                        <w:div w:id="1108499443">
                          <w:marLeft w:val="0"/>
                          <w:marRight w:val="0"/>
                          <w:marTop w:val="0"/>
                          <w:marBottom w:val="0"/>
                          <w:divBdr>
                            <w:top w:val="none" w:sz="0" w:space="0" w:color="auto"/>
                            <w:left w:val="none" w:sz="0" w:space="0" w:color="auto"/>
                            <w:bottom w:val="none" w:sz="0" w:space="0" w:color="auto"/>
                            <w:right w:val="none" w:sz="0" w:space="0" w:color="auto"/>
                          </w:divBdr>
                        </w:div>
                      </w:divsChild>
                    </w:div>
                    <w:div w:id="781218749">
                      <w:marLeft w:val="0"/>
                      <w:marRight w:val="0"/>
                      <w:marTop w:val="0"/>
                      <w:marBottom w:val="0"/>
                      <w:divBdr>
                        <w:top w:val="none" w:sz="0" w:space="0" w:color="auto"/>
                        <w:left w:val="none" w:sz="0" w:space="0" w:color="auto"/>
                        <w:bottom w:val="none" w:sz="0" w:space="0" w:color="auto"/>
                        <w:right w:val="none" w:sz="0" w:space="0" w:color="auto"/>
                      </w:divBdr>
                      <w:divsChild>
                        <w:div w:id="715466038">
                          <w:marLeft w:val="0"/>
                          <w:marRight w:val="0"/>
                          <w:marTop w:val="0"/>
                          <w:marBottom w:val="0"/>
                          <w:divBdr>
                            <w:top w:val="none" w:sz="0" w:space="0" w:color="auto"/>
                            <w:left w:val="none" w:sz="0" w:space="0" w:color="auto"/>
                            <w:bottom w:val="none" w:sz="0" w:space="0" w:color="auto"/>
                            <w:right w:val="none" w:sz="0" w:space="0" w:color="auto"/>
                          </w:divBdr>
                        </w:div>
                      </w:divsChild>
                    </w:div>
                    <w:div w:id="785929778">
                      <w:marLeft w:val="0"/>
                      <w:marRight w:val="0"/>
                      <w:marTop w:val="0"/>
                      <w:marBottom w:val="0"/>
                      <w:divBdr>
                        <w:top w:val="none" w:sz="0" w:space="0" w:color="auto"/>
                        <w:left w:val="none" w:sz="0" w:space="0" w:color="auto"/>
                        <w:bottom w:val="none" w:sz="0" w:space="0" w:color="auto"/>
                        <w:right w:val="none" w:sz="0" w:space="0" w:color="auto"/>
                      </w:divBdr>
                      <w:divsChild>
                        <w:div w:id="1229880657">
                          <w:marLeft w:val="0"/>
                          <w:marRight w:val="0"/>
                          <w:marTop w:val="0"/>
                          <w:marBottom w:val="0"/>
                          <w:divBdr>
                            <w:top w:val="none" w:sz="0" w:space="0" w:color="auto"/>
                            <w:left w:val="none" w:sz="0" w:space="0" w:color="auto"/>
                            <w:bottom w:val="none" w:sz="0" w:space="0" w:color="auto"/>
                            <w:right w:val="none" w:sz="0" w:space="0" w:color="auto"/>
                          </w:divBdr>
                        </w:div>
                      </w:divsChild>
                    </w:div>
                    <w:div w:id="788625460">
                      <w:marLeft w:val="0"/>
                      <w:marRight w:val="0"/>
                      <w:marTop w:val="0"/>
                      <w:marBottom w:val="0"/>
                      <w:divBdr>
                        <w:top w:val="none" w:sz="0" w:space="0" w:color="auto"/>
                        <w:left w:val="none" w:sz="0" w:space="0" w:color="auto"/>
                        <w:bottom w:val="none" w:sz="0" w:space="0" w:color="auto"/>
                        <w:right w:val="none" w:sz="0" w:space="0" w:color="auto"/>
                      </w:divBdr>
                      <w:divsChild>
                        <w:div w:id="643974380">
                          <w:marLeft w:val="0"/>
                          <w:marRight w:val="0"/>
                          <w:marTop w:val="0"/>
                          <w:marBottom w:val="0"/>
                          <w:divBdr>
                            <w:top w:val="none" w:sz="0" w:space="0" w:color="auto"/>
                            <w:left w:val="none" w:sz="0" w:space="0" w:color="auto"/>
                            <w:bottom w:val="none" w:sz="0" w:space="0" w:color="auto"/>
                            <w:right w:val="none" w:sz="0" w:space="0" w:color="auto"/>
                          </w:divBdr>
                        </w:div>
                      </w:divsChild>
                    </w:div>
                    <w:div w:id="798762878">
                      <w:marLeft w:val="0"/>
                      <w:marRight w:val="0"/>
                      <w:marTop w:val="0"/>
                      <w:marBottom w:val="0"/>
                      <w:divBdr>
                        <w:top w:val="none" w:sz="0" w:space="0" w:color="auto"/>
                        <w:left w:val="none" w:sz="0" w:space="0" w:color="auto"/>
                        <w:bottom w:val="none" w:sz="0" w:space="0" w:color="auto"/>
                        <w:right w:val="none" w:sz="0" w:space="0" w:color="auto"/>
                      </w:divBdr>
                      <w:divsChild>
                        <w:div w:id="512650732">
                          <w:marLeft w:val="0"/>
                          <w:marRight w:val="0"/>
                          <w:marTop w:val="0"/>
                          <w:marBottom w:val="0"/>
                          <w:divBdr>
                            <w:top w:val="none" w:sz="0" w:space="0" w:color="auto"/>
                            <w:left w:val="none" w:sz="0" w:space="0" w:color="auto"/>
                            <w:bottom w:val="none" w:sz="0" w:space="0" w:color="auto"/>
                            <w:right w:val="none" w:sz="0" w:space="0" w:color="auto"/>
                          </w:divBdr>
                        </w:div>
                      </w:divsChild>
                    </w:div>
                    <w:div w:id="799226256">
                      <w:marLeft w:val="0"/>
                      <w:marRight w:val="0"/>
                      <w:marTop w:val="0"/>
                      <w:marBottom w:val="0"/>
                      <w:divBdr>
                        <w:top w:val="none" w:sz="0" w:space="0" w:color="auto"/>
                        <w:left w:val="none" w:sz="0" w:space="0" w:color="auto"/>
                        <w:bottom w:val="none" w:sz="0" w:space="0" w:color="auto"/>
                        <w:right w:val="none" w:sz="0" w:space="0" w:color="auto"/>
                      </w:divBdr>
                      <w:divsChild>
                        <w:div w:id="2111123400">
                          <w:marLeft w:val="0"/>
                          <w:marRight w:val="0"/>
                          <w:marTop w:val="0"/>
                          <w:marBottom w:val="0"/>
                          <w:divBdr>
                            <w:top w:val="none" w:sz="0" w:space="0" w:color="auto"/>
                            <w:left w:val="none" w:sz="0" w:space="0" w:color="auto"/>
                            <w:bottom w:val="none" w:sz="0" w:space="0" w:color="auto"/>
                            <w:right w:val="none" w:sz="0" w:space="0" w:color="auto"/>
                          </w:divBdr>
                        </w:div>
                      </w:divsChild>
                    </w:div>
                    <w:div w:id="801312610">
                      <w:marLeft w:val="0"/>
                      <w:marRight w:val="0"/>
                      <w:marTop w:val="0"/>
                      <w:marBottom w:val="0"/>
                      <w:divBdr>
                        <w:top w:val="none" w:sz="0" w:space="0" w:color="auto"/>
                        <w:left w:val="none" w:sz="0" w:space="0" w:color="auto"/>
                        <w:bottom w:val="none" w:sz="0" w:space="0" w:color="auto"/>
                        <w:right w:val="none" w:sz="0" w:space="0" w:color="auto"/>
                      </w:divBdr>
                      <w:divsChild>
                        <w:div w:id="1976174894">
                          <w:marLeft w:val="0"/>
                          <w:marRight w:val="0"/>
                          <w:marTop w:val="0"/>
                          <w:marBottom w:val="0"/>
                          <w:divBdr>
                            <w:top w:val="none" w:sz="0" w:space="0" w:color="auto"/>
                            <w:left w:val="none" w:sz="0" w:space="0" w:color="auto"/>
                            <w:bottom w:val="none" w:sz="0" w:space="0" w:color="auto"/>
                            <w:right w:val="none" w:sz="0" w:space="0" w:color="auto"/>
                          </w:divBdr>
                        </w:div>
                      </w:divsChild>
                    </w:div>
                    <w:div w:id="802234984">
                      <w:marLeft w:val="0"/>
                      <w:marRight w:val="0"/>
                      <w:marTop w:val="0"/>
                      <w:marBottom w:val="0"/>
                      <w:divBdr>
                        <w:top w:val="none" w:sz="0" w:space="0" w:color="auto"/>
                        <w:left w:val="none" w:sz="0" w:space="0" w:color="auto"/>
                        <w:bottom w:val="none" w:sz="0" w:space="0" w:color="auto"/>
                        <w:right w:val="none" w:sz="0" w:space="0" w:color="auto"/>
                      </w:divBdr>
                      <w:divsChild>
                        <w:div w:id="1859007713">
                          <w:marLeft w:val="0"/>
                          <w:marRight w:val="0"/>
                          <w:marTop w:val="0"/>
                          <w:marBottom w:val="0"/>
                          <w:divBdr>
                            <w:top w:val="none" w:sz="0" w:space="0" w:color="auto"/>
                            <w:left w:val="none" w:sz="0" w:space="0" w:color="auto"/>
                            <w:bottom w:val="none" w:sz="0" w:space="0" w:color="auto"/>
                            <w:right w:val="none" w:sz="0" w:space="0" w:color="auto"/>
                          </w:divBdr>
                        </w:div>
                      </w:divsChild>
                    </w:div>
                    <w:div w:id="805051672">
                      <w:marLeft w:val="0"/>
                      <w:marRight w:val="0"/>
                      <w:marTop w:val="0"/>
                      <w:marBottom w:val="0"/>
                      <w:divBdr>
                        <w:top w:val="none" w:sz="0" w:space="0" w:color="auto"/>
                        <w:left w:val="none" w:sz="0" w:space="0" w:color="auto"/>
                        <w:bottom w:val="none" w:sz="0" w:space="0" w:color="auto"/>
                        <w:right w:val="none" w:sz="0" w:space="0" w:color="auto"/>
                      </w:divBdr>
                      <w:divsChild>
                        <w:div w:id="1059865586">
                          <w:marLeft w:val="0"/>
                          <w:marRight w:val="0"/>
                          <w:marTop w:val="0"/>
                          <w:marBottom w:val="0"/>
                          <w:divBdr>
                            <w:top w:val="none" w:sz="0" w:space="0" w:color="auto"/>
                            <w:left w:val="none" w:sz="0" w:space="0" w:color="auto"/>
                            <w:bottom w:val="none" w:sz="0" w:space="0" w:color="auto"/>
                            <w:right w:val="none" w:sz="0" w:space="0" w:color="auto"/>
                          </w:divBdr>
                        </w:div>
                      </w:divsChild>
                    </w:div>
                    <w:div w:id="807631140">
                      <w:marLeft w:val="0"/>
                      <w:marRight w:val="0"/>
                      <w:marTop w:val="0"/>
                      <w:marBottom w:val="0"/>
                      <w:divBdr>
                        <w:top w:val="none" w:sz="0" w:space="0" w:color="auto"/>
                        <w:left w:val="none" w:sz="0" w:space="0" w:color="auto"/>
                        <w:bottom w:val="none" w:sz="0" w:space="0" w:color="auto"/>
                        <w:right w:val="none" w:sz="0" w:space="0" w:color="auto"/>
                      </w:divBdr>
                      <w:divsChild>
                        <w:div w:id="859470868">
                          <w:marLeft w:val="0"/>
                          <w:marRight w:val="0"/>
                          <w:marTop w:val="0"/>
                          <w:marBottom w:val="0"/>
                          <w:divBdr>
                            <w:top w:val="none" w:sz="0" w:space="0" w:color="auto"/>
                            <w:left w:val="none" w:sz="0" w:space="0" w:color="auto"/>
                            <w:bottom w:val="none" w:sz="0" w:space="0" w:color="auto"/>
                            <w:right w:val="none" w:sz="0" w:space="0" w:color="auto"/>
                          </w:divBdr>
                        </w:div>
                      </w:divsChild>
                    </w:div>
                    <w:div w:id="809054520">
                      <w:marLeft w:val="0"/>
                      <w:marRight w:val="0"/>
                      <w:marTop w:val="0"/>
                      <w:marBottom w:val="0"/>
                      <w:divBdr>
                        <w:top w:val="none" w:sz="0" w:space="0" w:color="auto"/>
                        <w:left w:val="none" w:sz="0" w:space="0" w:color="auto"/>
                        <w:bottom w:val="none" w:sz="0" w:space="0" w:color="auto"/>
                        <w:right w:val="none" w:sz="0" w:space="0" w:color="auto"/>
                      </w:divBdr>
                      <w:divsChild>
                        <w:div w:id="514543779">
                          <w:marLeft w:val="0"/>
                          <w:marRight w:val="0"/>
                          <w:marTop w:val="0"/>
                          <w:marBottom w:val="0"/>
                          <w:divBdr>
                            <w:top w:val="none" w:sz="0" w:space="0" w:color="auto"/>
                            <w:left w:val="none" w:sz="0" w:space="0" w:color="auto"/>
                            <w:bottom w:val="none" w:sz="0" w:space="0" w:color="auto"/>
                            <w:right w:val="none" w:sz="0" w:space="0" w:color="auto"/>
                          </w:divBdr>
                        </w:div>
                      </w:divsChild>
                    </w:div>
                    <w:div w:id="814224901">
                      <w:marLeft w:val="0"/>
                      <w:marRight w:val="0"/>
                      <w:marTop w:val="0"/>
                      <w:marBottom w:val="0"/>
                      <w:divBdr>
                        <w:top w:val="none" w:sz="0" w:space="0" w:color="auto"/>
                        <w:left w:val="none" w:sz="0" w:space="0" w:color="auto"/>
                        <w:bottom w:val="none" w:sz="0" w:space="0" w:color="auto"/>
                        <w:right w:val="none" w:sz="0" w:space="0" w:color="auto"/>
                      </w:divBdr>
                      <w:divsChild>
                        <w:div w:id="1527251289">
                          <w:marLeft w:val="0"/>
                          <w:marRight w:val="0"/>
                          <w:marTop w:val="0"/>
                          <w:marBottom w:val="0"/>
                          <w:divBdr>
                            <w:top w:val="none" w:sz="0" w:space="0" w:color="auto"/>
                            <w:left w:val="none" w:sz="0" w:space="0" w:color="auto"/>
                            <w:bottom w:val="none" w:sz="0" w:space="0" w:color="auto"/>
                            <w:right w:val="none" w:sz="0" w:space="0" w:color="auto"/>
                          </w:divBdr>
                        </w:div>
                      </w:divsChild>
                    </w:div>
                    <w:div w:id="819689909">
                      <w:marLeft w:val="0"/>
                      <w:marRight w:val="0"/>
                      <w:marTop w:val="0"/>
                      <w:marBottom w:val="0"/>
                      <w:divBdr>
                        <w:top w:val="none" w:sz="0" w:space="0" w:color="auto"/>
                        <w:left w:val="none" w:sz="0" w:space="0" w:color="auto"/>
                        <w:bottom w:val="none" w:sz="0" w:space="0" w:color="auto"/>
                        <w:right w:val="none" w:sz="0" w:space="0" w:color="auto"/>
                      </w:divBdr>
                      <w:divsChild>
                        <w:div w:id="939601571">
                          <w:marLeft w:val="0"/>
                          <w:marRight w:val="0"/>
                          <w:marTop w:val="0"/>
                          <w:marBottom w:val="0"/>
                          <w:divBdr>
                            <w:top w:val="none" w:sz="0" w:space="0" w:color="auto"/>
                            <w:left w:val="none" w:sz="0" w:space="0" w:color="auto"/>
                            <w:bottom w:val="none" w:sz="0" w:space="0" w:color="auto"/>
                            <w:right w:val="none" w:sz="0" w:space="0" w:color="auto"/>
                          </w:divBdr>
                        </w:div>
                      </w:divsChild>
                    </w:div>
                    <w:div w:id="820194214">
                      <w:marLeft w:val="0"/>
                      <w:marRight w:val="0"/>
                      <w:marTop w:val="0"/>
                      <w:marBottom w:val="0"/>
                      <w:divBdr>
                        <w:top w:val="none" w:sz="0" w:space="0" w:color="auto"/>
                        <w:left w:val="none" w:sz="0" w:space="0" w:color="auto"/>
                        <w:bottom w:val="none" w:sz="0" w:space="0" w:color="auto"/>
                        <w:right w:val="none" w:sz="0" w:space="0" w:color="auto"/>
                      </w:divBdr>
                      <w:divsChild>
                        <w:div w:id="997418866">
                          <w:marLeft w:val="0"/>
                          <w:marRight w:val="0"/>
                          <w:marTop w:val="0"/>
                          <w:marBottom w:val="0"/>
                          <w:divBdr>
                            <w:top w:val="none" w:sz="0" w:space="0" w:color="auto"/>
                            <w:left w:val="none" w:sz="0" w:space="0" w:color="auto"/>
                            <w:bottom w:val="none" w:sz="0" w:space="0" w:color="auto"/>
                            <w:right w:val="none" w:sz="0" w:space="0" w:color="auto"/>
                          </w:divBdr>
                        </w:div>
                      </w:divsChild>
                    </w:div>
                    <w:div w:id="827750698">
                      <w:marLeft w:val="0"/>
                      <w:marRight w:val="0"/>
                      <w:marTop w:val="0"/>
                      <w:marBottom w:val="0"/>
                      <w:divBdr>
                        <w:top w:val="none" w:sz="0" w:space="0" w:color="auto"/>
                        <w:left w:val="none" w:sz="0" w:space="0" w:color="auto"/>
                        <w:bottom w:val="none" w:sz="0" w:space="0" w:color="auto"/>
                        <w:right w:val="none" w:sz="0" w:space="0" w:color="auto"/>
                      </w:divBdr>
                      <w:divsChild>
                        <w:div w:id="9334276">
                          <w:marLeft w:val="0"/>
                          <w:marRight w:val="0"/>
                          <w:marTop w:val="0"/>
                          <w:marBottom w:val="0"/>
                          <w:divBdr>
                            <w:top w:val="none" w:sz="0" w:space="0" w:color="auto"/>
                            <w:left w:val="none" w:sz="0" w:space="0" w:color="auto"/>
                            <w:bottom w:val="none" w:sz="0" w:space="0" w:color="auto"/>
                            <w:right w:val="none" w:sz="0" w:space="0" w:color="auto"/>
                          </w:divBdr>
                        </w:div>
                      </w:divsChild>
                    </w:div>
                    <w:div w:id="833883792">
                      <w:marLeft w:val="0"/>
                      <w:marRight w:val="0"/>
                      <w:marTop w:val="0"/>
                      <w:marBottom w:val="0"/>
                      <w:divBdr>
                        <w:top w:val="none" w:sz="0" w:space="0" w:color="auto"/>
                        <w:left w:val="none" w:sz="0" w:space="0" w:color="auto"/>
                        <w:bottom w:val="none" w:sz="0" w:space="0" w:color="auto"/>
                        <w:right w:val="none" w:sz="0" w:space="0" w:color="auto"/>
                      </w:divBdr>
                      <w:divsChild>
                        <w:div w:id="1048840691">
                          <w:marLeft w:val="0"/>
                          <w:marRight w:val="0"/>
                          <w:marTop w:val="0"/>
                          <w:marBottom w:val="0"/>
                          <w:divBdr>
                            <w:top w:val="none" w:sz="0" w:space="0" w:color="auto"/>
                            <w:left w:val="none" w:sz="0" w:space="0" w:color="auto"/>
                            <w:bottom w:val="none" w:sz="0" w:space="0" w:color="auto"/>
                            <w:right w:val="none" w:sz="0" w:space="0" w:color="auto"/>
                          </w:divBdr>
                        </w:div>
                      </w:divsChild>
                    </w:div>
                    <w:div w:id="833959853">
                      <w:marLeft w:val="0"/>
                      <w:marRight w:val="0"/>
                      <w:marTop w:val="0"/>
                      <w:marBottom w:val="0"/>
                      <w:divBdr>
                        <w:top w:val="none" w:sz="0" w:space="0" w:color="auto"/>
                        <w:left w:val="none" w:sz="0" w:space="0" w:color="auto"/>
                        <w:bottom w:val="none" w:sz="0" w:space="0" w:color="auto"/>
                        <w:right w:val="none" w:sz="0" w:space="0" w:color="auto"/>
                      </w:divBdr>
                      <w:divsChild>
                        <w:div w:id="1866287033">
                          <w:marLeft w:val="0"/>
                          <w:marRight w:val="0"/>
                          <w:marTop w:val="0"/>
                          <w:marBottom w:val="0"/>
                          <w:divBdr>
                            <w:top w:val="none" w:sz="0" w:space="0" w:color="auto"/>
                            <w:left w:val="none" w:sz="0" w:space="0" w:color="auto"/>
                            <w:bottom w:val="none" w:sz="0" w:space="0" w:color="auto"/>
                            <w:right w:val="none" w:sz="0" w:space="0" w:color="auto"/>
                          </w:divBdr>
                        </w:div>
                      </w:divsChild>
                    </w:div>
                    <w:div w:id="834953396">
                      <w:marLeft w:val="0"/>
                      <w:marRight w:val="0"/>
                      <w:marTop w:val="0"/>
                      <w:marBottom w:val="0"/>
                      <w:divBdr>
                        <w:top w:val="none" w:sz="0" w:space="0" w:color="auto"/>
                        <w:left w:val="none" w:sz="0" w:space="0" w:color="auto"/>
                        <w:bottom w:val="none" w:sz="0" w:space="0" w:color="auto"/>
                        <w:right w:val="none" w:sz="0" w:space="0" w:color="auto"/>
                      </w:divBdr>
                      <w:divsChild>
                        <w:div w:id="1355232368">
                          <w:marLeft w:val="0"/>
                          <w:marRight w:val="0"/>
                          <w:marTop w:val="0"/>
                          <w:marBottom w:val="0"/>
                          <w:divBdr>
                            <w:top w:val="none" w:sz="0" w:space="0" w:color="auto"/>
                            <w:left w:val="none" w:sz="0" w:space="0" w:color="auto"/>
                            <w:bottom w:val="none" w:sz="0" w:space="0" w:color="auto"/>
                            <w:right w:val="none" w:sz="0" w:space="0" w:color="auto"/>
                          </w:divBdr>
                        </w:div>
                      </w:divsChild>
                    </w:div>
                    <w:div w:id="835153324">
                      <w:marLeft w:val="0"/>
                      <w:marRight w:val="0"/>
                      <w:marTop w:val="0"/>
                      <w:marBottom w:val="0"/>
                      <w:divBdr>
                        <w:top w:val="none" w:sz="0" w:space="0" w:color="auto"/>
                        <w:left w:val="none" w:sz="0" w:space="0" w:color="auto"/>
                        <w:bottom w:val="none" w:sz="0" w:space="0" w:color="auto"/>
                        <w:right w:val="none" w:sz="0" w:space="0" w:color="auto"/>
                      </w:divBdr>
                      <w:divsChild>
                        <w:div w:id="712581757">
                          <w:marLeft w:val="0"/>
                          <w:marRight w:val="0"/>
                          <w:marTop w:val="0"/>
                          <w:marBottom w:val="0"/>
                          <w:divBdr>
                            <w:top w:val="none" w:sz="0" w:space="0" w:color="auto"/>
                            <w:left w:val="none" w:sz="0" w:space="0" w:color="auto"/>
                            <w:bottom w:val="none" w:sz="0" w:space="0" w:color="auto"/>
                            <w:right w:val="none" w:sz="0" w:space="0" w:color="auto"/>
                          </w:divBdr>
                        </w:div>
                      </w:divsChild>
                    </w:div>
                    <w:div w:id="840006850">
                      <w:marLeft w:val="0"/>
                      <w:marRight w:val="0"/>
                      <w:marTop w:val="0"/>
                      <w:marBottom w:val="0"/>
                      <w:divBdr>
                        <w:top w:val="none" w:sz="0" w:space="0" w:color="auto"/>
                        <w:left w:val="none" w:sz="0" w:space="0" w:color="auto"/>
                        <w:bottom w:val="none" w:sz="0" w:space="0" w:color="auto"/>
                        <w:right w:val="none" w:sz="0" w:space="0" w:color="auto"/>
                      </w:divBdr>
                      <w:divsChild>
                        <w:div w:id="528643885">
                          <w:marLeft w:val="0"/>
                          <w:marRight w:val="0"/>
                          <w:marTop w:val="0"/>
                          <w:marBottom w:val="0"/>
                          <w:divBdr>
                            <w:top w:val="none" w:sz="0" w:space="0" w:color="auto"/>
                            <w:left w:val="none" w:sz="0" w:space="0" w:color="auto"/>
                            <w:bottom w:val="none" w:sz="0" w:space="0" w:color="auto"/>
                            <w:right w:val="none" w:sz="0" w:space="0" w:color="auto"/>
                          </w:divBdr>
                        </w:div>
                      </w:divsChild>
                    </w:div>
                    <w:div w:id="844170145">
                      <w:marLeft w:val="0"/>
                      <w:marRight w:val="0"/>
                      <w:marTop w:val="0"/>
                      <w:marBottom w:val="0"/>
                      <w:divBdr>
                        <w:top w:val="none" w:sz="0" w:space="0" w:color="auto"/>
                        <w:left w:val="none" w:sz="0" w:space="0" w:color="auto"/>
                        <w:bottom w:val="none" w:sz="0" w:space="0" w:color="auto"/>
                        <w:right w:val="none" w:sz="0" w:space="0" w:color="auto"/>
                      </w:divBdr>
                      <w:divsChild>
                        <w:div w:id="169490464">
                          <w:marLeft w:val="0"/>
                          <w:marRight w:val="0"/>
                          <w:marTop w:val="0"/>
                          <w:marBottom w:val="0"/>
                          <w:divBdr>
                            <w:top w:val="none" w:sz="0" w:space="0" w:color="auto"/>
                            <w:left w:val="none" w:sz="0" w:space="0" w:color="auto"/>
                            <w:bottom w:val="none" w:sz="0" w:space="0" w:color="auto"/>
                            <w:right w:val="none" w:sz="0" w:space="0" w:color="auto"/>
                          </w:divBdr>
                        </w:div>
                      </w:divsChild>
                    </w:div>
                    <w:div w:id="848182149">
                      <w:marLeft w:val="0"/>
                      <w:marRight w:val="0"/>
                      <w:marTop w:val="0"/>
                      <w:marBottom w:val="0"/>
                      <w:divBdr>
                        <w:top w:val="none" w:sz="0" w:space="0" w:color="auto"/>
                        <w:left w:val="none" w:sz="0" w:space="0" w:color="auto"/>
                        <w:bottom w:val="none" w:sz="0" w:space="0" w:color="auto"/>
                        <w:right w:val="none" w:sz="0" w:space="0" w:color="auto"/>
                      </w:divBdr>
                      <w:divsChild>
                        <w:div w:id="618990487">
                          <w:marLeft w:val="0"/>
                          <w:marRight w:val="0"/>
                          <w:marTop w:val="0"/>
                          <w:marBottom w:val="0"/>
                          <w:divBdr>
                            <w:top w:val="none" w:sz="0" w:space="0" w:color="auto"/>
                            <w:left w:val="none" w:sz="0" w:space="0" w:color="auto"/>
                            <w:bottom w:val="none" w:sz="0" w:space="0" w:color="auto"/>
                            <w:right w:val="none" w:sz="0" w:space="0" w:color="auto"/>
                          </w:divBdr>
                        </w:div>
                      </w:divsChild>
                    </w:div>
                    <w:div w:id="849831903">
                      <w:marLeft w:val="0"/>
                      <w:marRight w:val="0"/>
                      <w:marTop w:val="0"/>
                      <w:marBottom w:val="0"/>
                      <w:divBdr>
                        <w:top w:val="none" w:sz="0" w:space="0" w:color="auto"/>
                        <w:left w:val="none" w:sz="0" w:space="0" w:color="auto"/>
                        <w:bottom w:val="none" w:sz="0" w:space="0" w:color="auto"/>
                        <w:right w:val="none" w:sz="0" w:space="0" w:color="auto"/>
                      </w:divBdr>
                      <w:divsChild>
                        <w:div w:id="1885092963">
                          <w:marLeft w:val="0"/>
                          <w:marRight w:val="0"/>
                          <w:marTop w:val="0"/>
                          <w:marBottom w:val="0"/>
                          <w:divBdr>
                            <w:top w:val="none" w:sz="0" w:space="0" w:color="auto"/>
                            <w:left w:val="none" w:sz="0" w:space="0" w:color="auto"/>
                            <w:bottom w:val="none" w:sz="0" w:space="0" w:color="auto"/>
                            <w:right w:val="none" w:sz="0" w:space="0" w:color="auto"/>
                          </w:divBdr>
                        </w:div>
                      </w:divsChild>
                    </w:div>
                    <w:div w:id="856500532">
                      <w:marLeft w:val="0"/>
                      <w:marRight w:val="0"/>
                      <w:marTop w:val="0"/>
                      <w:marBottom w:val="0"/>
                      <w:divBdr>
                        <w:top w:val="none" w:sz="0" w:space="0" w:color="auto"/>
                        <w:left w:val="none" w:sz="0" w:space="0" w:color="auto"/>
                        <w:bottom w:val="none" w:sz="0" w:space="0" w:color="auto"/>
                        <w:right w:val="none" w:sz="0" w:space="0" w:color="auto"/>
                      </w:divBdr>
                      <w:divsChild>
                        <w:div w:id="111091959">
                          <w:marLeft w:val="0"/>
                          <w:marRight w:val="0"/>
                          <w:marTop w:val="0"/>
                          <w:marBottom w:val="0"/>
                          <w:divBdr>
                            <w:top w:val="none" w:sz="0" w:space="0" w:color="auto"/>
                            <w:left w:val="none" w:sz="0" w:space="0" w:color="auto"/>
                            <w:bottom w:val="none" w:sz="0" w:space="0" w:color="auto"/>
                            <w:right w:val="none" w:sz="0" w:space="0" w:color="auto"/>
                          </w:divBdr>
                        </w:div>
                      </w:divsChild>
                    </w:div>
                    <w:div w:id="876894005">
                      <w:marLeft w:val="0"/>
                      <w:marRight w:val="0"/>
                      <w:marTop w:val="0"/>
                      <w:marBottom w:val="0"/>
                      <w:divBdr>
                        <w:top w:val="none" w:sz="0" w:space="0" w:color="auto"/>
                        <w:left w:val="none" w:sz="0" w:space="0" w:color="auto"/>
                        <w:bottom w:val="none" w:sz="0" w:space="0" w:color="auto"/>
                        <w:right w:val="none" w:sz="0" w:space="0" w:color="auto"/>
                      </w:divBdr>
                      <w:divsChild>
                        <w:div w:id="456879496">
                          <w:marLeft w:val="0"/>
                          <w:marRight w:val="0"/>
                          <w:marTop w:val="0"/>
                          <w:marBottom w:val="0"/>
                          <w:divBdr>
                            <w:top w:val="none" w:sz="0" w:space="0" w:color="auto"/>
                            <w:left w:val="none" w:sz="0" w:space="0" w:color="auto"/>
                            <w:bottom w:val="none" w:sz="0" w:space="0" w:color="auto"/>
                            <w:right w:val="none" w:sz="0" w:space="0" w:color="auto"/>
                          </w:divBdr>
                        </w:div>
                      </w:divsChild>
                    </w:div>
                    <w:div w:id="883521299">
                      <w:marLeft w:val="0"/>
                      <w:marRight w:val="0"/>
                      <w:marTop w:val="0"/>
                      <w:marBottom w:val="0"/>
                      <w:divBdr>
                        <w:top w:val="none" w:sz="0" w:space="0" w:color="auto"/>
                        <w:left w:val="none" w:sz="0" w:space="0" w:color="auto"/>
                        <w:bottom w:val="none" w:sz="0" w:space="0" w:color="auto"/>
                        <w:right w:val="none" w:sz="0" w:space="0" w:color="auto"/>
                      </w:divBdr>
                      <w:divsChild>
                        <w:div w:id="1217473323">
                          <w:marLeft w:val="0"/>
                          <w:marRight w:val="0"/>
                          <w:marTop w:val="0"/>
                          <w:marBottom w:val="0"/>
                          <w:divBdr>
                            <w:top w:val="none" w:sz="0" w:space="0" w:color="auto"/>
                            <w:left w:val="none" w:sz="0" w:space="0" w:color="auto"/>
                            <w:bottom w:val="none" w:sz="0" w:space="0" w:color="auto"/>
                            <w:right w:val="none" w:sz="0" w:space="0" w:color="auto"/>
                          </w:divBdr>
                        </w:div>
                      </w:divsChild>
                    </w:div>
                    <w:div w:id="890338656">
                      <w:marLeft w:val="0"/>
                      <w:marRight w:val="0"/>
                      <w:marTop w:val="0"/>
                      <w:marBottom w:val="0"/>
                      <w:divBdr>
                        <w:top w:val="none" w:sz="0" w:space="0" w:color="auto"/>
                        <w:left w:val="none" w:sz="0" w:space="0" w:color="auto"/>
                        <w:bottom w:val="none" w:sz="0" w:space="0" w:color="auto"/>
                        <w:right w:val="none" w:sz="0" w:space="0" w:color="auto"/>
                      </w:divBdr>
                      <w:divsChild>
                        <w:div w:id="927932850">
                          <w:marLeft w:val="0"/>
                          <w:marRight w:val="0"/>
                          <w:marTop w:val="0"/>
                          <w:marBottom w:val="0"/>
                          <w:divBdr>
                            <w:top w:val="none" w:sz="0" w:space="0" w:color="auto"/>
                            <w:left w:val="none" w:sz="0" w:space="0" w:color="auto"/>
                            <w:bottom w:val="none" w:sz="0" w:space="0" w:color="auto"/>
                            <w:right w:val="none" w:sz="0" w:space="0" w:color="auto"/>
                          </w:divBdr>
                        </w:div>
                      </w:divsChild>
                    </w:div>
                    <w:div w:id="891887827">
                      <w:marLeft w:val="0"/>
                      <w:marRight w:val="0"/>
                      <w:marTop w:val="0"/>
                      <w:marBottom w:val="0"/>
                      <w:divBdr>
                        <w:top w:val="none" w:sz="0" w:space="0" w:color="auto"/>
                        <w:left w:val="none" w:sz="0" w:space="0" w:color="auto"/>
                        <w:bottom w:val="none" w:sz="0" w:space="0" w:color="auto"/>
                        <w:right w:val="none" w:sz="0" w:space="0" w:color="auto"/>
                      </w:divBdr>
                      <w:divsChild>
                        <w:div w:id="102580984">
                          <w:marLeft w:val="0"/>
                          <w:marRight w:val="0"/>
                          <w:marTop w:val="0"/>
                          <w:marBottom w:val="0"/>
                          <w:divBdr>
                            <w:top w:val="none" w:sz="0" w:space="0" w:color="auto"/>
                            <w:left w:val="none" w:sz="0" w:space="0" w:color="auto"/>
                            <w:bottom w:val="none" w:sz="0" w:space="0" w:color="auto"/>
                            <w:right w:val="none" w:sz="0" w:space="0" w:color="auto"/>
                          </w:divBdr>
                        </w:div>
                      </w:divsChild>
                    </w:div>
                    <w:div w:id="902907857">
                      <w:marLeft w:val="0"/>
                      <w:marRight w:val="0"/>
                      <w:marTop w:val="0"/>
                      <w:marBottom w:val="0"/>
                      <w:divBdr>
                        <w:top w:val="none" w:sz="0" w:space="0" w:color="auto"/>
                        <w:left w:val="none" w:sz="0" w:space="0" w:color="auto"/>
                        <w:bottom w:val="none" w:sz="0" w:space="0" w:color="auto"/>
                        <w:right w:val="none" w:sz="0" w:space="0" w:color="auto"/>
                      </w:divBdr>
                      <w:divsChild>
                        <w:div w:id="1229071167">
                          <w:marLeft w:val="0"/>
                          <w:marRight w:val="0"/>
                          <w:marTop w:val="0"/>
                          <w:marBottom w:val="0"/>
                          <w:divBdr>
                            <w:top w:val="none" w:sz="0" w:space="0" w:color="auto"/>
                            <w:left w:val="none" w:sz="0" w:space="0" w:color="auto"/>
                            <w:bottom w:val="none" w:sz="0" w:space="0" w:color="auto"/>
                            <w:right w:val="none" w:sz="0" w:space="0" w:color="auto"/>
                          </w:divBdr>
                        </w:div>
                      </w:divsChild>
                    </w:div>
                    <w:div w:id="908419673">
                      <w:marLeft w:val="0"/>
                      <w:marRight w:val="0"/>
                      <w:marTop w:val="0"/>
                      <w:marBottom w:val="0"/>
                      <w:divBdr>
                        <w:top w:val="none" w:sz="0" w:space="0" w:color="auto"/>
                        <w:left w:val="none" w:sz="0" w:space="0" w:color="auto"/>
                        <w:bottom w:val="none" w:sz="0" w:space="0" w:color="auto"/>
                        <w:right w:val="none" w:sz="0" w:space="0" w:color="auto"/>
                      </w:divBdr>
                      <w:divsChild>
                        <w:div w:id="671563421">
                          <w:marLeft w:val="0"/>
                          <w:marRight w:val="0"/>
                          <w:marTop w:val="0"/>
                          <w:marBottom w:val="0"/>
                          <w:divBdr>
                            <w:top w:val="none" w:sz="0" w:space="0" w:color="auto"/>
                            <w:left w:val="none" w:sz="0" w:space="0" w:color="auto"/>
                            <w:bottom w:val="none" w:sz="0" w:space="0" w:color="auto"/>
                            <w:right w:val="none" w:sz="0" w:space="0" w:color="auto"/>
                          </w:divBdr>
                        </w:div>
                      </w:divsChild>
                    </w:div>
                    <w:div w:id="910043346">
                      <w:marLeft w:val="0"/>
                      <w:marRight w:val="0"/>
                      <w:marTop w:val="0"/>
                      <w:marBottom w:val="0"/>
                      <w:divBdr>
                        <w:top w:val="none" w:sz="0" w:space="0" w:color="auto"/>
                        <w:left w:val="none" w:sz="0" w:space="0" w:color="auto"/>
                        <w:bottom w:val="none" w:sz="0" w:space="0" w:color="auto"/>
                        <w:right w:val="none" w:sz="0" w:space="0" w:color="auto"/>
                      </w:divBdr>
                      <w:divsChild>
                        <w:div w:id="375400422">
                          <w:marLeft w:val="0"/>
                          <w:marRight w:val="0"/>
                          <w:marTop w:val="0"/>
                          <w:marBottom w:val="0"/>
                          <w:divBdr>
                            <w:top w:val="none" w:sz="0" w:space="0" w:color="auto"/>
                            <w:left w:val="none" w:sz="0" w:space="0" w:color="auto"/>
                            <w:bottom w:val="none" w:sz="0" w:space="0" w:color="auto"/>
                            <w:right w:val="none" w:sz="0" w:space="0" w:color="auto"/>
                          </w:divBdr>
                        </w:div>
                      </w:divsChild>
                    </w:div>
                    <w:div w:id="921328419">
                      <w:marLeft w:val="0"/>
                      <w:marRight w:val="0"/>
                      <w:marTop w:val="0"/>
                      <w:marBottom w:val="0"/>
                      <w:divBdr>
                        <w:top w:val="none" w:sz="0" w:space="0" w:color="auto"/>
                        <w:left w:val="none" w:sz="0" w:space="0" w:color="auto"/>
                        <w:bottom w:val="none" w:sz="0" w:space="0" w:color="auto"/>
                        <w:right w:val="none" w:sz="0" w:space="0" w:color="auto"/>
                      </w:divBdr>
                      <w:divsChild>
                        <w:div w:id="868224709">
                          <w:marLeft w:val="0"/>
                          <w:marRight w:val="0"/>
                          <w:marTop w:val="0"/>
                          <w:marBottom w:val="0"/>
                          <w:divBdr>
                            <w:top w:val="none" w:sz="0" w:space="0" w:color="auto"/>
                            <w:left w:val="none" w:sz="0" w:space="0" w:color="auto"/>
                            <w:bottom w:val="none" w:sz="0" w:space="0" w:color="auto"/>
                            <w:right w:val="none" w:sz="0" w:space="0" w:color="auto"/>
                          </w:divBdr>
                        </w:div>
                      </w:divsChild>
                    </w:div>
                    <w:div w:id="930049872">
                      <w:marLeft w:val="0"/>
                      <w:marRight w:val="0"/>
                      <w:marTop w:val="0"/>
                      <w:marBottom w:val="0"/>
                      <w:divBdr>
                        <w:top w:val="none" w:sz="0" w:space="0" w:color="auto"/>
                        <w:left w:val="none" w:sz="0" w:space="0" w:color="auto"/>
                        <w:bottom w:val="none" w:sz="0" w:space="0" w:color="auto"/>
                        <w:right w:val="none" w:sz="0" w:space="0" w:color="auto"/>
                      </w:divBdr>
                      <w:divsChild>
                        <w:div w:id="1618677155">
                          <w:marLeft w:val="0"/>
                          <w:marRight w:val="0"/>
                          <w:marTop w:val="0"/>
                          <w:marBottom w:val="0"/>
                          <w:divBdr>
                            <w:top w:val="none" w:sz="0" w:space="0" w:color="auto"/>
                            <w:left w:val="none" w:sz="0" w:space="0" w:color="auto"/>
                            <w:bottom w:val="none" w:sz="0" w:space="0" w:color="auto"/>
                            <w:right w:val="none" w:sz="0" w:space="0" w:color="auto"/>
                          </w:divBdr>
                        </w:div>
                      </w:divsChild>
                    </w:div>
                    <w:div w:id="940724292">
                      <w:marLeft w:val="0"/>
                      <w:marRight w:val="0"/>
                      <w:marTop w:val="0"/>
                      <w:marBottom w:val="0"/>
                      <w:divBdr>
                        <w:top w:val="none" w:sz="0" w:space="0" w:color="auto"/>
                        <w:left w:val="none" w:sz="0" w:space="0" w:color="auto"/>
                        <w:bottom w:val="none" w:sz="0" w:space="0" w:color="auto"/>
                        <w:right w:val="none" w:sz="0" w:space="0" w:color="auto"/>
                      </w:divBdr>
                      <w:divsChild>
                        <w:div w:id="2082558533">
                          <w:marLeft w:val="0"/>
                          <w:marRight w:val="0"/>
                          <w:marTop w:val="0"/>
                          <w:marBottom w:val="0"/>
                          <w:divBdr>
                            <w:top w:val="none" w:sz="0" w:space="0" w:color="auto"/>
                            <w:left w:val="none" w:sz="0" w:space="0" w:color="auto"/>
                            <w:bottom w:val="none" w:sz="0" w:space="0" w:color="auto"/>
                            <w:right w:val="none" w:sz="0" w:space="0" w:color="auto"/>
                          </w:divBdr>
                        </w:div>
                      </w:divsChild>
                    </w:div>
                    <w:div w:id="943876973">
                      <w:marLeft w:val="0"/>
                      <w:marRight w:val="0"/>
                      <w:marTop w:val="0"/>
                      <w:marBottom w:val="0"/>
                      <w:divBdr>
                        <w:top w:val="none" w:sz="0" w:space="0" w:color="auto"/>
                        <w:left w:val="none" w:sz="0" w:space="0" w:color="auto"/>
                        <w:bottom w:val="none" w:sz="0" w:space="0" w:color="auto"/>
                        <w:right w:val="none" w:sz="0" w:space="0" w:color="auto"/>
                      </w:divBdr>
                      <w:divsChild>
                        <w:div w:id="158932809">
                          <w:marLeft w:val="0"/>
                          <w:marRight w:val="0"/>
                          <w:marTop w:val="0"/>
                          <w:marBottom w:val="0"/>
                          <w:divBdr>
                            <w:top w:val="none" w:sz="0" w:space="0" w:color="auto"/>
                            <w:left w:val="none" w:sz="0" w:space="0" w:color="auto"/>
                            <w:bottom w:val="none" w:sz="0" w:space="0" w:color="auto"/>
                            <w:right w:val="none" w:sz="0" w:space="0" w:color="auto"/>
                          </w:divBdr>
                        </w:div>
                      </w:divsChild>
                    </w:div>
                    <w:div w:id="973564108">
                      <w:marLeft w:val="0"/>
                      <w:marRight w:val="0"/>
                      <w:marTop w:val="0"/>
                      <w:marBottom w:val="0"/>
                      <w:divBdr>
                        <w:top w:val="none" w:sz="0" w:space="0" w:color="auto"/>
                        <w:left w:val="none" w:sz="0" w:space="0" w:color="auto"/>
                        <w:bottom w:val="none" w:sz="0" w:space="0" w:color="auto"/>
                        <w:right w:val="none" w:sz="0" w:space="0" w:color="auto"/>
                      </w:divBdr>
                      <w:divsChild>
                        <w:div w:id="2137793346">
                          <w:marLeft w:val="0"/>
                          <w:marRight w:val="0"/>
                          <w:marTop w:val="0"/>
                          <w:marBottom w:val="0"/>
                          <w:divBdr>
                            <w:top w:val="none" w:sz="0" w:space="0" w:color="auto"/>
                            <w:left w:val="none" w:sz="0" w:space="0" w:color="auto"/>
                            <w:bottom w:val="none" w:sz="0" w:space="0" w:color="auto"/>
                            <w:right w:val="none" w:sz="0" w:space="0" w:color="auto"/>
                          </w:divBdr>
                        </w:div>
                      </w:divsChild>
                    </w:div>
                    <w:div w:id="980616869">
                      <w:marLeft w:val="0"/>
                      <w:marRight w:val="0"/>
                      <w:marTop w:val="0"/>
                      <w:marBottom w:val="0"/>
                      <w:divBdr>
                        <w:top w:val="none" w:sz="0" w:space="0" w:color="auto"/>
                        <w:left w:val="none" w:sz="0" w:space="0" w:color="auto"/>
                        <w:bottom w:val="none" w:sz="0" w:space="0" w:color="auto"/>
                        <w:right w:val="none" w:sz="0" w:space="0" w:color="auto"/>
                      </w:divBdr>
                      <w:divsChild>
                        <w:div w:id="372852145">
                          <w:marLeft w:val="0"/>
                          <w:marRight w:val="0"/>
                          <w:marTop w:val="0"/>
                          <w:marBottom w:val="0"/>
                          <w:divBdr>
                            <w:top w:val="none" w:sz="0" w:space="0" w:color="auto"/>
                            <w:left w:val="none" w:sz="0" w:space="0" w:color="auto"/>
                            <w:bottom w:val="none" w:sz="0" w:space="0" w:color="auto"/>
                            <w:right w:val="none" w:sz="0" w:space="0" w:color="auto"/>
                          </w:divBdr>
                        </w:div>
                      </w:divsChild>
                    </w:div>
                    <w:div w:id="982006282">
                      <w:marLeft w:val="0"/>
                      <w:marRight w:val="0"/>
                      <w:marTop w:val="0"/>
                      <w:marBottom w:val="0"/>
                      <w:divBdr>
                        <w:top w:val="none" w:sz="0" w:space="0" w:color="auto"/>
                        <w:left w:val="none" w:sz="0" w:space="0" w:color="auto"/>
                        <w:bottom w:val="none" w:sz="0" w:space="0" w:color="auto"/>
                        <w:right w:val="none" w:sz="0" w:space="0" w:color="auto"/>
                      </w:divBdr>
                      <w:divsChild>
                        <w:div w:id="788162365">
                          <w:marLeft w:val="0"/>
                          <w:marRight w:val="0"/>
                          <w:marTop w:val="0"/>
                          <w:marBottom w:val="0"/>
                          <w:divBdr>
                            <w:top w:val="none" w:sz="0" w:space="0" w:color="auto"/>
                            <w:left w:val="none" w:sz="0" w:space="0" w:color="auto"/>
                            <w:bottom w:val="none" w:sz="0" w:space="0" w:color="auto"/>
                            <w:right w:val="none" w:sz="0" w:space="0" w:color="auto"/>
                          </w:divBdr>
                        </w:div>
                      </w:divsChild>
                    </w:div>
                    <w:div w:id="982348420">
                      <w:marLeft w:val="0"/>
                      <w:marRight w:val="0"/>
                      <w:marTop w:val="0"/>
                      <w:marBottom w:val="0"/>
                      <w:divBdr>
                        <w:top w:val="none" w:sz="0" w:space="0" w:color="auto"/>
                        <w:left w:val="none" w:sz="0" w:space="0" w:color="auto"/>
                        <w:bottom w:val="none" w:sz="0" w:space="0" w:color="auto"/>
                        <w:right w:val="none" w:sz="0" w:space="0" w:color="auto"/>
                      </w:divBdr>
                      <w:divsChild>
                        <w:div w:id="845049755">
                          <w:marLeft w:val="0"/>
                          <w:marRight w:val="0"/>
                          <w:marTop w:val="0"/>
                          <w:marBottom w:val="0"/>
                          <w:divBdr>
                            <w:top w:val="none" w:sz="0" w:space="0" w:color="auto"/>
                            <w:left w:val="none" w:sz="0" w:space="0" w:color="auto"/>
                            <w:bottom w:val="none" w:sz="0" w:space="0" w:color="auto"/>
                            <w:right w:val="none" w:sz="0" w:space="0" w:color="auto"/>
                          </w:divBdr>
                        </w:div>
                      </w:divsChild>
                    </w:div>
                    <w:div w:id="982388675">
                      <w:marLeft w:val="0"/>
                      <w:marRight w:val="0"/>
                      <w:marTop w:val="0"/>
                      <w:marBottom w:val="0"/>
                      <w:divBdr>
                        <w:top w:val="none" w:sz="0" w:space="0" w:color="auto"/>
                        <w:left w:val="none" w:sz="0" w:space="0" w:color="auto"/>
                        <w:bottom w:val="none" w:sz="0" w:space="0" w:color="auto"/>
                        <w:right w:val="none" w:sz="0" w:space="0" w:color="auto"/>
                      </w:divBdr>
                      <w:divsChild>
                        <w:div w:id="2021542275">
                          <w:marLeft w:val="0"/>
                          <w:marRight w:val="0"/>
                          <w:marTop w:val="0"/>
                          <w:marBottom w:val="0"/>
                          <w:divBdr>
                            <w:top w:val="none" w:sz="0" w:space="0" w:color="auto"/>
                            <w:left w:val="none" w:sz="0" w:space="0" w:color="auto"/>
                            <w:bottom w:val="none" w:sz="0" w:space="0" w:color="auto"/>
                            <w:right w:val="none" w:sz="0" w:space="0" w:color="auto"/>
                          </w:divBdr>
                        </w:div>
                      </w:divsChild>
                    </w:div>
                    <w:div w:id="985816993">
                      <w:marLeft w:val="0"/>
                      <w:marRight w:val="0"/>
                      <w:marTop w:val="0"/>
                      <w:marBottom w:val="0"/>
                      <w:divBdr>
                        <w:top w:val="none" w:sz="0" w:space="0" w:color="auto"/>
                        <w:left w:val="none" w:sz="0" w:space="0" w:color="auto"/>
                        <w:bottom w:val="none" w:sz="0" w:space="0" w:color="auto"/>
                        <w:right w:val="none" w:sz="0" w:space="0" w:color="auto"/>
                      </w:divBdr>
                      <w:divsChild>
                        <w:div w:id="1923954440">
                          <w:marLeft w:val="0"/>
                          <w:marRight w:val="0"/>
                          <w:marTop w:val="0"/>
                          <w:marBottom w:val="0"/>
                          <w:divBdr>
                            <w:top w:val="none" w:sz="0" w:space="0" w:color="auto"/>
                            <w:left w:val="none" w:sz="0" w:space="0" w:color="auto"/>
                            <w:bottom w:val="none" w:sz="0" w:space="0" w:color="auto"/>
                            <w:right w:val="none" w:sz="0" w:space="0" w:color="auto"/>
                          </w:divBdr>
                        </w:div>
                      </w:divsChild>
                    </w:div>
                    <w:div w:id="989090210">
                      <w:marLeft w:val="0"/>
                      <w:marRight w:val="0"/>
                      <w:marTop w:val="0"/>
                      <w:marBottom w:val="0"/>
                      <w:divBdr>
                        <w:top w:val="none" w:sz="0" w:space="0" w:color="auto"/>
                        <w:left w:val="none" w:sz="0" w:space="0" w:color="auto"/>
                        <w:bottom w:val="none" w:sz="0" w:space="0" w:color="auto"/>
                        <w:right w:val="none" w:sz="0" w:space="0" w:color="auto"/>
                      </w:divBdr>
                      <w:divsChild>
                        <w:div w:id="332494227">
                          <w:marLeft w:val="0"/>
                          <w:marRight w:val="0"/>
                          <w:marTop w:val="0"/>
                          <w:marBottom w:val="0"/>
                          <w:divBdr>
                            <w:top w:val="none" w:sz="0" w:space="0" w:color="auto"/>
                            <w:left w:val="none" w:sz="0" w:space="0" w:color="auto"/>
                            <w:bottom w:val="none" w:sz="0" w:space="0" w:color="auto"/>
                            <w:right w:val="none" w:sz="0" w:space="0" w:color="auto"/>
                          </w:divBdr>
                        </w:div>
                      </w:divsChild>
                    </w:div>
                    <w:div w:id="992946227">
                      <w:marLeft w:val="0"/>
                      <w:marRight w:val="0"/>
                      <w:marTop w:val="0"/>
                      <w:marBottom w:val="0"/>
                      <w:divBdr>
                        <w:top w:val="none" w:sz="0" w:space="0" w:color="auto"/>
                        <w:left w:val="none" w:sz="0" w:space="0" w:color="auto"/>
                        <w:bottom w:val="none" w:sz="0" w:space="0" w:color="auto"/>
                        <w:right w:val="none" w:sz="0" w:space="0" w:color="auto"/>
                      </w:divBdr>
                      <w:divsChild>
                        <w:div w:id="1390180102">
                          <w:marLeft w:val="0"/>
                          <w:marRight w:val="0"/>
                          <w:marTop w:val="0"/>
                          <w:marBottom w:val="0"/>
                          <w:divBdr>
                            <w:top w:val="none" w:sz="0" w:space="0" w:color="auto"/>
                            <w:left w:val="none" w:sz="0" w:space="0" w:color="auto"/>
                            <w:bottom w:val="none" w:sz="0" w:space="0" w:color="auto"/>
                            <w:right w:val="none" w:sz="0" w:space="0" w:color="auto"/>
                          </w:divBdr>
                        </w:div>
                      </w:divsChild>
                    </w:div>
                    <w:div w:id="999843386">
                      <w:marLeft w:val="0"/>
                      <w:marRight w:val="0"/>
                      <w:marTop w:val="0"/>
                      <w:marBottom w:val="0"/>
                      <w:divBdr>
                        <w:top w:val="none" w:sz="0" w:space="0" w:color="auto"/>
                        <w:left w:val="none" w:sz="0" w:space="0" w:color="auto"/>
                        <w:bottom w:val="none" w:sz="0" w:space="0" w:color="auto"/>
                        <w:right w:val="none" w:sz="0" w:space="0" w:color="auto"/>
                      </w:divBdr>
                      <w:divsChild>
                        <w:div w:id="1725368832">
                          <w:marLeft w:val="0"/>
                          <w:marRight w:val="0"/>
                          <w:marTop w:val="0"/>
                          <w:marBottom w:val="0"/>
                          <w:divBdr>
                            <w:top w:val="none" w:sz="0" w:space="0" w:color="auto"/>
                            <w:left w:val="none" w:sz="0" w:space="0" w:color="auto"/>
                            <w:bottom w:val="none" w:sz="0" w:space="0" w:color="auto"/>
                            <w:right w:val="none" w:sz="0" w:space="0" w:color="auto"/>
                          </w:divBdr>
                        </w:div>
                      </w:divsChild>
                    </w:div>
                    <w:div w:id="1000809440">
                      <w:marLeft w:val="0"/>
                      <w:marRight w:val="0"/>
                      <w:marTop w:val="0"/>
                      <w:marBottom w:val="0"/>
                      <w:divBdr>
                        <w:top w:val="none" w:sz="0" w:space="0" w:color="auto"/>
                        <w:left w:val="none" w:sz="0" w:space="0" w:color="auto"/>
                        <w:bottom w:val="none" w:sz="0" w:space="0" w:color="auto"/>
                        <w:right w:val="none" w:sz="0" w:space="0" w:color="auto"/>
                      </w:divBdr>
                      <w:divsChild>
                        <w:div w:id="1811943266">
                          <w:marLeft w:val="0"/>
                          <w:marRight w:val="0"/>
                          <w:marTop w:val="0"/>
                          <w:marBottom w:val="0"/>
                          <w:divBdr>
                            <w:top w:val="none" w:sz="0" w:space="0" w:color="auto"/>
                            <w:left w:val="none" w:sz="0" w:space="0" w:color="auto"/>
                            <w:bottom w:val="none" w:sz="0" w:space="0" w:color="auto"/>
                            <w:right w:val="none" w:sz="0" w:space="0" w:color="auto"/>
                          </w:divBdr>
                        </w:div>
                      </w:divsChild>
                    </w:div>
                    <w:div w:id="1024940526">
                      <w:marLeft w:val="0"/>
                      <w:marRight w:val="0"/>
                      <w:marTop w:val="0"/>
                      <w:marBottom w:val="0"/>
                      <w:divBdr>
                        <w:top w:val="none" w:sz="0" w:space="0" w:color="auto"/>
                        <w:left w:val="none" w:sz="0" w:space="0" w:color="auto"/>
                        <w:bottom w:val="none" w:sz="0" w:space="0" w:color="auto"/>
                        <w:right w:val="none" w:sz="0" w:space="0" w:color="auto"/>
                      </w:divBdr>
                      <w:divsChild>
                        <w:div w:id="646669434">
                          <w:marLeft w:val="0"/>
                          <w:marRight w:val="0"/>
                          <w:marTop w:val="0"/>
                          <w:marBottom w:val="0"/>
                          <w:divBdr>
                            <w:top w:val="none" w:sz="0" w:space="0" w:color="auto"/>
                            <w:left w:val="none" w:sz="0" w:space="0" w:color="auto"/>
                            <w:bottom w:val="none" w:sz="0" w:space="0" w:color="auto"/>
                            <w:right w:val="none" w:sz="0" w:space="0" w:color="auto"/>
                          </w:divBdr>
                        </w:div>
                      </w:divsChild>
                    </w:div>
                    <w:div w:id="1030642669">
                      <w:marLeft w:val="0"/>
                      <w:marRight w:val="0"/>
                      <w:marTop w:val="0"/>
                      <w:marBottom w:val="0"/>
                      <w:divBdr>
                        <w:top w:val="none" w:sz="0" w:space="0" w:color="auto"/>
                        <w:left w:val="none" w:sz="0" w:space="0" w:color="auto"/>
                        <w:bottom w:val="none" w:sz="0" w:space="0" w:color="auto"/>
                        <w:right w:val="none" w:sz="0" w:space="0" w:color="auto"/>
                      </w:divBdr>
                      <w:divsChild>
                        <w:div w:id="1346134895">
                          <w:marLeft w:val="0"/>
                          <w:marRight w:val="0"/>
                          <w:marTop w:val="0"/>
                          <w:marBottom w:val="0"/>
                          <w:divBdr>
                            <w:top w:val="none" w:sz="0" w:space="0" w:color="auto"/>
                            <w:left w:val="none" w:sz="0" w:space="0" w:color="auto"/>
                            <w:bottom w:val="none" w:sz="0" w:space="0" w:color="auto"/>
                            <w:right w:val="none" w:sz="0" w:space="0" w:color="auto"/>
                          </w:divBdr>
                        </w:div>
                      </w:divsChild>
                    </w:div>
                    <w:div w:id="1031154607">
                      <w:marLeft w:val="0"/>
                      <w:marRight w:val="0"/>
                      <w:marTop w:val="0"/>
                      <w:marBottom w:val="0"/>
                      <w:divBdr>
                        <w:top w:val="none" w:sz="0" w:space="0" w:color="auto"/>
                        <w:left w:val="none" w:sz="0" w:space="0" w:color="auto"/>
                        <w:bottom w:val="none" w:sz="0" w:space="0" w:color="auto"/>
                        <w:right w:val="none" w:sz="0" w:space="0" w:color="auto"/>
                      </w:divBdr>
                      <w:divsChild>
                        <w:div w:id="1272516000">
                          <w:marLeft w:val="0"/>
                          <w:marRight w:val="0"/>
                          <w:marTop w:val="0"/>
                          <w:marBottom w:val="0"/>
                          <w:divBdr>
                            <w:top w:val="none" w:sz="0" w:space="0" w:color="auto"/>
                            <w:left w:val="none" w:sz="0" w:space="0" w:color="auto"/>
                            <w:bottom w:val="none" w:sz="0" w:space="0" w:color="auto"/>
                            <w:right w:val="none" w:sz="0" w:space="0" w:color="auto"/>
                          </w:divBdr>
                        </w:div>
                      </w:divsChild>
                    </w:div>
                    <w:div w:id="1031804743">
                      <w:marLeft w:val="0"/>
                      <w:marRight w:val="0"/>
                      <w:marTop w:val="0"/>
                      <w:marBottom w:val="0"/>
                      <w:divBdr>
                        <w:top w:val="none" w:sz="0" w:space="0" w:color="auto"/>
                        <w:left w:val="none" w:sz="0" w:space="0" w:color="auto"/>
                        <w:bottom w:val="none" w:sz="0" w:space="0" w:color="auto"/>
                        <w:right w:val="none" w:sz="0" w:space="0" w:color="auto"/>
                      </w:divBdr>
                      <w:divsChild>
                        <w:div w:id="468942698">
                          <w:marLeft w:val="0"/>
                          <w:marRight w:val="0"/>
                          <w:marTop w:val="0"/>
                          <w:marBottom w:val="0"/>
                          <w:divBdr>
                            <w:top w:val="none" w:sz="0" w:space="0" w:color="auto"/>
                            <w:left w:val="none" w:sz="0" w:space="0" w:color="auto"/>
                            <w:bottom w:val="none" w:sz="0" w:space="0" w:color="auto"/>
                            <w:right w:val="none" w:sz="0" w:space="0" w:color="auto"/>
                          </w:divBdr>
                        </w:div>
                      </w:divsChild>
                    </w:div>
                    <w:div w:id="1039471370">
                      <w:marLeft w:val="0"/>
                      <w:marRight w:val="0"/>
                      <w:marTop w:val="0"/>
                      <w:marBottom w:val="0"/>
                      <w:divBdr>
                        <w:top w:val="none" w:sz="0" w:space="0" w:color="auto"/>
                        <w:left w:val="none" w:sz="0" w:space="0" w:color="auto"/>
                        <w:bottom w:val="none" w:sz="0" w:space="0" w:color="auto"/>
                        <w:right w:val="none" w:sz="0" w:space="0" w:color="auto"/>
                      </w:divBdr>
                      <w:divsChild>
                        <w:div w:id="2043892753">
                          <w:marLeft w:val="0"/>
                          <w:marRight w:val="0"/>
                          <w:marTop w:val="0"/>
                          <w:marBottom w:val="0"/>
                          <w:divBdr>
                            <w:top w:val="none" w:sz="0" w:space="0" w:color="auto"/>
                            <w:left w:val="none" w:sz="0" w:space="0" w:color="auto"/>
                            <w:bottom w:val="none" w:sz="0" w:space="0" w:color="auto"/>
                            <w:right w:val="none" w:sz="0" w:space="0" w:color="auto"/>
                          </w:divBdr>
                        </w:div>
                      </w:divsChild>
                    </w:div>
                    <w:div w:id="1047684961">
                      <w:marLeft w:val="0"/>
                      <w:marRight w:val="0"/>
                      <w:marTop w:val="0"/>
                      <w:marBottom w:val="0"/>
                      <w:divBdr>
                        <w:top w:val="none" w:sz="0" w:space="0" w:color="auto"/>
                        <w:left w:val="none" w:sz="0" w:space="0" w:color="auto"/>
                        <w:bottom w:val="none" w:sz="0" w:space="0" w:color="auto"/>
                        <w:right w:val="none" w:sz="0" w:space="0" w:color="auto"/>
                      </w:divBdr>
                      <w:divsChild>
                        <w:div w:id="919949346">
                          <w:marLeft w:val="0"/>
                          <w:marRight w:val="0"/>
                          <w:marTop w:val="0"/>
                          <w:marBottom w:val="0"/>
                          <w:divBdr>
                            <w:top w:val="none" w:sz="0" w:space="0" w:color="auto"/>
                            <w:left w:val="none" w:sz="0" w:space="0" w:color="auto"/>
                            <w:bottom w:val="none" w:sz="0" w:space="0" w:color="auto"/>
                            <w:right w:val="none" w:sz="0" w:space="0" w:color="auto"/>
                          </w:divBdr>
                        </w:div>
                      </w:divsChild>
                    </w:div>
                    <w:div w:id="1048336203">
                      <w:marLeft w:val="0"/>
                      <w:marRight w:val="0"/>
                      <w:marTop w:val="0"/>
                      <w:marBottom w:val="0"/>
                      <w:divBdr>
                        <w:top w:val="none" w:sz="0" w:space="0" w:color="auto"/>
                        <w:left w:val="none" w:sz="0" w:space="0" w:color="auto"/>
                        <w:bottom w:val="none" w:sz="0" w:space="0" w:color="auto"/>
                        <w:right w:val="none" w:sz="0" w:space="0" w:color="auto"/>
                      </w:divBdr>
                      <w:divsChild>
                        <w:div w:id="2054112542">
                          <w:marLeft w:val="0"/>
                          <w:marRight w:val="0"/>
                          <w:marTop w:val="0"/>
                          <w:marBottom w:val="0"/>
                          <w:divBdr>
                            <w:top w:val="none" w:sz="0" w:space="0" w:color="auto"/>
                            <w:left w:val="none" w:sz="0" w:space="0" w:color="auto"/>
                            <w:bottom w:val="none" w:sz="0" w:space="0" w:color="auto"/>
                            <w:right w:val="none" w:sz="0" w:space="0" w:color="auto"/>
                          </w:divBdr>
                        </w:div>
                      </w:divsChild>
                    </w:div>
                    <w:div w:id="1056515962">
                      <w:marLeft w:val="0"/>
                      <w:marRight w:val="0"/>
                      <w:marTop w:val="0"/>
                      <w:marBottom w:val="0"/>
                      <w:divBdr>
                        <w:top w:val="none" w:sz="0" w:space="0" w:color="auto"/>
                        <w:left w:val="none" w:sz="0" w:space="0" w:color="auto"/>
                        <w:bottom w:val="none" w:sz="0" w:space="0" w:color="auto"/>
                        <w:right w:val="none" w:sz="0" w:space="0" w:color="auto"/>
                      </w:divBdr>
                      <w:divsChild>
                        <w:div w:id="179852619">
                          <w:marLeft w:val="0"/>
                          <w:marRight w:val="0"/>
                          <w:marTop w:val="0"/>
                          <w:marBottom w:val="0"/>
                          <w:divBdr>
                            <w:top w:val="none" w:sz="0" w:space="0" w:color="auto"/>
                            <w:left w:val="none" w:sz="0" w:space="0" w:color="auto"/>
                            <w:bottom w:val="none" w:sz="0" w:space="0" w:color="auto"/>
                            <w:right w:val="none" w:sz="0" w:space="0" w:color="auto"/>
                          </w:divBdr>
                        </w:div>
                      </w:divsChild>
                    </w:div>
                    <w:div w:id="1059472693">
                      <w:marLeft w:val="0"/>
                      <w:marRight w:val="0"/>
                      <w:marTop w:val="0"/>
                      <w:marBottom w:val="0"/>
                      <w:divBdr>
                        <w:top w:val="none" w:sz="0" w:space="0" w:color="auto"/>
                        <w:left w:val="none" w:sz="0" w:space="0" w:color="auto"/>
                        <w:bottom w:val="none" w:sz="0" w:space="0" w:color="auto"/>
                        <w:right w:val="none" w:sz="0" w:space="0" w:color="auto"/>
                      </w:divBdr>
                      <w:divsChild>
                        <w:div w:id="1083454766">
                          <w:marLeft w:val="0"/>
                          <w:marRight w:val="0"/>
                          <w:marTop w:val="0"/>
                          <w:marBottom w:val="0"/>
                          <w:divBdr>
                            <w:top w:val="none" w:sz="0" w:space="0" w:color="auto"/>
                            <w:left w:val="none" w:sz="0" w:space="0" w:color="auto"/>
                            <w:bottom w:val="none" w:sz="0" w:space="0" w:color="auto"/>
                            <w:right w:val="none" w:sz="0" w:space="0" w:color="auto"/>
                          </w:divBdr>
                        </w:div>
                      </w:divsChild>
                    </w:div>
                    <w:div w:id="1059473246">
                      <w:marLeft w:val="0"/>
                      <w:marRight w:val="0"/>
                      <w:marTop w:val="0"/>
                      <w:marBottom w:val="0"/>
                      <w:divBdr>
                        <w:top w:val="none" w:sz="0" w:space="0" w:color="auto"/>
                        <w:left w:val="none" w:sz="0" w:space="0" w:color="auto"/>
                        <w:bottom w:val="none" w:sz="0" w:space="0" w:color="auto"/>
                        <w:right w:val="none" w:sz="0" w:space="0" w:color="auto"/>
                      </w:divBdr>
                      <w:divsChild>
                        <w:div w:id="1727795683">
                          <w:marLeft w:val="0"/>
                          <w:marRight w:val="0"/>
                          <w:marTop w:val="0"/>
                          <w:marBottom w:val="0"/>
                          <w:divBdr>
                            <w:top w:val="none" w:sz="0" w:space="0" w:color="auto"/>
                            <w:left w:val="none" w:sz="0" w:space="0" w:color="auto"/>
                            <w:bottom w:val="none" w:sz="0" w:space="0" w:color="auto"/>
                            <w:right w:val="none" w:sz="0" w:space="0" w:color="auto"/>
                          </w:divBdr>
                        </w:div>
                      </w:divsChild>
                    </w:div>
                    <w:div w:id="1061832225">
                      <w:marLeft w:val="0"/>
                      <w:marRight w:val="0"/>
                      <w:marTop w:val="0"/>
                      <w:marBottom w:val="0"/>
                      <w:divBdr>
                        <w:top w:val="none" w:sz="0" w:space="0" w:color="auto"/>
                        <w:left w:val="none" w:sz="0" w:space="0" w:color="auto"/>
                        <w:bottom w:val="none" w:sz="0" w:space="0" w:color="auto"/>
                        <w:right w:val="none" w:sz="0" w:space="0" w:color="auto"/>
                      </w:divBdr>
                      <w:divsChild>
                        <w:div w:id="505168428">
                          <w:marLeft w:val="0"/>
                          <w:marRight w:val="0"/>
                          <w:marTop w:val="0"/>
                          <w:marBottom w:val="0"/>
                          <w:divBdr>
                            <w:top w:val="none" w:sz="0" w:space="0" w:color="auto"/>
                            <w:left w:val="none" w:sz="0" w:space="0" w:color="auto"/>
                            <w:bottom w:val="none" w:sz="0" w:space="0" w:color="auto"/>
                            <w:right w:val="none" w:sz="0" w:space="0" w:color="auto"/>
                          </w:divBdr>
                        </w:div>
                      </w:divsChild>
                    </w:div>
                    <w:div w:id="1067458886">
                      <w:marLeft w:val="0"/>
                      <w:marRight w:val="0"/>
                      <w:marTop w:val="0"/>
                      <w:marBottom w:val="0"/>
                      <w:divBdr>
                        <w:top w:val="none" w:sz="0" w:space="0" w:color="auto"/>
                        <w:left w:val="none" w:sz="0" w:space="0" w:color="auto"/>
                        <w:bottom w:val="none" w:sz="0" w:space="0" w:color="auto"/>
                        <w:right w:val="none" w:sz="0" w:space="0" w:color="auto"/>
                      </w:divBdr>
                      <w:divsChild>
                        <w:div w:id="1613904034">
                          <w:marLeft w:val="0"/>
                          <w:marRight w:val="0"/>
                          <w:marTop w:val="0"/>
                          <w:marBottom w:val="0"/>
                          <w:divBdr>
                            <w:top w:val="none" w:sz="0" w:space="0" w:color="auto"/>
                            <w:left w:val="none" w:sz="0" w:space="0" w:color="auto"/>
                            <w:bottom w:val="none" w:sz="0" w:space="0" w:color="auto"/>
                            <w:right w:val="none" w:sz="0" w:space="0" w:color="auto"/>
                          </w:divBdr>
                        </w:div>
                      </w:divsChild>
                    </w:div>
                    <w:div w:id="1069812060">
                      <w:marLeft w:val="0"/>
                      <w:marRight w:val="0"/>
                      <w:marTop w:val="0"/>
                      <w:marBottom w:val="0"/>
                      <w:divBdr>
                        <w:top w:val="none" w:sz="0" w:space="0" w:color="auto"/>
                        <w:left w:val="none" w:sz="0" w:space="0" w:color="auto"/>
                        <w:bottom w:val="none" w:sz="0" w:space="0" w:color="auto"/>
                        <w:right w:val="none" w:sz="0" w:space="0" w:color="auto"/>
                      </w:divBdr>
                      <w:divsChild>
                        <w:div w:id="729884136">
                          <w:marLeft w:val="0"/>
                          <w:marRight w:val="0"/>
                          <w:marTop w:val="0"/>
                          <w:marBottom w:val="0"/>
                          <w:divBdr>
                            <w:top w:val="none" w:sz="0" w:space="0" w:color="auto"/>
                            <w:left w:val="none" w:sz="0" w:space="0" w:color="auto"/>
                            <w:bottom w:val="none" w:sz="0" w:space="0" w:color="auto"/>
                            <w:right w:val="none" w:sz="0" w:space="0" w:color="auto"/>
                          </w:divBdr>
                        </w:div>
                      </w:divsChild>
                    </w:div>
                    <w:div w:id="1076123635">
                      <w:marLeft w:val="0"/>
                      <w:marRight w:val="0"/>
                      <w:marTop w:val="0"/>
                      <w:marBottom w:val="0"/>
                      <w:divBdr>
                        <w:top w:val="none" w:sz="0" w:space="0" w:color="auto"/>
                        <w:left w:val="none" w:sz="0" w:space="0" w:color="auto"/>
                        <w:bottom w:val="none" w:sz="0" w:space="0" w:color="auto"/>
                        <w:right w:val="none" w:sz="0" w:space="0" w:color="auto"/>
                      </w:divBdr>
                      <w:divsChild>
                        <w:div w:id="159541671">
                          <w:marLeft w:val="0"/>
                          <w:marRight w:val="0"/>
                          <w:marTop w:val="0"/>
                          <w:marBottom w:val="0"/>
                          <w:divBdr>
                            <w:top w:val="none" w:sz="0" w:space="0" w:color="auto"/>
                            <w:left w:val="none" w:sz="0" w:space="0" w:color="auto"/>
                            <w:bottom w:val="none" w:sz="0" w:space="0" w:color="auto"/>
                            <w:right w:val="none" w:sz="0" w:space="0" w:color="auto"/>
                          </w:divBdr>
                        </w:div>
                      </w:divsChild>
                    </w:div>
                    <w:div w:id="1087264174">
                      <w:marLeft w:val="0"/>
                      <w:marRight w:val="0"/>
                      <w:marTop w:val="0"/>
                      <w:marBottom w:val="0"/>
                      <w:divBdr>
                        <w:top w:val="none" w:sz="0" w:space="0" w:color="auto"/>
                        <w:left w:val="none" w:sz="0" w:space="0" w:color="auto"/>
                        <w:bottom w:val="none" w:sz="0" w:space="0" w:color="auto"/>
                        <w:right w:val="none" w:sz="0" w:space="0" w:color="auto"/>
                      </w:divBdr>
                      <w:divsChild>
                        <w:div w:id="87498">
                          <w:marLeft w:val="0"/>
                          <w:marRight w:val="0"/>
                          <w:marTop w:val="0"/>
                          <w:marBottom w:val="0"/>
                          <w:divBdr>
                            <w:top w:val="none" w:sz="0" w:space="0" w:color="auto"/>
                            <w:left w:val="none" w:sz="0" w:space="0" w:color="auto"/>
                            <w:bottom w:val="none" w:sz="0" w:space="0" w:color="auto"/>
                            <w:right w:val="none" w:sz="0" w:space="0" w:color="auto"/>
                          </w:divBdr>
                        </w:div>
                      </w:divsChild>
                    </w:div>
                    <w:div w:id="1087270803">
                      <w:marLeft w:val="0"/>
                      <w:marRight w:val="0"/>
                      <w:marTop w:val="0"/>
                      <w:marBottom w:val="0"/>
                      <w:divBdr>
                        <w:top w:val="none" w:sz="0" w:space="0" w:color="auto"/>
                        <w:left w:val="none" w:sz="0" w:space="0" w:color="auto"/>
                        <w:bottom w:val="none" w:sz="0" w:space="0" w:color="auto"/>
                        <w:right w:val="none" w:sz="0" w:space="0" w:color="auto"/>
                      </w:divBdr>
                      <w:divsChild>
                        <w:div w:id="1426072590">
                          <w:marLeft w:val="0"/>
                          <w:marRight w:val="0"/>
                          <w:marTop w:val="0"/>
                          <w:marBottom w:val="0"/>
                          <w:divBdr>
                            <w:top w:val="none" w:sz="0" w:space="0" w:color="auto"/>
                            <w:left w:val="none" w:sz="0" w:space="0" w:color="auto"/>
                            <w:bottom w:val="none" w:sz="0" w:space="0" w:color="auto"/>
                            <w:right w:val="none" w:sz="0" w:space="0" w:color="auto"/>
                          </w:divBdr>
                        </w:div>
                      </w:divsChild>
                    </w:div>
                    <w:div w:id="1100759462">
                      <w:marLeft w:val="0"/>
                      <w:marRight w:val="0"/>
                      <w:marTop w:val="0"/>
                      <w:marBottom w:val="0"/>
                      <w:divBdr>
                        <w:top w:val="none" w:sz="0" w:space="0" w:color="auto"/>
                        <w:left w:val="none" w:sz="0" w:space="0" w:color="auto"/>
                        <w:bottom w:val="none" w:sz="0" w:space="0" w:color="auto"/>
                        <w:right w:val="none" w:sz="0" w:space="0" w:color="auto"/>
                      </w:divBdr>
                      <w:divsChild>
                        <w:div w:id="209533327">
                          <w:marLeft w:val="0"/>
                          <w:marRight w:val="0"/>
                          <w:marTop w:val="0"/>
                          <w:marBottom w:val="0"/>
                          <w:divBdr>
                            <w:top w:val="none" w:sz="0" w:space="0" w:color="auto"/>
                            <w:left w:val="none" w:sz="0" w:space="0" w:color="auto"/>
                            <w:bottom w:val="none" w:sz="0" w:space="0" w:color="auto"/>
                            <w:right w:val="none" w:sz="0" w:space="0" w:color="auto"/>
                          </w:divBdr>
                        </w:div>
                      </w:divsChild>
                    </w:div>
                    <w:div w:id="1100881457">
                      <w:marLeft w:val="0"/>
                      <w:marRight w:val="0"/>
                      <w:marTop w:val="0"/>
                      <w:marBottom w:val="0"/>
                      <w:divBdr>
                        <w:top w:val="none" w:sz="0" w:space="0" w:color="auto"/>
                        <w:left w:val="none" w:sz="0" w:space="0" w:color="auto"/>
                        <w:bottom w:val="none" w:sz="0" w:space="0" w:color="auto"/>
                        <w:right w:val="none" w:sz="0" w:space="0" w:color="auto"/>
                      </w:divBdr>
                      <w:divsChild>
                        <w:div w:id="669675596">
                          <w:marLeft w:val="0"/>
                          <w:marRight w:val="0"/>
                          <w:marTop w:val="0"/>
                          <w:marBottom w:val="0"/>
                          <w:divBdr>
                            <w:top w:val="none" w:sz="0" w:space="0" w:color="auto"/>
                            <w:left w:val="none" w:sz="0" w:space="0" w:color="auto"/>
                            <w:bottom w:val="none" w:sz="0" w:space="0" w:color="auto"/>
                            <w:right w:val="none" w:sz="0" w:space="0" w:color="auto"/>
                          </w:divBdr>
                        </w:div>
                      </w:divsChild>
                    </w:div>
                    <w:div w:id="1102533862">
                      <w:marLeft w:val="0"/>
                      <w:marRight w:val="0"/>
                      <w:marTop w:val="0"/>
                      <w:marBottom w:val="0"/>
                      <w:divBdr>
                        <w:top w:val="none" w:sz="0" w:space="0" w:color="auto"/>
                        <w:left w:val="none" w:sz="0" w:space="0" w:color="auto"/>
                        <w:bottom w:val="none" w:sz="0" w:space="0" w:color="auto"/>
                        <w:right w:val="none" w:sz="0" w:space="0" w:color="auto"/>
                      </w:divBdr>
                      <w:divsChild>
                        <w:div w:id="799768176">
                          <w:marLeft w:val="0"/>
                          <w:marRight w:val="0"/>
                          <w:marTop w:val="0"/>
                          <w:marBottom w:val="0"/>
                          <w:divBdr>
                            <w:top w:val="none" w:sz="0" w:space="0" w:color="auto"/>
                            <w:left w:val="none" w:sz="0" w:space="0" w:color="auto"/>
                            <w:bottom w:val="none" w:sz="0" w:space="0" w:color="auto"/>
                            <w:right w:val="none" w:sz="0" w:space="0" w:color="auto"/>
                          </w:divBdr>
                        </w:div>
                      </w:divsChild>
                    </w:div>
                    <w:div w:id="1103575355">
                      <w:marLeft w:val="0"/>
                      <w:marRight w:val="0"/>
                      <w:marTop w:val="0"/>
                      <w:marBottom w:val="0"/>
                      <w:divBdr>
                        <w:top w:val="none" w:sz="0" w:space="0" w:color="auto"/>
                        <w:left w:val="none" w:sz="0" w:space="0" w:color="auto"/>
                        <w:bottom w:val="none" w:sz="0" w:space="0" w:color="auto"/>
                        <w:right w:val="none" w:sz="0" w:space="0" w:color="auto"/>
                      </w:divBdr>
                      <w:divsChild>
                        <w:div w:id="1058241526">
                          <w:marLeft w:val="0"/>
                          <w:marRight w:val="0"/>
                          <w:marTop w:val="0"/>
                          <w:marBottom w:val="0"/>
                          <w:divBdr>
                            <w:top w:val="none" w:sz="0" w:space="0" w:color="auto"/>
                            <w:left w:val="none" w:sz="0" w:space="0" w:color="auto"/>
                            <w:bottom w:val="none" w:sz="0" w:space="0" w:color="auto"/>
                            <w:right w:val="none" w:sz="0" w:space="0" w:color="auto"/>
                          </w:divBdr>
                        </w:div>
                      </w:divsChild>
                    </w:div>
                    <w:div w:id="1106391320">
                      <w:marLeft w:val="0"/>
                      <w:marRight w:val="0"/>
                      <w:marTop w:val="0"/>
                      <w:marBottom w:val="0"/>
                      <w:divBdr>
                        <w:top w:val="none" w:sz="0" w:space="0" w:color="auto"/>
                        <w:left w:val="none" w:sz="0" w:space="0" w:color="auto"/>
                        <w:bottom w:val="none" w:sz="0" w:space="0" w:color="auto"/>
                        <w:right w:val="none" w:sz="0" w:space="0" w:color="auto"/>
                      </w:divBdr>
                      <w:divsChild>
                        <w:div w:id="37095656">
                          <w:marLeft w:val="0"/>
                          <w:marRight w:val="0"/>
                          <w:marTop w:val="0"/>
                          <w:marBottom w:val="0"/>
                          <w:divBdr>
                            <w:top w:val="none" w:sz="0" w:space="0" w:color="auto"/>
                            <w:left w:val="none" w:sz="0" w:space="0" w:color="auto"/>
                            <w:bottom w:val="none" w:sz="0" w:space="0" w:color="auto"/>
                            <w:right w:val="none" w:sz="0" w:space="0" w:color="auto"/>
                          </w:divBdr>
                        </w:div>
                      </w:divsChild>
                    </w:div>
                    <w:div w:id="1121536785">
                      <w:marLeft w:val="0"/>
                      <w:marRight w:val="0"/>
                      <w:marTop w:val="0"/>
                      <w:marBottom w:val="0"/>
                      <w:divBdr>
                        <w:top w:val="none" w:sz="0" w:space="0" w:color="auto"/>
                        <w:left w:val="none" w:sz="0" w:space="0" w:color="auto"/>
                        <w:bottom w:val="none" w:sz="0" w:space="0" w:color="auto"/>
                        <w:right w:val="none" w:sz="0" w:space="0" w:color="auto"/>
                      </w:divBdr>
                      <w:divsChild>
                        <w:div w:id="1747802006">
                          <w:marLeft w:val="0"/>
                          <w:marRight w:val="0"/>
                          <w:marTop w:val="0"/>
                          <w:marBottom w:val="0"/>
                          <w:divBdr>
                            <w:top w:val="none" w:sz="0" w:space="0" w:color="auto"/>
                            <w:left w:val="none" w:sz="0" w:space="0" w:color="auto"/>
                            <w:bottom w:val="none" w:sz="0" w:space="0" w:color="auto"/>
                            <w:right w:val="none" w:sz="0" w:space="0" w:color="auto"/>
                          </w:divBdr>
                        </w:div>
                      </w:divsChild>
                    </w:div>
                    <w:div w:id="1123184628">
                      <w:marLeft w:val="0"/>
                      <w:marRight w:val="0"/>
                      <w:marTop w:val="0"/>
                      <w:marBottom w:val="0"/>
                      <w:divBdr>
                        <w:top w:val="none" w:sz="0" w:space="0" w:color="auto"/>
                        <w:left w:val="none" w:sz="0" w:space="0" w:color="auto"/>
                        <w:bottom w:val="none" w:sz="0" w:space="0" w:color="auto"/>
                        <w:right w:val="none" w:sz="0" w:space="0" w:color="auto"/>
                      </w:divBdr>
                      <w:divsChild>
                        <w:div w:id="725681905">
                          <w:marLeft w:val="0"/>
                          <w:marRight w:val="0"/>
                          <w:marTop w:val="0"/>
                          <w:marBottom w:val="0"/>
                          <w:divBdr>
                            <w:top w:val="none" w:sz="0" w:space="0" w:color="auto"/>
                            <w:left w:val="none" w:sz="0" w:space="0" w:color="auto"/>
                            <w:bottom w:val="none" w:sz="0" w:space="0" w:color="auto"/>
                            <w:right w:val="none" w:sz="0" w:space="0" w:color="auto"/>
                          </w:divBdr>
                        </w:div>
                      </w:divsChild>
                    </w:div>
                    <w:div w:id="1127432049">
                      <w:marLeft w:val="0"/>
                      <w:marRight w:val="0"/>
                      <w:marTop w:val="0"/>
                      <w:marBottom w:val="0"/>
                      <w:divBdr>
                        <w:top w:val="none" w:sz="0" w:space="0" w:color="auto"/>
                        <w:left w:val="none" w:sz="0" w:space="0" w:color="auto"/>
                        <w:bottom w:val="none" w:sz="0" w:space="0" w:color="auto"/>
                        <w:right w:val="none" w:sz="0" w:space="0" w:color="auto"/>
                      </w:divBdr>
                      <w:divsChild>
                        <w:div w:id="916521752">
                          <w:marLeft w:val="0"/>
                          <w:marRight w:val="0"/>
                          <w:marTop w:val="0"/>
                          <w:marBottom w:val="0"/>
                          <w:divBdr>
                            <w:top w:val="none" w:sz="0" w:space="0" w:color="auto"/>
                            <w:left w:val="none" w:sz="0" w:space="0" w:color="auto"/>
                            <w:bottom w:val="none" w:sz="0" w:space="0" w:color="auto"/>
                            <w:right w:val="none" w:sz="0" w:space="0" w:color="auto"/>
                          </w:divBdr>
                        </w:div>
                      </w:divsChild>
                    </w:div>
                    <w:div w:id="1130703880">
                      <w:marLeft w:val="0"/>
                      <w:marRight w:val="0"/>
                      <w:marTop w:val="0"/>
                      <w:marBottom w:val="0"/>
                      <w:divBdr>
                        <w:top w:val="none" w:sz="0" w:space="0" w:color="auto"/>
                        <w:left w:val="none" w:sz="0" w:space="0" w:color="auto"/>
                        <w:bottom w:val="none" w:sz="0" w:space="0" w:color="auto"/>
                        <w:right w:val="none" w:sz="0" w:space="0" w:color="auto"/>
                      </w:divBdr>
                      <w:divsChild>
                        <w:div w:id="1407191823">
                          <w:marLeft w:val="0"/>
                          <w:marRight w:val="0"/>
                          <w:marTop w:val="0"/>
                          <w:marBottom w:val="0"/>
                          <w:divBdr>
                            <w:top w:val="none" w:sz="0" w:space="0" w:color="auto"/>
                            <w:left w:val="none" w:sz="0" w:space="0" w:color="auto"/>
                            <w:bottom w:val="none" w:sz="0" w:space="0" w:color="auto"/>
                            <w:right w:val="none" w:sz="0" w:space="0" w:color="auto"/>
                          </w:divBdr>
                        </w:div>
                      </w:divsChild>
                    </w:div>
                    <w:div w:id="1132211426">
                      <w:marLeft w:val="0"/>
                      <w:marRight w:val="0"/>
                      <w:marTop w:val="0"/>
                      <w:marBottom w:val="0"/>
                      <w:divBdr>
                        <w:top w:val="none" w:sz="0" w:space="0" w:color="auto"/>
                        <w:left w:val="none" w:sz="0" w:space="0" w:color="auto"/>
                        <w:bottom w:val="none" w:sz="0" w:space="0" w:color="auto"/>
                        <w:right w:val="none" w:sz="0" w:space="0" w:color="auto"/>
                      </w:divBdr>
                      <w:divsChild>
                        <w:div w:id="479270421">
                          <w:marLeft w:val="0"/>
                          <w:marRight w:val="0"/>
                          <w:marTop w:val="0"/>
                          <w:marBottom w:val="0"/>
                          <w:divBdr>
                            <w:top w:val="none" w:sz="0" w:space="0" w:color="auto"/>
                            <w:left w:val="none" w:sz="0" w:space="0" w:color="auto"/>
                            <w:bottom w:val="none" w:sz="0" w:space="0" w:color="auto"/>
                            <w:right w:val="none" w:sz="0" w:space="0" w:color="auto"/>
                          </w:divBdr>
                        </w:div>
                      </w:divsChild>
                    </w:div>
                    <w:div w:id="1132796205">
                      <w:marLeft w:val="0"/>
                      <w:marRight w:val="0"/>
                      <w:marTop w:val="0"/>
                      <w:marBottom w:val="0"/>
                      <w:divBdr>
                        <w:top w:val="none" w:sz="0" w:space="0" w:color="auto"/>
                        <w:left w:val="none" w:sz="0" w:space="0" w:color="auto"/>
                        <w:bottom w:val="none" w:sz="0" w:space="0" w:color="auto"/>
                        <w:right w:val="none" w:sz="0" w:space="0" w:color="auto"/>
                      </w:divBdr>
                      <w:divsChild>
                        <w:div w:id="1481076105">
                          <w:marLeft w:val="0"/>
                          <w:marRight w:val="0"/>
                          <w:marTop w:val="0"/>
                          <w:marBottom w:val="0"/>
                          <w:divBdr>
                            <w:top w:val="none" w:sz="0" w:space="0" w:color="auto"/>
                            <w:left w:val="none" w:sz="0" w:space="0" w:color="auto"/>
                            <w:bottom w:val="none" w:sz="0" w:space="0" w:color="auto"/>
                            <w:right w:val="none" w:sz="0" w:space="0" w:color="auto"/>
                          </w:divBdr>
                        </w:div>
                      </w:divsChild>
                    </w:div>
                    <w:div w:id="1135292455">
                      <w:marLeft w:val="0"/>
                      <w:marRight w:val="0"/>
                      <w:marTop w:val="0"/>
                      <w:marBottom w:val="0"/>
                      <w:divBdr>
                        <w:top w:val="none" w:sz="0" w:space="0" w:color="auto"/>
                        <w:left w:val="none" w:sz="0" w:space="0" w:color="auto"/>
                        <w:bottom w:val="none" w:sz="0" w:space="0" w:color="auto"/>
                        <w:right w:val="none" w:sz="0" w:space="0" w:color="auto"/>
                      </w:divBdr>
                      <w:divsChild>
                        <w:div w:id="1415124898">
                          <w:marLeft w:val="0"/>
                          <w:marRight w:val="0"/>
                          <w:marTop w:val="0"/>
                          <w:marBottom w:val="0"/>
                          <w:divBdr>
                            <w:top w:val="none" w:sz="0" w:space="0" w:color="auto"/>
                            <w:left w:val="none" w:sz="0" w:space="0" w:color="auto"/>
                            <w:bottom w:val="none" w:sz="0" w:space="0" w:color="auto"/>
                            <w:right w:val="none" w:sz="0" w:space="0" w:color="auto"/>
                          </w:divBdr>
                        </w:div>
                      </w:divsChild>
                    </w:div>
                    <w:div w:id="1142430494">
                      <w:marLeft w:val="0"/>
                      <w:marRight w:val="0"/>
                      <w:marTop w:val="0"/>
                      <w:marBottom w:val="0"/>
                      <w:divBdr>
                        <w:top w:val="none" w:sz="0" w:space="0" w:color="auto"/>
                        <w:left w:val="none" w:sz="0" w:space="0" w:color="auto"/>
                        <w:bottom w:val="none" w:sz="0" w:space="0" w:color="auto"/>
                        <w:right w:val="none" w:sz="0" w:space="0" w:color="auto"/>
                      </w:divBdr>
                      <w:divsChild>
                        <w:div w:id="1407220142">
                          <w:marLeft w:val="0"/>
                          <w:marRight w:val="0"/>
                          <w:marTop w:val="0"/>
                          <w:marBottom w:val="0"/>
                          <w:divBdr>
                            <w:top w:val="none" w:sz="0" w:space="0" w:color="auto"/>
                            <w:left w:val="none" w:sz="0" w:space="0" w:color="auto"/>
                            <w:bottom w:val="none" w:sz="0" w:space="0" w:color="auto"/>
                            <w:right w:val="none" w:sz="0" w:space="0" w:color="auto"/>
                          </w:divBdr>
                        </w:div>
                      </w:divsChild>
                    </w:div>
                    <w:div w:id="1146580631">
                      <w:marLeft w:val="0"/>
                      <w:marRight w:val="0"/>
                      <w:marTop w:val="0"/>
                      <w:marBottom w:val="0"/>
                      <w:divBdr>
                        <w:top w:val="none" w:sz="0" w:space="0" w:color="auto"/>
                        <w:left w:val="none" w:sz="0" w:space="0" w:color="auto"/>
                        <w:bottom w:val="none" w:sz="0" w:space="0" w:color="auto"/>
                        <w:right w:val="none" w:sz="0" w:space="0" w:color="auto"/>
                      </w:divBdr>
                      <w:divsChild>
                        <w:div w:id="121120145">
                          <w:marLeft w:val="0"/>
                          <w:marRight w:val="0"/>
                          <w:marTop w:val="0"/>
                          <w:marBottom w:val="0"/>
                          <w:divBdr>
                            <w:top w:val="none" w:sz="0" w:space="0" w:color="auto"/>
                            <w:left w:val="none" w:sz="0" w:space="0" w:color="auto"/>
                            <w:bottom w:val="none" w:sz="0" w:space="0" w:color="auto"/>
                            <w:right w:val="none" w:sz="0" w:space="0" w:color="auto"/>
                          </w:divBdr>
                        </w:div>
                      </w:divsChild>
                    </w:div>
                    <w:div w:id="1153185122">
                      <w:marLeft w:val="0"/>
                      <w:marRight w:val="0"/>
                      <w:marTop w:val="0"/>
                      <w:marBottom w:val="0"/>
                      <w:divBdr>
                        <w:top w:val="none" w:sz="0" w:space="0" w:color="auto"/>
                        <w:left w:val="none" w:sz="0" w:space="0" w:color="auto"/>
                        <w:bottom w:val="none" w:sz="0" w:space="0" w:color="auto"/>
                        <w:right w:val="none" w:sz="0" w:space="0" w:color="auto"/>
                      </w:divBdr>
                      <w:divsChild>
                        <w:div w:id="1355111679">
                          <w:marLeft w:val="0"/>
                          <w:marRight w:val="0"/>
                          <w:marTop w:val="0"/>
                          <w:marBottom w:val="0"/>
                          <w:divBdr>
                            <w:top w:val="none" w:sz="0" w:space="0" w:color="auto"/>
                            <w:left w:val="none" w:sz="0" w:space="0" w:color="auto"/>
                            <w:bottom w:val="none" w:sz="0" w:space="0" w:color="auto"/>
                            <w:right w:val="none" w:sz="0" w:space="0" w:color="auto"/>
                          </w:divBdr>
                        </w:div>
                      </w:divsChild>
                    </w:div>
                    <w:div w:id="1153257263">
                      <w:marLeft w:val="0"/>
                      <w:marRight w:val="0"/>
                      <w:marTop w:val="0"/>
                      <w:marBottom w:val="0"/>
                      <w:divBdr>
                        <w:top w:val="none" w:sz="0" w:space="0" w:color="auto"/>
                        <w:left w:val="none" w:sz="0" w:space="0" w:color="auto"/>
                        <w:bottom w:val="none" w:sz="0" w:space="0" w:color="auto"/>
                        <w:right w:val="none" w:sz="0" w:space="0" w:color="auto"/>
                      </w:divBdr>
                      <w:divsChild>
                        <w:div w:id="1089077900">
                          <w:marLeft w:val="0"/>
                          <w:marRight w:val="0"/>
                          <w:marTop w:val="0"/>
                          <w:marBottom w:val="0"/>
                          <w:divBdr>
                            <w:top w:val="none" w:sz="0" w:space="0" w:color="auto"/>
                            <w:left w:val="none" w:sz="0" w:space="0" w:color="auto"/>
                            <w:bottom w:val="none" w:sz="0" w:space="0" w:color="auto"/>
                            <w:right w:val="none" w:sz="0" w:space="0" w:color="auto"/>
                          </w:divBdr>
                        </w:div>
                      </w:divsChild>
                    </w:div>
                    <w:div w:id="1153643566">
                      <w:marLeft w:val="0"/>
                      <w:marRight w:val="0"/>
                      <w:marTop w:val="0"/>
                      <w:marBottom w:val="0"/>
                      <w:divBdr>
                        <w:top w:val="none" w:sz="0" w:space="0" w:color="auto"/>
                        <w:left w:val="none" w:sz="0" w:space="0" w:color="auto"/>
                        <w:bottom w:val="none" w:sz="0" w:space="0" w:color="auto"/>
                        <w:right w:val="none" w:sz="0" w:space="0" w:color="auto"/>
                      </w:divBdr>
                      <w:divsChild>
                        <w:div w:id="1626232543">
                          <w:marLeft w:val="0"/>
                          <w:marRight w:val="0"/>
                          <w:marTop w:val="0"/>
                          <w:marBottom w:val="0"/>
                          <w:divBdr>
                            <w:top w:val="none" w:sz="0" w:space="0" w:color="auto"/>
                            <w:left w:val="none" w:sz="0" w:space="0" w:color="auto"/>
                            <w:bottom w:val="none" w:sz="0" w:space="0" w:color="auto"/>
                            <w:right w:val="none" w:sz="0" w:space="0" w:color="auto"/>
                          </w:divBdr>
                        </w:div>
                      </w:divsChild>
                    </w:div>
                    <w:div w:id="1159542688">
                      <w:marLeft w:val="0"/>
                      <w:marRight w:val="0"/>
                      <w:marTop w:val="0"/>
                      <w:marBottom w:val="0"/>
                      <w:divBdr>
                        <w:top w:val="none" w:sz="0" w:space="0" w:color="auto"/>
                        <w:left w:val="none" w:sz="0" w:space="0" w:color="auto"/>
                        <w:bottom w:val="none" w:sz="0" w:space="0" w:color="auto"/>
                        <w:right w:val="none" w:sz="0" w:space="0" w:color="auto"/>
                      </w:divBdr>
                      <w:divsChild>
                        <w:div w:id="1136604265">
                          <w:marLeft w:val="0"/>
                          <w:marRight w:val="0"/>
                          <w:marTop w:val="0"/>
                          <w:marBottom w:val="0"/>
                          <w:divBdr>
                            <w:top w:val="none" w:sz="0" w:space="0" w:color="auto"/>
                            <w:left w:val="none" w:sz="0" w:space="0" w:color="auto"/>
                            <w:bottom w:val="none" w:sz="0" w:space="0" w:color="auto"/>
                            <w:right w:val="none" w:sz="0" w:space="0" w:color="auto"/>
                          </w:divBdr>
                        </w:div>
                      </w:divsChild>
                    </w:div>
                    <w:div w:id="1161778230">
                      <w:marLeft w:val="0"/>
                      <w:marRight w:val="0"/>
                      <w:marTop w:val="0"/>
                      <w:marBottom w:val="0"/>
                      <w:divBdr>
                        <w:top w:val="none" w:sz="0" w:space="0" w:color="auto"/>
                        <w:left w:val="none" w:sz="0" w:space="0" w:color="auto"/>
                        <w:bottom w:val="none" w:sz="0" w:space="0" w:color="auto"/>
                        <w:right w:val="none" w:sz="0" w:space="0" w:color="auto"/>
                      </w:divBdr>
                      <w:divsChild>
                        <w:div w:id="2025085753">
                          <w:marLeft w:val="0"/>
                          <w:marRight w:val="0"/>
                          <w:marTop w:val="0"/>
                          <w:marBottom w:val="0"/>
                          <w:divBdr>
                            <w:top w:val="none" w:sz="0" w:space="0" w:color="auto"/>
                            <w:left w:val="none" w:sz="0" w:space="0" w:color="auto"/>
                            <w:bottom w:val="none" w:sz="0" w:space="0" w:color="auto"/>
                            <w:right w:val="none" w:sz="0" w:space="0" w:color="auto"/>
                          </w:divBdr>
                        </w:div>
                      </w:divsChild>
                    </w:div>
                    <w:div w:id="1166165952">
                      <w:marLeft w:val="0"/>
                      <w:marRight w:val="0"/>
                      <w:marTop w:val="0"/>
                      <w:marBottom w:val="0"/>
                      <w:divBdr>
                        <w:top w:val="none" w:sz="0" w:space="0" w:color="auto"/>
                        <w:left w:val="none" w:sz="0" w:space="0" w:color="auto"/>
                        <w:bottom w:val="none" w:sz="0" w:space="0" w:color="auto"/>
                        <w:right w:val="none" w:sz="0" w:space="0" w:color="auto"/>
                      </w:divBdr>
                      <w:divsChild>
                        <w:div w:id="521895810">
                          <w:marLeft w:val="0"/>
                          <w:marRight w:val="0"/>
                          <w:marTop w:val="0"/>
                          <w:marBottom w:val="0"/>
                          <w:divBdr>
                            <w:top w:val="none" w:sz="0" w:space="0" w:color="auto"/>
                            <w:left w:val="none" w:sz="0" w:space="0" w:color="auto"/>
                            <w:bottom w:val="none" w:sz="0" w:space="0" w:color="auto"/>
                            <w:right w:val="none" w:sz="0" w:space="0" w:color="auto"/>
                          </w:divBdr>
                        </w:div>
                      </w:divsChild>
                    </w:div>
                    <w:div w:id="1173640751">
                      <w:marLeft w:val="0"/>
                      <w:marRight w:val="0"/>
                      <w:marTop w:val="0"/>
                      <w:marBottom w:val="0"/>
                      <w:divBdr>
                        <w:top w:val="none" w:sz="0" w:space="0" w:color="auto"/>
                        <w:left w:val="none" w:sz="0" w:space="0" w:color="auto"/>
                        <w:bottom w:val="none" w:sz="0" w:space="0" w:color="auto"/>
                        <w:right w:val="none" w:sz="0" w:space="0" w:color="auto"/>
                      </w:divBdr>
                      <w:divsChild>
                        <w:div w:id="1001083358">
                          <w:marLeft w:val="0"/>
                          <w:marRight w:val="0"/>
                          <w:marTop w:val="0"/>
                          <w:marBottom w:val="0"/>
                          <w:divBdr>
                            <w:top w:val="none" w:sz="0" w:space="0" w:color="auto"/>
                            <w:left w:val="none" w:sz="0" w:space="0" w:color="auto"/>
                            <w:bottom w:val="none" w:sz="0" w:space="0" w:color="auto"/>
                            <w:right w:val="none" w:sz="0" w:space="0" w:color="auto"/>
                          </w:divBdr>
                        </w:div>
                      </w:divsChild>
                    </w:div>
                    <w:div w:id="1176075754">
                      <w:marLeft w:val="0"/>
                      <w:marRight w:val="0"/>
                      <w:marTop w:val="0"/>
                      <w:marBottom w:val="0"/>
                      <w:divBdr>
                        <w:top w:val="none" w:sz="0" w:space="0" w:color="auto"/>
                        <w:left w:val="none" w:sz="0" w:space="0" w:color="auto"/>
                        <w:bottom w:val="none" w:sz="0" w:space="0" w:color="auto"/>
                        <w:right w:val="none" w:sz="0" w:space="0" w:color="auto"/>
                      </w:divBdr>
                      <w:divsChild>
                        <w:div w:id="237835030">
                          <w:marLeft w:val="0"/>
                          <w:marRight w:val="0"/>
                          <w:marTop w:val="0"/>
                          <w:marBottom w:val="0"/>
                          <w:divBdr>
                            <w:top w:val="none" w:sz="0" w:space="0" w:color="auto"/>
                            <w:left w:val="none" w:sz="0" w:space="0" w:color="auto"/>
                            <w:bottom w:val="none" w:sz="0" w:space="0" w:color="auto"/>
                            <w:right w:val="none" w:sz="0" w:space="0" w:color="auto"/>
                          </w:divBdr>
                        </w:div>
                      </w:divsChild>
                    </w:div>
                    <w:div w:id="1176379244">
                      <w:marLeft w:val="0"/>
                      <w:marRight w:val="0"/>
                      <w:marTop w:val="0"/>
                      <w:marBottom w:val="0"/>
                      <w:divBdr>
                        <w:top w:val="none" w:sz="0" w:space="0" w:color="auto"/>
                        <w:left w:val="none" w:sz="0" w:space="0" w:color="auto"/>
                        <w:bottom w:val="none" w:sz="0" w:space="0" w:color="auto"/>
                        <w:right w:val="none" w:sz="0" w:space="0" w:color="auto"/>
                      </w:divBdr>
                      <w:divsChild>
                        <w:div w:id="450251353">
                          <w:marLeft w:val="0"/>
                          <w:marRight w:val="0"/>
                          <w:marTop w:val="0"/>
                          <w:marBottom w:val="0"/>
                          <w:divBdr>
                            <w:top w:val="none" w:sz="0" w:space="0" w:color="auto"/>
                            <w:left w:val="none" w:sz="0" w:space="0" w:color="auto"/>
                            <w:bottom w:val="none" w:sz="0" w:space="0" w:color="auto"/>
                            <w:right w:val="none" w:sz="0" w:space="0" w:color="auto"/>
                          </w:divBdr>
                        </w:div>
                      </w:divsChild>
                    </w:div>
                    <w:div w:id="1180848619">
                      <w:marLeft w:val="0"/>
                      <w:marRight w:val="0"/>
                      <w:marTop w:val="0"/>
                      <w:marBottom w:val="0"/>
                      <w:divBdr>
                        <w:top w:val="none" w:sz="0" w:space="0" w:color="auto"/>
                        <w:left w:val="none" w:sz="0" w:space="0" w:color="auto"/>
                        <w:bottom w:val="none" w:sz="0" w:space="0" w:color="auto"/>
                        <w:right w:val="none" w:sz="0" w:space="0" w:color="auto"/>
                      </w:divBdr>
                      <w:divsChild>
                        <w:div w:id="1338580205">
                          <w:marLeft w:val="0"/>
                          <w:marRight w:val="0"/>
                          <w:marTop w:val="0"/>
                          <w:marBottom w:val="0"/>
                          <w:divBdr>
                            <w:top w:val="none" w:sz="0" w:space="0" w:color="auto"/>
                            <w:left w:val="none" w:sz="0" w:space="0" w:color="auto"/>
                            <w:bottom w:val="none" w:sz="0" w:space="0" w:color="auto"/>
                            <w:right w:val="none" w:sz="0" w:space="0" w:color="auto"/>
                          </w:divBdr>
                        </w:div>
                      </w:divsChild>
                    </w:div>
                    <w:div w:id="1181626519">
                      <w:marLeft w:val="0"/>
                      <w:marRight w:val="0"/>
                      <w:marTop w:val="0"/>
                      <w:marBottom w:val="0"/>
                      <w:divBdr>
                        <w:top w:val="none" w:sz="0" w:space="0" w:color="auto"/>
                        <w:left w:val="none" w:sz="0" w:space="0" w:color="auto"/>
                        <w:bottom w:val="none" w:sz="0" w:space="0" w:color="auto"/>
                        <w:right w:val="none" w:sz="0" w:space="0" w:color="auto"/>
                      </w:divBdr>
                      <w:divsChild>
                        <w:div w:id="1939175598">
                          <w:marLeft w:val="0"/>
                          <w:marRight w:val="0"/>
                          <w:marTop w:val="0"/>
                          <w:marBottom w:val="0"/>
                          <w:divBdr>
                            <w:top w:val="none" w:sz="0" w:space="0" w:color="auto"/>
                            <w:left w:val="none" w:sz="0" w:space="0" w:color="auto"/>
                            <w:bottom w:val="none" w:sz="0" w:space="0" w:color="auto"/>
                            <w:right w:val="none" w:sz="0" w:space="0" w:color="auto"/>
                          </w:divBdr>
                        </w:div>
                      </w:divsChild>
                    </w:div>
                    <w:div w:id="1183743517">
                      <w:marLeft w:val="0"/>
                      <w:marRight w:val="0"/>
                      <w:marTop w:val="0"/>
                      <w:marBottom w:val="0"/>
                      <w:divBdr>
                        <w:top w:val="none" w:sz="0" w:space="0" w:color="auto"/>
                        <w:left w:val="none" w:sz="0" w:space="0" w:color="auto"/>
                        <w:bottom w:val="none" w:sz="0" w:space="0" w:color="auto"/>
                        <w:right w:val="none" w:sz="0" w:space="0" w:color="auto"/>
                      </w:divBdr>
                      <w:divsChild>
                        <w:div w:id="766195938">
                          <w:marLeft w:val="0"/>
                          <w:marRight w:val="0"/>
                          <w:marTop w:val="0"/>
                          <w:marBottom w:val="0"/>
                          <w:divBdr>
                            <w:top w:val="none" w:sz="0" w:space="0" w:color="auto"/>
                            <w:left w:val="none" w:sz="0" w:space="0" w:color="auto"/>
                            <w:bottom w:val="none" w:sz="0" w:space="0" w:color="auto"/>
                            <w:right w:val="none" w:sz="0" w:space="0" w:color="auto"/>
                          </w:divBdr>
                        </w:div>
                      </w:divsChild>
                    </w:div>
                    <w:div w:id="1188980155">
                      <w:marLeft w:val="0"/>
                      <w:marRight w:val="0"/>
                      <w:marTop w:val="0"/>
                      <w:marBottom w:val="0"/>
                      <w:divBdr>
                        <w:top w:val="none" w:sz="0" w:space="0" w:color="auto"/>
                        <w:left w:val="none" w:sz="0" w:space="0" w:color="auto"/>
                        <w:bottom w:val="none" w:sz="0" w:space="0" w:color="auto"/>
                        <w:right w:val="none" w:sz="0" w:space="0" w:color="auto"/>
                      </w:divBdr>
                      <w:divsChild>
                        <w:div w:id="41222406">
                          <w:marLeft w:val="0"/>
                          <w:marRight w:val="0"/>
                          <w:marTop w:val="0"/>
                          <w:marBottom w:val="0"/>
                          <w:divBdr>
                            <w:top w:val="none" w:sz="0" w:space="0" w:color="auto"/>
                            <w:left w:val="none" w:sz="0" w:space="0" w:color="auto"/>
                            <w:bottom w:val="none" w:sz="0" w:space="0" w:color="auto"/>
                            <w:right w:val="none" w:sz="0" w:space="0" w:color="auto"/>
                          </w:divBdr>
                        </w:div>
                      </w:divsChild>
                    </w:div>
                    <w:div w:id="1193958158">
                      <w:marLeft w:val="0"/>
                      <w:marRight w:val="0"/>
                      <w:marTop w:val="0"/>
                      <w:marBottom w:val="0"/>
                      <w:divBdr>
                        <w:top w:val="none" w:sz="0" w:space="0" w:color="auto"/>
                        <w:left w:val="none" w:sz="0" w:space="0" w:color="auto"/>
                        <w:bottom w:val="none" w:sz="0" w:space="0" w:color="auto"/>
                        <w:right w:val="none" w:sz="0" w:space="0" w:color="auto"/>
                      </w:divBdr>
                      <w:divsChild>
                        <w:div w:id="946353081">
                          <w:marLeft w:val="0"/>
                          <w:marRight w:val="0"/>
                          <w:marTop w:val="0"/>
                          <w:marBottom w:val="0"/>
                          <w:divBdr>
                            <w:top w:val="none" w:sz="0" w:space="0" w:color="auto"/>
                            <w:left w:val="none" w:sz="0" w:space="0" w:color="auto"/>
                            <w:bottom w:val="none" w:sz="0" w:space="0" w:color="auto"/>
                            <w:right w:val="none" w:sz="0" w:space="0" w:color="auto"/>
                          </w:divBdr>
                        </w:div>
                      </w:divsChild>
                    </w:div>
                    <w:div w:id="1196698056">
                      <w:marLeft w:val="0"/>
                      <w:marRight w:val="0"/>
                      <w:marTop w:val="0"/>
                      <w:marBottom w:val="0"/>
                      <w:divBdr>
                        <w:top w:val="none" w:sz="0" w:space="0" w:color="auto"/>
                        <w:left w:val="none" w:sz="0" w:space="0" w:color="auto"/>
                        <w:bottom w:val="none" w:sz="0" w:space="0" w:color="auto"/>
                        <w:right w:val="none" w:sz="0" w:space="0" w:color="auto"/>
                      </w:divBdr>
                      <w:divsChild>
                        <w:div w:id="460466281">
                          <w:marLeft w:val="0"/>
                          <w:marRight w:val="0"/>
                          <w:marTop w:val="0"/>
                          <w:marBottom w:val="0"/>
                          <w:divBdr>
                            <w:top w:val="none" w:sz="0" w:space="0" w:color="auto"/>
                            <w:left w:val="none" w:sz="0" w:space="0" w:color="auto"/>
                            <w:bottom w:val="none" w:sz="0" w:space="0" w:color="auto"/>
                            <w:right w:val="none" w:sz="0" w:space="0" w:color="auto"/>
                          </w:divBdr>
                        </w:div>
                      </w:divsChild>
                    </w:div>
                    <w:div w:id="1202017683">
                      <w:marLeft w:val="0"/>
                      <w:marRight w:val="0"/>
                      <w:marTop w:val="0"/>
                      <w:marBottom w:val="0"/>
                      <w:divBdr>
                        <w:top w:val="none" w:sz="0" w:space="0" w:color="auto"/>
                        <w:left w:val="none" w:sz="0" w:space="0" w:color="auto"/>
                        <w:bottom w:val="none" w:sz="0" w:space="0" w:color="auto"/>
                        <w:right w:val="none" w:sz="0" w:space="0" w:color="auto"/>
                      </w:divBdr>
                      <w:divsChild>
                        <w:div w:id="370424514">
                          <w:marLeft w:val="0"/>
                          <w:marRight w:val="0"/>
                          <w:marTop w:val="0"/>
                          <w:marBottom w:val="0"/>
                          <w:divBdr>
                            <w:top w:val="none" w:sz="0" w:space="0" w:color="auto"/>
                            <w:left w:val="none" w:sz="0" w:space="0" w:color="auto"/>
                            <w:bottom w:val="none" w:sz="0" w:space="0" w:color="auto"/>
                            <w:right w:val="none" w:sz="0" w:space="0" w:color="auto"/>
                          </w:divBdr>
                        </w:div>
                      </w:divsChild>
                    </w:div>
                    <w:div w:id="1213541535">
                      <w:marLeft w:val="0"/>
                      <w:marRight w:val="0"/>
                      <w:marTop w:val="0"/>
                      <w:marBottom w:val="0"/>
                      <w:divBdr>
                        <w:top w:val="none" w:sz="0" w:space="0" w:color="auto"/>
                        <w:left w:val="none" w:sz="0" w:space="0" w:color="auto"/>
                        <w:bottom w:val="none" w:sz="0" w:space="0" w:color="auto"/>
                        <w:right w:val="none" w:sz="0" w:space="0" w:color="auto"/>
                      </w:divBdr>
                      <w:divsChild>
                        <w:div w:id="376005127">
                          <w:marLeft w:val="0"/>
                          <w:marRight w:val="0"/>
                          <w:marTop w:val="0"/>
                          <w:marBottom w:val="0"/>
                          <w:divBdr>
                            <w:top w:val="none" w:sz="0" w:space="0" w:color="auto"/>
                            <w:left w:val="none" w:sz="0" w:space="0" w:color="auto"/>
                            <w:bottom w:val="none" w:sz="0" w:space="0" w:color="auto"/>
                            <w:right w:val="none" w:sz="0" w:space="0" w:color="auto"/>
                          </w:divBdr>
                        </w:div>
                      </w:divsChild>
                    </w:div>
                    <w:div w:id="1216087943">
                      <w:marLeft w:val="0"/>
                      <w:marRight w:val="0"/>
                      <w:marTop w:val="0"/>
                      <w:marBottom w:val="0"/>
                      <w:divBdr>
                        <w:top w:val="none" w:sz="0" w:space="0" w:color="auto"/>
                        <w:left w:val="none" w:sz="0" w:space="0" w:color="auto"/>
                        <w:bottom w:val="none" w:sz="0" w:space="0" w:color="auto"/>
                        <w:right w:val="none" w:sz="0" w:space="0" w:color="auto"/>
                      </w:divBdr>
                      <w:divsChild>
                        <w:div w:id="1106465606">
                          <w:marLeft w:val="0"/>
                          <w:marRight w:val="0"/>
                          <w:marTop w:val="0"/>
                          <w:marBottom w:val="0"/>
                          <w:divBdr>
                            <w:top w:val="none" w:sz="0" w:space="0" w:color="auto"/>
                            <w:left w:val="none" w:sz="0" w:space="0" w:color="auto"/>
                            <w:bottom w:val="none" w:sz="0" w:space="0" w:color="auto"/>
                            <w:right w:val="none" w:sz="0" w:space="0" w:color="auto"/>
                          </w:divBdr>
                        </w:div>
                      </w:divsChild>
                    </w:div>
                    <w:div w:id="1222643292">
                      <w:marLeft w:val="0"/>
                      <w:marRight w:val="0"/>
                      <w:marTop w:val="0"/>
                      <w:marBottom w:val="0"/>
                      <w:divBdr>
                        <w:top w:val="none" w:sz="0" w:space="0" w:color="auto"/>
                        <w:left w:val="none" w:sz="0" w:space="0" w:color="auto"/>
                        <w:bottom w:val="none" w:sz="0" w:space="0" w:color="auto"/>
                        <w:right w:val="none" w:sz="0" w:space="0" w:color="auto"/>
                      </w:divBdr>
                      <w:divsChild>
                        <w:div w:id="198862507">
                          <w:marLeft w:val="0"/>
                          <w:marRight w:val="0"/>
                          <w:marTop w:val="0"/>
                          <w:marBottom w:val="0"/>
                          <w:divBdr>
                            <w:top w:val="none" w:sz="0" w:space="0" w:color="auto"/>
                            <w:left w:val="none" w:sz="0" w:space="0" w:color="auto"/>
                            <w:bottom w:val="none" w:sz="0" w:space="0" w:color="auto"/>
                            <w:right w:val="none" w:sz="0" w:space="0" w:color="auto"/>
                          </w:divBdr>
                        </w:div>
                      </w:divsChild>
                    </w:div>
                    <w:div w:id="1222983671">
                      <w:marLeft w:val="0"/>
                      <w:marRight w:val="0"/>
                      <w:marTop w:val="0"/>
                      <w:marBottom w:val="0"/>
                      <w:divBdr>
                        <w:top w:val="none" w:sz="0" w:space="0" w:color="auto"/>
                        <w:left w:val="none" w:sz="0" w:space="0" w:color="auto"/>
                        <w:bottom w:val="none" w:sz="0" w:space="0" w:color="auto"/>
                        <w:right w:val="none" w:sz="0" w:space="0" w:color="auto"/>
                      </w:divBdr>
                      <w:divsChild>
                        <w:div w:id="120273002">
                          <w:marLeft w:val="0"/>
                          <w:marRight w:val="0"/>
                          <w:marTop w:val="0"/>
                          <w:marBottom w:val="0"/>
                          <w:divBdr>
                            <w:top w:val="none" w:sz="0" w:space="0" w:color="auto"/>
                            <w:left w:val="none" w:sz="0" w:space="0" w:color="auto"/>
                            <w:bottom w:val="none" w:sz="0" w:space="0" w:color="auto"/>
                            <w:right w:val="none" w:sz="0" w:space="0" w:color="auto"/>
                          </w:divBdr>
                        </w:div>
                      </w:divsChild>
                    </w:div>
                    <w:div w:id="1228496763">
                      <w:marLeft w:val="0"/>
                      <w:marRight w:val="0"/>
                      <w:marTop w:val="0"/>
                      <w:marBottom w:val="0"/>
                      <w:divBdr>
                        <w:top w:val="none" w:sz="0" w:space="0" w:color="auto"/>
                        <w:left w:val="none" w:sz="0" w:space="0" w:color="auto"/>
                        <w:bottom w:val="none" w:sz="0" w:space="0" w:color="auto"/>
                        <w:right w:val="none" w:sz="0" w:space="0" w:color="auto"/>
                      </w:divBdr>
                      <w:divsChild>
                        <w:div w:id="258829758">
                          <w:marLeft w:val="0"/>
                          <w:marRight w:val="0"/>
                          <w:marTop w:val="0"/>
                          <w:marBottom w:val="0"/>
                          <w:divBdr>
                            <w:top w:val="none" w:sz="0" w:space="0" w:color="auto"/>
                            <w:left w:val="none" w:sz="0" w:space="0" w:color="auto"/>
                            <w:bottom w:val="none" w:sz="0" w:space="0" w:color="auto"/>
                            <w:right w:val="none" w:sz="0" w:space="0" w:color="auto"/>
                          </w:divBdr>
                        </w:div>
                      </w:divsChild>
                    </w:div>
                    <w:div w:id="1237400835">
                      <w:marLeft w:val="0"/>
                      <w:marRight w:val="0"/>
                      <w:marTop w:val="0"/>
                      <w:marBottom w:val="0"/>
                      <w:divBdr>
                        <w:top w:val="none" w:sz="0" w:space="0" w:color="auto"/>
                        <w:left w:val="none" w:sz="0" w:space="0" w:color="auto"/>
                        <w:bottom w:val="none" w:sz="0" w:space="0" w:color="auto"/>
                        <w:right w:val="none" w:sz="0" w:space="0" w:color="auto"/>
                      </w:divBdr>
                      <w:divsChild>
                        <w:div w:id="1364482123">
                          <w:marLeft w:val="0"/>
                          <w:marRight w:val="0"/>
                          <w:marTop w:val="0"/>
                          <w:marBottom w:val="0"/>
                          <w:divBdr>
                            <w:top w:val="none" w:sz="0" w:space="0" w:color="auto"/>
                            <w:left w:val="none" w:sz="0" w:space="0" w:color="auto"/>
                            <w:bottom w:val="none" w:sz="0" w:space="0" w:color="auto"/>
                            <w:right w:val="none" w:sz="0" w:space="0" w:color="auto"/>
                          </w:divBdr>
                        </w:div>
                      </w:divsChild>
                    </w:div>
                    <w:div w:id="1240599087">
                      <w:marLeft w:val="0"/>
                      <w:marRight w:val="0"/>
                      <w:marTop w:val="0"/>
                      <w:marBottom w:val="0"/>
                      <w:divBdr>
                        <w:top w:val="none" w:sz="0" w:space="0" w:color="auto"/>
                        <w:left w:val="none" w:sz="0" w:space="0" w:color="auto"/>
                        <w:bottom w:val="none" w:sz="0" w:space="0" w:color="auto"/>
                        <w:right w:val="none" w:sz="0" w:space="0" w:color="auto"/>
                      </w:divBdr>
                      <w:divsChild>
                        <w:div w:id="660280767">
                          <w:marLeft w:val="0"/>
                          <w:marRight w:val="0"/>
                          <w:marTop w:val="0"/>
                          <w:marBottom w:val="0"/>
                          <w:divBdr>
                            <w:top w:val="none" w:sz="0" w:space="0" w:color="auto"/>
                            <w:left w:val="none" w:sz="0" w:space="0" w:color="auto"/>
                            <w:bottom w:val="none" w:sz="0" w:space="0" w:color="auto"/>
                            <w:right w:val="none" w:sz="0" w:space="0" w:color="auto"/>
                          </w:divBdr>
                        </w:div>
                      </w:divsChild>
                    </w:div>
                    <w:div w:id="1247689252">
                      <w:marLeft w:val="0"/>
                      <w:marRight w:val="0"/>
                      <w:marTop w:val="0"/>
                      <w:marBottom w:val="0"/>
                      <w:divBdr>
                        <w:top w:val="none" w:sz="0" w:space="0" w:color="auto"/>
                        <w:left w:val="none" w:sz="0" w:space="0" w:color="auto"/>
                        <w:bottom w:val="none" w:sz="0" w:space="0" w:color="auto"/>
                        <w:right w:val="none" w:sz="0" w:space="0" w:color="auto"/>
                      </w:divBdr>
                      <w:divsChild>
                        <w:div w:id="2071921349">
                          <w:marLeft w:val="0"/>
                          <w:marRight w:val="0"/>
                          <w:marTop w:val="0"/>
                          <w:marBottom w:val="0"/>
                          <w:divBdr>
                            <w:top w:val="none" w:sz="0" w:space="0" w:color="auto"/>
                            <w:left w:val="none" w:sz="0" w:space="0" w:color="auto"/>
                            <w:bottom w:val="none" w:sz="0" w:space="0" w:color="auto"/>
                            <w:right w:val="none" w:sz="0" w:space="0" w:color="auto"/>
                          </w:divBdr>
                        </w:div>
                      </w:divsChild>
                    </w:div>
                    <w:div w:id="1251744295">
                      <w:marLeft w:val="0"/>
                      <w:marRight w:val="0"/>
                      <w:marTop w:val="0"/>
                      <w:marBottom w:val="0"/>
                      <w:divBdr>
                        <w:top w:val="none" w:sz="0" w:space="0" w:color="auto"/>
                        <w:left w:val="none" w:sz="0" w:space="0" w:color="auto"/>
                        <w:bottom w:val="none" w:sz="0" w:space="0" w:color="auto"/>
                        <w:right w:val="none" w:sz="0" w:space="0" w:color="auto"/>
                      </w:divBdr>
                      <w:divsChild>
                        <w:div w:id="1326517731">
                          <w:marLeft w:val="0"/>
                          <w:marRight w:val="0"/>
                          <w:marTop w:val="0"/>
                          <w:marBottom w:val="0"/>
                          <w:divBdr>
                            <w:top w:val="none" w:sz="0" w:space="0" w:color="auto"/>
                            <w:left w:val="none" w:sz="0" w:space="0" w:color="auto"/>
                            <w:bottom w:val="none" w:sz="0" w:space="0" w:color="auto"/>
                            <w:right w:val="none" w:sz="0" w:space="0" w:color="auto"/>
                          </w:divBdr>
                        </w:div>
                      </w:divsChild>
                    </w:div>
                    <w:div w:id="1253396193">
                      <w:marLeft w:val="0"/>
                      <w:marRight w:val="0"/>
                      <w:marTop w:val="0"/>
                      <w:marBottom w:val="0"/>
                      <w:divBdr>
                        <w:top w:val="none" w:sz="0" w:space="0" w:color="auto"/>
                        <w:left w:val="none" w:sz="0" w:space="0" w:color="auto"/>
                        <w:bottom w:val="none" w:sz="0" w:space="0" w:color="auto"/>
                        <w:right w:val="none" w:sz="0" w:space="0" w:color="auto"/>
                      </w:divBdr>
                      <w:divsChild>
                        <w:div w:id="1926839272">
                          <w:marLeft w:val="0"/>
                          <w:marRight w:val="0"/>
                          <w:marTop w:val="0"/>
                          <w:marBottom w:val="0"/>
                          <w:divBdr>
                            <w:top w:val="none" w:sz="0" w:space="0" w:color="auto"/>
                            <w:left w:val="none" w:sz="0" w:space="0" w:color="auto"/>
                            <w:bottom w:val="none" w:sz="0" w:space="0" w:color="auto"/>
                            <w:right w:val="none" w:sz="0" w:space="0" w:color="auto"/>
                          </w:divBdr>
                        </w:div>
                      </w:divsChild>
                    </w:div>
                    <w:div w:id="1255359347">
                      <w:marLeft w:val="0"/>
                      <w:marRight w:val="0"/>
                      <w:marTop w:val="0"/>
                      <w:marBottom w:val="0"/>
                      <w:divBdr>
                        <w:top w:val="none" w:sz="0" w:space="0" w:color="auto"/>
                        <w:left w:val="none" w:sz="0" w:space="0" w:color="auto"/>
                        <w:bottom w:val="none" w:sz="0" w:space="0" w:color="auto"/>
                        <w:right w:val="none" w:sz="0" w:space="0" w:color="auto"/>
                      </w:divBdr>
                      <w:divsChild>
                        <w:div w:id="147400035">
                          <w:marLeft w:val="0"/>
                          <w:marRight w:val="0"/>
                          <w:marTop w:val="0"/>
                          <w:marBottom w:val="0"/>
                          <w:divBdr>
                            <w:top w:val="none" w:sz="0" w:space="0" w:color="auto"/>
                            <w:left w:val="none" w:sz="0" w:space="0" w:color="auto"/>
                            <w:bottom w:val="none" w:sz="0" w:space="0" w:color="auto"/>
                            <w:right w:val="none" w:sz="0" w:space="0" w:color="auto"/>
                          </w:divBdr>
                        </w:div>
                      </w:divsChild>
                    </w:div>
                    <w:div w:id="1257251619">
                      <w:marLeft w:val="0"/>
                      <w:marRight w:val="0"/>
                      <w:marTop w:val="0"/>
                      <w:marBottom w:val="0"/>
                      <w:divBdr>
                        <w:top w:val="none" w:sz="0" w:space="0" w:color="auto"/>
                        <w:left w:val="none" w:sz="0" w:space="0" w:color="auto"/>
                        <w:bottom w:val="none" w:sz="0" w:space="0" w:color="auto"/>
                        <w:right w:val="none" w:sz="0" w:space="0" w:color="auto"/>
                      </w:divBdr>
                      <w:divsChild>
                        <w:div w:id="353264205">
                          <w:marLeft w:val="0"/>
                          <w:marRight w:val="0"/>
                          <w:marTop w:val="0"/>
                          <w:marBottom w:val="0"/>
                          <w:divBdr>
                            <w:top w:val="none" w:sz="0" w:space="0" w:color="auto"/>
                            <w:left w:val="none" w:sz="0" w:space="0" w:color="auto"/>
                            <w:bottom w:val="none" w:sz="0" w:space="0" w:color="auto"/>
                            <w:right w:val="none" w:sz="0" w:space="0" w:color="auto"/>
                          </w:divBdr>
                        </w:div>
                      </w:divsChild>
                    </w:div>
                    <w:div w:id="1260485695">
                      <w:marLeft w:val="0"/>
                      <w:marRight w:val="0"/>
                      <w:marTop w:val="0"/>
                      <w:marBottom w:val="0"/>
                      <w:divBdr>
                        <w:top w:val="none" w:sz="0" w:space="0" w:color="auto"/>
                        <w:left w:val="none" w:sz="0" w:space="0" w:color="auto"/>
                        <w:bottom w:val="none" w:sz="0" w:space="0" w:color="auto"/>
                        <w:right w:val="none" w:sz="0" w:space="0" w:color="auto"/>
                      </w:divBdr>
                      <w:divsChild>
                        <w:div w:id="1501695843">
                          <w:marLeft w:val="0"/>
                          <w:marRight w:val="0"/>
                          <w:marTop w:val="0"/>
                          <w:marBottom w:val="0"/>
                          <w:divBdr>
                            <w:top w:val="none" w:sz="0" w:space="0" w:color="auto"/>
                            <w:left w:val="none" w:sz="0" w:space="0" w:color="auto"/>
                            <w:bottom w:val="none" w:sz="0" w:space="0" w:color="auto"/>
                            <w:right w:val="none" w:sz="0" w:space="0" w:color="auto"/>
                          </w:divBdr>
                        </w:div>
                      </w:divsChild>
                    </w:div>
                    <w:div w:id="1269464591">
                      <w:marLeft w:val="0"/>
                      <w:marRight w:val="0"/>
                      <w:marTop w:val="0"/>
                      <w:marBottom w:val="0"/>
                      <w:divBdr>
                        <w:top w:val="none" w:sz="0" w:space="0" w:color="auto"/>
                        <w:left w:val="none" w:sz="0" w:space="0" w:color="auto"/>
                        <w:bottom w:val="none" w:sz="0" w:space="0" w:color="auto"/>
                        <w:right w:val="none" w:sz="0" w:space="0" w:color="auto"/>
                      </w:divBdr>
                      <w:divsChild>
                        <w:div w:id="536503228">
                          <w:marLeft w:val="0"/>
                          <w:marRight w:val="0"/>
                          <w:marTop w:val="0"/>
                          <w:marBottom w:val="0"/>
                          <w:divBdr>
                            <w:top w:val="none" w:sz="0" w:space="0" w:color="auto"/>
                            <w:left w:val="none" w:sz="0" w:space="0" w:color="auto"/>
                            <w:bottom w:val="none" w:sz="0" w:space="0" w:color="auto"/>
                            <w:right w:val="none" w:sz="0" w:space="0" w:color="auto"/>
                          </w:divBdr>
                        </w:div>
                      </w:divsChild>
                    </w:div>
                    <w:div w:id="1279294949">
                      <w:marLeft w:val="0"/>
                      <w:marRight w:val="0"/>
                      <w:marTop w:val="0"/>
                      <w:marBottom w:val="0"/>
                      <w:divBdr>
                        <w:top w:val="none" w:sz="0" w:space="0" w:color="auto"/>
                        <w:left w:val="none" w:sz="0" w:space="0" w:color="auto"/>
                        <w:bottom w:val="none" w:sz="0" w:space="0" w:color="auto"/>
                        <w:right w:val="none" w:sz="0" w:space="0" w:color="auto"/>
                      </w:divBdr>
                      <w:divsChild>
                        <w:div w:id="992295024">
                          <w:marLeft w:val="0"/>
                          <w:marRight w:val="0"/>
                          <w:marTop w:val="0"/>
                          <w:marBottom w:val="0"/>
                          <w:divBdr>
                            <w:top w:val="none" w:sz="0" w:space="0" w:color="auto"/>
                            <w:left w:val="none" w:sz="0" w:space="0" w:color="auto"/>
                            <w:bottom w:val="none" w:sz="0" w:space="0" w:color="auto"/>
                            <w:right w:val="none" w:sz="0" w:space="0" w:color="auto"/>
                          </w:divBdr>
                        </w:div>
                      </w:divsChild>
                    </w:div>
                    <w:div w:id="1286429713">
                      <w:marLeft w:val="0"/>
                      <w:marRight w:val="0"/>
                      <w:marTop w:val="0"/>
                      <w:marBottom w:val="0"/>
                      <w:divBdr>
                        <w:top w:val="none" w:sz="0" w:space="0" w:color="auto"/>
                        <w:left w:val="none" w:sz="0" w:space="0" w:color="auto"/>
                        <w:bottom w:val="none" w:sz="0" w:space="0" w:color="auto"/>
                        <w:right w:val="none" w:sz="0" w:space="0" w:color="auto"/>
                      </w:divBdr>
                      <w:divsChild>
                        <w:div w:id="1050807062">
                          <w:marLeft w:val="0"/>
                          <w:marRight w:val="0"/>
                          <w:marTop w:val="0"/>
                          <w:marBottom w:val="0"/>
                          <w:divBdr>
                            <w:top w:val="none" w:sz="0" w:space="0" w:color="auto"/>
                            <w:left w:val="none" w:sz="0" w:space="0" w:color="auto"/>
                            <w:bottom w:val="none" w:sz="0" w:space="0" w:color="auto"/>
                            <w:right w:val="none" w:sz="0" w:space="0" w:color="auto"/>
                          </w:divBdr>
                        </w:div>
                      </w:divsChild>
                    </w:div>
                    <w:div w:id="1299804411">
                      <w:marLeft w:val="0"/>
                      <w:marRight w:val="0"/>
                      <w:marTop w:val="0"/>
                      <w:marBottom w:val="0"/>
                      <w:divBdr>
                        <w:top w:val="none" w:sz="0" w:space="0" w:color="auto"/>
                        <w:left w:val="none" w:sz="0" w:space="0" w:color="auto"/>
                        <w:bottom w:val="none" w:sz="0" w:space="0" w:color="auto"/>
                        <w:right w:val="none" w:sz="0" w:space="0" w:color="auto"/>
                      </w:divBdr>
                      <w:divsChild>
                        <w:div w:id="1843741623">
                          <w:marLeft w:val="0"/>
                          <w:marRight w:val="0"/>
                          <w:marTop w:val="0"/>
                          <w:marBottom w:val="0"/>
                          <w:divBdr>
                            <w:top w:val="none" w:sz="0" w:space="0" w:color="auto"/>
                            <w:left w:val="none" w:sz="0" w:space="0" w:color="auto"/>
                            <w:bottom w:val="none" w:sz="0" w:space="0" w:color="auto"/>
                            <w:right w:val="none" w:sz="0" w:space="0" w:color="auto"/>
                          </w:divBdr>
                        </w:div>
                      </w:divsChild>
                    </w:div>
                    <w:div w:id="1303121442">
                      <w:marLeft w:val="0"/>
                      <w:marRight w:val="0"/>
                      <w:marTop w:val="0"/>
                      <w:marBottom w:val="0"/>
                      <w:divBdr>
                        <w:top w:val="none" w:sz="0" w:space="0" w:color="auto"/>
                        <w:left w:val="none" w:sz="0" w:space="0" w:color="auto"/>
                        <w:bottom w:val="none" w:sz="0" w:space="0" w:color="auto"/>
                        <w:right w:val="none" w:sz="0" w:space="0" w:color="auto"/>
                      </w:divBdr>
                      <w:divsChild>
                        <w:div w:id="180780376">
                          <w:marLeft w:val="0"/>
                          <w:marRight w:val="0"/>
                          <w:marTop w:val="0"/>
                          <w:marBottom w:val="0"/>
                          <w:divBdr>
                            <w:top w:val="none" w:sz="0" w:space="0" w:color="auto"/>
                            <w:left w:val="none" w:sz="0" w:space="0" w:color="auto"/>
                            <w:bottom w:val="none" w:sz="0" w:space="0" w:color="auto"/>
                            <w:right w:val="none" w:sz="0" w:space="0" w:color="auto"/>
                          </w:divBdr>
                        </w:div>
                      </w:divsChild>
                    </w:div>
                    <w:div w:id="1304387730">
                      <w:marLeft w:val="0"/>
                      <w:marRight w:val="0"/>
                      <w:marTop w:val="0"/>
                      <w:marBottom w:val="0"/>
                      <w:divBdr>
                        <w:top w:val="none" w:sz="0" w:space="0" w:color="auto"/>
                        <w:left w:val="none" w:sz="0" w:space="0" w:color="auto"/>
                        <w:bottom w:val="none" w:sz="0" w:space="0" w:color="auto"/>
                        <w:right w:val="none" w:sz="0" w:space="0" w:color="auto"/>
                      </w:divBdr>
                      <w:divsChild>
                        <w:div w:id="1551652405">
                          <w:marLeft w:val="0"/>
                          <w:marRight w:val="0"/>
                          <w:marTop w:val="0"/>
                          <w:marBottom w:val="0"/>
                          <w:divBdr>
                            <w:top w:val="none" w:sz="0" w:space="0" w:color="auto"/>
                            <w:left w:val="none" w:sz="0" w:space="0" w:color="auto"/>
                            <w:bottom w:val="none" w:sz="0" w:space="0" w:color="auto"/>
                            <w:right w:val="none" w:sz="0" w:space="0" w:color="auto"/>
                          </w:divBdr>
                        </w:div>
                      </w:divsChild>
                    </w:div>
                    <w:div w:id="1304430719">
                      <w:marLeft w:val="0"/>
                      <w:marRight w:val="0"/>
                      <w:marTop w:val="0"/>
                      <w:marBottom w:val="0"/>
                      <w:divBdr>
                        <w:top w:val="none" w:sz="0" w:space="0" w:color="auto"/>
                        <w:left w:val="none" w:sz="0" w:space="0" w:color="auto"/>
                        <w:bottom w:val="none" w:sz="0" w:space="0" w:color="auto"/>
                        <w:right w:val="none" w:sz="0" w:space="0" w:color="auto"/>
                      </w:divBdr>
                      <w:divsChild>
                        <w:div w:id="720204500">
                          <w:marLeft w:val="0"/>
                          <w:marRight w:val="0"/>
                          <w:marTop w:val="0"/>
                          <w:marBottom w:val="0"/>
                          <w:divBdr>
                            <w:top w:val="none" w:sz="0" w:space="0" w:color="auto"/>
                            <w:left w:val="none" w:sz="0" w:space="0" w:color="auto"/>
                            <w:bottom w:val="none" w:sz="0" w:space="0" w:color="auto"/>
                            <w:right w:val="none" w:sz="0" w:space="0" w:color="auto"/>
                          </w:divBdr>
                        </w:div>
                      </w:divsChild>
                    </w:div>
                    <w:div w:id="1307201880">
                      <w:marLeft w:val="0"/>
                      <w:marRight w:val="0"/>
                      <w:marTop w:val="0"/>
                      <w:marBottom w:val="0"/>
                      <w:divBdr>
                        <w:top w:val="none" w:sz="0" w:space="0" w:color="auto"/>
                        <w:left w:val="none" w:sz="0" w:space="0" w:color="auto"/>
                        <w:bottom w:val="none" w:sz="0" w:space="0" w:color="auto"/>
                        <w:right w:val="none" w:sz="0" w:space="0" w:color="auto"/>
                      </w:divBdr>
                      <w:divsChild>
                        <w:div w:id="1919750711">
                          <w:marLeft w:val="0"/>
                          <w:marRight w:val="0"/>
                          <w:marTop w:val="0"/>
                          <w:marBottom w:val="0"/>
                          <w:divBdr>
                            <w:top w:val="none" w:sz="0" w:space="0" w:color="auto"/>
                            <w:left w:val="none" w:sz="0" w:space="0" w:color="auto"/>
                            <w:bottom w:val="none" w:sz="0" w:space="0" w:color="auto"/>
                            <w:right w:val="none" w:sz="0" w:space="0" w:color="auto"/>
                          </w:divBdr>
                        </w:div>
                      </w:divsChild>
                    </w:div>
                    <w:div w:id="1308822412">
                      <w:marLeft w:val="0"/>
                      <w:marRight w:val="0"/>
                      <w:marTop w:val="0"/>
                      <w:marBottom w:val="0"/>
                      <w:divBdr>
                        <w:top w:val="none" w:sz="0" w:space="0" w:color="auto"/>
                        <w:left w:val="none" w:sz="0" w:space="0" w:color="auto"/>
                        <w:bottom w:val="none" w:sz="0" w:space="0" w:color="auto"/>
                        <w:right w:val="none" w:sz="0" w:space="0" w:color="auto"/>
                      </w:divBdr>
                      <w:divsChild>
                        <w:div w:id="1618489122">
                          <w:marLeft w:val="0"/>
                          <w:marRight w:val="0"/>
                          <w:marTop w:val="0"/>
                          <w:marBottom w:val="0"/>
                          <w:divBdr>
                            <w:top w:val="none" w:sz="0" w:space="0" w:color="auto"/>
                            <w:left w:val="none" w:sz="0" w:space="0" w:color="auto"/>
                            <w:bottom w:val="none" w:sz="0" w:space="0" w:color="auto"/>
                            <w:right w:val="none" w:sz="0" w:space="0" w:color="auto"/>
                          </w:divBdr>
                        </w:div>
                      </w:divsChild>
                    </w:div>
                    <w:div w:id="1313293979">
                      <w:marLeft w:val="0"/>
                      <w:marRight w:val="0"/>
                      <w:marTop w:val="0"/>
                      <w:marBottom w:val="0"/>
                      <w:divBdr>
                        <w:top w:val="none" w:sz="0" w:space="0" w:color="auto"/>
                        <w:left w:val="none" w:sz="0" w:space="0" w:color="auto"/>
                        <w:bottom w:val="none" w:sz="0" w:space="0" w:color="auto"/>
                        <w:right w:val="none" w:sz="0" w:space="0" w:color="auto"/>
                      </w:divBdr>
                      <w:divsChild>
                        <w:div w:id="1143698192">
                          <w:marLeft w:val="0"/>
                          <w:marRight w:val="0"/>
                          <w:marTop w:val="0"/>
                          <w:marBottom w:val="0"/>
                          <w:divBdr>
                            <w:top w:val="none" w:sz="0" w:space="0" w:color="auto"/>
                            <w:left w:val="none" w:sz="0" w:space="0" w:color="auto"/>
                            <w:bottom w:val="none" w:sz="0" w:space="0" w:color="auto"/>
                            <w:right w:val="none" w:sz="0" w:space="0" w:color="auto"/>
                          </w:divBdr>
                        </w:div>
                      </w:divsChild>
                    </w:div>
                    <w:div w:id="1320617813">
                      <w:marLeft w:val="0"/>
                      <w:marRight w:val="0"/>
                      <w:marTop w:val="0"/>
                      <w:marBottom w:val="0"/>
                      <w:divBdr>
                        <w:top w:val="none" w:sz="0" w:space="0" w:color="auto"/>
                        <w:left w:val="none" w:sz="0" w:space="0" w:color="auto"/>
                        <w:bottom w:val="none" w:sz="0" w:space="0" w:color="auto"/>
                        <w:right w:val="none" w:sz="0" w:space="0" w:color="auto"/>
                      </w:divBdr>
                      <w:divsChild>
                        <w:div w:id="1857572281">
                          <w:marLeft w:val="0"/>
                          <w:marRight w:val="0"/>
                          <w:marTop w:val="0"/>
                          <w:marBottom w:val="0"/>
                          <w:divBdr>
                            <w:top w:val="none" w:sz="0" w:space="0" w:color="auto"/>
                            <w:left w:val="none" w:sz="0" w:space="0" w:color="auto"/>
                            <w:bottom w:val="none" w:sz="0" w:space="0" w:color="auto"/>
                            <w:right w:val="none" w:sz="0" w:space="0" w:color="auto"/>
                          </w:divBdr>
                        </w:div>
                      </w:divsChild>
                    </w:div>
                    <w:div w:id="1322150088">
                      <w:marLeft w:val="0"/>
                      <w:marRight w:val="0"/>
                      <w:marTop w:val="0"/>
                      <w:marBottom w:val="0"/>
                      <w:divBdr>
                        <w:top w:val="none" w:sz="0" w:space="0" w:color="auto"/>
                        <w:left w:val="none" w:sz="0" w:space="0" w:color="auto"/>
                        <w:bottom w:val="none" w:sz="0" w:space="0" w:color="auto"/>
                        <w:right w:val="none" w:sz="0" w:space="0" w:color="auto"/>
                      </w:divBdr>
                      <w:divsChild>
                        <w:div w:id="113062824">
                          <w:marLeft w:val="0"/>
                          <w:marRight w:val="0"/>
                          <w:marTop w:val="0"/>
                          <w:marBottom w:val="0"/>
                          <w:divBdr>
                            <w:top w:val="none" w:sz="0" w:space="0" w:color="auto"/>
                            <w:left w:val="none" w:sz="0" w:space="0" w:color="auto"/>
                            <w:bottom w:val="none" w:sz="0" w:space="0" w:color="auto"/>
                            <w:right w:val="none" w:sz="0" w:space="0" w:color="auto"/>
                          </w:divBdr>
                        </w:div>
                      </w:divsChild>
                    </w:div>
                    <w:div w:id="1325863129">
                      <w:marLeft w:val="0"/>
                      <w:marRight w:val="0"/>
                      <w:marTop w:val="0"/>
                      <w:marBottom w:val="0"/>
                      <w:divBdr>
                        <w:top w:val="none" w:sz="0" w:space="0" w:color="auto"/>
                        <w:left w:val="none" w:sz="0" w:space="0" w:color="auto"/>
                        <w:bottom w:val="none" w:sz="0" w:space="0" w:color="auto"/>
                        <w:right w:val="none" w:sz="0" w:space="0" w:color="auto"/>
                      </w:divBdr>
                      <w:divsChild>
                        <w:div w:id="1927811489">
                          <w:marLeft w:val="0"/>
                          <w:marRight w:val="0"/>
                          <w:marTop w:val="0"/>
                          <w:marBottom w:val="0"/>
                          <w:divBdr>
                            <w:top w:val="none" w:sz="0" w:space="0" w:color="auto"/>
                            <w:left w:val="none" w:sz="0" w:space="0" w:color="auto"/>
                            <w:bottom w:val="none" w:sz="0" w:space="0" w:color="auto"/>
                            <w:right w:val="none" w:sz="0" w:space="0" w:color="auto"/>
                          </w:divBdr>
                        </w:div>
                      </w:divsChild>
                    </w:div>
                    <w:div w:id="1327132383">
                      <w:marLeft w:val="0"/>
                      <w:marRight w:val="0"/>
                      <w:marTop w:val="0"/>
                      <w:marBottom w:val="0"/>
                      <w:divBdr>
                        <w:top w:val="none" w:sz="0" w:space="0" w:color="auto"/>
                        <w:left w:val="none" w:sz="0" w:space="0" w:color="auto"/>
                        <w:bottom w:val="none" w:sz="0" w:space="0" w:color="auto"/>
                        <w:right w:val="none" w:sz="0" w:space="0" w:color="auto"/>
                      </w:divBdr>
                      <w:divsChild>
                        <w:div w:id="1655839981">
                          <w:marLeft w:val="0"/>
                          <w:marRight w:val="0"/>
                          <w:marTop w:val="0"/>
                          <w:marBottom w:val="0"/>
                          <w:divBdr>
                            <w:top w:val="none" w:sz="0" w:space="0" w:color="auto"/>
                            <w:left w:val="none" w:sz="0" w:space="0" w:color="auto"/>
                            <w:bottom w:val="none" w:sz="0" w:space="0" w:color="auto"/>
                            <w:right w:val="none" w:sz="0" w:space="0" w:color="auto"/>
                          </w:divBdr>
                        </w:div>
                      </w:divsChild>
                    </w:div>
                    <w:div w:id="1330593870">
                      <w:marLeft w:val="0"/>
                      <w:marRight w:val="0"/>
                      <w:marTop w:val="0"/>
                      <w:marBottom w:val="0"/>
                      <w:divBdr>
                        <w:top w:val="none" w:sz="0" w:space="0" w:color="auto"/>
                        <w:left w:val="none" w:sz="0" w:space="0" w:color="auto"/>
                        <w:bottom w:val="none" w:sz="0" w:space="0" w:color="auto"/>
                        <w:right w:val="none" w:sz="0" w:space="0" w:color="auto"/>
                      </w:divBdr>
                      <w:divsChild>
                        <w:div w:id="157036900">
                          <w:marLeft w:val="0"/>
                          <w:marRight w:val="0"/>
                          <w:marTop w:val="0"/>
                          <w:marBottom w:val="0"/>
                          <w:divBdr>
                            <w:top w:val="none" w:sz="0" w:space="0" w:color="auto"/>
                            <w:left w:val="none" w:sz="0" w:space="0" w:color="auto"/>
                            <w:bottom w:val="none" w:sz="0" w:space="0" w:color="auto"/>
                            <w:right w:val="none" w:sz="0" w:space="0" w:color="auto"/>
                          </w:divBdr>
                        </w:div>
                      </w:divsChild>
                    </w:div>
                    <w:div w:id="1331904130">
                      <w:marLeft w:val="0"/>
                      <w:marRight w:val="0"/>
                      <w:marTop w:val="0"/>
                      <w:marBottom w:val="0"/>
                      <w:divBdr>
                        <w:top w:val="none" w:sz="0" w:space="0" w:color="auto"/>
                        <w:left w:val="none" w:sz="0" w:space="0" w:color="auto"/>
                        <w:bottom w:val="none" w:sz="0" w:space="0" w:color="auto"/>
                        <w:right w:val="none" w:sz="0" w:space="0" w:color="auto"/>
                      </w:divBdr>
                      <w:divsChild>
                        <w:div w:id="1781417274">
                          <w:marLeft w:val="0"/>
                          <w:marRight w:val="0"/>
                          <w:marTop w:val="0"/>
                          <w:marBottom w:val="0"/>
                          <w:divBdr>
                            <w:top w:val="none" w:sz="0" w:space="0" w:color="auto"/>
                            <w:left w:val="none" w:sz="0" w:space="0" w:color="auto"/>
                            <w:bottom w:val="none" w:sz="0" w:space="0" w:color="auto"/>
                            <w:right w:val="none" w:sz="0" w:space="0" w:color="auto"/>
                          </w:divBdr>
                        </w:div>
                      </w:divsChild>
                    </w:div>
                    <w:div w:id="1332416137">
                      <w:marLeft w:val="0"/>
                      <w:marRight w:val="0"/>
                      <w:marTop w:val="0"/>
                      <w:marBottom w:val="0"/>
                      <w:divBdr>
                        <w:top w:val="none" w:sz="0" w:space="0" w:color="auto"/>
                        <w:left w:val="none" w:sz="0" w:space="0" w:color="auto"/>
                        <w:bottom w:val="none" w:sz="0" w:space="0" w:color="auto"/>
                        <w:right w:val="none" w:sz="0" w:space="0" w:color="auto"/>
                      </w:divBdr>
                      <w:divsChild>
                        <w:div w:id="19858394">
                          <w:marLeft w:val="0"/>
                          <w:marRight w:val="0"/>
                          <w:marTop w:val="0"/>
                          <w:marBottom w:val="0"/>
                          <w:divBdr>
                            <w:top w:val="none" w:sz="0" w:space="0" w:color="auto"/>
                            <w:left w:val="none" w:sz="0" w:space="0" w:color="auto"/>
                            <w:bottom w:val="none" w:sz="0" w:space="0" w:color="auto"/>
                            <w:right w:val="none" w:sz="0" w:space="0" w:color="auto"/>
                          </w:divBdr>
                        </w:div>
                      </w:divsChild>
                    </w:div>
                    <w:div w:id="1333534998">
                      <w:marLeft w:val="0"/>
                      <w:marRight w:val="0"/>
                      <w:marTop w:val="0"/>
                      <w:marBottom w:val="0"/>
                      <w:divBdr>
                        <w:top w:val="none" w:sz="0" w:space="0" w:color="auto"/>
                        <w:left w:val="none" w:sz="0" w:space="0" w:color="auto"/>
                        <w:bottom w:val="none" w:sz="0" w:space="0" w:color="auto"/>
                        <w:right w:val="none" w:sz="0" w:space="0" w:color="auto"/>
                      </w:divBdr>
                      <w:divsChild>
                        <w:div w:id="440497209">
                          <w:marLeft w:val="0"/>
                          <w:marRight w:val="0"/>
                          <w:marTop w:val="0"/>
                          <w:marBottom w:val="0"/>
                          <w:divBdr>
                            <w:top w:val="none" w:sz="0" w:space="0" w:color="auto"/>
                            <w:left w:val="none" w:sz="0" w:space="0" w:color="auto"/>
                            <w:bottom w:val="none" w:sz="0" w:space="0" w:color="auto"/>
                            <w:right w:val="none" w:sz="0" w:space="0" w:color="auto"/>
                          </w:divBdr>
                        </w:div>
                      </w:divsChild>
                    </w:div>
                    <w:div w:id="1336347574">
                      <w:marLeft w:val="0"/>
                      <w:marRight w:val="0"/>
                      <w:marTop w:val="0"/>
                      <w:marBottom w:val="0"/>
                      <w:divBdr>
                        <w:top w:val="none" w:sz="0" w:space="0" w:color="auto"/>
                        <w:left w:val="none" w:sz="0" w:space="0" w:color="auto"/>
                        <w:bottom w:val="none" w:sz="0" w:space="0" w:color="auto"/>
                        <w:right w:val="none" w:sz="0" w:space="0" w:color="auto"/>
                      </w:divBdr>
                      <w:divsChild>
                        <w:div w:id="1822966667">
                          <w:marLeft w:val="0"/>
                          <w:marRight w:val="0"/>
                          <w:marTop w:val="0"/>
                          <w:marBottom w:val="0"/>
                          <w:divBdr>
                            <w:top w:val="none" w:sz="0" w:space="0" w:color="auto"/>
                            <w:left w:val="none" w:sz="0" w:space="0" w:color="auto"/>
                            <w:bottom w:val="none" w:sz="0" w:space="0" w:color="auto"/>
                            <w:right w:val="none" w:sz="0" w:space="0" w:color="auto"/>
                          </w:divBdr>
                        </w:div>
                      </w:divsChild>
                    </w:div>
                    <w:div w:id="1336880488">
                      <w:marLeft w:val="0"/>
                      <w:marRight w:val="0"/>
                      <w:marTop w:val="0"/>
                      <w:marBottom w:val="0"/>
                      <w:divBdr>
                        <w:top w:val="none" w:sz="0" w:space="0" w:color="auto"/>
                        <w:left w:val="none" w:sz="0" w:space="0" w:color="auto"/>
                        <w:bottom w:val="none" w:sz="0" w:space="0" w:color="auto"/>
                        <w:right w:val="none" w:sz="0" w:space="0" w:color="auto"/>
                      </w:divBdr>
                      <w:divsChild>
                        <w:div w:id="1580947397">
                          <w:marLeft w:val="0"/>
                          <w:marRight w:val="0"/>
                          <w:marTop w:val="0"/>
                          <w:marBottom w:val="0"/>
                          <w:divBdr>
                            <w:top w:val="none" w:sz="0" w:space="0" w:color="auto"/>
                            <w:left w:val="none" w:sz="0" w:space="0" w:color="auto"/>
                            <w:bottom w:val="none" w:sz="0" w:space="0" w:color="auto"/>
                            <w:right w:val="none" w:sz="0" w:space="0" w:color="auto"/>
                          </w:divBdr>
                        </w:div>
                      </w:divsChild>
                    </w:div>
                    <w:div w:id="1337461097">
                      <w:marLeft w:val="0"/>
                      <w:marRight w:val="0"/>
                      <w:marTop w:val="0"/>
                      <w:marBottom w:val="0"/>
                      <w:divBdr>
                        <w:top w:val="none" w:sz="0" w:space="0" w:color="auto"/>
                        <w:left w:val="none" w:sz="0" w:space="0" w:color="auto"/>
                        <w:bottom w:val="none" w:sz="0" w:space="0" w:color="auto"/>
                        <w:right w:val="none" w:sz="0" w:space="0" w:color="auto"/>
                      </w:divBdr>
                      <w:divsChild>
                        <w:div w:id="486285133">
                          <w:marLeft w:val="0"/>
                          <w:marRight w:val="0"/>
                          <w:marTop w:val="0"/>
                          <w:marBottom w:val="0"/>
                          <w:divBdr>
                            <w:top w:val="none" w:sz="0" w:space="0" w:color="auto"/>
                            <w:left w:val="none" w:sz="0" w:space="0" w:color="auto"/>
                            <w:bottom w:val="none" w:sz="0" w:space="0" w:color="auto"/>
                            <w:right w:val="none" w:sz="0" w:space="0" w:color="auto"/>
                          </w:divBdr>
                        </w:div>
                      </w:divsChild>
                    </w:div>
                    <w:div w:id="1353415800">
                      <w:marLeft w:val="0"/>
                      <w:marRight w:val="0"/>
                      <w:marTop w:val="0"/>
                      <w:marBottom w:val="0"/>
                      <w:divBdr>
                        <w:top w:val="none" w:sz="0" w:space="0" w:color="auto"/>
                        <w:left w:val="none" w:sz="0" w:space="0" w:color="auto"/>
                        <w:bottom w:val="none" w:sz="0" w:space="0" w:color="auto"/>
                        <w:right w:val="none" w:sz="0" w:space="0" w:color="auto"/>
                      </w:divBdr>
                      <w:divsChild>
                        <w:div w:id="1854413044">
                          <w:marLeft w:val="0"/>
                          <w:marRight w:val="0"/>
                          <w:marTop w:val="0"/>
                          <w:marBottom w:val="0"/>
                          <w:divBdr>
                            <w:top w:val="none" w:sz="0" w:space="0" w:color="auto"/>
                            <w:left w:val="none" w:sz="0" w:space="0" w:color="auto"/>
                            <w:bottom w:val="none" w:sz="0" w:space="0" w:color="auto"/>
                            <w:right w:val="none" w:sz="0" w:space="0" w:color="auto"/>
                          </w:divBdr>
                        </w:div>
                      </w:divsChild>
                    </w:div>
                    <w:div w:id="1354266892">
                      <w:marLeft w:val="0"/>
                      <w:marRight w:val="0"/>
                      <w:marTop w:val="0"/>
                      <w:marBottom w:val="0"/>
                      <w:divBdr>
                        <w:top w:val="none" w:sz="0" w:space="0" w:color="auto"/>
                        <w:left w:val="none" w:sz="0" w:space="0" w:color="auto"/>
                        <w:bottom w:val="none" w:sz="0" w:space="0" w:color="auto"/>
                        <w:right w:val="none" w:sz="0" w:space="0" w:color="auto"/>
                      </w:divBdr>
                      <w:divsChild>
                        <w:div w:id="1811480815">
                          <w:marLeft w:val="0"/>
                          <w:marRight w:val="0"/>
                          <w:marTop w:val="0"/>
                          <w:marBottom w:val="0"/>
                          <w:divBdr>
                            <w:top w:val="none" w:sz="0" w:space="0" w:color="auto"/>
                            <w:left w:val="none" w:sz="0" w:space="0" w:color="auto"/>
                            <w:bottom w:val="none" w:sz="0" w:space="0" w:color="auto"/>
                            <w:right w:val="none" w:sz="0" w:space="0" w:color="auto"/>
                          </w:divBdr>
                        </w:div>
                      </w:divsChild>
                    </w:div>
                    <w:div w:id="1355376793">
                      <w:marLeft w:val="0"/>
                      <w:marRight w:val="0"/>
                      <w:marTop w:val="0"/>
                      <w:marBottom w:val="0"/>
                      <w:divBdr>
                        <w:top w:val="none" w:sz="0" w:space="0" w:color="auto"/>
                        <w:left w:val="none" w:sz="0" w:space="0" w:color="auto"/>
                        <w:bottom w:val="none" w:sz="0" w:space="0" w:color="auto"/>
                        <w:right w:val="none" w:sz="0" w:space="0" w:color="auto"/>
                      </w:divBdr>
                      <w:divsChild>
                        <w:div w:id="305015666">
                          <w:marLeft w:val="0"/>
                          <w:marRight w:val="0"/>
                          <w:marTop w:val="0"/>
                          <w:marBottom w:val="0"/>
                          <w:divBdr>
                            <w:top w:val="none" w:sz="0" w:space="0" w:color="auto"/>
                            <w:left w:val="none" w:sz="0" w:space="0" w:color="auto"/>
                            <w:bottom w:val="none" w:sz="0" w:space="0" w:color="auto"/>
                            <w:right w:val="none" w:sz="0" w:space="0" w:color="auto"/>
                          </w:divBdr>
                        </w:div>
                      </w:divsChild>
                    </w:div>
                    <w:div w:id="1361274892">
                      <w:marLeft w:val="0"/>
                      <w:marRight w:val="0"/>
                      <w:marTop w:val="0"/>
                      <w:marBottom w:val="0"/>
                      <w:divBdr>
                        <w:top w:val="none" w:sz="0" w:space="0" w:color="auto"/>
                        <w:left w:val="none" w:sz="0" w:space="0" w:color="auto"/>
                        <w:bottom w:val="none" w:sz="0" w:space="0" w:color="auto"/>
                        <w:right w:val="none" w:sz="0" w:space="0" w:color="auto"/>
                      </w:divBdr>
                      <w:divsChild>
                        <w:div w:id="1043406689">
                          <w:marLeft w:val="0"/>
                          <w:marRight w:val="0"/>
                          <w:marTop w:val="0"/>
                          <w:marBottom w:val="0"/>
                          <w:divBdr>
                            <w:top w:val="none" w:sz="0" w:space="0" w:color="auto"/>
                            <w:left w:val="none" w:sz="0" w:space="0" w:color="auto"/>
                            <w:bottom w:val="none" w:sz="0" w:space="0" w:color="auto"/>
                            <w:right w:val="none" w:sz="0" w:space="0" w:color="auto"/>
                          </w:divBdr>
                        </w:div>
                      </w:divsChild>
                    </w:div>
                    <w:div w:id="1363558833">
                      <w:marLeft w:val="0"/>
                      <w:marRight w:val="0"/>
                      <w:marTop w:val="0"/>
                      <w:marBottom w:val="0"/>
                      <w:divBdr>
                        <w:top w:val="none" w:sz="0" w:space="0" w:color="auto"/>
                        <w:left w:val="none" w:sz="0" w:space="0" w:color="auto"/>
                        <w:bottom w:val="none" w:sz="0" w:space="0" w:color="auto"/>
                        <w:right w:val="none" w:sz="0" w:space="0" w:color="auto"/>
                      </w:divBdr>
                      <w:divsChild>
                        <w:div w:id="1557206913">
                          <w:marLeft w:val="0"/>
                          <w:marRight w:val="0"/>
                          <w:marTop w:val="0"/>
                          <w:marBottom w:val="0"/>
                          <w:divBdr>
                            <w:top w:val="none" w:sz="0" w:space="0" w:color="auto"/>
                            <w:left w:val="none" w:sz="0" w:space="0" w:color="auto"/>
                            <w:bottom w:val="none" w:sz="0" w:space="0" w:color="auto"/>
                            <w:right w:val="none" w:sz="0" w:space="0" w:color="auto"/>
                          </w:divBdr>
                        </w:div>
                      </w:divsChild>
                    </w:div>
                    <w:div w:id="1364162766">
                      <w:marLeft w:val="0"/>
                      <w:marRight w:val="0"/>
                      <w:marTop w:val="0"/>
                      <w:marBottom w:val="0"/>
                      <w:divBdr>
                        <w:top w:val="none" w:sz="0" w:space="0" w:color="auto"/>
                        <w:left w:val="none" w:sz="0" w:space="0" w:color="auto"/>
                        <w:bottom w:val="none" w:sz="0" w:space="0" w:color="auto"/>
                        <w:right w:val="none" w:sz="0" w:space="0" w:color="auto"/>
                      </w:divBdr>
                      <w:divsChild>
                        <w:div w:id="581529306">
                          <w:marLeft w:val="0"/>
                          <w:marRight w:val="0"/>
                          <w:marTop w:val="0"/>
                          <w:marBottom w:val="0"/>
                          <w:divBdr>
                            <w:top w:val="none" w:sz="0" w:space="0" w:color="auto"/>
                            <w:left w:val="none" w:sz="0" w:space="0" w:color="auto"/>
                            <w:bottom w:val="none" w:sz="0" w:space="0" w:color="auto"/>
                            <w:right w:val="none" w:sz="0" w:space="0" w:color="auto"/>
                          </w:divBdr>
                        </w:div>
                      </w:divsChild>
                    </w:div>
                    <w:div w:id="1366323464">
                      <w:marLeft w:val="0"/>
                      <w:marRight w:val="0"/>
                      <w:marTop w:val="0"/>
                      <w:marBottom w:val="0"/>
                      <w:divBdr>
                        <w:top w:val="none" w:sz="0" w:space="0" w:color="auto"/>
                        <w:left w:val="none" w:sz="0" w:space="0" w:color="auto"/>
                        <w:bottom w:val="none" w:sz="0" w:space="0" w:color="auto"/>
                        <w:right w:val="none" w:sz="0" w:space="0" w:color="auto"/>
                      </w:divBdr>
                      <w:divsChild>
                        <w:div w:id="1593124135">
                          <w:marLeft w:val="0"/>
                          <w:marRight w:val="0"/>
                          <w:marTop w:val="0"/>
                          <w:marBottom w:val="0"/>
                          <w:divBdr>
                            <w:top w:val="none" w:sz="0" w:space="0" w:color="auto"/>
                            <w:left w:val="none" w:sz="0" w:space="0" w:color="auto"/>
                            <w:bottom w:val="none" w:sz="0" w:space="0" w:color="auto"/>
                            <w:right w:val="none" w:sz="0" w:space="0" w:color="auto"/>
                          </w:divBdr>
                        </w:div>
                      </w:divsChild>
                    </w:div>
                    <w:div w:id="1368070453">
                      <w:marLeft w:val="0"/>
                      <w:marRight w:val="0"/>
                      <w:marTop w:val="0"/>
                      <w:marBottom w:val="0"/>
                      <w:divBdr>
                        <w:top w:val="none" w:sz="0" w:space="0" w:color="auto"/>
                        <w:left w:val="none" w:sz="0" w:space="0" w:color="auto"/>
                        <w:bottom w:val="none" w:sz="0" w:space="0" w:color="auto"/>
                        <w:right w:val="none" w:sz="0" w:space="0" w:color="auto"/>
                      </w:divBdr>
                      <w:divsChild>
                        <w:div w:id="2023555297">
                          <w:marLeft w:val="0"/>
                          <w:marRight w:val="0"/>
                          <w:marTop w:val="0"/>
                          <w:marBottom w:val="0"/>
                          <w:divBdr>
                            <w:top w:val="none" w:sz="0" w:space="0" w:color="auto"/>
                            <w:left w:val="none" w:sz="0" w:space="0" w:color="auto"/>
                            <w:bottom w:val="none" w:sz="0" w:space="0" w:color="auto"/>
                            <w:right w:val="none" w:sz="0" w:space="0" w:color="auto"/>
                          </w:divBdr>
                        </w:div>
                      </w:divsChild>
                    </w:div>
                    <w:div w:id="1371343557">
                      <w:marLeft w:val="0"/>
                      <w:marRight w:val="0"/>
                      <w:marTop w:val="0"/>
                      <w:marBottom w:val="0"/>
                      <w:divBdr>
                        <w:top w:val="none" w:sz="0" w:space="0" w:color="auto"/>
                        <w:left w:val="none" w:sz="0" w:space="0" w:color="auto"/>
                        <w:bottom w:val="none" w:sz="0" w:space="0" w:color="auto"/>
                        <w:right w:val="none" w:sz="0" w:space="0" w:color="auto"/>
                      </w:divBdr>
                      <w:divsChild>
                        <w:div w:id="1080177469">
                          <w:marLeft w:val="0"/>
                          <w:marRight w:val="0"/>
                          <w:marTop w:val="0"/>
                          <w:marBottom w:val="0"/>
                          <w:divBdr>
                            <w:top w:val="none" w:sz="0" w:space="0" w:color="auto"/>
                            <w:left w:val="none" w:sz="0" w:space="0" w:color="auto"/>
                            <w:bottom w:val="none" w:sz="0" w:space="0" w:color="auto"/>
                            <w:right w:val="none" w:sz="0" w:space="0" w:color="auto"/>
                          </w:divBdr>
                        </w:div>
                      </w:divsChild>
                    </w:div>
                    <w:div w:id="1383484948">
                      <w:marLeft w:val="0"/>
                      <w:marRight w:val="0"/>
                      <w:marTop w:val="0"/>
                      <w:marBottom w:val="0"/>
                      <w:divBdr>
                        <w:top w:val="none" w:sz="0" w:space="0" w:color="auto"/>
                        <w:left w:val="none" w:sz="0" w:space="0" w:color="auto"/>
                        <w:bottom w:val="none" w:sz="0" w:space="0" w:color="auto"/>
                        <w:right w:val="none" w:sz="0" w:space="0" w:color="auto"/>
                      </w:divBdr>
                      <w:divsChild>
                        <w:div w:id="572005200">
                          <w:marLeft w:val="0"/>
                          <w:marRight w:val="0"/>
                          <w:marTop w:val="0"/>
                          <w:marBottom w:val="0"/>
                          <w:divBdr>
                            <w:top w:val="none" w:sz="0" w:space="0" w:color="auto"/>
                            <w:left w:val="none" w:sz="0" w:space="0" w:color="auto"/>
                            <w:bottom w:val="none" w:sz="0" w:space="0" w:color="auto"/>
                            <w:right w:val="none" w:sz="0" w:space="0" w:color="auto"/>
                          </w:divBdr>
                        </w:div>
                      </w:divsChild>
                    </w:div>
                    <w:div w:id="1394352505">
                      <w:marLeft w:val="0"/>
                      <w:marRight w:val="0"/>
                      <w:marTop w:val="0"/>
                      <w:marBottom w:val="0"/>
                      <w:divBdr>
                        <w:top w:val="none" w:sz="0" w:space="0" w:color="auto"/>
                        <w:left w:val="none" w:sz="0" w:space="0" w:color="auto"/>
                        <w:bottom w:val="none" w:sz="0" w:space="0" w:color="auto"/>
                        <w:right w:val="none" w:sz="0" w:space="0" w:color="auto"/>
                      </w:divBdr>
                      <w:divsChild>
                        <w:div w:id="1632056272">
                          <w:marLeft w:val="0"/>
                          <w:marRight w:val="0"/>
                          <w:marTop w:val="0"/>
                          <w:marBottom w:val="0"/>
                          <w:divBdr>
                            <w:top w:val="none" w:sz="0" w:space="0" w:color="auto"/>
                            <w:left w:val="none" w:sz="0" w:space="0" w:color="auto"/>
                            <w:bottom w:val="none" w:sz="0" w:space="0" w:color="auto"/>
                            <w:right w:val="none" w:sz="0" w:space="0" w:color="auto"/>
                          </w:divBdr>
                        </w:div>
                      </w:divsChild>
                    </w:div>
                    <w:div w:id="1397164375">
                      <w:marLeft w:val="0"/>
                      <w:marRight w:val="0"/>
                      <w:marTop w:val="0"/>
                      <w:marBottom w:val="0"/>
                      <w:divBdr>
                        <w:top w:val="none" w:sz="0" w:space="0" w:color="auto"/>
                        <w:left w:val="none" w:sz="0" w:space="0" w:color="auto"/>
                        <w:bottom w:val="none" w:sz="0" w:space="0" w:color="auto"/>
                        <w:right w:val="none" w:sz="0" w:space="0" w:color="auto"/>
                      </w:divBdr>
                      <w:divsChild>
                        <w:div w:id="500971156">
                          <w:marLeft w:val="0"/>
                          <w:marRight w:val="0"/>
                          <w:marTop w:val="0"/>
                          <w:marBottom w:val="0"/>
                          <w:divBdr>
                            <w:top w:val="none" w:sz="0" w:space="0" w:color="auto"/>
                            <w:left w:val="none" w:sz="0" w:space="0" w:color="auto"/>
                            <w:bottom w:val="none" w:sz="0" w:space="0" w:color="auto"/>
                            <w:right w:val="none" w:sz="0" w:space="0" w:color="auto"/>
                          </w:divBdr>
                        </w:div>
                      </w:divsChild>
                    </w:div>
                    <w:div w:id="1400209299">
                      <w:marLeft w:val="0"/>
                      <w:marRight w:val="0"/>
                      <w:marTop w:val="0"/>
                      <w:marBottom w:val="0"/>
                      <w:divBdr>
                        <w:top w:val="none" w:sz="0" w:space="0" w:color="auto"/>
                        <w:left w:val="none" w:sz="0" w:space="0" w:color="auto"/>
                        <w:bottom w:val="none" w:sz="0" w:space="0" w:color="auto"/>
                        <w:right w:val="none" w:sz="0" w:space="0" w:color="auto"/>
                      </w:divBdr>
                      <w:divsChild>
                        <w:div w:id="254948891">
                          <w:marLeft w:val="0"/>
                          <w:marRight w:val="0"/>
                          <w:marTop w:val="0"/>
                          <w:marBottom w:val="0"/>
                          <w:divBdr>
                            <w:top w:val="none" w:sz="0" w:space="0" w:color="auto"/>
                            <w:left w:val="none" w:sz="0" w:space="0" w:color="auto"/>
                            <w:bottom w:val="none" w:sz="0" w:space="0" w:color="auto"/>
                            <w:right w:val="none" w:sz="0" w:space="0" w:color="auto"/>
                          </w:divBdr>
                        </w:div>
                      </w:divsChild>
                    </w:div>
                    <w:div w:id="1411852492">
                      <w:marLeft w:val="0"/>
                      <w:marRight w:val="0"/>
                      <w:marTop w:val="0"/>
                      <w:marBottom w:val="0"/>
                      <w:divBdr>
                        <w:top w:val="none" w:sz="0" w:space="0" w:color="auto"/>
                        <w:left w:val="none" w:sz="0" w:space="0" w:color="auto"/>
                        <w:bottom w:val="none" w:sz="0" w:space="0" w:color="auto"/>
                        <w:right w:val="none" w:sz="0" w:space="0" w:color="auto"/>
                      </w:divBdr>
                      <w:divsChild>
                        <w:div w:id="190579421">
                          <w:marLeft w:val="0"/>
                          <w:marRight w:val="0"/>
                          <w:marTop w:val="0"/>
                          <w:marBottom w:val="0"/>
                          <w:divBdr>
                            <w:top w:val="none" w:sz="0" w:space="0" w:color="auto"/>
                            <w:left w:val="none" w:sz="0" w:space="0" w:color="auto"/>
                            <w:bottom w:val="none" w:sz="0" w:space="0" w:color="auto"/>
                            <w:right w:val="none" w:sz="0" w:space="0" w:color="auto"/>
                          </w:divBdr>
                        </w:div>
                      </w:divsChild>
                    </w:div>
                    <w:div w:id="1428578357">
                      <w:marLeft w:val="0"/>
                      <w:marRight w:val="0"/>
                      <w:marTop w:val="0"/>
                      <w:marBottom w:val="0"/>
                      <w:divBdr>
                        <w:top w:val="none" w:sz="0" w:space="0" w:color="auto"/>
                        <w:left w:val="none" w:sz="0" w:space="0" w:color="auto"/>
                        <w:bottom w:val="none" w:sz="0" w:space="0" w:color="auto"/>
                        <w:right w:val="none" w:sz="0" w:space="0" w:color="auto"/>
                      </w:divBdr>
                      <w:divsChild>
                        <w:div w:id="2047634628">
                          <w:marLeft w:val="0"/>
                          <w:marRight w:val="0"/>
                          <w:marTop w:val="0"/>
                          <w:marBottom w:val="0"/>
                          <w:divBdr>
                            <w:top w:val="none" w:sz="0" w:space="0" w:color="auto"/>
                            <w:left w:val="none" w:sz="0" w:space="0" w:color="auto"/>
                            <w:bottom w:val="none" w:sz="0" w:space="0" w:color="auto"/>
                            <w:right w:val="none" w:sz="0" w:space="0" w:color="auto"/>
                          </w:divBdr>
                        </w:div>
                      </w:divsChild>
                    </w:div>
                    <w:div w:id="1430657572">
                      <w:marLeft w:val="0"/>
                      <w:marRight w:val="0"/>
                      <w:marTop w:val="0"/>
                      <w:marBottom w:val="0"/>
                      <w:divBdr>
                        <w:top w:val="none" w:sz="0" w:space="0" w:color="auto"/>
                        <w:left w:val="none" w:sz="0" w:space="0" w:color="auto"/>
                        <w:bottom w:val="none" w:sz="0" w:space="0" w:color="auto"/>
                        <w:right w:val="none" w:sz="0" w:space="0" w:color="auto"/>
                      </w:divBdr>
                      <w:divsChild>
                        <w:div w:id="1442071619">
                          <w:marLeft w:val="0"/>
                          <w:marRight w:val="0"/>
                          <w:marTop w:val="0"/>
                          <w:marBottom w:val="0"/>
                          <w:divBdr>
                            <w:top w:val="none" w:sz="0" w:space="0" w:color="auto"/>
                            <w:left w:val="none" w:sz="0" w:space="0" w:color="auto"/>
                            <w:bottom w:val="none" w:sz="0" w:space="0" w:color="auto"/>
                            <w:right w:val="none" w:sz="0" w:space="0" w:color="auto"/>
                          </w:divBdr>
                        </w:div>
                      </w:divsChild>
                    </w:div>
                    <w:div w:id="1432315485">
                      <w:marLeft w:val="0"/>
                      <w:marRight w:val="0"/>
                      <w:marTop w:val="0"/>
                      <w:marBottom w:val="0"/>
                      <w:divBdr>
                        <w:top w:val="none" w:sz="0" w:space="0" w:color="auto"/>
                        <w:left w:val="none" w:sz="0" w:space="0" w:color="auto"/>
                        <w:bottom w:val="none" w:sz="0" w:space="0" w:color="auto"/>
                        <w:right w:val="none" w:sz="0" w:space="0" w:color="auto"/>
                      </w:divBdr>
                      <w:divsChild>
                        <w:div w:id="1063724430">
                          <w:marLeft w:val="0"/>
                          <w:marRight w:val="0"/>
                          <w:marTop w:val="0"/>
                          <w:marBottom w:val="0"/>
                          <w:divBdr>
                            <w:top w:val="none" w:sz="0" w:space="0" w:color="auto"/>
                            <w:left w:val="none" w:sz="0" w:space="0" w:color="auto"/>
                            <w:bottom w:val="none" w:sz="0" w:space="0" w:color="auto"/>
                            <w:right w:val="none" w:sz="0" w:space="0" w:color="auto"/>
                          </w:divBdr>
                        </w:div>
                      </w:divsChild>
                    </w:div>
                    <w:div w:id="1434132382">
                      <w:marLeft w:val="0"/>
                      <w:marRight w:val="0"/>
                      <w:marTop w:val="0"/>
                      <w:marBottom w:val="0"/>
                      <w:divBdr>
                        <w:top w:val="none" w:sz="0" w:space="0" w:color="auto"/>
                        <w:left w:val="none" w:sz="0" w:space="0" w:color="auto"/>
                        <w:bottom w:val="none" w:sz="0" w:space="0" w:color="auto"/>
                        <w:right w:val="none" w:sz="0" w:space="0" w:color="auto"/>
                      </w:divBdr>
                      <w:divsChild>
                        <w:div w:id="2111701208">
                          <w:marLeft w:val="0"/>
                          <w:marRight w:val="0"/>
                          <w:marTop w:val="0"/>
                          <w:marBottom w:val="0"/>
                          <w:divBdr>
                            <w:top w:val="none" w:sz="0" w:space="0" w:color="auto"/>
                            <w:left w:val="none" w:sz="0" w:space="0" w:color="auto"/>
                            <w:bottom w:val="none" w:sz="0" w:space="0" w:color="auto"/>
                            <w:right w:val="none" w:sz="0" w:space="0" w:color="auto"/>
                          </w:divBdr>
                        </w:div>
                      </w:divsChild>
                    </w:div>
                    <w:div w:id="1437678567">
                      <w:marLeft w:val="0"/>
                      <w:marRight w:val="0"/>
                      <w:marTop w:val="0"/>
                      <w:marBottom w:val="0"/>
                      <w:divBdr>
                        <w:top w:val="none" w:sz="0" w:space="0" w:color="auto"/>
                        <w:left w:val="none" w:sz="0" w:space="0" w:color="auto"/>
                        <w:bottom w:val="none" w:sz="0" w:space="0" w:color="auto"/>
                        <w:right w:val="none" w:sz="0" w:space="0" w:color="auto"/>
                      </w:divBdr>
                      <w:divsChild>
                        <w:div w:id="1672176008">
                          <w:marLeft w:val="0"/>
                          <w:marRight w:val="0"/>
                          <w:marTop w:val="0"/>
                          <w:marBottom w:val="0"/>
                          <w:divBdr>
                            <w:top w:val="none" w:sz="0" w:space="0" w:color="auto"/>
                            <w:left w:val="none" w:sz="0" w:space="0" w:color="auto"/>
                            <w:bottom w:val="none" w:sz="0" w:space="0" w:color="auto"/>
                            <w:right w:val="none" w:sz="0" w:space="0" w:color="auto"/>
                          </w:divBdr>
                        </w:div>
                      </w:divsChild>
                    </w:div>
                    <w:div w:id="1448505218">
                      <w:marLeft w:val="0"/>
                      <w:marRight w:val="0"/>
                      <w:marTop w:val="0"/>
                      <w:marBottom w:val="0"/>
                      <w:divBdr>
                        <w:top w:val="none" w:sz="0" w:space="0" w:color="auto"/>
                        <w:left w:val="none" w:sz="0" w:space="0" w:color="auto"/>
                        <w:bottom w:val="none" w:sz="0" w:space="0" w:color="auto"/>
                        <w:right w:val="none" w:sz="0" w:space="0" w:color="auto"/>
                      </w:divBdr>
                      <w:divsChild>
                        <w:div w:id="1379011634">
                          <w:marLeft w:val="0"/>
                          <w:marRight w:val="0"/>
                          <w:marTop w:val="0"/>
                          <w:marBottom w:val="0"/>
                          <w:divBdr>
                            <w:top w:val="none" w:sz="0" w:space="0" w:color="auto"/>
                            <w:left w:val="none" w:sz="0" w:space="0" w:color="auto"/>
                            <w:bottom w:val="none" w:sz="0" w:space="0" w:color="auto"/>
                            <w:right w:val="none" w:sz="0" w:space="0" w:color="auto"/>
                          </w:divBdr>
                        </w:div>
                      </w:divsChild>
                    </w:div>
                    <w:div w:id="1448508269">
                      <w:marLeft w:val="0"/>
                      <w:marRight w:val="0"/>
                      <w:marTop w:val="0"/>
                      <w:marBottom w:val="0"/>
                      <w:divBdr>
                        <w:top w:val="none" w:sz="0" w:space="0" w:color="auto"/>
                        <w:left w:val="none" w:sz="0" w:space="0" w:color="auto"/>
                        <w:bottom w:val="none" w:sz="0" w:space="0" w:color="auto"/>
                        <w:right w:val="none" w:sz="0" w:space="0" w:color="auto"/>
                      </w:divBdr>
                      <w:divsChild>
                        <w:div w:id="1764372125">
                          <w:marLeft w:val="0"/>
                          <w:marRight w:val="0"/>
                          <w:marTop w:val="0"/>
                          <w:marBottom w:val="0"/>
                          <w:divBdr>
                            <w:top w:val="none" w:sz="0" w:space="0" w:color="auto"/>
                            <w:left w:val="none" w:sz="0" w:space="0" w:color="auto"/>
                            <w:bottom w:val="none" w:sz="0" w:space="0" w:color="auto"/>
                            <w:right w:val="none" w:sz="0" w:space="0" w:color="auto"/>
                          </w:divBdr>
                        </w:div>
                      </w:divsChild>
                    </w:div>
                    <w:div w:id="1450010487">
                      <w:marLeft w:val="0"/>
                      <w:marRight w:val="0"/>
                      <w:marTop w:val="0"/>
                      <w:marBottom w:val="0"/>
                      <w:divBdr>
                        <w:top w:val="none" w:sz="0" w:space="0" w:color="auto"/>
                        <w:left w:val="none" w:sz="0" w:space="0" w:color="auto"/>
                        <w:bottom w:val="none" w:sz="0" w:space="0" w:color="auto"/>
                        <w:right w:val="none" w:sz="0" w:space="0" w:color="auto"/>
                      </w:divBdr>
                      <w:divsChild>
                        <w:div w:id="1340737812">
                          <w:marLeft w:val="0"/>
                          <w:marRight w:val="0"/>
                          <w:marTop w:val="0"/>
                          <w:marBottom w:val="0"/>
                          <w:divBdr>
                            <w:top w:val="none" w:sz="0" w:space="0" w:color="auto"/>
                            <w:left w:val="none" w:sz="0" w:space="0" w:color="auto"/>
                            <w:bottom w:val="none" w:sz="0" w:space="0" w:color="auto"/>
                            <w:right w:val="none" w:sz="0" w:space="0" w:color="auto"/>
                          </w:divBdr>
                        </w:div>
                      </w:divsChild>
                    </w:div>
                    <w:div w:id="1463618345">
                      <w:marLeft w:val="0"/>
                      <w:marRight w:val="0"/>
                      <w:marTop w:val="0"/>
                      <w:marBottom w:val="0"/>
                      <w:divBdr>
                        <w:top w:val="none" w:sz="0" w:space="0" w:color="auto"/>
                        <w:left w:val="none" w:sz="0" w:space="0" w:color="auto"/>
                        <w:bottom w:val="none" w:sz="0" w:space="0" w:color="auto"/>
                        <w:right w:val="none" w:sz="0" w:space="0" w:color="auto"/>
                      </w:divBdr>
                      <w:divsChild>
                        <w:div w:id="1083382358">
                          <w:marLeft w:val="0"/>
                          <w:marRight w:val="0"/>
                          <w:marTop w:val="0"/>
                          <w:marBottom w:val="0"/>
                          <w:divBdr>
                            <w:top w:val="none" w:sz="0" w:space="0" w:color="auto"/>
                            <w:left w:val="none" w:sz="0" w:space="0" w:color="auto"/>
                            <w:bottom w:val="none" w:sz="0" w:space="0" w:color="auto"/>
                            <w:right w:val="none" w:sz="0" w:space="0" w:color="auto"/>
                          </w:divBdr>
                        </w:div>
                      </w:divsChild>
                    </w:div>
                    <w:div w:id="1472476465">
                      <w:marLeft w:val="0"/>
                      <w:marRight w:val="0"/>
                      <w:marTop w:val="0"/>
                      <w:marBottom w:val="0"/>
                      <w:divBdr>
                        <w:top w:val="none" w:sz="0" w:space="0" w:color="auto"/>
                        <w:left w:val="none" w:sz="0" w:space="0" w:color="auto"/>
                        <w:bottom w:val="none" w:sz="0" w:space="0" w:color="auto"/>
                        <w:right w:val="none" w:sz="0" w:space="0" w:color="auto"/>
                      </w:divBdr>
                      <w:divsChild>
                        <w:div w:id="2050566993">
                          <w:marLeft w:val="0"/>
                          <w:marRight w:val="0"/>
                          <w:marTop w:val="0"/>
                          <w:marBottom w:val="0"/>
                          <w:divBdr>
                            <w:top w:val="none" w:sz="0" w:space="0" w:color="auto"/>
                            <w:left w:val="none" w:sz="0" w:space="0" w:color="auto"/>
                            <w:bottom w:val="none" w:sz="0" w:space="0" w:color="auto"/>
                            <w:right w:val="none" w:sz="0" w:space="0" w:color="auto"/>
                          </w:divBdr>
                        </w:div>
                      </w:divsChild>
                    </w:div>
                    <w:div w:id="1473406238">
                      <w:marLeft w:val="0"/>
                      <w:marRight w:val="0"/>
                      <w:marTop w:val="0"/>
                      <w:marBottom w:val="0"/>
                      <w:divBdr>
                        <w:top w:val="none" w:sz="0" w:space="0" w:color="auto"/>
                        <w:left w:val="none" w:sz="0" w:space="0" w:color="auto"/>
                        <w:bottom w:val="none" w:sz="0" w:space="0" w:color="auto"/>
                        <w:right w:val="none" w:sz="0" w:space="0" w:color="auto"/>
                      </w:divBdr>
                      <w:divsChild>
                        <w:div w:id="1877160435">
                          <w:marLeft w:val="0"/>
                          <w:marRight w:val="0"/>
                          <w:marTop w:val="0"/>
                          <w:marBottom w:val="0"/>
                          <w:divBdr>
                            <w:top w:val="none" w:sz="0" w:space="0" w:color="auto"/>
                            <w:left w:val="none" w:sz="0" w:space="0" w:color="auto"/>
                            <w:bottom w:val="none" w:sz="0" w:space="0" w:color="auto"/>
                            <w:right w:val="none" w:sz="0" w:space="0" w:color="auto"/>
                          </w:divBdr>
                        </w:div>
                      </w:divsChild>
                    </w:div>
                    <w:div w:id="1476725484">
                      <w:marLeft w:val="0"/>
                      <w:marRight w:val="0"/>
                      <w:marTop w:val="0"/>
                      <w:marBottom w:val="0"/>
                      <w:divBdr>
                        <w:top w:val="none" w:sz="0" w:space="0" w:color="auto"/>
                        <w:left w:val="none" w:sz="0" w:space="0" w:color="auto"/>
                        <w:bottom w:val="none" w:sz="0" w:space="0" w:color="auto"/>
                        <w:right w:val="none" w:sz="0" w:space="0" w:color="auto"/>
                      </w:divBdr>
                      <w:divsChild>
                        <w:div w:id="996617975">
                          <w:marLeft w:val="0"/>
                          <w:marRight w:val="0"/>
                          <w:marTop w:val="0"/>
                          <w:marBottom w:val="0"/>
                          <w:divBdr>
                            <w:top w:val="none" w:sz="0" w:space="0" w:color="auto"/>
                            <w:left w:val="none" w:sz="0" w:space="0" w:color="auto"/>
                            <w:bottom w:val="none" w:sz="0" w:space="0" w:color="auto"/>
                            <w:right w:val="none" w:sz="0" w:space="0" w:color="auto"/>
                          </w:divBdr>
                        </w:div>
                      </w:divsChild>
                    </w:div>
                    <w:div w:id="1481338458">
                      <w:marLeft w:val="0"/>
                      <w:marRight w:val="0"/>
                      <w:marTop w:val="0"/>
                      <w:marBottom w:val="0"/>
                      <w:divBdr>
                        <w:top w:val="none" w:sz="0" w:space="0" w:color="auto"/>
                        <w:left w:val="none" w:sz="0" w:space="0" w:color="auto"/>
                        <w:bottom w:val="none" w:sz="0" w:space="0" w:color="auto"/>
                        <w:right w:val="none" w:sz="0" w:space="0" w:color="auto"/>
                      </w:divBdr>
                      <w:divsChild>
                        <w:div w:id="184248189">
                          <w:marLeft w:val="0"/>
                          <w:marRight w:val="0"/>
                          <w:marTop w:val="0"/>
                          <w:marBottom w:val="0"/>
                          <w:divBdr>
                            <w:top w:val="none" w:sz="0" w:space="0" w:color="auto"/>
                            <w:left w:val="none" w:sz="0" w:space="0" w:color="auto"/>
                            <w:bottom w:val="none" w:sz="0" w:space="0" w:color="auto"/>
                            <w:right w:val="none" w:sz="0" w:space="0" w:color="auto"/>
                          </w:divBdr>
                        </w:div>
                      </w:divsChild>
                    </w:div>
                    <w:div w:id="1487741066">
                      <w:marLeft w:val="0"/>
                      <w:marRight w:val="0"/>
                      <w:marTop w:val="0"/>
                      <w:marBottom w:val="0"/>
                      <w:divBdr>
                        <w:top w:val="none" w:sz="0" w:space="0" w:color="auto"/>
                        <w:left w:val="none" w:sz="0" w:space="0" w:color="auto"/>
                        <w:bottom w:val="none" w:sz="0" w:space="0" w:color="auto"/>
                        <w:right w:val="none" w:sz="0" w:space="0" w:color="auto"/>
                      </w:divBdr>
                      <w:divsChild>
                        <w:div w:id="1642691888">
                          <w:marLeft w:val="0"/>
                          <w:marRight w:val="0"/>
                          <w:marTop w:val="0"/>
                          <w:marBottom w:val="0"/>
                          <w:divBdr>
                            <w:top w:val="none" w:sz="0" w:space="0" w:color="auto"/>
                            <w:left w:val="none" w:sz="0" w:space="0" w:color="auto"/>
                            <w:bottom w:val="none" w:sz="0" w:space="0" w:color="auto"/>
                            <w:right w:val="none" w:sz="0" w:space="0" w:color="auto"/>
                          </w:divBdr>
                        </w:div>
                      </w:divsChild>
                    </w:div>
                    <w:div w:id="1492142746">
                      <w:marLeft w:val="0"/>
                      <w:marRight w:val="0"/>
                      <w:marTop w:val="0"/>
                      <w:marBottom w:val="0"/>
                      <w:divBdr>
                        <w:top w:val="none" w:sz="0" w:space="0" w:color="auto"/>
                        <w:left w:val="none" w:sz="0" w:space="0" w:color="auto"/>
                        <w:bottom w:val="none" w:sz="0" w:space="0" w:color="auto"/>
                        <w:right w:val="none" w:sz="0" w:space="0" w:color="auto"/>
                      </w:divBdr>
                      <w:divsChild>
                        <w:div w:id="1062216869">
                          <w:marLeft w:val="0"/>
                          <w:marRight w:val="0"/>
                          <w:marTop w:val="0"/>
                          <w:marBottom w:val="0"/>
                          <w:divBdr>
                            <w:top w:val="none" w:sz="0" w:space="0" w:color="auto"/>
                            <w:left w:val="none" w:sz="0" w:space="0" w:color="auto"/>
                            <w:bottom w:val="none" w:sz="0" w:space="0" w:color="auto"/>
                            <w:right w:val="none" w:sz="0" w:space="0" w:color="auto"/>
                          </w:divBdr>
                        </w:div>
                      </w:divsChild>
                    </w:div>
                    <w:div w:id="1494952235">
                      <w:marLeft w:val="0"/>
                      <w:marRight w:val="0"/>
                      <w:marTop w:val="0"/>
                      <w:marBottom w:val="0"/>
                      <w:divBdr>
                        <w:top w:val="none" w:sz="0" w:space="0" w:color="auto"/>
                        <w:left w:val="none" w:sz="0" w:space="0" w:color="auto"/>
                        <w:bottom w:val="none" w:sz="0" w:space="0" w:color="auto"/>
                        <w:right w:val="none" w:sz="0" w:space="0" w:color="auto"/>
                      </w:divBdr>
                      <w:divsChild>
                        <w:div w:id="775709612">
                          <w:marLeft w:val="0"/>
                          <w:marRight w:val="0"/>
                          <w:marTop w:val="0"/>
                          <w:marBottom w:val="0"/>
                          <w:divBdr>
                            <w:top w:val="none" w:sz="0" w:space="0" w:color="auto"/>
                            <w:left w:val="none" w:sz="0" w:space="0" w:color="auto"/>
                            <w:bottom w:val="none" w:sz="0" w:space="0" w:color="auto"/>
                            <w:right w:val="none" w:sz="0" w:space="0" w:color="auto"/>
                          </w:divBdr>
                        </w:div>
                      </w:divsChild>
                    </w:div>
                    <w:div w:id="1497771455">
                      <w:marLeft w:val="0"/>
                      <w:marRight w:val="0"/>
                      <w:marTop w:val="0"/>
                      <w:marBottom w:val="0"/>
                      <w:divBdr>
                        <w:top w:val="none" w:sz="0" w:space="0" w:color="auto"/>
                        <w:left w:val="none" w:sz="0" w:space="0" w:color="auto"/>
                        <w:bottom w:val="none" w:sz="0" w:space="0" w:color="auto"/>
                        <w:right w:val="none" w:sz="0" w:space="0" w:color="auto"/>
                      </w:divBdr>
                      <w:divsChild>
                        <w:div w:id="1636178084">
                          <w:marLeft w:val="0"/>
                          <w:marRight w:val="0"/>
                          <w:marTop w:val="0"/>
                          <w:marBottom w:val="0"/>
                          <w:divBdr>
                            <w:top w:val="none" w:sz="0" w:space="0" w:color="auto"/>
                            <w:left w:val="none" w:sz="0" w:space="0" w:color="auto"/>
                            <w:bottom w:val="none" w:sz="0" w:space="0" w:color="auto"/>
                            <w:right w:val="none" w:sz="0" w:space="0" w:color="auto"/>
                          </w:divBdr>
                        </w:div>
                      </w:divsChild>
                    </w:div>
                    <w:div w:id="1503205492">
                      <w:marLeft w:val="0"/>
                      <w:marRight w:val="0"/>
                      <w:marTop w:val="0"/>
                      <w:marBottom w:val="0"/>
                      <w:divBdr>
                        <w:top w:val="none" w:sz="0" w:space="0" w:color="auto"/>
                        <w:left w:val="none" w:sz="0" w:space="0" w:color="auto"/>
                        <w:bottom w:val="none" w:sz="0" w:space="0" w:color="auto"/>
                        <w:right w:val="none" w:sz="0" w:space="0" w:color="auto"/>
                      </w:divBdr>
                      <w:divsChild>
                        <w:div w:id="1124301128">
                          <w:marLeft w:val="0"/>
                          <w:marRight w:val="0"/>
                          <w:marTop w:val="0"/>
                          <w:marBottom w:val="0"/>
                          <w:divBdr>
                            <w:top w:val="none" w:sz="0" w:space="0" w:color="auto"/>
                            <w:left w:val="none" w:sz="0" w:space="0" w:color="auto"/>
                            <w:bottom w:val="none" w:sz="0" w:space="0" w:color="auto"/>
                            <w:right w:val="none" w:sz="0" w:space="0" w:color="auto"/>
                          </w:divBdr>
                        </w:div>
                      </w:divsChild>
                    </w:div>
                    <w:div w:id="1511334367">
                      <w:marLeft w:val="0"/>
                      <w:marRight w:val="0"/>
                      <w:marTop w:val="0"/>
                      <w:marBottom w:val="0"/>
                      <w:divBdr>
                        <w:top w:val="none" w:sz="0" w:space="0" w:color="auto"/>
                        <w:left w:val="none" w:sz="0" w:space="0" w:color="auto"/>
                        <w:bottom w:val="none" w:sz="0" w:space="0" w:color="auto"/>
                        <w:right w:val="none" w:sz="0" w:space="0" w:color="auto"/>
                      </w:divBdr>
                      <w:divsChild>
                        <w:div w:id="1726098454">
                          <w:marLeft w:val="0"/>
                          <w:marRight w:val="0"/>
                          <w:marTop w:val="0"/>
                          <w:marBottom w:val="0"/>
                          <w:divBdr>
                            <w:top w:val="none" w:sz="0" w:space="0" w:color="auto"/>
                            <w:left w:val="none" w:sz="0" w:space="0" w:color="auto"/>
                            <w:bottom w:val="none" w:sz="0" w:space="0" w:color="auto"/>
                            <w:right w:val="none" w:sz="0" w:space="0" w:color="auto"/>
                          </w:divBdr>
                        </w:div>
                      </w:divsChild>
                    </w:div>
                    <w:div w:id="1512602133">
                      <w:marLeft w:val="0"/>
                      <w:marRight w:val="0"/>
                      <w:marTop w:val="0"/>
                      <w:marBottom w:val="0"/>
                      <w:divBdr>
                        <w:top w:val="none" w:sz="0" w:space="0" w:color="auto"/>
                        <w:left w:val="none" w:sz="0" w:space="0" w:color="auto"/>
                        <w:bottom w:val="none" w:sz="0" w:space="0" w:color="auto"/>
                        <w:right w:val="none" w:sz="0" w:space="0" w:color="auto"/>
                      </w:divBdr>
                      <w:divsChild>
                        <w:div w:id="105933477">
                          <w:marLeft w:val="0"/>
                          <w:marRight w:val="0"/>
                          <w:marTop w:val="0"/>
                          <w:marBottom w:val="0"/>
                          <w:divBdr>
                            <w:top w:val="none" w:sz="0" w:space="0" w:color="auto"/>
                            <w:left w:val="none" w:sz="0" w:space="0" w:color="auto"/>
                            <w:bottom w:val="none" w:sz="0" w:space="0" w:color="auto"/>
                            <w:right w:val="none" w:sz="0" w:space="0" w:color="auto"/>
                          </w:divBdr>
                        </w:div>
                      </w:divsChild>
                    </w:div>
                    <w:div w:id="1512792438">
                      <w:marLeft w:val="0"/>
                      <w:marRight w:val="0"/>
                      <w:marTop w:val="0"/>
                      <w:marBottom w:val="0"/>
                      <w:divBdr>
                        <w:top w:val="none" w:sz="0" w:space="0" w:color="auto"/>
                        <w:left w:val="none" w:sz="0" w:space="0" w:color="auto"/>
                        <w:bottom w:val="none" w:sz="0" w:space="0" w:color="auto"/>
                        <w:right w:val="none" w:sz="0" w:space="0" w:color="auto"/>
                      </w:divBdr>
                      <w:divsChild>
                        <w:div w:id="1956055863">
                          <w:marLeft w:val="0"/>
                          <w:marRight w:val="0"/>
                          <w:marTop w:val="0"/>
                          <w:marBottom w:val="0"/>
                          <w:divBdr>
                            <w:top w:val="none" w:sz="0" w:space="0" w:color="auto"/>
                            <w:left w:val="none" w:sz="0" w:space="0" w:color="auto"/>
                            <w:bottom w:val="none" w:sz="0" w:space="0" w:color="auto"/>
                            <w:right w:val="none" w:sz="0" w:space="0" w:color="auto"/>
                          </w:divBdr>
                        </w:div>
                      </w:divsChild>
                    </w:div>
                    <w:div w:id="1520968227">
                      <w:marLeft w:val="0"/>
                      <w:marRight w:val="0"/>
                      <w:marTop w:val="0"/>
                      <w:marBottom w:val="0"/>
                      <w:divBdr>
                        <w:top w:val="none" w:sz="0" w:space="0" w:color="auto"/>
                        <w:left w:val="none" w:sz="0" w:space="0" w:color="auto"/>
                        <w:bottom w:val="none" w:sz="0" w:space="0" w:color="auto"/>
                        <w:right w:val="none" w:sz="0" w:space="0" w:color="auto"/>
                      </w:divBdr>
                      <w:divsChild>
                        <w:div w:id="281814314">
                          <w:marLeft w:val="0"/>
                          <w:marRight w:val="0"/>
                          <w:marTop w:val="0"/>
                          <w:marBottom w:val="0"/>
                          <w:divBdr>
                            <w:top w:val="none" w:sz="0" w:space="0" w:color="auto"/>
                            <w:left w:val="none" w:sz="0" w:space="0" w:color="auto"/>
                            <w:bottom w:val="none" w:sz="0" w:space="0" w:color="auto"/>
                            <w:right w:val="none" w:sz="0" w:space="0" w:color="auto"/>
                          </w:divBdr>
                        </w:div>
                      </w:divsChild>
                    </w:div>
                    <w:div w:id="1521628960">
                      <w:marLeft w:val="0"/>
                      <w:marRight w:val="0"/>
                      <w:marTop w:val="0"/>
                      <w:marBottom w:val="0"/>
                      <w:divBdr>
                        <w:top w:val="none" w:sz="0" w:space="0" w:color="auto"/>
                        <w:left w:val="none" w:sz="0" w:space="0" w:color="auto"/>
                        <w:bottom w:val="none" w:sz="0" w:space="0" w:color="auto"/>
                        <w:right w:val="none" w:sz="0" w:space="0" w:color="auto"/>
                      </w:divBdr>
                      <w:divsChild>
                        <w:div w:id="1413746141">
                          <w:marLeft w:val="0"/>
                          <w:marRight w:val="0"/>
                          <w:marTop w:val="0"/>
                          <w:marBottom w:val="0"/>
                          <w:divBdr>
                            <w:top w:val="none" w:sz="0" w:space="0" w:color="auto"/>
                            <w:left w:val="none" w:sz="0" w:space="0" w:color="auto"/>
                            <w:bottom w:val="none" w:sz="0" w:space="0" w:color="auto"/>
                            <w:right w:val="none" w:sz="0" w:space="0" w:color="auto"/>
                          </w:divBdr>
                        </w:div>
                      </w:divsChild>
                    </w:div>
                    <w:div w:id="1529175079">
                      <w:marLeft w:val="0"/>
                      <w:marRight w:val="0"/>
                      <w:marTop w:val="0"/>
                      <w:marBottom w:val="0"/>
                      <w:divBdr>
                        <w:top w:val="none" w:sz="0" w:space="0" w:color="auto"/>
                        <w:left w:val="none" w:sz="0" w:space="0" w:color="auto"/>
                        <w:bottom w:val="none" w:sz="0" w:space="0" w:color="auto"/>
                        <w:right w:val="none" w:sz="0" w:space="0" w:color="auto"/>
                      </w:divBdr>
                      <w:divsChild>
                        <w:div w:id="1062825547">
                          <w:marLeft w:val="0"/>
                          <w:marRight w:val="0"/>
                          <w:marTop w:val="0"/>
                          <w:marBottom w:val="0"/>
                          <w:divBdr>
                            <w:top w:val="none" w:sz="0" w:space="0" w:color="auto"/>
                            <w:left w:val="none" w:sz="0" w:space="0" w:color="auto"/>
                            <w:bottom w:val="none" w:sz="0" w:space="0" w:color="auto"/>
                            <w:right w:val="none" w:sz="0" w:space="0" w:color="auto"/>
                          </w:divBdr>
                        </w:div>
                      </w:divsChild>
                    </w:div>
                    <w:div w:id="1550412969">
                      <w:marLeft w:val="0"/>
                      <w:marRight w:val="0"/>
                      <w:marTop w:val="0"/>
                      <w:marBottom w:val="0"/>
                      <w:divBdr>
                        <w:top w:val="none" w:sz="0" w:space="0" w:color="auto"/>
                        <w:left w:val="none" w:sz="0" w:space="0" w:color="auto"/>
                        <w:bottom w:val="none" w:sz="0" w:space="0" w:color="auto"/>
                        <w:right w:val="none" w:sz="0" w:space="0" w:color="auto"/>
                      </w:divBdr>
                      <w:divsChild>
                        <w:div w:id="858130605">
                          <w:marLeft w:val="0"/>
                          <w:marRight w:val="0"/>
                          <w:marTop w:val="0"/>
                          <w:marBottom w:val="0"/>
                          <w:divBdr>
                            <w:top w:val="none" w:sz="0" w:space="0" w:color="auto"/>
                            <w:left w:val="none" w:sz="0" w:space="0" w:color="auto"/>
                            <w:bottom w:val="none" w:sz="0" w:space="0" w:color="auto"/>
                            <w:right w:val="none" w:sz="0" w:space="0" w:color="auto"/>
                          </w:divBdr>
                        </w:div>
                      </w:divsChild>
                    </w:div>
                    <w:div w:id="1557082133">
                      <w:marLeft w:val="0"/>
                      <w:marRight w:val="0"/>
                      <w:marTop w:val="0"/>
                      <w:marBottom w:val="0"/>
                      <w:divBdr>
                        <w:top w:val="none" w:sz="0" w:space="0" w:color="auto"/>
                        <w:left w:val="none" w:sz="0" w:space="0" w:color="auto"/>
                        <w:bottom w:val="none" w:sz="0" w:space="0" w:color="auto"/>
                        <w:right w:val="none" w:sz="0" w:space="0" w:color="auto"/>
                      </w:divBdr>
                      <w:divsChild>
                        <w:div w:id="1630671669">
                          <w:marLeft w:val="0"/>
                          <w:marRight w:val="0"/>
                          <w:marTop w:val="0"/>
                          <w:marBottom w:val="0"/>
                          <w:divBdr>
                            <w:top w:val="none" w:sz="0" w:space="0" w:color="auto"/>
                            <w:left w:val="none" w:sz="0" w:space="0" w:color="auto"/>
                            <w:bottom w:val="none" w:sz="0" w:space="0" w:color="auto"/>
                            <w:right w:val="none" w:sz="0" w:space="0" w:color="auto"/>
                          </w:divBdr>
                        </w:div>
                      </w:divsChild>
                    </w:div>
                    <w:div w:id="1561360081">
                      <w:marLeft w:val="0"/>
                      <w:marRight w:val="0"/>
                      <w:marTop w:val="0"/>
                      <w:marBottom w:val="0"/>
                      <w:divBdr>
                        <w:top w:val="none" w:sz="0" w:space="0" w:color="auto"/>
                        <w:left w:val="none" w:sz="0" w:space="0" w:color="auto"/>
                        <w:bottom w:val="none" w:sz="0" w:space="0" w:color="auto"/>
                        <w:right w:val="none" w:sz="0" w:space="0" w:color="auto"/>
                      </w:divBdr>
                      <w:divsChild>
                        <w:div w:id="1746415795">
                          <w:marLeft w:val="0"/>
                          <w:marRight w:val="0"/>
                          <w:marTop w:val="0"/>
                          <w:marBottom w:val="0"/>
                          <w:divBdr>
                            <w:top w:val="none" w:sz="0" w:space="0" w:color="auto"/>
                            <w:left w:val="none" w:sz="0" w:space="0" w:color="auto"/>
                            <w:bottom w:val="none" w:sz="0" w:space="0" w:color="auto"/>
                            <w:right w:val="none" w:sz="0" w:space="0" w:color="auto"/>
                          </w:divBdr>
                        </w:div>
                      </w:divsChild>
                    </w:div>
                    <w:div w:id="1576091418">
                      <w:marLeft w:val="0"/>
                      <w:marRight w:val="0"/>
                      <w:marTop w:val="0"/>
                      <w:marBottom w:val="0"/>
                      <w:divBdr>
                        <w:top w:val="none" w:sz="0" w:space="0" w:color="auto"/>
                        <w:left w:val="none" w:sz="0" w:space="0" w:color="auto"/>
                        <w:bottom w:val="none" w:sz="0" w:space="0" w:color="auto"/>
                        <w:right w:val="none" w:sz="0" w:space="0" w:color="auto"/>
                      </w:divBdr>
                      <w:divsChild>
                        <w:div w:id="1909608913">
                          <w:marLeft w:val="0"/>
                          <w:marRight w:val="0"/>
                          <w:marTop w:val="0"/>
                          <w:marBottom w:val="0"/>
                          <w:divBdr>
                            <w:top w:val="none" w:sz="0" w:space="0" w:color="auto"/>
                            <w:left w:val="none" w:sz="0" w:space="0" w:color="auto"/>
                            <w:bottom w:val="none" w:sz="0" w:space="0" w:color="auto"/>
                            <w:right w:val="none" w:sz="0" w:space="0" w:color="auto"/>
                          </w:divBdr>
                        </w:div>
                      </w:divsChild>
                    </w:div>
                    <w:div w:id="1578975359">
                      <w:marLeft w:val="0"/>
                      <w:marRight w:val="0"/>
                      <w:marTop w:val="0"/>
                      <w:marBottom w:val="0"/>
                      <w:divBdr>
                        <w:top w:val="none" w:sz="0" w:space="0" w:color="auto"/>
                        <w:left w:val="none" w:sz="0" w:space="0" w:color="auto"/>
                        <w:bottom w:val="none" w:sz="0" w:space="0" w:color="auto"/>
                        <w:right w:val="none" w:sz="0" w:space="0" w:color="auto"/>
                      </w:divBdr>
                      <w:divsChild>
                        <w:div w:id="1227254574">
                          <w:marLeft w:val="0"/>
                          <w:marRight w:val="0"/>
                          <w:marTop w:val="0"/>
                          <w:marBottom w:val="0"/>
                          <w:divBdr>
                            <w:top w:val="none" w:sz="0" w:space="0" w:color="auto"/>
                            <w:left w:val="none" w:sz="0" w:space="0" w:color="auto"/>
                            <w:bottom w:val="none" w:sz="0" w:space="0" w:color="auto"/>
                            <w:right w:val="none" w:sz="0" w:space="0" w:color="auto"/>
                          </w:divBdr>
                        </w:div>
                      </w:divsChild>
                    </w:div>
                    <w:div w:id="1588072820">
                      <w:marLeft w:val="0"/>
                      <w:marRight w:val="0"/>
                      <w:marTop w:val="0"/>
                      <w:marBottom w:val="0"/>
                      <w:divBdr>
                        <w:top w:val="none" w:sz="0" w:space="0" w:color="auto"/>
                        <w:left w:val="none" w:sz="0" w:space="0" w:color="auto"/>
                        <w:bottom w:val="none" w:sz="0" w:space="0" w:color="auto"/>
                        <w:right w:val="none" w:sz="0" w:space="0" w:color="auto"/>
                      </w:divBdr>
                      <w:divsChild>
                        <w:div w:id="18821413">
                          <w:marLeft w:val="0"/>
                          <w:marRight w:val="0"/>
                          <w:marTop w:val="0"/>
                          <w:marBottom w:val="0"/>
                          <w:divBdr>
                            <w:top w:val="none" w:sz="0" w:space="0" w:color="auto"/>
                            <w:left w:val="none" w:sz="0" w:space="0" w:color="auto"/>
                            <w:bottom w:val="none" w:sz="0" w:space="0" w:color="auto"/>
                            <w:right w:val="none" w:sz="0" w:space="0" w:color="auto"/>
                          </w:divBdr>
                        </w:div>
                      </w:divsChild>
                    </w:div>
                    <w:div w:id="1596088437">
                      <w:marLeft w:val="0"/>
                      <w:marRight w:val="0"/>
                      <w:marTop w:val="0"/>
                      <w:marBottom w:val="0"/>
                      <w:divBdr>
                        <w:top w:val="none" w:sz="0" w:space="0" w:color="auto"/>
                        <w:left w:val="none" w:sz="0" w:space="0" w:color="auto"/>
                        <w:bottom w:val="none" w:sz="0" w:space="0" w:color="auto"/>
                        <w:right w:val="none" w:sz="0" w:space="0" w:color="auto"/>
                      </w:divBdr>
                      <w:divsChild>
                        <w:div w:id="1243948277">
                          <w:marLeft w:val="0"/>
                          <w:marRight w:val="0"/>
                          <w:marTop w:val="0"/>
                          <w:marBottom w:val="0"/>
                          <w:divBdr>
                            <w:top w:val="none" w:sz="0" w:space="0" w:color="auto"/>
                            <w:left w:val="none" w:sz="0" w:space="0" w:color="auto"/>
                            <w:bottom w:val="none" w:sz="0" w:space="0" w:color="auto"/>
                            <w:right w:val="none" w:sz="0" w:space="0" w:color="auto"/>
                          </w:divBdr>
                        </w:div>
                      </w:divsChild>
                    </w:div>
                    <w:div w:id="1597639287">
                      <w:marLeft w:val="0"/>
                      <w:marRight w:val="0"/>
                      <w:marTop w:val="0"/>
                      <w:marBottom w:val="0"/>
                      <w:divBdr>
                        <w:top w:val="none" w:sz="0" w:space="0" w:color="auto"/>
                        <w:left w:val="none" w:sz="0" w:space="0" w:color="auto"/>
                        <w:bottom w:val="none" w:sz="0" w:space="0" w:color="auto"/>
                        <w:right w:val="none" w:sz="0" w:space="0" w:color="auto"/>
                      </w:divBdr>
                      <w:divsChild>
                        <w:div w:id="822354382">
                          <w:marLeft w:val="0"/>
                          <w:marRight w:val="0"/>
                          <w:marTop w:val="0"/>
                          <w:marBottom w:val="0"/>
                          <w:divBdr>
                            <w:top w:val="none" w:sz="0" w:space="0" w:color="auto"/>
                            <w:left w:val="none" w:sz="0" w:space="0" w:color="auto"/>
                            <w:bottom w:val="none" w:sz="0" w:space="0" w:color="auto"/>
                            <w:right w:val="none" w:sz="0" w:space="0" w:color="auto"/>
                          </w:divBdr>
                        </w:div>
                      </w:divsChild>
                    </w:div>
                    <w:div w:id="1598442000">
                      <w:marLeft w:val="0"/>
                      <w:marRight w:val="0"/>
                      <w:marTop w:val="0"/>
                      <w:marBottom w:val="0"/>
                      <w:divBdr>
                        <w:top w:val="none" w:sz="0" w:space="0" w:color="auto"/>
                        <w:left w:val="none" w:sz="0" w:space="0" w:color="auto"/>
                        <w:bottom w:val="none" w:sz="0" w:space="0" w:color="auto"/>
                        <w:right w:val="none" w:sz="0" w:space="0" w:color="auto"/>
                      </w:divBdr>
                      <w:divsChild>
                        <w:div w:id="2135513634">
                          <w:marLeft w:val="0"/>
                          <w:marRight w:val="0"/>
                          <w:marTop w:val="0"/>
                          <w:marBottom w:val="0"/>
                          <w:divBdr>
                            <w:top w:val="none" w:sz="0" w:space="0" w:color="auto"/>
                            <w:left w:val="none" w:sz="0" w:space="0" w:color="auto"/>
                            <w:bottom w:val="none" w:sz="0" w:space="0" w:color="auto"/>
                            <w:right w:val="none" w:sz="0" w:space="0" w:color="auto"/>
                          </w:divBdr>
                        </w:div>
                      </w:divsChild>
                    </w:div>
                    <w:div w:id="1600717767">
                      <w:marLeft w:val="0"/>
                      <w:marRight w:val="0"/>
                      <w:marTop w:val="0"/>
                      <w:marBottom w:val="0"/>
                      <w:divBdr>
                        <w:top w:val="none" w:sz="0" w:space="0" w:color="auto"/>
                        <w:left w:val="none" w:sz="0" w:space="0" w:color="auto"/>
                        <w:bottom w:val="none" w:sz="0" w:space="0" w:color="auto"/>
                        <w:right w:val="none" w:sz="0" w:space="0" w:color="auto"/>
                      </w:divBdr>
                      <w:divsChild>
                        <w:div w:id="1119106381">
                          <w:marLeft w:val="0"/>
                          <w:marRight w:val="0"/>
                          <w:marTop w:val="0"/>
                          <w:marBottom w:val="0"/>
                          <w:divBdr>
                            <w:top w:val="none" w:sz="0" w:space="0" w:color="auto"/>
                            <w:left w:val="none" w:sz="0" w:space="0" w:color="auto"/>
                            <w:bottom w:val="none" w:sz="0" w:space="0" w:color="auto"/>
                            <w:right w:val="none" w:sz="0" w:space="0" w:color="auto"/>
                          </w:divBdr>
                        </w:div>
                      </w:divsChild>
                    </w:div>
                    <w:div w:id="1614557198">
                      <w:marLeft w:val="0"/>
                      <w:marRight w:val="0"/>
                      <w:marTop w:val="0"/>
                      <w:marBottom w:val="0"/>
                      <w:divBdr>
                        <w:top w:val="none" w:sz="0" w:space="0" w:color="auto"/>
                        <w:left w:val="none" w:sz="0" w:space="0" w:color="auto"/>
                        <w:bottom w:val="none" w:sz="0" w:space="0" w:color="auto"/>
                        <w:right w:val="none" w:sz="0" w:space="0" w:color="auto"/>
                      </w:divBdr>
                      <w:divsChild>
                        <w:div w:id="764376648">
                          <w:marLeft w:val="0"/>
                          <w:marRight w:val="0"/>
                          <w:marTop w:val="0"/>
                          <w:marBottom w:val="0"/>
                          <w:divBdr>
                            <w:top w:val="none" w:sz="0" w:space="0" w:color="auto"/>
                            <w:left w:val="none" w:sz="0" w:space="0" w:color="auto"/>
                            <w:bottom w:val="none" w:sz="0" w:space="0" w:color="auto"/>
                            <w:right w:val="none" w:sz="0" w:space="0" w:color="auto"/>
                          </w:divBdr>
                        </w:div>
                      </w:divsChild>
                    </w:div>
                    <w:div w:id="1620455634">
                      <w:marLeft w:val="0"/>
                      <w:marRight w:val="0"/>
                      <w:marTop w:val="0"/>
                      <w:marBottom w:val="0"/>
                      <w:divBdr>
                        <w:top w:val="none" w:sz="0" w:space="0" w:color="auto"/>
                        <w:left w:val="none" w:sz="0" w:space="0" w:color="auto"/>
                        <w:bottom w:val="none" w:sz="0" w:space="0" w:color="auto"/>
                        <w:right w:val="none" w:sz="0" w:space="0" w:color="auto"/>
                      </w:divBdr>
                      <w:divsChild>
                        <w:div w:id="2094625739">
                          <w:marLeft w:val="0"/>
                          <w:marRight w:val="0"/>
                          <w:marTop w:val="0"/>
                          <w:marBottom w:val="0"/>
                          <w:divBdr>
                            <w:top w:val="none" w:sz="0" w:space="0" w:color="auto"/>
                            <w:left w:val="none" w:sz="0" w:space="0" w:color="auto"/>
                            <w:bottom w:val="none" w:sz="0" w:space="0" w:color="auto"/>
                            <w:right w:val="none" w:sz="0" w:space="0" w:color="auto"/>
                          </w:divBdr>
                        </w:div>
                      </w:divsChild>
                    </w:div>
                    <w:div w:id="1622809395">
                      <w:marLeft w:val="0"/>
                      <w:marRight w:val="0"/>
                      <w:marTop w:val="0"/>
                      <w:marBottom w:val="0"/>
                      <w:divBdr>
                        <w:top w:val="none" w:sz="0" w:space="0" w:color="auto"/>
                        <w:left w:val="none" w:sz="0" w:space="0" w:color="auto"/>
                        <w:bottom w:val="none" w:sz="0" w:space="0" w:color="auto"/>
                        <w:right w:val="none" w:sz="0" w:space="0" w:color="auto"/>
                      </w:divBdr>
                      <w:divsChild>
                        <w:div w:id="823857085">
                          <w:marLeft w:val="0"/>
                          <w:marRight w:val="0"/>
                          <w:marTop w:val="0"/>
                          <w:marBottom w:val="0"/>
                          <w:divBdr>
                            <w:top w:val="none" w:sz="0" w:space="0" w:color="auto"/>
                            <w:left w:val="none" w:sz="0" w:space="0" w:color="auto"/>
                            <w:bottom w:val="none" w:sz="0" w:space="0" w:color="auto"/>
                            <w:right w:val="none" w:sz="0" w:space="0" w:color="auto"/>
                          </w:divBdr>
                        </w:div>
                      </w:divsChild>
                    </w:div>
                    <w:div w:id="1628703390">
                      <w:marLeft w:val="0"/>
                      <w:marRight w:val="0"/>
                      <w:marTop w:val="0"/>
                      <w:marBottom w:val="0"/>
                      <w:divBdr>
                        <w:top w:val="none" w:sz="0" w:space="0" w:color="auto"/>
                        <w:left w:val="none" w:sz="0" w:space="0" w:color="auto"/>
                        <w:bottom w:val="none" w:sz="0" w:space="0" w:color="auto"/>
                        <w:right w:val="none" w:sz="0" w:space="0" w:color="auto"/>
                      </w:divBdr>
                      <w:divsChild>
                        <w:div w:id="718868243">
                          <w:marLeft w:val="0"/>
                          <w:marRight w:val="0"/>
                          <w:marTop w:val="0"/>
                          <w:marBottom w:val="0"/>
                          <w:divBdr>
                            <w:top w:val="none" w:sz="0" w:space="0" w:color="auto"/>
                            <w:left w:val="none" w:sz="0" w:space="0" w:color="auto"/>
                            <w:bottom w:val="none" w:sz="0" w:space="0" w:color="auto"/>
                            <w:right w:val="none" w:sz="0" w:space="0" w:color="auto"/>
                          </w:divBdr>
                        </w:div>
                      </w:divsChild>
                    </w:div>
                    <w:div w:id="1629699123">
                      <w:marLeft w:val="0"/>
                      <w:marRight w:val="0"/>
                      <w:marTop w:val="0"/>
                      <w:marBottom w:val="0"/>
                      <w:divBdr>
                        <w:top w:val="none" w:sz="0" w:space="0" w:color="auto"/>
                        <w:left w:val="none" w:sz="0" w:space="0" w:color="auto"/>
                        <w:bottom w:val="none" w:sz="0" w:space="0" w:color="auto"/>
                        <w:right w:val="none" w:sz="0" w:space="0" w:color="auto"/>
                      </w:divBdr>
                      <w:divsChild>
                        <w:div w:id="707072848">
                          <w:marLeft w:val="0"/>
                          <w:marRight w:val="0"/>
                          <w:marTop w:val="0"/>
                          <w:marBottom w:val="0"/>
                          <w:divBdr>
                            <w:top w:val="none" w:sz="0" w:space="0" w:color="auto"/>
                            <w:left w:val="none" w:sz="0" w:space="0" w:color="auto"/>
                            <w:bottom w:val="none" w:sz="0" w:space="0" w:color="auto"/>
                            <w:right w:val="none" w:sz="0" w:space="0" w:color="auto"/>
                          </w:divBdr>
                        </w:div>
                      </w:divsChild>
                    </w:div>
                    <w:div w:id="1629966780">
                      <w:marLeft w:val="0"/>
                      <w:marRight w:val="0"/>
                      <w:marTop w:val="0"/>
                      <w:marBottom w:val="0"/>
                      <w:divBdr>
                        <w:top w:val="none" w:sz="0" w:space="0" w:color="auto"/>
                        <w:left w:val="none" w:sz="0" w:space="0" w:color="auto"/>
                        <w:bottom w:val="none" w:sz="0" w:space="0" w:color="auto"/>
                        <w:right w:val="none" w:sz="0" w:space="0" w:color="auto"/>
                      </w:divBdr>
                      <w:divsChild>
                        <w:div w:id="173568070">
                          <w:marLeft w:val="0"/>
                          <w:marRight w:val="0"/>
                          <w:marTop w:val="0"/>
                          <w:marBottom w:val="0"/>
                          <w:divBdr>
                            <w:top w:val="none" w:sz="0" w:space="0" w:color="auto"/>
                            <w:left w:val="none" w:sz="0" w:space="0" w:color="auto"/>
                            <w:bottom w:val="none" w:sz="0" w:space="0" w:color="auto"/>
                            <w:right w:val="none" w:sz="0" w:space="0" w:color="auto"/>
                          </w:divBdr>
                        </w:div>
                      </w:divsChild>
                    </w:div>
                    <w:div w:id="1641185033">
                      <w:marLeft w:val="0"/>
                      <w:marRight w:val="0"/>
                      <w:marTop w:val="0"/>
                      <w:marBottom w:val="0"/>
                      <w:divBdr>
                        <w:top w:val="none" w:sz="0" w:space="0" w:color="auto"/>
                        <w:left w:val="none" w:sz="0" w:space="0" w:color="auto"/>
                        <w:bottom w:val="none" w:sz="0" w:space="0" w:color="auto"/>
                        <w:right w:val="none" w:sz="0" w:space="0" w:color="auto"/>
                      </w:divBdr>
                      <w:divsChild>
                        <w:div w:id="973366555">
                          <w:marLeft w:val="0"/>
                          <w:marRight w:val="0"/>
                          <w:marTop w:val="0"/>
                          <w:marBottom w:val="0"/>
                          <w:divBdr>
                            <w:top w:val="none" w:sz="0" w:space="0" w:color="auto"/>
                            <w:left w:val="none" w:sz="0" w:space="0" w:color="auto"/>
                            <w:bottom w:val="none" w:sz="0" w:space="0" w:color="auto"/>
                            <w:right w:val="none" w:sz="0" w:space="0" w:color="auto"/>
                          </w:divBdr>
                        </w:div>
                      </w:divsChild>
                    </w:div>
                    <w:div w:id="1643344016">
                      <w:marLeft w:val="0"/>
                      <w:marRight w:val="0"/>
                      <w:marTop w:val="0"/>
                      <w:marBottom w:val="0"/>
                      <w:divBdr>
                        <w:top w:val="none" w:sz="0" w:space="0" w:color="auto"/>
                        <w:left w:val="none" w:sz="0" w:space="0" w:color="auto"/>
                        <w:bottom w:val="none" w:sz="0" w:space="0" w:color="auto"/>
                        <w:right w:val="none" w:sz="0" w:space="0" w:color="auto"/>
                      </w:divBdr>
                      <w:divsChild>
                        <w:div w:id="1763842496">
                          <w:marLeft w:val="0"/>
                          <w:marRight w:val="0"/>
                          <w:marTop w:val="0"/>
                          <w:marBottom w:val="0"/>
                          <w:divBdr>
                            <w:top w:val="none" w:sz="0" w:space="0" w:color="auto"/>
                            <w:left w:val="none" w:sz="0" w:space="0" w:color="auto"/>
                            <w:bottom w:val="none" w:sz="0" w:space="0" w:color="auto"/>
                            <w:right w:val="none" w:sz="0" w:space="0" w:color="auto"/>
                          </w:divBdr>
                        </w:div>
                      </w:divsChild>
                    </w:div>
                    <w:div w:id="1659578555">
                      <w:marLeft w:val="0"/>
                      <w:marRight w:val="0"/>
                      <w:marTop w:val="0"/>
                      <w:marBottom w:val="0"/>
                      <w:divBdr>
                        <w:top w:val="none" w:sz="0" w:space="0" w:color="auto"/>
                        <w:left w:val="none" w:sz="0" w:space="0" w:color="auto"/>
                        <w:bottom w:val="none" w:sz="0" w:space="0" w:color="auto"/>
                        <w:right w:val="none" w:sz="0" w:space="0" w:color="auto"/>
                      </w:divBdr>
                      <w:divsChild>
                        <w:div w:id="1187937828">
                          <w:marLeft w:val="0"/>
                          <w:marRight w:val="0"/>
                          <w:marTop w:val="0"/>
                          <w:marBottom w:val="0"/>
                          <w:divBdr>
                            <w:top w:val="none" w:sz="0" w:space="0" w:color="auto"/>
                            <w:left w:val="none" w:sz="0" w:space="0" w:color="auto"/>
                            <w:bottom w:val="none" w:sz="0" w:space="0" w:color="auto"/>
                            <w:right w:val="none" w:sz="0" w:space="0" w:color="auto"/>
                          </w:divBdr>
                        </w:div>
                      </w:divsChild>
                    </w:div>
                    <w:div w:id="1668632247">
                      <w:marLeft w:val="0"/>
                      <w:marRight w:val="0"/>
                      <w:marTop w:val="0"/>
                      <w:marBottom w:val="0"/>
                      <w:divBdr>
                        <w:top w:val="none" w:sz="0" w:space="0" w:color="auto"/>
                        <w:left w:val="none" w:sz="0" w:space="0" w:color="auto"/>
                        <w:bottom w:val="none" w:sz="0" w:space="0" w:color="auto"/>
                        <w:right w:val="none" w:sz="0" w:space="0" w:color="auto"/>
                      </w:divBdr>
                      <w:divsChild>
                        <w:div w:id="546142619">
                          <w:marLeft w:val="0"/>
                          <w:marRight w:val="0"/>
                          <w:marTop w:val="0"/>
                          <w:marBottom w:val="0"/>
                          <w:divBdr>
                            <w:top w:val="none" w:sz="0" w:space="0" w:color="auto"/>
                            <w:left w:val="none" w:sz="0" w:space="0" w:color="auto"/>
                            <w:bottom w:val="none" w:sz="0" w:space="0" w:color="auto"/>
                            <w:right w:val="none" w:sz="0" w:space="0" w:color="auto"/>
                          </w:divBdr>
                        </w:div>
                      </w:divsChild>
                    </w:div>
                    <w:div w:id="1672028622">
                      <w:marLeft w:val="0"/>
                      <w:marRight w:val="0"/>
                      <w:marTop w:val="0"/>
                      <w:marBottom w:val="0"/>
                      <w:divBdr>
                        <w:top w:val="none" w:sz="0" w:space="0" w:color="auto"/>
                        <w:left w:val="none" w:sz="0" w:space="0" w:color="auto"/>
                        <w:bottom w:val="none" w:sz="0" w:space="0" w:color="auto"/>
                        <w:right w:val="none" w:sz="0" w:space="0" w:color="auto"/>
                      </w:divBdr>
                      <w:divsChild>
                        <w:div w:id="793795980">
                          <w:marLeft w:val="0"/>
                          <w:marRight w:val="0"/>
                          <w:marTop w:val="0"/>
                          <w:marBottom w:val="0"/>
                          <w:divBdr>
                            <w:top w:val="none" w:sz="0" w:space="0" w:color="auto"/>
                            <w:left w:val="none" w:sz="0" w:space="0" w:color="auto"/>
                            <w:bottom w:val="none" w:sz="0" w:space="0" w:color="auto"/>
                            <w:right w:val="none" w:sz="0" w:space="0" w:color="auto"/>
                          </w:divBdr>
                        </w:div>
                      </w:divsChild>
                    </w:div>
                    <w:div w:id="1676033391">
                      <w:marLeft w:val="0"/>
                      <w:marRight w:val="0"/>
                      <w:marTop w:val="0"/>
                      <w:marBottom w:val="0"/>
                      <w:divBdr>
                        <w:top w:val="none" w:sz="0" w:space="0" w:color="auto"/>
                        <w:left w:val="none" w:sz="0" w:space="0" w:color="auto"/>
                        <w:bottom w:val="none" w:sz="0" w:space="0" w:color="auto"/>
                        <w:right w:val="none" w:sz="0" w:space="0" w:color="auto"/>
                      </w:divBdr>
                      <w:divsChild>
                        <w:div w:id="822312061">
                          <w:marLeft w:val="0"/>
                          <w:marRight w:val="0"/>
                          <w:marTop w:val="0"/>
                          <w:marBottom w:val="0"/>
                          <w:divBdr>
                            <w:top w:val="none" w:sz="0" w:space="0" w:color="auto"/>
                            <w:left w:val="none" w:sz="0" w:space="0" w:color="auto"/>
                            <w:bottom w:val="none" w:sz="0" w:space="0" w:color="auto"/>
                            <w:right w:val="none" w:sz="0" w:space="0" w:color="auto"/>
                          </w:divBdr>
                        </w:div>
                      </w:divsChild>
                    </w:div>
                    <w:div w:id="1678581184">
                      <w:marLeft w:val="0"/>
                      <w:marRight w:val="0"/>
                      <w:marTop w:val="0"/>
                      <w:marBottom w:val="0"/>
                      <w:divBdr>
                        <w:top w:val="none" w:sz="0" w:space="0" w:color="auto"/>
                        <w:left w:val="none" w:sz="0" w:space="0" w:color="auto"/>
                        <w:bottom w:val="none" w:sz="0" w:space="0" w:color="auto"/>
                        <w:right w:val="none" w:sz="0" w:space="0" w:color="auto"/>
                      </w:divBdr>
                      <w:divsChild>
                        <w:div w:id="1034581570">
                          <w:marLeft w:val="0"/>
                          <w:marRight w:val="0"/>
                          <w:marTop w:val="0"/>
                          <w:marBottom w:val="0"/>
                          <w:divBdr>
                            <w:top w:val="none" w:sz="0" w:space="0" w:color="auto"/>
                            <w:left w:val="none" w:sz="0" w:space="0" w:color="auto"/>
                            <w:bottom w:val="none" w:sz="0" w:space="0" w:color="auto"/>
                            <w:right w:val="none" w:sz="0" w:space="0" w:color="auto"/>
                          </w:divBdr>
                        </w:div>
                      </w:divsChild>
                    </w:div>
                    <w:div w:id="1689484867">
                      <w:marLeft w:val="0"/>
                      <w:marRight w:val="0"/>
                      <w:marTop w:val="0"/>
                      <w:marBottom w:val="0"/>
                      <w:divBdr>
                        <w:top w:val="none" w:sz="0" w:space="0" w:color="auto"/>
                        <w:left w:val="none" w:sz="0" w:space="0" w:color="auto"/>
                        <w:bottom w:val="none" w:sz="0" w:space="0" w:color="auto"/>
                        <w:right w:val="none" w:sz="0" w:space="0" w:color="auto"/>
                      </w:divBdr>
                      <w:divsChild>
                        <w:div w:id="1726486322">
                          <w:marLeft w:val="0"/>
                          <w:marRight w:val="0"/>
                          <w:marTop w:val="0"/>
                          <w:marBottom w:val="0"/>
                          <w:divBdr>
                            <w:top w:val="none" w:sz="0" w:space="0" w:color="auto"/>
                            <w:left w:val="none" w:sz="0" w:space="0" w:color="auto"/>
                            <w:bottom w:val="none" w:sz="0" w:space="0" w:color="auto"/>
                            <w:right w:val="none" w:sz="0" w:space="0" w:color="auto"/>
                          </w:divBdr>
                        </w:div>
                      </w:divsChild>
                    </w:div>
                    <w:div w:id="1700466236">
                      <w:marLeft w:val="0"/>
                      <w:marRight w:val="0"/>
                      <w:marTop w:val="0"/>
                      <w:marBottom w:val="0"/>
                      <w:divBdr>
                        <w:top w:val="none" w:sz="0" w:space="0" w:color="auto"/>
                        <w:left w:val="none" w:sz="0" w:space="0" w:color="auto"/>
                        <w:bottom w:val="none" w:sz="0" w:space="0" w:color="auto"/>
                        <w:right w:val="none" w:sz="0" w:space="0" w:color="auto"/>
                      </w:divBdr>
                      <w:divsChild>
                        <w:div w:id="435101194">
                          <w:marLeft w:val="0"/>
                          <w:marRight w:val="0"/>
                          <w:marTop w:val="0"/>
                          <w:marBottom w:val="0"/>
                          <w:divBdr>
                            <w:top w:val="none" w:sz="0" w:space="0" w:color="auto"/>
                            <w:left w:val="none" w:sz="0" w:space="0" w:color="auto"/>
                            <w:bottom w:val="none" w:sz="0" w:space="0" w:color="auto"/>
                            <w:right w:val="none" w:sz="0" w:space="0" w:color="auto"/>
                          </w:divBdr>
                        </w:div>
                      </w:divsChild>
                    </w:div>
                    <w:div w:id="1702775947">
                      <w:marLeft w:val="0"/>
                      <w:marRight w:val="0"/>
                      <w:marTop w:val="0"/>
                      <w:marBottom w:val="0"/>
                      <w:divBdr>
                        <w:top w:val="none" w:sz="0" w:space="0" w:color="auto"/>
                        <w:left w:val="none" w:sz="0" w:space="0" w:color="auto"/>
                        <w:bottom w:val="none" w:sz="0" w:space="0" w:color="auto"/>
                        <w:right w:val="none" w:sz="0" w:space="0" w:color="auto"/>
                      </w:divBdr>
                      <w:divsChild>
                        <w:div w:id="151411654">
                          <w:marLeft w:val="0"/>
                          <w:marRight w:val="0"/>
                          <w:marTop w:val="0"/>
                          <w:marBottom w:val="0"/>
                          <w:divBdr>
                            <w:top w:val="none" w:sz="0" w:space="0" w:color="auto"/>
                            <w:left w:val="none" w:sz="0" w:space="0" w:color="auto"/>
                            <w:bottom w:val="none" w:sz="0" w:space="0" w:color="auto"/>
                            <w:right w:val="none" w:sz="0" w:space="0" w:color="auto"/>
                          </w:divBdr>
                        </w:div>
                      </w:divsChild>
                    </w:div>
                    <w:div w:id="1704745760">
                      <w:marLeft w:val="0"/>
                      <w:marRight w:val="0"/>
                      <w:marTop w:val="0"/>
                      <w:marBottom w:val="0"/>
                      <w:divBdr>
                        <w:top w:val="none" w:sz="0" w:space="0" w:color="auto"/>
                        <w:left w:val="none" w:sz="0" w:space="0" w:color="auto"/>
                        <w:bottom w:val="none" w:sz="0" w:space="0" w:color="auto"/>
                        <w:right w:val="none" w:sz="0" w:space="0" w:color="auto"/>
                      </w:divBdr>
                      <w:divsChild>
                        <w:div w:id="1986929505">
                          <w:marLeft w:val="0"/>
                          <w:marRight w:val="0"/>
                          <w:marTop w:val="0"/>
                          <w:marBottom w:val="0"/>
                          <w:divBdr>
                            <w:top w:val="none" w:sz="0" w:space="0" w:color="auto"/>
                            <w:left w:val="none" w:sz="0" w:space="0" w:color="auto"/>
                            <w:bottom w:val="none" w:sz="0" w:space="0" w:color="auto"/>
                            <w:right w:val="none" w:sz="0" w:space="0" w:color="auto"/>
                          </w:divBdr>
                        </w:div>
                      </w:divsChild>
                    </w:div>
                    <w:div w:id="1711490590">
                      <w:marLeft w:val="0"/>
                      <w:marRight w:val="0"/>
                      <w:marTop w:val="0"/>
                      <w:marBottom w:val="0"/>
                      <w:divBdr>
                        <w:top w:val="none" w:sz="0" w:space="0" w:color="auto"/>
                        <w:left w:val="none" w:sz="0" w:space="0" w:color="auto"/>
                        <w:bottom w:val="none" w:sz="0" w:space="0" w:color="auto"/>
                        <w:right w:val="none" w:sz="0" w:space="0" w:color="auto"/>
                      </w:divBdr>
                      <w:divsChild>
                        <w:div w:id="1727333756">
                          <w:marLeft w:val="0"/>
                          <w:marRight w:val="0"/>
                          <w:marTop w:val="0"/>
                          <w:marBottom w:val="0"/>
                          <w:divBdr>
                            <w:top w:val="none" w:sz="0" w:space="0" w:color="auto"/>
                            <w:left w:val="none" w:sz="0" w:space="0" w:color="auto"/>
                            <w:bottom w:val="none" w:sz="0" w:space="0" w:color="auto"/>
                            <w:right w:val="none" w:sz="0" w:space="0" w:color="auto"/>
                          </w:divBdr>
                        </w:div>
                      </w:divsChild>
                    </w:div>
                    <w:div w:id="1712218655">
                      <w:marLeft w:val="0"/>
                      <w:marRight w:val="0"/>
                      <w:marTop w:val="0"/>
                      <w:marBottom w:val="0"/>
                      <w:divBdr>
                        <w:top w:val="none" w:sz="0" w:space="0" w:color="auto"/>
                        <w:left w:val="none" w:sz="0" w:space="0" w:color="auto"/>
                        <w:bottom w:val="none" w:sz="0" w:space="0" w:color="auto"/>
                        <w:right w:val="none" w:sz="0" w:space="0" w:color="auto"/>
                      </w:divBdr>
                      <w:divsChild>
                        <w:div w:id="325984714">
                          <w:marLeft w:val="0"/>
                          <w:marRight w:val="0"/>
                          <w:marTop w:val="0"/>
                          <w:marBottom w:val="0"/>
                          <w:divBdr>
                            <w:top w:val="none" w:sz="0" w:space="0" w:color="auto"/>
                            <w:left w:val="none" w:sz="0" w:space="0" w:color="auto"/>
                            <w:bottom w:val="none" w:sz="0" w:space="0" w:color="auto"/>
                            <w:right w:val="none" w:sz="0" w:space="0" w:color="auto"/>
                          </w:divBdr>
                        </w:div>
                      </w:divsChild>
                    </w:div>
                    <w:div w:id="1713000348">
                      <w:marLeft w:val="0"/>
                      <w:marRight w:val="0"/>
                      <w:marTop w:val="0"/>
                      <w:marBottom w:val="0"/>
                      <w:divBdr>
                        <w:top w:val="none" w:sz="0" w:space="0" w:color="auto"/>
                        <w:left w:val="none" w:sz="0" w:space="0" w:color="auto"/>
                        <w:bottom w:val="none" w:sz="0" w:space="0" w:color="auto"/>
                        <w:right w:val="none" w:sz="0" w:space="0" w:color="auto"/>
                      </w:divBdr>
                      <w:divsChild>
                        <w:div w:id="2034571909">
                          <w:marLeft w:val="0"/>
                          <w:marRight w:val="0"/>
                          <w:marTop w:val="0"/>
                          <w:marBottom w:val="0"/>
                          <w:divBdr>
                            <w:top w:val="none" w:sz="0" w:space="0" w:color="auto"/>
                            <w:left w:val="none" w:sz="0" w:space="0" w:color="auto"/>
                            <w:bottom w:val="none" w:sz="0" w:space="0" w:color="auto"/>
                            <w:right w:val="none" w:sz="0" w:space="0" w:color="auto"/>
                          </w:divBdr>
                        </w:div>
                      </w:divsChild>
                    </w:div>
                    <w:div w:id="1713185594">
                      <w:marLeft w:val="0"/>
                      <w:marRight w:val="0"/>
                      <w:marTop w:val="0"/>
                      <w:marBottom w:val="0"/>
                      <w:divBdr>
                        <w:top w:val="none" w:sz="0" w:space="0" w:color="auto"/>
                        <w:left w:val="none" w:sz="0" w:space="0" w:color="auto"/>
                        <w:bottom w:val="none" w:sz="0" w:space="0" w:color="auto"/>
                        <w:right w:val="none" w:sz="0" w:space="0" w:color="auto"/>
                      </w:divBdr>
                      <w:divsChild>
                        <w:div w:id="1425223412">
                          <w:marLeft w:val="0"/>
                          <w:marRight w:val="0"/>
                          <w:marTop w:val="0"/>
                          <w:marBottom w:val="0"/>
                          <w:divBdr>
                            <w:top w:val="none" w:sz="0" w:space="0" w:color="auto"/>
                            <w:left w:val="none" w:sz="0" w:space="0" w:color="auto"/>
                            <w:bottom w:val="none" w:sz="0" w:space="0" w:color="auto"/>
                            <w:right w:val="none" w:sz="0" w:space="0" w:color="auto"/>
                          </w:divBdr>
                        </w:div>
                      </w:divsChild>
                    </w:div>
                    <w:div w:id="1713504567">
                      <w:marLeft w:val="0"/>
                      <w:marRight w:val="0"/>
                      <w:marTop w:val="0"/>
                      <w:marBottom w:val="0"/>
                      <w:divBdr>
                        <w:top w:val="none" w:sz="0" w:space="0" w:color="auto"/>
                        <w:left w:val="none" w:sz="0" w:space="0" w:color="auto"/>
                        <w:bottom w:val="none" w:sz="0" w:space="0" w:color="auto"/>
                        <w:right w:val="none" w:sz="0" w:space="0" w:color="auto"/>
                      </w:divBdr>
                      <w:divsChild>
                        <w:div w:id="621499167">
                          <w:marLeft w:val="0"/>
                          <w:marRight w:val="0"/>
                          <w:marTop w:val="0"/>
                          <w:marBottom w:val="0"/>
                          <w:divBdr>
                            <w:top w:val="none" w:sz="0" w:space="0" w:color="auto"/>
                            <w:left w:val="none" w:sz="0" w:space="0" w:color="auto"/>
                            <w:bottom w:val="none" w:sz="0" w:space="0" w:color="auto"/>
                            <w:right w:val="none" w:sz="0" w:space="0" w:color="auto"/>
                          </w:divBdr>
                        </w:div>
                      </w:divsChild>
                    </w:div>
                    <w:div w:id="1719011306">
                      <w:marLeft w:val="0"/>
                      <w:marRight w:val="0"/>
                      <w:marTop w:val="0"/>
                      <w:marBottom w:val="0"/>
                      <w:divBdr>
                        <w:top w:val="none" w:sz="0" w:space="0" w:color="auto"/>
                        <w:left w:val="none" w:sz="0" w:space="0" w:color="auto"/>
                        <w:bottom w:val="none" w:sz="0" w:space="0" w:color="auto"/>
                        <w:right w:val="none" w:sz="0" w:space="0" w:color="auto"/>
                      </w:divBdr>
                      <w:divsChild>
                        <w:div w:id="1734037195">
                          <w:marLeft w:val="0"/>
                          <w:marRight w:val="0"/>
                          <w:marTop w:val="0"/>
                          <w:marBottom w:val="0"/>
                          <w:divBdr>
                            <w:top w:val="none" w:sz="0" w:space="0" w:color="auto"/>
                            <w:left w:val="none" w:sz="0" w:space="0" w:color="auto"/>
                            <w:bottom w:val="none" w:sz="0" w:space="0" w:color="auto"/>
                            <w:right w:val="none" w:sz="0" w:space="0" w:color="auto"/>
                          </w:divBdr>
                        </w:div>
                      </w:divsChild>
                    </w:div>
                    <w:div w:id="1733385118">
                      <w:marLeft w:val="0"/>
                      <w:marRight w:val="0"/>
                      <w:marTop w:val="0"/>
                      <w:marBottom w:val="0"/>
                      <w:divBdr>
                        <w:top w:val="none" w:sz="0" w:space="0" w:color="auto"/>
                        <w:left w:val="none" w:sz="0" w:space="0" w:color="auto"/>
                        <w:bottom w:val="none" w:sz="0" w:space="0" w:color="auto"/>
                        <w:right w:val="none" w:sz="0" w:space="0" w:color="auto"/>
                      </w:divBdr>
                      <w:divsChild>
                        <w:div w:id="97221450">
                          <w:marLeft w:val="0"/>
                          <w:marRight w:val="0"/>
                          <w:marTop w:val="0"/>
                          <w:marBottom w:val="0"/>
                          <w:divBdr>
                            <w:top w:val="none" w:sz="0" w:space="0" w:color="auto"/>
                            <w:left w:val="none" w:sz="0" w:space="0" w:color="auto"/>
                            <w:bottom w:val="none" w:sz="0" w:space="0" w:color="auto"/>
                            <w:right w:val="none" w:sz="0" w:space="0" w:color="auto"/>
                          </w:divBdr>
                        </w:div>
                      </w:divsChild>
                    </w:div>
                    <w:div w:id="1737170630">
                      <w:marLeft w:val="0"/>
                      <w:marRight w:val="0"/>
                      <w:marTop w:val="0"/>
                      <w:marBottom w:val="0"/>
                      <w:divBdr>
                        <w:top w:val="none" w:sz="0" w:space="0" w:color="auto"/>
                        <w:left w:val="none" w:sz="0" w:space="0" w:color="auto"/>
                        <w:bottom w:val="none" w:sz="0" w:space="0" w:color="auto"/>
                        <w:right w:val="none" w:sz="0" w:space="0" w:color="auto"/>
                      </w:divBdr>
                      <w:divsChild>
                        <w:div w:id="1411193533">
                          <w:marLeft w:val="0"/>
                          <w:marRight w:val="0"/>
                          <w:marTop w:val="0"/>
                          <w:marBottom w:val="0"/>
                          <w:divBdr>
                            <w:top w:val="none" w:sz="0" w:space="0" w:color="auto"/>
                            <w:left w:val="none" w:sz="0" w:space="0" w:color="auto"/>
                            <w:bottom w:val="none" w:sz="0" w:space="0" w:color="auto"/>
                            <w:right w:val="none" w:sz="0" w:space="0" w:color="auto"/>
                          </w:divBdr>
                        </w:div>
                      </w:divsChild>
                    </w:div>
                    <w:div w:id="1741562039">
                      <w:marLeft w:val="0"/>
                      <w:marRight w:val="0"/>
                      <w:marTop w:val="0"/>
                      <w:marBottom w:val="0"/>
                      <w:divBdr>
                        <w:top w:val="none" w:sz="0" w:space="0" w:color="auto"/>
                        <w:left w:val="none" w:sz="0" w:space="0" w:color="auto"/>
                        <w:bottom w:val="none" w:sz="0" w:space="0" w:color="auto"/>
                        <w:right w:val="none" w:sz="0" w:space="0" w:color="auto"/>
                      </w:divBdr>
                      <w:divsChild>
                        <w:div w:id="193691216">
                          <w:marLeft w:val="0"/>
                          <w:marRight w:val="0"/>
                          <w:marTop w:val="0"/>
                          <w:marBottom w:val="0"/>
                          <w:divBdr>
                            <w:top w:val="none" w:sz="0" w:space="0" w:color="auto"/>
                            <w:left w:val="none" w:sz="0" w:space="0" w:color="auto"/>
                            <w:bottom w:val="none" w:sz="0" w:space="0" w:color="auto"/>
                            <w:right w:val="none" w:sz="0" w:space="0" w:color="auto"/>
                          </w:divBdr>
                        </w:div>
                      </w:divsChild>
                    </w:div>
                    <w:div w:id="1744138091">
                      <w:marLeft w:val="0"/>
                      <w:marRight w:val="0"/>
                      <w:marTop w:val="0"/>
                      <w:marBottom w:val="0"/>
                      <w:divBdr>
                        <w:top w:val="none" w:sz="0" w:space="0" w:color="auto"/>
                        <w:left w:val="none" w:sz="0" w:space="0" w:color="auto"/>
                        <w:bottom w:val="none" w:sz="0" w:space="0" w:color="auto"/>
                        <w:right w:val="none" w:sz="0" w:space="0" w:color="auto"/>
                      </w:divBdr>
                      <w:divsChild>
                        <w:div w:id="221714920">
                          <w:marLeft w:val="0"/>
                          <w:marRight w:val="0"/>
                          <w:marTop w:val="0"/>
                          <w:marBottom w:val="0"/>
                          <w:divBdr>
                            <w:top w:val="none" w:sz="0" w:space="0" w:color="auto"/>
                            <w:left w:val="none" w:sz="0" w:space="0" w:color="auto"/>
                            <w:bottom w:val="none" w:sz="0" w:space="0" w:color="auto"/>
                            <w:right w:val="none" w:sz="0" w:space="0" w:color="auto"/>
                          </w:divBdr>
                        </w:div>
                      </w:divsChild>
                    </w:div>
                    <w:div w:id="1746025445">
                      <w:marLeft w:val="0"/>
                      <w:marRight w:val="0"/>
                      <w:marTop w:val="0"/>
                      <w:marBottom w:val="0"/>
                      <w:divBdr>
                        <w:top w:val="none" w:sz="0" w:space="0" w:color="auto"/>
                        <w:left w:val="none" w:sz="0" w:space="0" w:color="auto"/>
                        <w:bottom w:val="none" w:sz="0" w:space="0" w:color="auto"/>
                        <w:right w:val="none" w:sz="0" w:space="0" w:color="auto"/>
                      </w:divBdr>
                      <w:divsChild>
                        <w:div w:id="159852005">
                          <w:marLeft w:val="0"/>
                          <w:marRight w:val="0"/>
                          <w:marTop w:val="0"/>
                          <w:marBottom w:val="0"/>
                          <w:divBdr>
                            <w:top w:val="none" w:sz="0" w:space="0" w:color="auto"/>
                            <w:left w:val="none" w:sz="0" w:space="0" w:color="auto"/>
                            <w:bottom w:val="none" w:sz="0" w:space="0" w:color="auto"/>
                            <w:right w:val="none" w:sz="0" w:space="0" w:color="auto"/>
                          </w:divBdr>
                        </w:div>
                      </w:divsChild>
                    </w:div>
                    <w:div w:id="1755469753">
                      <w:marLeft w:val="0"/>
                      <w:marRight w:val="0"/>
                      <w:marTop w:val="0"/>
                      <w:marBottom w:val="0"/>
                      <w:divBdr>
                        <w:top w:val="none" w:sz="0" w:space="0" w:color="auto"/>
                        <w:left w:val="none" w:sz="0" w:space="0" w:color="auto"/>
                        <w:bottom w:val="none" w:sz="0" w:space="0" w:color="auto"/>
                        <w:right w:val="none" w:sz="0" w:space="0" w:color="auto"/>
                      </w:divBdr>
                      <w:divsChild>
                        <w:div w:id="1396203139">
                          <w:marLeft w:val="0"/>
                          <w:marRight w:val="0"/>
                          <w:marTop w:val="0"/>
                          <w:marBottom w:val="0"/>
                          <w:divBdr>
                            <w:top w:val="none" w:sz="0" w:space="0" w:color="auto"/>
                            <w:left w:val="none" w:sz="0" w:space="0" w:color="auto"/>
                            <w:bottom w:val="none" w:sz="0" w:space="0" w:color="auto"/>
                            <w:right w:val="none" w:sz="0" w:space="0" w:color="auto"/>
                          </w:divBdr>
                        </w:div>
                      </w:divsChild>
                    </w:div>
                    <w:div w:id="1756781493">
                      <w:marLeft w:val="0"/>
                      <w:marRight w:val="0"/>
                      <w:marTop w:val="0"/>
                      <w:marBottom w:val="0"/>
                      <w:divBdr>
                        <w:top w:val="none" w:sz="0" w:space="0" w:color="auto"/>
                        <w:left w:val="none" w:sz="0" w:space="0" w:color="auto"/>
                        <w:bottom w:val="none" w:sz="0" w:space="0" w:color="auto"/>
                        <w:right w:val="none" w:sz="0" w:space="0" w:color="auto"/>
                      </w:divBdr>
                      <w:divsChild>
                        <w:div w:id="1328360807">
                          <w:marLeft w:val="0"/>
                          <w:marRight w:val="0"/>
                          <w:marTop w:val="0"/>
                          <w:marBottom w:val="0"/>
                          <w:divBdr>
                            <w:top w:val="none" w:sz="0" w:space="0" w:color="auto"/>
                            <w:left w:val="none" w:sz="0" w:space="0" w:color="auto"/>
                            <w:bottom w:val="none" w:sz="0" w:space="0" w:color="auto"/>
                            <w:right w:val="none" w:sz="0" w:space="0" w:color="auto"/>
                          </w:divBdr>
                        </w:div>
                      </w:divsChild>
                    </w:div>
                    <w:div w:id="1757632121">
                      <w:marLeft w:val="0"/>
                      <w:marRight w:val="0"/>
                      <w:marTop w:val="0"/>
                      <w:marBottom w:val="0"/>
                      <w:divBdr>
                        <w:top w:val="none" w:sz="0" w:space="0" w:color="auto"/>
                        <w:left w:val="none" w:sz="0" w:space="0" w:color="auto"/>
                        <w:bottom w:val="none" w:sz="0" w:space="0" w:color="auto"/>
                        <w:right w:val="none" w:sz="0" w:space="0" w:color="auto"/>
                      </w:divBdr>
                      <w:divsChild>
                        <w:div w:id="1570384561">
                          <w:marLeft w:val="0"/>
                          <w:marRight w:val="0"/>
                          <w:marTop w:val="0"/>
                          <w:marBottom w:val="0"/>
                          <w:divBdr>
                            <w:top w:val="none" w:sz="0" w:space="0" w:color="auto"/>
                            <w:left w:val="none" w:sz="0" w:space="0" w:color="auto"/>
                            <w:bottom w:val="none" w:sz="0" w:space="0" w:color="auto"/>
                            <w:right w:val="none" w:sz="0" w:space="0" w:color="auto"/>
                          </w:divBdr>
                        </w:div>
                      </w:divsChild>
                    </w:div>
                    <w:div w:id="1759254244">
                      <w:marLeft w:val="0"/>
                      <w:marRight w:val="0"/>
                      <w:marTop w:val="0"/>
                      <w:marBottom w:val="0"/>
                      <w:divBdr>
                        <w:top w:val="none" w:sz="0" w:space="0" w:color="auto"/>
                        <w:left w:val="none" w:sz="0" w:space="0" w:color="auto"/>
                        <w:bottom w:val="none" w:sz="0" w:space="0" w:color="auto"/>
                        <w:right w:val="none" w:sz="0" w:space="0" w:color="auto"/>
                      </w:divBdr>
                      <w:divsChild>
                        <w:div w:id="14425516">
                          <w:marLeft w:val="0"/>
                          <w:marRight w:val="0"/>
                          <w:marTop w:val="0"/>
                          <w:marBottom w:val="0"/>
                          <w:divBdr>
                            <w:top w:val="none" w:sz="0" w:space="0" w:color="auto"/>
                            <w:left w:val="none" w:sz="0" w:space="0" w:color="auto"/>
                            <w:bottom w:val="none" w:sz="0" w:space="0" w:color="auto"/>
                            <w:right w:val="none" w:sz="0" w:space="0" w:color="auto"/>
                          </w:divBdr>
                        </w:div>
                      </w:divsChild>
                    </w:div>
                    <w:div w:id="1762332019">
                      <w:marLeft w:val="0"/>
                      <w:marRight w:val="0"/>
                      <w:marTop w:val="0"/>
                      <w:marBottom w:val="0"/>
                      <w:divBdr>
                        <w:top w:val="none" w:sz="0" w:space="0" w:color="auto"/>
                        <w:left w:val="none" w:sz="0" w:space="0" w:color="auto"/>
                        <w:bottom w:val="none" w:sz="0" w:space="0" w:color="auto"/>
                        <w:right w:val="none" w:sz="0" w:space="0" w:color="auto"/>
                      </w:divBdr>
                      <w:divsChild>
                        <w:div w:id="512450609">
                          <w:marLeft w:val="0"/>
                          <w:marRight w:val="0"/>
                          <w:marTop w:val="0"/>
                          <w:marBottom w:val="0"/>
                          <w:divBdr>
                            <w:top w:val="none" w:sz="0" w:space="0" w:color="auto"/>
                            <w:left w:val="none" w:sz="0" w:space="0" w:color="auto"/>
                            <w:bottom w:val="none" w:sz="0" w:space="0" w:color="auto"/>
                            <w:right w:val="none" w:sz="0" w:space="0" w:color="auto"/>
                          </w:divBdr>
                        </w:div>
                      </w:divsChild>
                    </w:div>
                    <w:div w:id="1762992121">
                      <w:marLeft w:val="0"/>
                      <w:marRight w:val="0"/>
                      <w:marTop w:val="0"/>
                      <w:marBottom w:val="0"/>
                      <w:divBdr>
                        <w:top w:val="none" w:sz="0" w:space="0" w:color="auto"/>
                        <w:left w:val="none" w:sz="0" w:space="0" w:color="auto"/>
                        <w:bottom w:val="none" w:sz="0" w:space="0" w:color="auto"/>
                        <w:right w:val="none" w:sz="0" w:space="0" w:color="auto"/>
                      </w:divBdr>
                      <w:divsChild>
                        <w:div w:id="404033580">
                          <w:marLeft w:val="0"/>
                          <w:marRight w:val="0"/>
                          <w:marTop w:val="0"/>
                          <w:marBottom w:val="0"/>
                          <w:divBdr>
                            <w:top w:val="none" w:sz="0" w:space="0" w:color="auto"/>
                            <w:left w:val="none" w:sz="0" w:space="0" w:color="auto"/>
                            <w:bottom w:val="none" w:sz="0" w:space="0" w:color="auto"/>
                            <w:right w:val="none" w:sz="0" w:space="0" w:color="auto"/>
                          </w:divBdr>
                        </w:div>
                      </w:divsChild>
                    </w:div>
                    <w:div w:id="1767844334">
                      <w:marLeft w:val="0"/>
                      <w:marRight w:val="0"/>
                      <w:marTop w:val="0"/>
                      <w:marBottom w:val="0"/>
                      <w:divBdr>
                        <w:top w:val="none" w:sz="0" w:space="0" w:color="auto"/>
                        <w:left w:val="none" w:sz="0" w:space="0" w:color="auto"/>
                        <w:bottom w:val="none" w:sz="0" w:space="0" w:color="auto"/>
                        <w:right w:val="none" w:sz="0" w:space="0" w:color="auto"/>
                      </w:divBdr>
                      <w:divsChild>
                        <w:div w:id="740955167">
                          <w:marLeft w:val="0"/>
                          <w:marRight w:val="0"/>
                          <w:marTop w:val="0"/>
                          <w:marBottom w:val="0"/>
                          <w:divBdr>
                            <w:top w:val="none" w:sz="0" w:space="0" w:color="auto"/>
                            <w:left w:val="none" w:sz="0" w:space="0" w:color="auto"/>
                            <w:bottom w:val="none" w:sz="0" w:space="0" w:color="auto"/>
                            <w:right w:val="none" w:sz="0" w:space="0" w:color="auto"/>
                          </w:divBdr>
                        </w:div>
                      </w:divsChild>
                    </w:div>
                    <w:div w:id="1776947433">
                      <w:marLeft w:val="0"/>
                      <w:marRight w:val="0"/>
                      <w:marTop w:val="0"/>
                      <w:marBottom w:val="0"/>
                      <w:divBdr>
                        <w:top w:val="none" w:sz="0" w:space="0" w:color="auto"/>
                        <w:left w:val="none" w:sz="0" w:space="0" w:color="auto"/>
                        <w:bottom w:val="none" w:sz="0" w:space="0" w:color="auto"/>
                        <w:right w:val="none" w:sz="0" w:space="0" w:color="auto"/>
                      </w:divBdr>
                      <w:divsChild>
                        <w:div w:id="1513643935">
                          <w:marLeft w:val="0"/>
                          <w:marRight w:val="0"/>
                          <w:marTop w:val="0"/>
                          <w:marBottom w:val="0"/>
                          <w:divBdr>
                            <w:top w:val="none" w:sz="0" w:space="0" w:color="auto"/>
                            <w:left w:val="none" w:sz="0" w:space="0" w:color="auto"/>
                            <w:bottom w:val="none" w:sz="0" w:space="0" w:color="auto"/>
                            <w:right w:val="none" w:sz="0" w:space="0" w:color="auto"/>
                          </w:divBdr>
                        </w:div>
                      </w:divsChild>
                    </w:div>
                    <w:div w:id="1781685363">
                      <w:marLeft w:val="0"/>
                      <w:marRight w:val="0"/>
                      <w:marTop w:val="0"/>
                      <w:marBottom w:val="0"/>
                      <w:divBdr>
                        <w:top w:val="none" w:sz="0" w:space="0" w:color="auto"/>
                        <w:left w:val="none" w:sz="0" w:space="0" w:color="auto"/>
                        <w:bottom w:val="none" w:sz="0" w:space="0" w:color="auto"/>
                        <w:right w:val="none" w:sz="0" w:space="0" w:color="auto"/>
                      </w:divBdr>
                      <w:divsChild>
                        <w:div w:id="386731278">
                          <w:marLeft w:val="0"/>
                          <w:marRight w:val="0"/>
                          <w:marTop w:val="0"/>
                          <w:marBottom w:val="0"/>
                          <w:divBdr>
                            <w:top w:val="none" w:sz="0" w:space="0" w:color="auto"/>
                            <w:left w:val="none" w:sz="0" w:space="0" w:color="auto"/>
                            <w:bottom w:val="none" w:sz="0" w:space="0" w:color="auto"/>
                            <w:right w:val="none" w:sz="0" w:space="0" w:color="auto"/>
                          </w:divBdr>
                        </w:div>
                      </w:divsChild>
                    </w:div>
                    <w:div w:id="1783500049">
                      <w:marLeft w:val="0"/>
                      <w:marRight w:val="0"/>
                      <w:marTop w:val="0"/>
                      <w:marBottom w:val="0"/>
                      <w:divBdr>
                        <w:top w:val="none" w:sz="0" w:space="0" w:color="auto"/>
                        <w:left w:val="none" w:sz="0" w:space="0" w:color="auto"/>
                        <w:bottom w:val="none" w:sz="0" w:space="0" w:color="auto"/>
                        <w:right w:val="none" w:sz="0" w:space="0" w:color="auto"/>
                      </w:divBdr>
                      <w:divsChild>
                        <w:div w:id="736779066">
                          <w:marLeft w:val="0"/>
                          <w:marRight w:val="0"/>
                          <w:marTop w:val="0"/>
                          <w:marBottom w:val="0"/>
                          <w:divBdr>
                            <w:top w:val="none" w:sz="0" w:space="0" w:color="auto"/>
                            <w:left w:val="none" w:sz="0" w:space="0" w:color="auto"/>
                            <w:bottom w:val="none" w:sz="0" w:space="0" w:color="auto"/>
                            <w:right w:val="none" w:sz="0" w:space="0" w:color="auto"/>
                          </w:divBdr>
                        </w:div>
                      </w:divsChild>
                    </w:div>
                    <w:div w:id="1788814739">
                      <w:marLeft w:val="0"/>
                      <w:marRight w:val="0"/>
                      <w:marTop w:val="0"/>
                      <w:marBottom w:val="0"/>
                      <w:divBdr>
                        <w:top w:val="none" w:sz="0" w:space="0" w:color="auto"/>
                        <w:left w:val="none" w:sz="0" w:space="0" w:color="auto"/>
                        <w:bottom w:val="none" w:sz="0" w:space="0" w:color="auto"/>
                        <w:right w:val="none" w:sz="0" w:space="0" w:color="auto"/>
                      </w:divBdr>
                      <w:divsChild>
                        <w:div w:id="615793608">
                          <w:marLeft w:val="0"/>
                          <w:marRight w:val="0"/>
                          <w:marTop w:val="0"/>
                          <w:marBottom w:val="0"/>
                          <w:divBdr>
                            <w:top w:val="none" w:sz="0" w:space="0" w:color="auto"/>
                            <w:left w:val="none" w:sz="0" w:space="0" w:color="auto"/>
                            <w:bottom w:val="none" w:sz="0" w:space="0" w:color="auto"/>
                            <w:right w:val="none" w:sz="0" w:space="0" w:color="auto"/>
                          </w:divBdr>
                        </w:div>
                      </w:divsChild>
                    </w:div>
                    <w:div w:id="1794515137">
                      <w:marLeft w:val="0"/>
                      <w:marRight w:val="0"/>
                      <w:marTop w:val="0"/>
                      <w:marBottom w:val="0"/>
                      <w:divBdr>
                        <w:top w:val="none" w:sz="0" w:space="0" w:color="auto"/>
                        <w:left w:val="none" w:sz="0" w:space="0" w:color="auto"/>
                        <w:bottom w:val="none" w:sz="0" w:space="0" w:color="auto"/>
                        <w:right w:val="none" w:sz="0" w:space="0" w:color="auto"/>
                      </w:divBdr>
                      <w:divsChild>
                        <w:div w:id="1547378052">
                          <w:marLeft w:val="0"/>
                          <w:marRight w:val="0"/>
                          <w:marTop w:val="0"/>
                          <w:marBottom w:val="0"/>
                          <w:divBdr>
                            <w:top w:val="none" w:sz="0" w:space="0" w:color="auto"/>
                            <w:left w:val="none" w:sz="0" w:space="0" w:color="auto"/>
                            <w:bottom w:val="none" w:sz="0" w:space="0" w:color="auto"/>
                            <w:right w:val="none" w:sz="0" w:space="0" w:color="auto"/>
                          </w:divBdr>
                        </w:div>
                      </w:divsChild>
                    </w:div>
                    <w:div w:id="1797866021">
                      <w:marLeft w:val="0"/>
                      <w:marRight w:val="0"/>
                      <w:marTop w:val="0"/>
                      <w:marBottom w:val="0"/>
                      <w:divBdr>
                        <w:top w:val="none" w:sz="0" w:space="0" w:color="auto"/>
                        <w:left w:val="none" w:sz="0" w:space="0" w:color="auto"/>
                        <w:bottom w:val="none" w:sz="0" w:space="0" w:color="auto"/>
                        <w:right w:val="none" w:sz="0" w:space="0" w:color="auto"/>
                      </w:divBdr>
                      <w:divsChild>
                        <w:div w:id="954991912">
                          <w:marLeft w:val="0"/>
                          <w:marRight w:val="0"/>
                          <w:marTop w:val="0"/>
                          <w:marBottom w:val="0"/>
                          <w:divBdr>
                            <w:top w:val="none" w:sz="0" w:space="0" w:color="auto"/>
                            <w:left w:val="none" w:sz="0" w:space="0" w:color="auto"/>
                            <w:bottom w:val="none" w:sz="0" w:space="0" w:color="auto"/>
                            <w:right w:val="none" w:sz="0" w:space="0" w:color="auto"/>
                          </w:divBdr>
                        </w:div>
                      </w:divsChild>
                    </w:div>
                    <w:div w:id="1799453030">
                      <w:marLeft w:val="0"/>
                      <w:marRight w:val="0"/>
                      <w:marTop w:val="0"/>
                      <w:marBottom w:val="0"/>
                      <w:divBdr>
                        <w:top w:val="none" w:sz="0" w:space="0" w:color="auto"/>
                        <w:left w:val="none" w:sz="0" w:space="0" w:color="auto"/>
                        <w:bottom w:val="none" w:sz="0" w:space="0" w:color="auto"/>
                        <w:right w:val="none" w:sz="0" w:space="0" w:color="auto"/>
                      </w:divBdr>
                      <w:divsChild>
                        <w:div w:id="990601609">
                          <w:marLeft w:val="0"/>
                          <w:marRight w:val="0"/>
                          <w:marTop w:val="0"/>
                          <w:marBottom w:val="0"/>
                          <w:divBdr>
                            <w:top w:val="none" w:sz="0" w:space="0" w:color="auto"/>
                            <w:left w:val="none" w:sz="0" w:space="0" w:color="auto"/>
                            <w:bottom w:val="none" w:sz="0" w:space="0" w:color="auto"/>
                            <w:right w:val="none" w:sz="0" w:space="0" w:color="auto"/>
                          </w:divBdr>
                        </w:div>
                      </w:divsChild>
                    </w:div>
                    <w:div w:id="1803227596">
                      <w:marLeft w:val="0"/>
                      <w:marRight w:val="0"/>
                      <w:marTop w:val="0"/>
                      <w:marBottom w:val="0"/>
                      <w:divBdr>
                        <w:top w:val="none" w:sz="0" w:space="0" w:color="auto"/>
                        <w:left w:val="none" w:sz="0" w:space="0" w:color="auto"/>
                        <w:bottom w:val="none" w:sz="0" w:space="0" w:color="auto"/>
                        <w:right w:val="none" w:sz="0" w:space="0" w:color="auto"/>
                      </w:divBdr>
                      <w:divsChild>
                        <w:div w:id="2031711176">
                          <w:marLeft w:val="0"/>
                          <w:marRight w:val="0"/>
                          <w:marTop w:val="0"/>
                          <w:marBottom w:val="0"/>
                          <w:divBdr>
                            <w:top w:val="none" w:sz="0" w:space="0" w:color="auto"/>
                            <w:left w:val="none" w:sz="0" w:space="0" w:color="auto"/>
                            <w:bottom w:val="none" w:sz="0" w:space="0" w:color="auto"/>
                            <w:right w:val="none" w:sz="0" w:space="0" w:color="auto"/>
                          </w:divBdr>
                        </w:div>
                      </w:divsChild>
                    </w:div>
                    <w:div w:id="1806580101">
                      <w:marLeft w:val="0"/>
                      <w:marRight w:val="0"/>
                      <w:marTop w:val="0"/>
                      <w:marBottom w:val="0"/>
                      <w:divBdr>
                        <w:top w:val="none" w:sz="0" w:space="0" w:color="auto"/>
                        <w:left w:val="none" w:sz="0" w:space="0" w:color="auto"/>
                        <w:bottom w:val="none" w:sz="0" w:space="0" w:color="auto"/>
                        <w:right w:val="none" w:sz="0" w:space="0" w:color="auto"/>
                      </w:divBdr>
                      <w:divsChild>
                        <w:div w:id="1803383862">
                          <w:marLeft w:val="0"/>
                          <w:marRight w:val="0"/>
                          <w:marTop w:val="0"/>
                          <w:marBottom w:val="0"/>
                          <w:divBdr>
                            <w:top w:val="none" w:sz="0" w:space="0" w:color="auto"/>
                            <w:left w:val="none" w:sz="0" w:space="0" w:color="auto"/>
                            <w:bottom w:val="none" w:sz="0" w:space="0" w:color="auto"/>
                            <w:right w:val="none" w:sz="0" w:space="0" w:color="auto"/>
                          </w:divBdr>
                        </w:div>
                      </w:divsChild>
                    </w:div>
                    <w:div w:id="1808354747">
                      <w:marLeft w:val="0"/>
                      <w:marRight w:val="0"/>
                      <w:marTop w:val="0"/>
                      <w:marBottom w:val="0"/>
                      <w:divBdr>
                        <w:top w:val="none" w:sz="0" w:space="0" w:color="auto"/>
                        <w:left w:val="none" w:sz="0" w:space="0" w:color="auto"/>
                        <w:bottom w:val="none" w:sz="0" w:space="0" w:color="auto"/>
                        <w:right w:val="none" w:sz="0" w:space="0" w:color="auto"/>
                      </w:divBdr>
                      <w:divsChild>
                        <w:div w:id="877470782">
                          <w:marLeft w:val="0"/>
                          <w:marRight w:val="0"/>
                          <w:marTop w:val="0"/>
                          <w:marBottom w:val="0"/>
                          <w:divBdr>
                            <w:top w:val="none" w:sz="0" w:space="0" w:color="auto"/>
                            <w:left w:val="none" w:sz="0" w:space="0" w:color="auto"/>
                            <w:bottom w:val="none" w:sz="0" w:space="0" w:color="auto"/>
                            <w:right w:val="none" w:sz="0" w:space="0" w:color="auto"/>
                          </w:divBdr>
                        </w:div>
                      </w:divsChild>
                    </w:div>
                    <w:div w:id="1810856035">
                      <w:marLeft w:val="0"/>
                      <w:marRight w:val="0"/>
                      <w:marTop w:val="0"/>
                      <w:marBottom w:val="0"/>
                      <w:divBdr>
                        <w:top w:val="none" w:sz="0" w:space="0" w:color="auto"/>
                        <w:left w:val="none" w:sz="0" w:space="0" w:color="auto"/>
                        <w:bottom w:val="none" w:sz="0" w:space="0" w:color="auto"/>
                        <w:right w:val="none" w:sz="0" w:space="0" w:color="auto"/>
                      </w:divBdr>
                      <w:divsChild>
                        <w:div w:id="1738236771">
                          <w:marLeft w:val="0"/>
                          <w:marRight w:val="0"/>
                          <w:marTop w:val="0"/>
                          <w:marBottom w:val="0"/>
                          <w:divBdr>
                            <w:top w:val="none" w:sz="0" w:space="0" w:color="auto"/>
                            <w:left w:val="none" w:sz="0" w:space="0" w:color="auto"/>
                            <w:bottom w:val="none" w:sz="0" w:space="0" w:color="auto"/>
                            <w:right w:val="none" w:sz="0" w:space="0" w:color="auto"/>
                          </w:divBdr>
                        </w:div>
                      </w:divsChild>
                    </w:div>
                    <w:div w:id="1830250470">
                      <w:marLeft w:val="0"/>
                      <w:marRight w:val="0"/>
                      <w:marTop w:val="0"/>
                      <w:marBottom w:val="0"/>
                      <w:divBdr>
                        <w:top w:val="none" w:sz="0" w:space="0" w:color="auto"/>
                        <w:left w:val="none" w:sz="0" w:space="0" w:color="auto"/>
                        <w:bottom w:val="none" w:sz="0" w:space="0" w:color="auto"/>
                        <w:right w:val="none" w:sz="0" w:space="0" w:color="auto"/>
                      </w:divBdr>
                      <w:divsChild>
                        <w:div w:id="2009597468">
                          <w:marLeft w:val="0"/>
                          <w:marRight w:val="0"/>
                          <w:marTop w:val="0"/>
                          <w:marBottom w:val="0"/>
                          <w:divBdr>
                            <w:top w:val="none" w:sz="0" w:space="0" w:color="auto"/>
                            <w:left w:val="none" w:sz="0" w:space="0" w:color="auto"/>
                            <w:bottom w:val="none" w:sz="0" w:space="0" w:color="auto"/>
                            <w:right w:val="none" w:sz="0" w:space="0" w:color="auto"/>
                          </w:divBdr>
                        </w:div>
                      </w:divsChild>
                    </w:div>
                    <w:div w:id="1830560196">
                      <w:marLeft w:val="0"/>
                      <w:marRight w:val="0"/>
                      <w:marTop w:val="0"/>
                      <w:marBottom w:val="0"/>
                      <w:divBdr>
                        <w:top w:val="none" w:sz="0" w:space="0" w:color="auto"/>
                        <w:left w:val="none" w:sz="0" w:space="0" w:color="auto"/>
                        <w:bottom w:val="none" w:sz="0" w:space="0" w:color="auto"/>
                        <w:right w:val="none" w:sz="0" w:space="0" w:color="auto"/>
                      </w:divBdr>
                      <w:divsChild>
                        <w:div w:id="564533759">
                          <w:marLeft w:val="0"/>
                          <w:marRight w:val="0"/>
                          <w:marTop w:val="0"/>
                          <w:marBottom w:val="0"/>
                          <w:divBdr>
                            <w:top w:val="none" w:sz="0" w:space="0" w:color="auto"/>
                            <w:left w:val="none" w:sz="0" w:space="0" w:color="auto"/>
                            <w:bottom w:val="none" w:sz="0" w:space="0" w:color="auto"/>
                            <w:right w:val="none" w:sz="0" w:space="0" w:color="auto"/>
                          </w:divBdr>
                        </w:div>
                      </w:divsChild>
                    </w:div>
                    <w:div w:id="1837068041">
                      <w:marLeft w:val="0"/>
                      <w:marRight w:val="0"/>
                      <w:marTop w:val="0"/>
                      <w:marBottom w:val="0"/>
                      <w:divBdr>
                        <w:top w:val="none" w:sz="0" w:space="0" w:color="auto"/>
                        <w:left w:val="none" w:sz="0" w:space="0" w:color="auto"/>
                        <w:bottom w:val="none" w:sz="0" w:space="0" w:color="auto"/>
                        <w:right w:val="none" w:sz="0" w:space="0" w:color="auto"/>
                      </w:divBdr>
                      <w:divsChild>
                        <w:div w:id="1354067188">
                          <w:marLeft w:val="0"/>
                          <w:marRight w:val="0"/>
                          <w:marTop w:val="0"/>
                          <w:marBottom w:val="0"/>
                          <w:divBdr>
                            <w:top w:val="none" w:sz="0" w:space="0" w:color="auto"/>
                            <w:left w:val="none" w:sz="0" w:space="0" w:color="auto"/>
                            <w:bottom w:val="none" w:sz="0" w:space="0" w:color="auto"/>
                            <w:right w:val="none" w:sz="0" w:space="0" w:color="auto"/>
                          </w:divBdr>
                        </w:div>
                      </w:divsChild>
                    </w:div>
                    <w:div w:id="1841385607">
                      <w:marLeft w:val="0"/>
                      <w:marRight w:val="0"/>
                      <w:marTop w:val="0"/>
                      <w:marBottom w:val="0"/>
                      <w:divBdr>
                        <w:top w:val="none" w:sz="0" w:space="0" w:color="auto"/>
                        <w:left w:val="none" w:sz="0" w:space="0" w:color="auto"/>
                        <w:bottom w:val="none" w:sz="0" w:space="0" w:color="auto"/>
                        <w:right w:val="none" w:sz="0" w:space="0" w:color="auto"/>
                      </w:divBdr>
                      <w:divsChild>
                        <w:div w:id="1661687954">
                          <w:marLeft w:val="0"/>
                          <w:marRight w:val="0"/>
                          <w:marTop w:val="0"/>
                          <w:marBottom w:val="0"/>
                          <w:divBdr>
                            <w:top w:val="none" w:sz="0" w:space="0" w:color="auto"/>
                            <w:left w:val="none" w:sz="0" w:space="0" w:color="auto"/>
                            <w:bottom w:val="none" w:sz="0" w:space="0" w:color="auto"/>
                            <w:right w:val="none" w:sz="0" w:space="0" w:color="auto"/>
                          </w:divBdr>
                        </w:div>
                      </w:divsChild>
                    </w:div>
                    <w:div w:id="1848132674">
                      <w:marLeft w:val="0"/>
                      <w:marRight w:val="0"/>
                      <w:marTop w:val="0"/>
                      <w:marBottom w:val="0"/>
                      <w:divBdr>
                        <w:top w:val="none" w:sz="0" w:space="0" w:color="auto"/>
                        <w:left w:val="none" w:sz="0" w:space="0" w:color="auto"/>
                        <w:bottom w:val="none" w:sz="0" w:space="0" w:color="auto"/>
                        <w:right w:val="none" w:sz="0" w:space="0" w:color="auto"/>
                      </w:divBdr>
                      <w:divsChild>
                        <w:div w:id="1967156414">
                          <w:marLeft w:val="0"/>
                          <w:marRight w:val="0"/>
                          <w:marTop w:val="0"/>
                          <w:marBottom w:val="0"/>
                          <w:divBdr>
                            <w:top w:val="none" w:sz="0" w:space="0" w:color="auto"/>
                            <w:left w:val="none" w:sz="0" w:space="0" w:color="auto"/>
                            <w:bottom w:val="none" w:sz="0" w:space="0" w:color="auto"/>
                            <w:right w:val="none" w:sz="0" w:space="0" w:color="auto"/>
                          </w:divBdr>
                        </w:div>
                      </w:divsChild>
                    </w:div>
                    <w:div w:id="1867789353">
                      <w:marLeft w:val="0"/>
                      <w:marRight w:val="0"/>
                      <w:marTop w:val="0"/>
                      <w:marBottom w:val="0"/>
                      <w:divBdr>
                        <w:top w:val="none" w:sz="0" w:space="0" w:color="auto"/>
                        <w:left w:val="none" w:sz="0" w:space="0" w:color="auto"/>
                        <w:bottom w:val="none" w:sz="0" w:space="0" w:color="auto"/>
                        <w:right w:val="none" w:sz="0" w:space="0" w:color="auto"/>
                      </w:divBdr>
                      <w:divsChild>
                        <w:div w:id="82193958">
                          <w:marLeft w:val="0"/>
                          <w:marRight w:val="0"/>
                          <w:marTop w:val="0"/>
                          <w:marBottom w:val="0"/>
                          <w:divBdr>
                            <w:top w:val="none" w:sz="0" w:space="0" w:color="auto"/>
                            <w:left w:val="none" w:sz="0" w:space="0" w:color="auto"/>
                            <w:bottom w:val="none" w:sz="0" w:space="0" w:color="auto"/>
                            <w:right w:val="none" w:sz="0" w:space="0" w:color="auto"/>
                          </w:divBdr>
                        </w:div>
                      </w:divsChild>
                    </w:div>
                    <w:div w:id="1868057806">
                      <w:marLeft w:val="0"/>
                      <w:marRight w:val="0"/>
                      <w:marTop w:val="0"/>
                      <w:marBottom w:val="0"/>
                      <w:divBdr>
                        <w:top w:val="none" w:sz="0" w:space="0" w:color="auto"/>
                        <w:left w:val="none" w:sz="0" w:space="0" w:color="auto"/>
                        <w:bottom w:val="none" w:sz="0" w:space="0" w:color="auto"/>
                        <w:right w:val="none" w:sz="0" w:space="0" w:color="auto"/>
                      </w:divBdr>
                      <w:divsChild>
                        <w:div w:id="11995149">
                          <w:marLeft w:val="0"/>
                          <w:marRight w:val="0"/>
                          <w:marTop w:val="0"/>
                          <w:marBottom w:val="0"/>
                          <w:divBdr>
                            <w:top w:val="none" w:sz="0" w:space="0" w:color="auto"/>
                            <w:left w:val="none" w:sz="0" w:space="0" w:color="auto"/>
                            <w:bottom w:val="none" w:sz="0" w:space="0" w:color="auto"/>
                            <w:right w:val="none" w:sz="0" w:space="0" w:color="auto"/>
                          </w:divBdr>
                        </w:div>
                      </w:divsChild>
                    </w:div>
                    <w:div w:id="1870683041">
                      <w:marLeft w:val="0"/>
                      <w:marRight w:val="0"/>
                      <w:marTop w:val="0"/>
                      <w:marBottom w:val="0"/>
                      <w:divBdr>
                        <w:top w:val="none" w:sz="0" w:space="0" w:color="auto"/>
                        <w:left w:val="none" w:sz="0" w:space="0" w:color="auto"/>
                        <w:bottom w:val="none" w:sz="0" w:space="0" w:color="auto"/>
                        <w:right w:val="none" w:sz="0" w:space="0" w:color="auto"/>
                      </w:divBdr>
                      <w:divsChild>
                        <w:div w:id="147325044">
                          <w:marLeft w:val="0"/>
                          <w:marRight w:val="0"/>
                          <w:marTop w:val="0"/>
                          <w:marBottom w:val="0"/>
                          <w:divBdr>
                            <w:top w:val="none" w:sz="0" w:space="0" w:color="auto"/>
                            <w:left w:val="none" w:sz="0" w:space="0" w:color="auto"/>
                            <w:bottom w:val="none" w:sz="0" w:space="0" w:color="auto"/>
                            <w:right w:val="none" w:sz="0" w:space="0" w:color="auto"/>
                          </w:divBdr>
                        </w:div>
                      </w:divsChild>
                    </w:div>
                    <w:div w:id="1874228841">
                      <w:marLeft w:val="0"/>
                      <w:marRight w:val="0"/>
                      <w:marTop w:val="0"/>
                      <w:marBottom w:val="0"/>
                      <w:divBdr>
                        <w:top w:val="none" w:sz="0" w:space="0" w:color="auto"/>
                        <w:left w:val="none" w:sz="0" w:space="0" w:color="auto"/>
                        <w:bottom w:val="none" w:sz="0" w:space="0" w:color="auto"/>
                        <w:right w:val="none" w:sz="0" w:space="0" w:color="auto"/>
                      </w:divBdr>
                      <w:divsChild>
                        <w:div w:id="180358238">
                          <w:marLeft w:val="0"/>
                          <w:marRight w:val="0"/>
                          <w:marTop w:val="0"/>
                          <w:marBottom w:val="0"/>
                          <w:divBdr>
                            <w:top w:val="none" w:sz="0" w:space="0" w:color="auto"/>
                            <w:left w:val="none" w:sz="0" w:space="0" w:color="auto"/>
                            <w:bottom w:val="none" w:sz="0" w:space="0" w:color="auto"/>
                            <w:right w:val="none" w:sz="0" w:space="0" w:color="auto"/>
                          </w:divBdr>
                        </w:div>
                      </w:divsChild>
                    </w:div>
                    <w:div w:id="1875380910">
                      <w:marLeft w:val="0"/>
                      <w:marRight w:val="0"/>
                      <w:marTop w:val="0"/>
                      <w:marBottom w:val="0"/>
                      <w:divBdr>
                        <w:top w:val="none" w:sz="0" w:space="0" w:color="auto"/>
                        <w:left w:val="none" w:sz="0" w:space="0" w:color="auto"/>
                        <w:bottom w:val="none" w:sz="0" w:space="0" w:color="auto"/>
                        <w:right w:val="none" w:sz="0" w:space="0" w:color="auto"/>
                      </w:divBdr>
                      <w:divsChild>
                        <w:div w:id="1364092388">
                          <w:marLeft w:val="0"/>
                          <w:marRight w:val="0"/>
                          <w:marTop w:val="0"/>
                          <w:marBottom w:val="0"/>
                          <w:divBdr>
                            <w:top w:val="none" w:sz="0" w:space="0" w:color="auto"/>
                            <w:left w:val="none" w:sz="0" w:space="0" w:color="auto"/>
                            <w:bottom w:val="none" w:sz="0" w:space="0" w:color="auto"/>
                            <w:right w:val="none" w:sz="0" w:space="0" w:color="auto"/>
                          </w:divBdr>
                        </w:div>
                      </w:divsChild>
                    </w:div>
                    <w:div w:id="1883395281">
                      <w:marLeft w:val="0"/>
                      <w:marRight w:val="0"/>
                      <w:marTop w:val="0"/>
                      <w:marBottom w:val="0"/>
                      <w:divBdr>
                        <w:top w:val="none" w:sz="0" w:space="0" w:color="auto"/>
                        <w:left w:val="none" w:sz="0" w:space="0" w:color="auto"/>
                        <w:bottom w:val="none" w:sz="0" w:space="0" w:color="auto"/>
                        <w:right w:val="none" w:sz="0" w:space="0" w:color="auto"/>
                      </w:divBdr>
                      <w:divsChild>
                        <w:div w:id="69890853">
                          <w:marLeft w:val="0"/>
                          <w:marRight w:val="0"/>
                          <w:marTop w:val="0"/>
                          <w:marBottom w:val="0"/>
                          <w:divBdr>
                            <w:top w:val="none" w:sz="0" w:space="0" w:color="auto"/>
                            <w:left w:val="none" w:sz="0" w:space="0" w:color="auto"/>
                            <w:bottom w:val="none" w:sz="0" w:space="0" w:color="auto"/>
                            <w:right w:val="none" w:sz="0" w:space="0" w:color="auto"/>
                          </w:divBdr>
                        </w:div>
                      </w:divsChild>
                    </w:div>
                    <w:div w:id="1887141445">
                      <w:marLeft w:val="0"/>
                      <w:marRight w:val="0"/>
                      <w:marTop w:val="0"/>
                      <w:marBottom w:val="0"/>
                      <w:divBdr>
                        <w:top w:val="none" w:sz="0" w:space="0" w:color="auto"/>
                        <w:left w:val="none" w:sz="0" w:space="0" w:color="auto"/>
                        <w:bottom w:val="none" w:sz="0" w:space="0" w:color="auto"/>
                        <w:right w:val="none" w:sz="0" w:space="0" w:color="auto"/>
                      </w:divBdr>
                      <w:divsChild>
                        <w:div w:id="710766019">
                          <w:marLeft w:val="0"/>
                          <w:marRight w:val="0"/>
                          <w:marTop w:val="0"/>
                          <w:marBottom w:val="0"/>
                          <w:divBdr>
                            <w:top w:val="none" w:sz="0" w:space="0" w:color="auto"/>
                            <w:left w:val="none" w:sz="0" w:space="0" w:color="auto"/>
                            <w:bottom w:val="none" w:sz="0" w:space="0" w:color="auto"/>
                            <w:right w:val="none" w:sz="0" w:space="0" w:color="auto"/>
                          </w:divBdr>
                        </w:div>
                      </w:divsChild>
                    </w:div>
                    <w:div w:id="1889101393">
                      <w:marLeft w:val="0"/>
                      <w:marRight w:val="0"/>
                      <w:marTop w:val="0"/>
                      <w:marBottom w:val="0"/>
                      <w:divBdr>
                        <w:top w:val="none" w:sz="0" w:space="0" w:color="auto"/>
                        <w:left w:val="none" w:sz="0" w:space="0" w:color="auto"/>
                        <w:bottom w:val="none" w:sz="0" w:space="0" w:color="auto"/>
                        <w:right w:val="none" w:sz="0" w:space="0" w:color="auto"/>
                      </w:divBdr>
                      <w:divsChild>
                        <w:div w:id="1164466108">
                          <w:marLeft w:val="0"/>
                          <w:marRight w:val="0"/>
                          <w:marTop w:val="0"/>
                          <w:marBottom w:val="0"/>
                          <w:divBdr>
                            <w:top w:val="none" w:sz="0" w:space="0" w:color="auto"/>
                            <w:left w:val="none" w:sz="0" w:space="0" w:color="auto"/>
                            <w:bottom w:val="none" w:sz="0" w:space="0" w:color="auto"/>
                            <w:right w:val="none" w:sz="0" w:space="0" w:color="auto"/>
                          </w:divBdr>
                        </w:div>
                      </w:divsChild>
                    </w:div>
                    <w:div w:id="1889339240">
                      <w:marLeft w:val="0"/>
                      <w:marRight w:val="0"/>
                      <w:marTop w:val="0"/>
                      <w:marBottom w:val="0"/>
                      <w:divBdr>
                        <w:top w:val="none" w:sz="0" w:space="0" w:color="auto"/>
                        <w:left w:val="none" w:sz="0" w:space="0" w:color="auto"/>
                        <w:bottom w:val="none" w:sz="0" w:space="0" w:color="auto"/>
                        <w:right w:val="none" w:sz="0" w:space="0" w:color="auto"/>
                      </w:divBdr>
                      <w:divsChild>
                        <w:div w:id="54204831">
                          <w:marLeft w:val="0"/>
                          <w:marRight w:val="0"/>
                          <w:marTop w:val="0"/>
                          <w:marBottom w:val="0"/>
                          <w:divBdr>
                            <w:top w:val="none" w:sz="0" w:space="0" w:color="auto"/>
                            <w:left w:val="none" w:sz="0" w:space="0" w:color="auto"/>
                            <w:bottom w:val="none" w:sz="0" w:space="0" w:color="auto"/>
                            <w:right w:val="none" w:sz="0" w:space="0" w:color="auto"/>
                          </w:divBdr>
                        </w:div>
                      </w:divsChild>
                    </w:div>
                    <w:div w:id="1894541953">
                      <w:marLeft w:val="0"/>
                      <w:marRight w:val="0"/>
                      <w:marTop w:val="0"/>
                      <w:marBottom w:val="0"/>
                      <w:divBdr>
                        <w:top w:val="none" w:sz="0" w:space="0" w:color="auto"/>
                        <w:left w:val="none" w:sz="0" w:space="0" w:color="auto"/>
                        <w:bottom w:val="none" w:sz="0" w:space="0" w:color="auto"/>
                        <w:right w:val="none" w:sz="0" w:space="0" w:color="auto"/>
                      </w:divBdr>
                      <w:divsChild>
                        <w:div w:id="705301010">
                          <w:marLeft w:val="0"/>
                          <w:marRight w:val="0"/>
                          <w:marTop w:val="0"/>
                          <w:marBottom w:val="0"/>
                          <w:divBdr>
                            <w:top w:val="none" w:sz="0" w:space="0" w:color="auto"/>
                            <w:left w:val="none" w:sz="0" w:space="0" w:color="auto"/>
                            <w:bottom w:val="none" w:sz="0" w:space="0" w:color="auto"/>
                            <w:right w:val="none" w:sz="0" w:space="0" w:color="auto"/>
                          </w:divBdr>
                        </w:div>
                      </w:divsChild>
                    </w:div>
                    <w:div w:id="1905289012">
                      <w:marLeft w:val="0"/>
                      <w:marRight w:val="0"/>
                      <w:marTop w:val="0"/>
                      <w:marBottom w:val="0"/>
                      <w:divBdr>
                        <w:top w:val="none" w:sz="0" w:space="0" w:color="auto"/>
                        <w:left w:val="none" w:sz="0" w:space="0" w:color="auto"/>
                        <w:bottom w:val="none" w:sz="0" w:space="0" w:color="auto"/>
                        <w:right w:val="none" w:sz="0" w:space="0" w:color="auto"/>
                      </w:divBdr>
                      <w:divsChild>
                        <w:div w:id="783963211">
                          <w:marLeft w:val="0"/>
                          <w:marRight w:val="0"/>
                          <w:marTop w:val="0"/>
                          <w:marBottom w:val="0"/>
                          <w:divBdr>
                            <w:top w:val="none" w:sz="0" w:space="0" w:color="auto"/>
                            <w:left w:val="none" w:sz="0" w:space="0" w:color="auto"/>
                            <w:bottom w:val="none" w:sz="0" w:space="0" w:color="auto"/>
                            <w:right w:val="none" w:sz="0" w:space="0" w:color="auto"/>
                          </w:divBdr>
                        </w:div>
                      </w:divsChild>
                    </w:div>
                    <w:div w:id="1908106510">
                      <w:marLeft w:val="0"/>
                      <w:marRight w:val="0"/>
                      <w:marTop w:val="0"/>
                      <w:marBottom w:val="0"/>
                      <w:divBdr>
                        <w:top w:val="none" w:sz="0" w:space="0" w:color="auto"/>
                        <w:left w:val="none" w:sz="0" w:space="0" w:color="auto"/>
                        <w:bottom w:val="none" w:sz="0" w:space="0" w:color="auto"/>
                        <w:right w:val="none" w:sz="0" w:space="0" w:color="auto"/>
                      </w:divBdr>
                      <w:divsChild>
                        <w:div w:id="1555235032">
                          <w:marLeft w:val="0"/>
                          <w:marRight w:val="0"/>
                          <w:marTop w:val="0"/>
                          <w:marBottom w:val="0"/>
                          <w:divBdr>
                            <w:top w:val="none" w:sz="0" w:space="0" w:color="auto"/>
                            <w:left w:val="none" w:sz="0" w:space="0" w:color="auto"/>
                            <w:bottom w:val="none" w:sz="0" w:space="0" w:color="auto"/>
                            <w:right w:val="none" w:sz="0" w:space="0" w:color="auto"/>
                          </w:divBdr>
                        </w:div>
                      </w:divsChild>
                    </w:div>
                    <w:div w:id="1920166451">
                      <w:marLeft w:val="0"/>
                      <w:marRight w:val="0"/>
                      <w:marTop w:val="0"/>
                      <w:marBottom w:val="0"/>
                      <w:divBdr>
                        <w:top w:val="none" w:sz="0" w:space="0" w:color="auto"/>
                        <w:left w:val="none" w:sz="0" w:space="0" w:color="auto"/>
                        <w:bottom w:val="none" w:sz="0" w:space="0" w:color="auto"/>
                        <w:right w:val="none" w:sz="0" w:space="0" w:color="auto"/>
                      </w:divBdr>
                      <w:divsChild>
                        <w:div w:id="583997892">
                          <w:marLeft w:val="0"/>
                          <w:marRight w:val="0"/>
                          <w:marTop w:val="0"/>
                          <w:marBottom w:val="0"/>
                          <w:divBdr>
                            <w:top w:val="none" w:sz="0" w:space="0" w:color="auto"/>
                            <w:left w:val="none" w:sz="0" w:space="0" w:color="auto"/>
                            <w:bottom w:val="none" w:sz="0" w:space="0" w:color="auto"/>
                            <w:right w:val="none" w:sz="0" w:space="0" w:color="auto"/>
                          </w:divBdr>
                        </w:div>
                      </w:divsChild>
                    </w:div>
                    <w:div w:id="1921787863">
                      <w:marLeft w:val="0"/>
                      <w:marRight w:val="0"/>
                      <w:marTop w:val="0"/>
                      <w:marBottom w:val="0"/>
                      <w:divBdr>
                        <w:top w:val="none" w:sz="0" w:space="0" w:color="auto"/>
                        <w:left w:val="none" w:sz="0" w:space="0" w:color="auto"/>
                        <w:bottom w:val="none" w:sz="0" w:space="0" w:color="auto"/>
                        <w:right w:val="none" w:sz="0" w:space="0" w:color="auto"/>
                      </w:divBdr>
                      <w:divsChild>
                        <w:div w:id="1309241191">
                          <w:marLeft w:val="0"/>
                          <w:marRight w:val="0"/>
                          <w:marTop w:val="0"/>
                          <w:marBottom w:val="0"/>
                          <w:divBdr>
                            <w:top w:val="none" w:sz="0" w:space="0" w:color="auto"/>
                            <w:left w:val="none" w:sz="0" w:space="0" w:color="auto"/>
                            <w:bottom w:val="none" w:sz="0" w:space="0" w:color="auto"/>
                            <w:right w:val="none" w:sz="0" w:space="0" w:color="auto"/>
                          </w:divBdr>
                        </w:div>
                      </w:divsChild>
                    </w:div>
                    <w:div w:id="1933658415">
                      <w:marLeft w:val="0"/>
                      <w:marRight w:val="0"/>
                      <w:marTop w:val="0"/>
                      <w:marBottom w:val="0"/>
                      <w:divBdr>
                        <w:top w:val="none" w:sz="0" w:space="0" w:color="auto"/>
                        <w:left w:val="none" w:sz="0" w:space="0" w:color="auto"/>
                        <w:bottom w:val="none" w:sz="0" w:space="0" w:color="auto"/>
                        <w:right w:val="none" w:sz="0" w:space="0" w:color="auto"/>
                      </w:divBdr>
                      <w:divsChild>
                        <w:div w:id="2130929541">
                          <w:marLeft w:val="0"/>
                          <w:marRight w:val="0"/>
                          <w:marTop w:val="0"/>
                          <w:marBottom w:val="0"/>
                          <w:divBdr>
                            <w:top w:val="none" w:sz="0" w:space="0" w:color="auto"/>
                            <w:left w:val="none" w:sz="0" w:space="0" w:color="auto"/>
                            <w:bottom w:val="none" w:sz="0" w:space="0" w:color="auto"/>
                            <w:right w:val="none" w:sz="0" w:space="0" w:color="auto"/>
                          </w:divBdr>
                        </w:div>
                      </w:divsChild>
                    </w:div>
                    <w:div w:id="1934050352">
                      <w:marLeft w:val="0"/>
                      <w:marRight w:val="0"/>
                      <w:marTop w:val="0"/>
                      <w:marBottom w:val="0"/>
                      <w:divBdr>
                        <w:top w:val="none" w:sz="0" w:space="0" w:color="auto"/>
                        <w:left w:val="none" w:sz="0" w:space="0" w:color="auto"/>
                        <w:bottom w:val="none" w:sz="0" w:space="0" w:color="auto"/>
                        <w:right w:val="none" w:sz="0" w:space="0" w:color="auto"/>
                      </w:divBdr>
                      <w:divsChild>
                        <w:div w:id="970131750">
                          <w:marLeft w:val="0"/>
                          <w:marRight w:val="0"/>
                          <w:marTop w:val="0"/>
                          <w:marBottom w:val="0"/>
                          <w:divBdr>
                            <w:top w:val="none" w:sz="0" w:space="0" w:color="auto"/>
                            <w:left w:val="none" w:sz="0" w:space="0" w:color="auto"/>
                            <w:bottom w:val="none" w:sz="0" w:space="0" w:color="auto"/>
                            <w:right w:val="none" w:sz="0" w:space="0" w:color="auto"/>
                          </w:divBdr>
                        </w:div>
                      </w:divsChild>
                    </w:div>
                    <w:div w:id="1934968522">
                      <w:marLeft w:val="0"/>
                      <w:marRight w:val="0"/>
                      <w:marTop w:val="0"/>
                      <w:marBottom w:val="0"/>
                      <w:divBdr>
                        <w:top w:val="none" w:sz="0" w:space="0" w:color="auto"/>
                        <w:left w:val="none" w:sz="0" w:space="0" w:color="auto"/>
                        <w:bottom w:val="none" w:sz="0" w:space="0" w:color="auto"/>
                        <w:right w:val="none" w:sz="0" w:space="0" w:color="auto"/>
                      </w:divBdr>
                      <w:divsChild>
                        <w:div w:id="623924933">
                          <w:marLeft w:val="0"/>
                          <w:marRight w:val="0"/>
                          <w:marTop w:val="0"/>
                          <w:marBottom w:val="0"/>
                          <w:divBdr>
                            <w:top w:val="none" w:sz="0" w:space="0" w:color="auto"/>
                            <w:left w:val="none" w:sz="0" w:space="0" w:color="auto"/>
                            <w:bottom w:val="none" w:sz="0" w:space="0" w:color="auto"/>
                            <w:right w:val="none" w:sz="0" w:space="0" w:color="auto"/>
                          </w:divBdr>
                        </w:div>
                      </w:divsChild>
                    </w:div>
                    <w:div w:id="1940139293">
                      <w:marLeft w:val="0"/>
                      <w:marRight w:val="0"/>
                      <w:marTop w:val="0"/>
                      <w:marBottom w:val="0"/>
                      <w:divBdr>
                        <w:top w:val="none" w:sz="0" w:space="0" w:color="auto"/>
                        <w:left w:val="none" w:sz="0" w:space="0" w:color="auto"/>
                        <w:bottom w:val="none" w:sz="0" w:space="0" w:color="auto"/>
                        <w:right w:val="none" w:sz="0" w:space="0" w:color="auto"/>
                      </w:divBdr>
                      <w:divsChild>
                        <w:div w:id="826440572">
                          <w:marLeft w:val="0"/>
                          <w:marRight w:val="0"/>
                          <w:marTop w:val="0"/>
                          <w:marBottom w:val="0"/>
                          <w:divBdr>
                            <w:top w:val="none" w:sz="0" w:space="0" w:color="auto"/>
                            <w:left w:val="none" w:sz="0" w:space="0" w:color="auto"/>
                            <w:bottom w:val="none" w:sz="0" w:space="0" w:color="auto"/>
                            <w:right w:val="none" w:sz="0" w:space="0" w:color="auto"/>
                          </w:divBdr>
                        </w:div>
                      </w:divsChild>
                    </w:div>
                    <w:div w:id="1945843186">
                      <w:marLeft w:val="0"/>
                      <w:marRight w:val="0"/>
                      <w:marTop w:val="0"/>
                      <w:marBottom w:val="0"/>
                      <w:divBdr>
                        <w:top w:val="none" w:sz="0" w:space="0" w:color="auto"/>
                        <w:left w:val="none" w:sz="0" w:space="0" w:color="auto"/>
                        <w:bottom w:val="none" w:sz="0" w:space="0" w:color="auto"/>
                        <w:right w:val="none" w:sz="0" w:space="0" w:color="auto"/>
                      </w:divBdr>
                      <w:divsChild>
                        <w:div w:id="1898124419">
                          <w:marLeft w:val="0"/>
                          <w:marRight w:val="0"/>
                          <w:marTop w:val="0"/>
                          <w:marBottom w:val="0"/>
                          <w:divBdr>
                            <w:top w:val="none" w:sz="0" w:space="0" w:color="auto"/>
                            <w:left w:val="none" w:sz="0" w:space="0" w:color="auto"/>
                            <w:bottom w:val="none" w:sz="0" w:space="0" w:color="auto"/>
                            <w:right w:val="none" w:sz="0" w:space="0" w:color="auto"/>
                          </w:divBdr>
                        </w:div>
                      </w:divsChild>
                    </w:div>
                    <w:div w:id="1946380028">
                      <w:marLeft w:val="0"/>
                      <w:marRight w:val="0"/>
                      <w:marTop w:val="0"/>
                      <w:marBottom w:val="0"/>
                      <w:divBdr>
                        <w:top w:val="none" w:sz="0" w:space="0" w:color="auto"/>
                        <w:left w:val="none" w:sz="0" w:space="0" w:color="auto"/>
                        <w:bottom w:val="none" w:sz="0" w:space="0" w:color="auto"/>
                        <w:right w:val="none" w:sz="0" w:space="0" w:color="auto"/>
                      </w:divBdr>
                      <w:divsChild>
                        <w:div w:id="1853371138">
                          <w:marLeft w:val="0"/>
                          <w:marRight w:val="0"/>
                          <w:marTop w:val="0"/>
                          <w:marBottom w:val="0"/>
                          <w:divBdr>
                            <w:top w:val="none" w:sz="0" w:space="0" w:color="auto"/>
                            <w:left w:val="none" w:sz="0" w:space="0" w:color="auto"/>
                            <w:bottom w:val="none" w:sz="0" w:space="0" w:color="auto"/>
                            <w:right w:val="none" w:sz="0" w:space="0" w:color="auto"/>
                          </w:divBdr>
                        </w:div>
                      </w:divsChild>
                    </w:div>
                    <w:div w:id="1948536305">
                      <w:marLeft w:val="0"/>
                      <w:marRight w:val="0"/>
                      <w:marTop w:val="0"/>
                      <w:marBottom w:val="0"/>
                      <w:divBdr>
                        <w:top w:val="none" w:sz="0" w:space="0" w:color="auto"/>
                        <w:left w:val="none" w:sz="0" w:space="0" w:color="auto"/>
                        <w:bottom w:val="none" w:sz="0" w:space="0" w:color="auto"/>
                        <w:right w:val="none" w:sz="0" w:space="0" w:color="auto"/>
                      </w:divBdr>
                      <w:divsChild>
                        <w:div w:id="41056171">
                          <w:marLeft w:val="0"/>
                          <w:marRight w:val="0"/>
                          <w:marTop w:val="0"/>
                          <w:marBottom w:val="0"/>
                          <w:divBdr>
                            <w:top w:val="none" w:sz="0" w:space="0" w:color="auto"/>
                            <w:left w:val="none" w:sz="0" w:space="0" w:color="auto"/>
                            <w:bottom w:val="none" w:sz="0" w:space="0" w:color="auto"/>
                            <w:right w:val="none" w:sz="0" w:space="0" w:color="auto"/>
                          </w:divBdr>
                        </w:div>
                      </w:divsChild>
                    </w:div>
                    <w:div w:id="1952854384">
                      <w:marLeft w:val="0"/>
                      <w:marRight w:val="0"/>
                      <w:marTop w:val="0"/>
                      <w:marBottom w:val="0"/>
                      <w:divBdr>
                        <w:top w:val="none" w:sz="0" w:space="0" w:color="auto"/>
                        <w:left w:val="none" w:sz="0" w:space="0" w:color="auto"/>
                        <w:bottom w:val="none" w:sz="0" w:space="0" w:color="auto"/>
                        <w:right w:val="none" w:sz="0" w:space="0" w:color="auto"/>
                      </w:divBdr>
                      <w:divsChild>
                        <w:div w:id="8878348">
                          <w:marLeft w:val="0"/>
                          <w:marRight w:val="0"/>
                          <w:marTop w:val="0"/>
                          <w:marBottom w:val="0"/>
                          <w:divBdr>
                            <w:top w:val="none" w:sz="0" w:space="0" w:color="auto"/>
                            <w:left w:val="none" w:sz="0" w:space="0" w:color="auto"/>
                            <w:bottom w:val="none" w:sz="0" w:space="0" w:color="auto"/>
                            <w:right w:val="none" w:sz="0" w:space="0" w:color="auto"/>
                          </w:divBdr>
                        </w:div>
                      </w:divsChild>
                    </w:div>
                    <w:div w:id="1962418212">
                      <w:marLeft w:val="0"/>
                      <w:marRight w:val="0"/>
                      <w:marTop w:val="0"/>
                      <w:marBottom w:val="0"/>
                      <w:divBdr>
                        <w:top w:val="none" w:sz="0" w:space="0" w:color="auto"/>
                        <w:left w:val="none" w:sz="0" w:space="0" w:color="auto"/>
                        <w:bottom w:val="none" w:sz="0" w:space="0" w:color="auto"/>
                        <w:right w:val="none" w:sz="0" w:space="0" w:color="auto"/>
                      </w:divBdr>
                      <w:divsChild>
                        <w:div w:id="517423745">
                          <w:marLeft w:val="0"/>
                          <w:marRight w:val="0"/>
                          <w:marTop w:val="0"/>
                          <w:marBottom w:val="0"/>
                          <w:divBdr>
                            <w:top w:val="none" w:sz="0" w:space="0" w:color="auto"/>
                            <w:left w:val="none" w:sz="0" w:space="0" w:color="auto"/>
                            <w:bottom w:val="none" w:sz="0" w:space="0" w:color="auto"/>
                            <w:right w:val="none" w:sz="0" w:space="0" w:color="auto"/>
                          </w:divBdr>
                        </w:div>
                      </w:divsChild>
                    </w:div>
                    <w:div w:id="1965696322">
                      <w:marLeft w:val="0"/>
                      <w:marRight w:val="0"/>
                      <w:marTop w:val="0"/>
                      <w:marBottom w:val="0"/>
                      <w:divBdr>
                        <w:top w:val="none" w:sz="0" w:space="0" w:color="auto"/>
                        <w:left w:val="none" w:sz="0" w:space="0" w:color="auto"/>
                        <w:bottom w:val="none" w:sz="0" w:space="0" w:color="auto"/>
                        <w:right w:val="none" w:sz="0" w:space="0" w:color="auto"/>
                      </w:divBdr>
                      <w:divsChild>
                        <w:div w:id="1471094609">
                          <w:marLeft w:val="0"/>
                          <w:marRight w:val="0"/>
                          <w:marTop w:val="0"/>
                          <w:marBottom w:val="0"/>
                          <w:divBdr>
                            <w:top w:val="none" w:sz="0" w:space="0" w:color="auto"/>
                            <w:left w:val="none" w:sz="0" w:space="0" w:color="auto"/>
                            <w:bottom w:val="none" w:sz="0" w:space="0" w:color="auto"/>
                            <w:right w:val="none" w:sz="0" w:space="0" w:color="auto"/>
                          </w:divBdr>
                        </w:div>
                      </w:divsChild>
                    </w:div>
                    <w:div w:id="1969432017">
                      <w:marLeft w:val="0"/>
                      <w:marRight w:val="0"/>
                      <w:marTop w:val="0"/>
                      <w:marBottom w:val="0"/>
                      <w:divBdr>
                        <w:top w:val="none" w:sz="0" w:space="0" w:color="auto"/>
                        <w:left w:val="none" w:sz="0" w:space="0" w:color="auto"/>
                        <w:bottom w:val="none" w:sz="0" w:space="0" w:color="auto"/>
                        <w:right w:val="none" w:sz="0" w:space="0" w:color="auto"/>
                      </w:divBdr>
                      <w:divsChild>
                        <w:div w:id="1202745592">
                          <w:marLeft w:val="0"/>
                          <w:marRight w:val="0"/>
                          <w:marTop w:val="0"/>
                          <w:marBottom w:val="0"/>
                          <w:divBdr>
                            <w:top w:val="none" w:sz="0" w:space="0" w:color="auto"/>
                            <w:left w:val="none" w:sz="0" w:space="0" w:color="auto"/>
                            <w:bottom w:val="none" w:sz="0" w:space="0" w:color="auto"/>
                            <w:right w:val="none" w:sz="0" w:space="0" w:color="auto"/>
                          </w:divBdr>
                        </w:div>
                      </w:divsChild>
                    </w:div>
                    <w:div w:id="1981687586">
                      <w:marLeft w:val="0"/>
                      <w:marRight w:val="0"/>
                      <w:marTop w:val="0"/>
                      <w:marBottom w:val="0"/>
                      <w:divBdr>
                        <w:top w:val="none" w:sz="0" w:space="0" w:color="auto"/>
                        <w:left w:val="none" w:sz="0" w:space="0" w:color="auto"/>
                        <w:bottom w:val="none" w:sz="0" w:space="0" w:color="auto"/>
                        <w:right w:val="none" w:sz="0" w:space="0" w:color="auto"/>
                      </w:divBdr>
                      <w:divsChild>
                        <w:div w:id="1637681252">
                          <w:marLeft w:val="0"/>
                          <w:marRight w:val="0"/>
                          <w:marTop w:val="0"/>
                          <w:marBottom w:val="0"/>
                          <w:divBdr>
                            <w:top w:val="none" w:sz="0" w:space="0" w:color="auto"/>
                            <w:left w:val="none" w:sz="0" w:space="0" w:color="auto"/>
                            <w:bottom w:val="none" w:sz="0" w:space="0" w:color="auto"/>
                            <w:right w:val="none" w:sz="0" w:space="0" w:color="auto"/>
                          </w:divBdr>
                        </w:div>
                      </w:divsChild>
                    </w:div>
                    <w:div w:id="1991716041">
                      <w:marLeft w:val="0"/>
                      <w:marRight w:val="0"/>
                      <w:marTop w:val="0"/>
                      <w:marBottom w:val="0"/>
                      <w:divBdr>
                        <w:top w:val="none" w:sz="0" w:space="0" w:color="auto"/>
                        <w:left w:val="none" w:sz="0" w:space="0" w:color="auto"/>
                        <w:bottom w:val="none" w:sz="0" w:space="0" w:color="auto"/>
                        <w:right w:val="none" w:sz="0" w:space="0" w:color="auto"/>
                      </w:divBdr>
                      <w:divsChild>
                        <w:div w:id="197352294">
                          <w:marLeft w:val="0"/>
                          <w:marRight w:val="0"/>
                          <w:marTop w:val="0"/>
                          <w:marBottom w:val="0"/>
                          <w:divBdr>
                            <w:top w:val="none" w:sz="0" w:space="0" w:color="auto"/>
                            <w:left w:val="none" w:sz="0" w:space="0" w:color="auto"/>
                            <w:bottom w:val="none" w:sz="0" w:space="0" w:color="auto"/>
                            <w:right w:val="none" w:sz="0" w:space="0" w:color="auto"/>
                          </w:divBdr>
                        </w:div>
                      </w:divsChild>
                    </w:div>
                    <w:div w:id="2001735657">
                      <w:marLeft w:val="0"/>
                      <w:marRight w:val="0"/>
                      <w:marTop w:val="0"/>
                      <w:marBottom w:val="0"/>
                      <w:divBdr>
                        <w:top w:val="none" w:sz="0" w:space="0" w:color="auto"/>
                        <w:left w:val="none" w:sz="0" w:space="0" w:color="auto"/>
                        <w:bottom w:val="none" w:sz="0" w:space="0" w:color="auto"/>
                        <w:right w:val="none" w:sz="0" w:space="0" w:color="auto"/>
                      </w:divBdr>
                      <w:divsChild>
                        <w:div w:id="239483858">
                          <w:marLeft w:val="0"/>
                          <w:marRight w:val="0"/>
                          <w:marTop w:val="0"/>
                          <w:marBottom w:val="0"/>
                          <w:divBdr>
                            <w:top w:val="none" w:sz="0" w:space="0" w:color="auto"/>
                            <w:left w:val="none" w:sz="0" w:space="0" w:color="auto"/>
                            <w:bottom w:val="none" w:sz="0" w:space="0" w:color="auto"/>
                            <w:right w:val="none" w:sz="0" w:space="0" w:color="auto"/>
                          </w:divBdr>
                        </w:div>
                      </w:divsChild>
                    </w:div>
                    <w:div w:id="2020813890">
                      <w:marLeft w:val="0"/>
                      <w:marRight w:val="0"/>
                      <w:marTop w:val="0"/>
                      <w:marBottom w:val="0"/>
                      <w:divBdr>
                        <w:top w:val="none" w:sz="0" w:space="0" w:color="auto"/>
                        <w:left w:val="none" w:sz="0" w:space="0" w:color="auto"/>
                        <w:bottom w:val="none" w:sz="0" w:space="0" w:color="auto"/>
                        <w:right w:val="none" w:sz="0" w:space="0" w:color="auto"/>
                      </w:divBdr>
                      <w:divsChild>
                        <w:div w:id="811563216">
                          <w:marLeft w:val="0"/>
                          <w:marRight w:val="0"/>
                          <w:marTop w:val="0"/>
                          <w:marBottom w:val="0"/>
                          <w:divBdr>
                            <w:top w:val="none" w:sz="0" w:space="0" w:color="auto"/>
                            <w:left w:val="none" w:sz="0" w:space="0" w:color="auto"/>
                            <w:bottom w:val="none" w:sz="0" w:space="0" w:color="auto"/>
                            <w:right w:val="none" w:sz="0" w:space="0" w:color="auto"/>
                          </w:divBdr>
                        </w:div>
                      </w:divsChild>
                    </w:div>
                    <w:div w:id="2020961904">
                      <w:marLeft w:val="0"/>
                      <w:marRight w:val="0"/>
                      <w:marTop w:val="0"/>
                      <w:marBottom w:val="0"/>
                      <w:divBdr>
                        <w:top w:val="none" w:sz="0" w:space="0" w:color="auto"/>
                        <w:left w:val="none" w:sz="0" w:space="0" w:color="auto"/>
                        <w:bottom w:val="none" w:sz="0" w:space="0" w:color="auto"/>
                        <w:right w:val="none" w:sz="0" w:space="0" w:color="auto"/>
                      </w:divBdr>
                      <w:divsChild>
                        <w:div w:id="693381813">
                          <w:marLeft w:val="0"/>
                          <w:marRight w:val="0"/>
                          <w:marTop w:val="0"/>
                          <w:marBottom w:val="0"/>
                          <w:divBdr>
                            <w:top w:val="none" w:sz="0" w:space="0" w:color="auto"/>
                            <w:left w:val="none" w:sz="0" w:space="0" w:color="auto"/>
                            <w:bottom w:val="none" w:sz="0" w:space="0" w:color="auto"/>
                            <w:right w:val="none" w:sz="0" w:space="0" w:color="auto"/>
                          </w:divBdr>
                        </w:div>
                      </w:divsChild>
                    </w:div>
                    <w:div w:id="2021926670">
                      <w:marLeft w:val="0"/>
                      <w:marRight w:val="0"/>
                      <w:marTop w:val="0"/>
                      <w:marBottom w:val="0"/>
                      <w:divBdr>
                        <w:top w:val="none" w:sz="0" w:space="0" w:color="auto"/>
                        <w:left w:val="none" w:sz="0" w:space="0" w:color="auto"/>
                        <w:bottom w:val="none" w:sz="0" w:space="0" w:color="auto"/>
                        <w:right w:val="none" w:sz="0" w:space="0" w:color="auto"/>
                      </w:divBdr>
                      <w:divsChild>
                        <w:div w:id="764502346">
                          <w:marLeft w:val="0"/>
                          <w:marRight w:val="0"/>
                          <w:marTop w:val="0"/>
                          <w:marBottom w:val="0"/>
                          <w:divBdr>
                            <w:top w:val="none" w:sz="0" w:space="0" w:color="auto"/>
                            <w:left w:val="none" w:sz="0" w:space="0" w:color="auto"/>
                            <w:bottom w:val="none" w:sz="0" w:space="0" w:color="auto"/>
                            <w:right w:val="none" w:sz="0" w:space="0" w:color="auto"/>
                          </w:divBdr>
                        </w:div>
                      </w:divsChild>
                    </w:div>
                    <w:div w:id="2021930248">
                      <w:marLeft w:val="0"/>
                      <w:marRight w:val="0"/>
                      <w:marTop w:val="0"/>
                      <w:marBottom w:val="0"/>
                      <w:divBdr>
                        <w:top w:val="none" w:sz="0" w:space="0" w:color="auto"/>
                        <w:left w:val="none" w:sz="0" w:space="0" w:color="auto"/>
                        <w:bottom w:val="none" w:sz="0" w:space="0" w:color="auto"/>
                        <w:right w:val="none" w:sz="0" w:space="0" w:color="auto"/>
                      </w:divBdr>
                      <w:divsChild>
                        <w:div w:id="1852134612">
                          <w:marLeft w:val="0"/>
                          <w:marRight w:val="0"/>
                          <w:marTop w:val="0"/>
                          <w:marBottom w:val="0"/>
                          <w:divBdr>
                            <w:top w:val="none" w:sz="0" w:space="0" w:color="auto"/>
                            <w:left w:val="none" w:sz="0" w:space="0" w:color="auto"/>
                            <w:bottom w:val="none" w:sz="0" w:space="0" w:color="auto"/>
                            <w:right w:val="none" w:sz="0" w:space="0" w:color="auto"/>
                          </w:divBdr>
                        </w:div>
                      </w:divsChild>
                    </w:div>
                    <w:div w:id="2027901946">
                      <w:marLeft w:val="0"/>
                      <w:marRight w:val="0"/>
                      <w:marTop w:val="0"/>
                      <w:marBottom w:val="0"/>
                      <w:divBdr>
                        <w:top w:val="none" w:sz="0" w:space="0" w:color="auto"/>
                        <w:left w:val="none" w:sz="0" w:space="0" w:color="auto"/>
                        <w:bottom w:val="none" w:sz="0" w:space="0" w:color="auto"/>
                        <w:right w:val="none" w:sz="0" w:space="0" w:color="auto"/>
                      </w:divBdr>
                      <w:divsChild>
                        <w:div w:id="1885867869">
                          <w:marLeft w:val="0"/>
                          <w:marRight w:val="0"/>
                          <w:marTop w:val="0"/>
                          <w:marBottom w:val="0"/>
                          <w:divBdr>
                            <w:top w:val="none" w:sz="0" w:space="0" w:color="auto"/>
                            <w:left w:val="none" w:sz="0" w:space="0" w:color="auto"/>
                            <w:bottom w:val="none" w:sz="0" w:space="0" w:color="auto"/>
                            <w:right w:val="none" w:sz="0" w:space="0" w:color="auto"/>
                          </w:divBdr>
                        </w:div>
                      </w:divsChild>
                    </w:div>
                    <w:div w:id="2027973135">
                      <w:marLeft w:val="0"/>
                      <w:marRight w:val="0"/>
                      <w:marTop w:val="0"/>
                      <w:marBottom w:val="0"/>
                      <w:divBdr>
                        <w:top w:val="none" w:sz="0" w:space="0" w:color="auto"/>
                        <w:left w:val="none" w:sz="0" w:space="0" w:color="auto"/>
                        <w:bottom w:val="none" w:sz="0" w:space="0" w:color="auto"/>
                        <w:right w:val="none" w:sz="0" w:space="0" w:color="auto"/>
                      </w:divBdr>
                      <w:divsChild>
                        <w:div w:id="2109042048">
                          <w:marLeft w:val="0"/>
                          <w:marRight w:val="0"/>
                          <w:marTop w:val="0"/>
                          <w:marBottom w:val="0"/>
                          <w:divBdr>
                            <w:top w:val="none" w:sz="0" w:space="0" w:color="auto"/>
                            <w:left w:val="none" w:sz="0" w:space="0" w:color="auto"/>
                            <w:bottom w:val="none" w:sz="0" w:space="0" w:color="auto"/>
                            <w:right w:val="none" w:sz="0" w:space="0" w:color="auto"/>
                          </w:divBdr>
                        </w:div>
                      </w:divsChild>
                    </w:div>
                    <w:div w:id="2032296985">
                      <w:marLeft w:val="0"/>
                      <w:marRight w:val="0"/>
                      <w:marTop w:val="0"/>
                      <w:marBottom w:val="0"/>
                      <w:divBdr>
                        <w:top w:val="none" w:sz="0" w:space="0" w:color="auto"/>
                        <w:left w:val="none" w:sz="0" w:space="0" w:color="auto"/>
                        <w:bottom w:val="none" w:sz="0" w:space="0" w:color="auto"/>
                        <w:right w:val="none" w:sz="0" w:space="0" w:color="auto"/>
                      </w:divBdr>
                      <w:divsChild>
                        <w:div w:id="1972782745">
                          <w:marLeft w:val="0"/>
                          <w:marRight w:val="0"/>
                          <w:marTop w:val="0"/>
                          <w:marBottom w:val="0"/>
                          <w:divBdr>
                            <w:top w:val="none" w:sz="0" w:space="0" w:color="auto"/>
                            <w:left w:val="none" w:sz="0" w:space="0" w:color="auto"/>
                            <w:bottom w:val="none" w:sz="0" w:space="0" w:color="auto"/>
                            <w:right w:val="none" w:sz="0" w:space="0" w:color="auto"/>
                          </w:divBdr>
                        </w:div>
                      </w:divsChild>
                    </w:div>
                    <w:div w:id="2033022074">
                      <w:marLeft w:val="0"/>
                      <w:marRight w:val="0"/>
                      <w:marTop w:val="0"/>
                      <w:marBottom w:val="0"/>
                      <w:divBdr>
                        <w:top w:val="none" w:sz="0" w:space="0" w:color="auto"/>
                        <w:left w:val="none" w:sz="0" w:space="0" w:color="auto"/>
                        <w:bottom w:val="none" w:sz="0" w:space="0" w:color="auto"/>
                        <w:right w:val="none" w:sz="0" w:space="0" w:color="auto"/>
                      </w:divBdr>
                      <w:divsChild>
                        <w:div w:id="1668552121">
                          <w:marLeft w:val="0"/>
                          <w:marRight w:val="0"/>
                          <w:marTop w:val="0"/>
                          <w:marBottom w:val="0"/>
                          <w:divBdr>
                            <w:top w:val="none" w:sz="0" w:space="0" w:color="auto"/>
                            <w:left w:val="none" w:sz="0" w:space="0" w:color="auto"/>
                            <w:bottom w:val="none" w:sz="0" w:space="0" w:color="auto"/>
                            <w:right w:val="none" w:sz="0" w:space="0" w:color="auto"/>
                          </w:divBdr>
                        </w:div>
                      </w:divsChild>
                    </w:div>
                    <w:div w:id="2043357060">
                      <w:marLeft w:val="0"/>
                      <w:marRight w:val="0"/>
                      <w:marTop w:val="0"/>
                      <w:marBottom w:val="0"/>
                      <w:divBdr>
                        <w:top w:val="none" w:sz="0" w:space="0" w:color="auto"/>
                        <w:left w:val="none" w:sz="0" w:space="0" w:color="auto"/>
                        <w:bottom w:val="none" w:sz="0" w:space="0" w:color="auto"/>
                        <w:right w:val="none" w:sz="0" w:space="0" w:color="auto"/>
                      </w:divBdr>
                      <w:divsChild>
                        <w:div w:id="2014991619">
                          <w:marLeft w:val="0"/>
                          <w:marRight w:val="0"/>
                          <w:marTop w:val="0"/>
                          <w:marBottom w:val="0"/>
                          <w:divBdr>
                            <w:top w:val="none" w:sz="0" w:space="0" w:color="auto"/>
                            <w:left w:val="none" w:sz="0" w:space="0" w:color="auto"/>
                            <w:bottom w:val="none" w:sz="0" w:space="0" w:color="auto"/>
                            <w:right w:val="none" w:sz="0" w:space="0" w:color="auto"/>
                          </w:divBdr>
                        </w:div>
                      </w:divsChild>
                    </w:div>
                    <w:div w:id="2044020223">
                      <w:marLeft w:val="0"/>
                      <w:marRight w:val="0"/>
                      <w:marTop w:val="0"/>
                      <w:marBottom w:val="0"/>
                      <w:divBdr>
                        <w:top w:val="none" w:sz="0" w:space="0" w:color="auto"/>
                        <w:left w:val="none" w:sz="0" w:space="0" w:color="auto"/>
                        <w:bottom w:val="none" w:sz="0" w:space="0" w:color="auto"/>
                        <w:right w:val="none" w:sz="0" w:space="0" w:color="auto"/>
                      </w:divBdr>
                      <w:divsChild>
                        <w:div w:id="1840928297">
                          <w:marLeft w:val="0"/>
                          <w:marRight w:val="0"/>
                          <w:marTop w:val="0"/>
                          <w:marBottom w:val="0"/>
                          <w:divBdr>
                            <w:top w:val="none" w:sz="0" w:space="0" w:color="auto"/>
                            <w:left w:val="none" w:sz="0" w:space="0" w:color="auto"/>
                            <w:bottom w:val="none" w:sz="0" w:space="0" w:color="auto"/>
                            <w:right w:val="none" w:sz="0" w:space="0" w:color="auto"/>
                          </w:divBdr>
                        </w:div>
                      </w:divsChild>
                    </w:div>
                    <w:div w:id="2044359489">
                      <w:marLeft w:val="0"/>
                      <w:marRight w:val="0"/>
                      <w:marTop w:val="0"/>
                      <w:marBottom w:val="0"/>
                      <w:divBdr>
                        <w:top w:val="none" w:sz="0" w:space="0" w:color="auto"/>
                        <w:left w:val="none" w:sz="0" w:space="0" w:color="auto"/>
                        <w:bottom w:val="none" w:sz="0" w:space="0" w:color="auto"/>
                        <w:right w:val="none" w:sz="0" w:space="0" w:color="auto"/>
                      </w:divBdr>
                      <w:divsChild>
                        <w:div w:id="1106583594">
                          <w:marLeft w:val="0"/>
                          <w:marRight w:val="0"/>
                          <w:marTop w:val="0"/>
                          <w:marBottom w:val="0"/>
                          <w:divBdr>
                            <w:top w:val="none" w:sz="0" w:space="0" w:color="auto"/>
                            <w:left w:val="none" w:sz="0" w:space="0" w:color="auto"/>
                            <w:bottom w:val="none" w:sz="0" w:space="0" w:color="auto"/>
                            <w:right w:val="none" w:sz="0" w:space="0" w:color="auto"/>
                          </w:divBdr>
                        </w:div>
                      </w:divsChild>
                    </w:div>
                    <w:div w:id="2062553786">
                      <w:marLeft w:val="0"/>
                      <w:marRight w:val="0"/>
                      <w:marTop w:val="0"/>
                      <w:marBottom w:val="0"/>
                      <w:divBdr>
                        <w:top w:val="none" w:sz="0" w:space="0" w:color="auto"/>
                        <w:left w:val="none" w:sz="0" w:space="0" w:color="auto"/>
                        <w:bottom w:val="none" w:sz="0" w:space="0" w:color="auto"/>
                        <w:right w:val="none" w:sz="0" w:space="0" w:color="auto"/>
                      </w:divBdr>
                      <w:divsChild>
                        <w:div w:id="1325551758">
                          <w:marLeft w:val="0"/>
                          <w:marRight w:val="0"/>
                          <w:marTop w:val="0"/>
                          <w:marBottom w:val="0"/>
                          <w:divBdr>
                            <w:top w:val="none" w:sz="0" w:space="0" w:color="auto"/>
                            <w:left w:val="none" w:sz="0" w:space="0" w:color="auto"/>
                            <w:bottom w:val="none" w:sz="0" w:space="0" w:color="auto"/>
                            <w:right w:val="none" w:sz="0" w:space="0" w:color="auto"/>
                          </w:divBdr>
                        </w:div>
                      </w:divsChild>
                    </w:div>
                    <w:div w:id="2062895469">
                      <w:marLeft w:val="0"/>
                      <w:marRight w:val="0"/>
                      <w:marTop w:val="0"/>
                      <w:marBottom w:val="0"/>
                      <w:divBdr>
                        <w:top w:val="none" w:sz="0" w:space="0" w:color="auto"/>
                        <w:left w:val="none" w:sz="0" w:space="0" w:color="auto"/>
                        <w:bottom w:val="none" w:sz="0" w:space="0" w:color="auto"/>
                        <w:right w:val="none" w:sz="0" w:space="0" w:color="auto"/>
                      </w:divBdr>
                      <w:divsChild>
                        <w:div w:id="1227642559">
                          <w:marLeft w:val="0"/>
                          <w:marRight w:val="0"/>
                          <w:marTop w:val="0"/>
                          <w:marBottom w:val="0"/>
                          <w:divBdr>
                            <w:top w:val="none" w:sz="0" w:space="0" w:color="auto"/>
                            <w:left w:val="none" w:sz="0" w:space="0" w:color="auto"/>
                            <w:bottom w:val="none" w:sz="0" w:space="0" w:color="auto"/>
                            <w:right w:val="none" w:sz="0" w:space="0" w:color="auto"/>
                          </w:divBdr>
                        </w:div>
                      </w:divsChild>
                    </w:div>
                    <w:div w:id="2064329064">
                      <w:marLeft w:val="0"/>
                      <w:marRight w:val="0"/>
                      <w:marTop w:val="0"/>
                      <w:marBottom w:val="0"/>
                      <w:divBdr>
                        <w:top w:val="none" w:sz="0" w:space="0" w:color="auto"/>
                        <w:left w:val="none" w:sz="0" w:space="0" w:color="auto"/>
                        <w:bottom w:val="none" w:sz="0" w:space="0" w:color="auto"/>
                        <w:right w:val="none" w:sz="0" w:space="0" w:color="auto"/>
                      </w:divBdr>
                      <w:divsChild>
                        <w:div w:id="1233154573">
                          <w:marLeft w:val="0"/>
                          <w:marRight w:val="0"/>
                          <w:marTop w:val="0"/>
                          <w:marBottom w:val="0"/>
                          <w:divBdr>
                            <w:top w:val="none" w:sz="0" w:space="0" w:color="auto"/>
                            <w:left w:val="none" w:sz="0" w:space="0" w:color="auto"/>
                            <w:bottom w:val="none" w:sz="0" w:space="0" w:color="auto"/>
                            <w:right w:val="none" w:sz="0" w:space="0" w:color="auto"/>
                          </w:divBdr>
                        </w:div>
                      </w:divsChild>
                    </w:div>
                    <w:div w:id="2065174006">
                      <w:marLeft w:val="0"/>
                      <w:marRight w:val="0"/>
                      <w:marTop w:val="0"/>
                      <w:marBottom w:val="0"/>
                      <w:divBdr>
                        <w:top w:val="none" w:sz="0" w:space="0" w:color="auto"/>
                        <w:left w:val="none" w:sz="0" w:space="0" w:color="auto"/>
                        <w:bottom w:val="none" w:sz="0" w:space="0" w:color="auto"/>
                        <w:right w:val="none" w:sz="0" w:space="0" w:color="auto"/>
                      </w:divBdr>
                      <w:divsChild>
                        <w:div w:id="1643535263">
                          <w:marLeft w:val="0"/>
                          <w:marRight w:val="0"/>
                          <w:marTop w:val="0"/>
                          <w:marBottom w:val="0"/>
                          <w:divBdr>
                            <w:top w:val="none" w:sz="0" w:space="0" w:color="auto"/>
                            <w:left w:val="none" w:sz="0" w:space="0" w:color="auto"/>
                            <w:bottom w:val="none" w:sz="0" w:space="0" w:color="auto"/>
                            <w:right w:val="none" w:sz="0" w:space="0" w:color="auto"/>
                          </w:divBdr>
                        </w:div>
                      </w:divsChild>
                    </w:div>
                    <w:div w:id="2065790138">
                      <w:marLeft w:val="0"/>
                      <w:marRight w:val="0"/>
                      <w:marTop w:val="0"/>
                      <w:marBottom w:val="0"/>
                      <w:divBdr>
                        <w:top w:val="none" w:sz="0" w:space="0" w:color="auto"/>
                        <w:left w:val="none" w:sz="0" w:space="0" w:color="auto"/>
                        <w:bottom w:val="none" w:sz="0" w:space="0" w:color="auto"/>
                        <w:right w:val="none" w:sz="0" w:space="0" w:color="auto"/>
                      </w:divBdr>
                      <w:divsChild>
                        <w:div w:id="1666012249">
                          <w:marLeft w:val="0"/>
                          <w:marRight w:val="0"/>
                          <w:marTop w:val="0"/>
                          <w:marBottom w:val="0"/>
                          <w:divBdr>
                            <w:top w:val="none" w:sz="0" w:space="0" w:color="auto"/>
                            <w:left w:val="none" w:sz="0" w:space="0" w:color="auto"/>
                            <w:bottom w:val="none" w:sz="0" w:space="0" w:color="auto"/>
                            <w:right w:val="none" w:sz="0" w:space="0" w:color="auto"/>
                          </w:divBdr>
                        </w:div>
                      </w:divsChild>
                    </w:div>
                    <w:div w:id="2065981398">
                      <w:marLeft w:val="0"/>
                      <w:marRight w:val="0"/>
                      <w:marTop w:val="0"/>
                      <w:marBottom w:val="0"/>
                      <w:divBdr>
                        <w:top w:val="none" w:sz="0" w:space="0" w:color="auto"/>
                        <w:left w:val="none" w:sz="0" w:space="0" w:color="auto"/>
                        <w:bottom w:val="none" w:sz="0" w:space="0" w:color="auto"/>
                        <w:right w:val="none" w:sz="0" w:space="0" w:color="auto"/>
                      </w:divBdr>
                      <w:divsChild>
                        <w:div w:id="1591163558">
                          <w:marLeft w:val="0"/>
                          <w:marRight w:val="0"/>
                          <w:marTop w:val="0"/>
                          <w:marBottom w:val="0"/>
                          <w:divBdr>
                            <w:top w:val="none" w:sz="0" w:space="0" w:color="auto"/>
                            <w:left w:val="none" w:sz="0" w:space="0" w:color="auto"/>
                            <w:bottom w:val="none" w:sz="0" w:space="0" w:color="auto"/>
                            <w:right w:val="none" w:sz="0" w:space="0" w:color="auto"/>
                          </w:divBdr>
                        </w:div>
                      </w:divsChild>
                    </w:div>
                    <w:div w:id="2071688821">
                      <w:marLeft w:val="0"/>
                      <w:marRight w:val="0"/>
                      <w:marTop w:val="0"/>
                      <w:marBottom w:val="0"/>
                      <w:divBdr>
                        <w:top w:val="none" w:sz="0" w:space="0" w:color="auto"/>
                        <w:left w:val="none" w:sz="0" w:space="0" w:color="auto"/>
                        <w:bottom w:val="none" w:sz="0" w:space="0" w:color="auto"/>
                        <w:right w:val="none" w:sz="0" w:space="0" w:color="auto"/>
                      </w:divBdr>
                      <w:divsChild>
                        <w:div w:id="371393569">
                          <w:marLeft w:val="0"/>
                          <w:marRight w:val="0"/>
                          <w:marTop w:val="0"/>
                          <w:marBottom w:val="0"/>
                          <w:divBdr>
                            <w:top w:val="none" w:sz="0" w:space="0" w:color="auto"/>
                            <w:left w:val="none" w:sz="0" w:space="0" w:color="auto"/>
                            <w:bottom w:val="none" w:sz="0" w:space="0" w:color="auto"/>
                            <w:right w:val="none" w:sz="0" w:space="0" w:color="auto"/>
                          </w:divBdr>
                        </w:div>
                      </w:divsChild>
                    </w:div>
                    <w:div w:id="2087143794">
                      <w:marLeft w:val="0"/>
                      <w:marRight w:val="0"/>
                      <w:marTop w:val="0"/>
                      <w:marBottom w:val="0"/>
                      <w:divBdr>
                        <w:top w:val="none" w:sz="0" w:space="0" w:color="auto"/>
                        <w:left w:val="none" w:sz="0" w:space="0" w:color="auto"/>
                        <w:bottom w:val="none" w:sz="0" w:space="0" w:color="auto"/>
                        <w:right w:val="none" w:sz="0" w:space="0" w:color="auto"/>
                      </w:divBdr>
                      <w:divsChild>
                        <w:div w:id="1929658069">
                          <w:marLeft w:val="0"/>
                          <w:marRight w:val="0"/>
                          <w:marTop w:val="0"/>
                          <w:marBottom w:val="0"/>
                          <w:divBdr>
                            <w:top w:val="none" w:sz="0" w:space="0" w:color="auto"/>
                            <w:left w:val="none" w:sz="0" w:space="0" w:color="auto"/>
                            <w:bottom w:val="none" w:sz="0" w:space="0" w:color="auto"/>
                            <w:right w:val="none" w:sz="0" w:space="0" w:color="auto"/>
                          </w:divBdr>
                        </w:div>
                      </w:divsChild>
                    </w:div>
                    <w:div w:id="2096703924">
                      <w:marLeft w:val="0"/>
                      <w:marRight w:val="0"/>
                      <w:marTop w:val="0"/>
                      <w:marBottom w:val="0"/>
                      <w:divBdr>
                        <w:top w:val="none" w:sz="0" w:space="0" w:color="auto"/>
                        <w:left w:val="none" w:sz="0" w:space="0" w:color="auto"/>
                        <w:bottom w:val="none" w:sz="0" w:space="0" w:color="auto"/>
                        <w:right w:val="none" w:sz="0" w:space="0" w:color="auto"/>
                      </w:divBdr>
                      <w:divsChild>
                        <w:div w:id="396242874">
                          <w:marLeft w:val="0"/>
                          <w:marRight w:val="0"/>
                          <w:marTop w:val="0"/>
                          <w:marBottom w:val="0"/>
                          <w:divBdr>
                            <w:top w:val="none" w:sz="0" w:space="0" w:color="auto"/>
                            <w:left w:val="none" w:sz="0" w:space="0" w:color="auto"/>
                            <w:bottom w:val="none" w:sz="0" w:space="0" w:color="auto"/>
                            <w:right w:val="none" w:sz="0" w:space="0" w:color="auto"/>
                          </w:divBdr>
                        </w:div>
                      </w:divsChild>
                    </w:div>
                    <w:div w:id="2103378897">
                      <w:marLeft w:val="0"/>
                      <w:marRight w:val="0"/>
                      <w:marTop w:val="0"/>
                      <w:marBottom w:val="0"/>
                      <w:divBdr>
                        <w:top w:val="none" w:sz="0" w:space="0" w:color="auto"/>
                        <w:left w:val="none" w:sz="0" w:space="0" w:color="auto"/>
                        <w:bottom w:val="none" w:sz="0" w:space="0" w:color="auto"/>
                        <w:right w:val="none" w:sz="0" w:space="0" w:color="auto"/>
                      </w:divBdr>
                      <w:divsChild>
                        <w:div w:id="1644114510">
                          <w:marLeft w:val="0"/>
                          <w:marRight w:val="0"/>
                          <w:marTop w:val="0"/>
                          <w:marBottom w:val="0"/>
                          <w:divBdr>
                            <w:top w:val="none" w:sz="0" w:space="0" w:color="auto"/>
                            <w:left w:val="none" w:sz="0" w:space="0" w:color="auto"/>
                            <w:bottom w:val="none" w:sz="0" w:space="0" w:color="auto"/>
                            <w:right w:val="none" w:sz="0" w:space="0" w:color="auto"/>
                          </w:divBdr>
                        </w:div>
                      </w:divsChild>
                    </w:div>
                    <w:div w:id="2103455837">
                      <w:marLeft w:val="0"/>
                      <w:marRight w:val="0"/>
                      <w:marTop w:val="0"/>
                      <w:marBottom w:val="0"/>
                      <w:divBdr>
                        <w:top w:val="none" w:sz="0" w:space="0" w:color="auto"/>
                        <w:left w:val="none" w:sz="0" w:space="0" w:color="auto"/>
                        <w:bottom w:val="none" w:sz="0" w:space="0" w:color="auto"/>
                        <w:right w:val="none" w:sz="0" w:space="0" w:color="auto"/>
                      </w:divBdr>
                      <w:divsChild>
                        <w:div w:id="1818689706">
                          <w:marLeft w:val="0"/>
                          <w:marRight w:val="0"/>
                          <w:marTop w:val="0"/>
                          <w:marBottom w:val="0"/>
                          <w:divBdr>
                            <w:top w:val="none" w:sz="0" w:space="0" w:color="auto"/>
                            <w:left w:val="none" w:sz="0" w:space="0" w:color="auto"/>
                            <w:bottom w:val="none" w:sz="0" w:space="0" w:color="auto"/>
                            <w:right w:val="none" w:sz="0" w:space="0" w:color="auto"/>
                          </w:divBdr>
                        </w:div>
                      </w:divsChild>
                    </w:div>
                    <w:div w:id="2106460227">
                      <w:marLeft w:val="0"/>
                      <w:marRight w:val="0"/>
                      <w:marTop w:val="0"/>
                      <w:marBottom w:val="0"/>
                      <w:divBdr>
                        <w:top w:val="none" w:sz="0" w:space="0" w:color="auto"/>
                        <w:left w:val="none" w:sz="0" w:space="0" w:color="auto"/>
                        <w:bottom w:val="none" w:sz="0" w:space="0" w:color="auto"/>
                        <w:right w:val="none" w:sz="0" w:space="0" w:color="auto"/>
                      </w:divBdr>
                      <w:divsChild>
                        <w:div w:id="1344629757">
                          <w:marLeft w:val="0"/>
                          <w:marRight w:val="0"/>
                          <w:marTop w:val="0"/>
                          <w:marBottom w:val="0"/>
                          <w:divBdr>
                            <w:top w:val="none" w:sz="0" w:space="0" w:color="auto"/>
                            <w:left w:val="none" w:sz="0" w:space="0" w:color="auto"/>
                            <w:bottom w:val="none" w:sz="0" w:space="0" w:color="auto"/>
                            <w:right w:val="none" w:sz="0" w:space="0" w:color="auto"/>
                          </w:divBdr>
                        </w:div>
                      </w:divsChild>
                    </w:div>
                    <w:div w:id="2111117933">
                      <w:marLeft w:val="0"/>
                      <w:marRight w:val="0"/>
                      <w:marTop w:val="0"/>
                      <w:marBottom w:val="0"/>
                      <w:divBdr>
                        <w:top w:val="none" w:sz="0" w:space="0" w:color="auto"/>
                        <w:left w:val="none" w:sz="0" w:space="0" w:color="auto"/>
                        <w:bottom w:val="none" w:sz="0" w:space="0" w:color="auto"/>
                        <w:right w:val="none" w:sz="0" w:space="0" w:color="auto"/>
                      </w:divBdr>
                      <w:divsChild>
                        <w:div w:id="1608804459">
                          <w:marLeft w:val="0"/>
                          <w:marRight w:val="0"/>
                          <w:marTop w:val="0"/>
                          <w:marBottom w:val="0"/>
                          <w:divBdr>
                            <w:top w:val="none" w:sz="0" w:space="0" w:color="auto"/>
                            <w:left w:val="none" w:sz="0" w:space="0" w:color="auto"/>
                            <w:bottom w:val="none" w:sz="0" w:space="0" w:color="auto"/>
                            <w:right w:val="none" w:sz="0" w:space="0" w:color="auto"/>
                          </w:divBdr>
                        </w:div>
                      </w:divsChild>
                    </w:div>
                    <w:div w:id="2122336300">
                      <w:marLeft w:val="0"/>
                      <w:marRight w:val="0"/>
                      <w:marTop w:val="0"/>
                      <w:marBottom w:val="0"/>
                      <w:divBdr>
                        <w:top w:val="none" w:sz="0" w:space="0" w:color="auto"/>
                        <w:left w:val="none" w:sz="0" w:space="0" w:color="auto"/>
                        <w:bottom w:val="none" w:sz="0" w:space="0" w:color="auto"/>
                        <w:right w:val="none" w:sz="0" w:space="0" w:color="auto"/>
                      </w:divBdr>
                      <w:divsChild>
                        <w:div w:id="7951649">
                          <w:marLeft w:val="0"/>
                          <w:marRight w:val="0"/>
                          <w:marTop w:val="0"/>
                          <w:marBottom w:val="0"/>
                          <w:divBdr>
                            <w:top w:val="none" w:sz="0" w:space="0" w:color="auto"/>
                            <w:left w:val="none" w:sz="0" w:space="0" w:color="auto"/>
                            <w:bottom w:val="none" w:sz="0" w:space="0" w:color="auto"/>
                            <w:right w:val="none" w:sz="0" w:space="0" w:color="auto"/>
                          </w:divBdr>
                        </w:div>
                      </w:divsChild>
                    </w:div>
                    <w:div w:id="2128162338">
                      <w:marLeft w:val="0"/>
                      <w:marRight w:val="0"/>
                      <w:marTop w:val="0"/>
                      <w:marBottom w:val="0"/>
                      <w:divBdr>
                        <w:top w:val="none" w:sz="0" w:space="0" w:color="auto"/>
                        <w:left w:val="none" w:sz="0" w:space="0" w:color="auto"/>
                        <w:bottom w:val="none" w:sz="0" w:space="0" w:color="auto"/>
                        <w:right w:val="none" w:sz="0" w:space="0" w:color="auto"/>
                      </w:divBdr>
                      <w:divsChild>
                        <w:div w:id="631060827">
                          <w:marLeft w:val="0"/>
                          <w:marRight w:val="0"/>
                          <w:marTop w:val="0"/>
                          <w:marBottom w:val="0"/>
                          <w:divBdr>
                            <w:top w:val="none" w:sz="0" w:space="0" w:color="auto"/>
                            <w:left w:val="none" w:sz="0" w:space="0" w:color="auto"/>
                            <w:bottom w:val="none" w:sz="0" w:space="0" w:color="auto"/>
                            <w:right w:val="none" w:sz="0" w:space="0" w:color="auto"/>
                          </w:divBdr>
                        </w:div>
                      </w:divsChild>
                    </w:div>
                    <w:div w:id="2129276619">
                      <w:marLeft w:val="0"/>
                      <w:marRight w:val="0"/>
                      <w:marTop w:val="0"/>
                      <w:marBottom w:val="0"/>
                      <w:divBdr>
                        <w:top w:val="none" w:sz="0" w:space="0" w:color="auto"/>
                        <w:left w:val="none" w:sz="0" w:space="0" w:color="auto"/>
                        <w:bottom w:val="none" w:sz="0" w:space="0" w:color="auto"/>
                        <w:right w:val="none" w:sz="0" w:space="0" w:color="auto"/>
                      </w:divBdr>
                      <w:divsChild>
                        <w:div w:id="786392108">
                          <w:marLeft w:val="0"/>
                          <w:marRight w:val="0"/>
                          <w:marTop w:val="0"/>
                          <w:marBottom w:val="0"/>
                          <w:divBdr>
                            <w:top w:val="none" w:sz="0" w:space="0" w:color="auto"/>
                            <w:left w:val="none" w:sz="0" w:space="0" w:color="auto"/>
                            <w:bottom w:val="none" w:sz="0" w:space="0" w:color="auto"/>
                            <w:right w:val="none" w:sz="0" w:space="0" w:color="auto"/>
                          </w:divBdr>
                        </w:div>
                      </w:divsChild>
                    </w:div>
                    <w:div w:id="2141923541">
                      <w:marLeft w:val="0"/>
                      <w:marRight w:val="0"/>
                      <w:marTop w:val="0"/>
                      <w:marBottom w:val="0"/>
                      <w:divBdr>
                        <w:top w:val="none" w:sz="0" w:space="0" w:color="auto"/>
                        <w:left w:val="none" w:sz="0" w:space="0" w:color="auto"/>
                        <w:bottom w:val="none" w:sz="0" w:space="0" w:color="auto"/>
                        <w:right w:val="none" w:sz="0" w:space="0" w:color="auto"/>
                      </w:divBdr>
                      <w:divsChild>
                        <w:div w:id="198518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hyperlink" Target="https://eur03.safelinks.protection.outlook.com/?url=https%3A%2F%2Fgithub.com%2Fvladaron%2FCRPS_QST&amp;data=05%7C02%7Cmarc-henri.louis%40uclouvain.be%7Cc177cba1bf414a56364d08dc5a1d8311%7C7ab090d4fa2e4ecfbc7c4127b4d582ec%7C1%7C0%7C638484329990057188%7CUnknown%7CTWFpbGZsb3d8eyJWIjoiMC4wLjAwMDAiLCJQIjoiV2luMzIiLCJBTiI6Ik1haWwiLCJXVCI6Mn0%3D%7C0%7C%7C%7C&amp;sdata=oCoBckK%2B2ZUBbtWxjISkpwipQsxfCvcsAjLvTJFI77g%3D&amp;reserved=0" TargetMode="External" Id="rId13" /><Relationship Type="http://schemas.microsoft.com/office/2011/relationships/people" Target="people.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footnotes" Target="footnotes.xml" Id="rId6" /><Relationship Type="http://schemas.microsoft.com/office/2016/09/relationships/commentsIds" Target="commentsIds.xml" Id="rId11" /><Relationship Type="http://schemas.openxmlformats.org/officeDocument/2006/relationships/webSettings" Target="webSettings.xml" Id="rId5" /><Relationship Type="http://schemas.openxmlformats.org/officeDocument/2006/relationships/header" Target="header2.xml" Id="rId15" /><Relationship Type="http://schemas.microsoft.com/office/2011/relationships/commentsExtended" Target="commentsExtended.xml"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header" Target="header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9D81F-9CF0-4C60-9E2D-52A9E04D72D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Université Catholique de Louvain</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Marc-Henri Louis</dc:creator>
  <keywords/>
  <dc:description/>
  <lastModifiedBy>Marc-Henri Louis</lastModifiedBy>
  <revision>57</revision>
  <lastPrinted>2024-09-27T16:55:00.0000000Z</lastPrinted>
  <dcterms:created xsi:type="dcterms:W3CDTF">2024-10-14T07:13:00.0000000Z</dcterms:created>
  <dcterms:modified xsi:type="dcterms:W3CDTF">2024-12-11T15:38:26.4447110Z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id="jyRXZ8R7"/&gt;&lt;style id="http://www.zotero.org/styles/european-journal-of-pain" hasBibliography="1" bibliographyStyleHasBeenSet="1"/&gt;&lt;prefs&gt;&lt;pref name="fieldType" value="Field"/&gt;&lt;pref name="dontAskD</vt:lpwstr>
  </property>
  <property fmtid="{D5CDD505-2E9C-101B-9397-08002B2CF9AE}" pid="3" name="ZOTERO_PREF_2">
    <vt:lpwstr>elayCitationUpdates" value="true"/&gt;&lt;/prefs&gt;&lt;/data&gt;</vt:lpwstr>
  </property>
</Properties>
</file>