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9"/>
        <w:gridCol w:w="6957"/>
      </w:tblGrid>
      <w:tr w:rsidR="00661195" w:rsidRPr="00661195" w14:paraId="4D4F3D88" w14:textId="77777777" w:rsidTr="00661195">
        <w:trPr>
          <w:gridAfter w:val="1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C6D6F2F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fr-FR"/>
              </w:rPr>
              <w:t>Jump from tab to tab.</w:t>
            </w:r>
            <w:r w:rsidRPr="0066119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fr-FR"/>
              </w:rPr>
              <w:br/>
              <w:t>You will not lose data going from tab to tab.</w:t>
            </w: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fr-FR"/>
              </w:rPr>
              <w:t> </w:t>
            </w: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Do not use back button.</w:t>
            </w: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  <w:t>   </w:t>
            </w:r>
          </w:p>
        </w:tc>
      </w:tr>
      <w:tr w:rsidR="00661195" w:rsidRPr="00661195" w14:paraId="41A1A261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3F873FA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863B67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661195" w:rsidRPr="00661195" w14:paraId="29A3E9C2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0DF3369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4th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DC42A9F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fr-FR"/>
              </w:rPr>
              <w:t>Preview abstract at any time</w:t>
            </w:r>
            <w:r w:rsidRPr="0066119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fr-FR"/>
              </w:rPr>
              <w:t> to see how your abstract is looking.</w:t>
            </w: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  </w:t>
            </w:r>
          </w:p>
        </w:tc>
      </w:tr>
      <w:tr w:rsidR="00661195" w:rsidRPr="00661195" w14:paraId="6C3EC9CA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04B82B5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BE21B51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</w:tr>
      <w:tr w:rsidR="00661195" w:rsidRPr="00661195" w14:paraId="2234E21C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FD042A5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4th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997BF3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fr-FR"/>
              </w:rPr>
              <w:t>Abstract character limit is ~2,900 characters including spaces and HTML tags.</w:t>
            </w: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br/>
              <w:t>Check you character count at top of this tab. </w:t>
            </w:r>
            <w:r w:rsidRPr="0066119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fr-FR"/>
              </w:rPr>
              <w:t>The ~2900 character maximum ensures your abstract will fit on the abstract book page.</w:t>
            </w:r>
          </w:p>
        </w:tc>
      </w:tr>
      <w:tr w:rsidR="00661195" w:rsidRPr="00661195" w14:paraId="3C344D29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1D314ED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D6B03F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</w:tr>
      <w:tr w:rsidR="00661195" w:rsidRPr="00661195" w14:paraId="09FD2D02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D80E381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2nd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4A49BE4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fr-FR"/>
              </w:rPr>
              <w:t>Affiliation Superscript accepts Numbers only.</w:t>
            </w:r>
            <w:r w:rsidRPr="0066119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fr-FR"/>
              </w:rPr>
              <w:br/>
              <w:t>This number links author to affiliations like on a typical abstract or paper.</w:t>
            </w: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  </w:t>
            </w:r>
          </w:p>
        </w:tc>
      </w:tr>
      <w:tr w:rsidR="00661195" w:rsidRPr="00661195" w14:paraId="459CCD50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0B45B86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280D8E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</w:tr>
      <w:tr w:rsidR="00661195" w:rsidRPr="00661195" w14:paraId="1F8ED43F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B7D4FE7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2nd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16F2298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fr-FR"/>
              </w:rPr>
              <w:t>One affiliation for all authors?</w:t>
            </w:r>
            <w:r w:rsidRPr="0066119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fr-FR"/>
              </w:rPr>
              <w:br/>
              <w:t>For each author place a 1 in affiliation superscript.</w:t>
            </w: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  </w:t>
            </w:r>
          </w:p>
        </w:tc>
      </w:tr>
      <w:tr w:rsidR="00661195" w:rsidRPr="00661195" w14:paraId="1EC7CE0C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571431D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2886CB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</w:tr>
      <w:tr w:rsidR="00661195" w:rsidRPr="00661195" w14:paraId="7EAB37F1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23873F4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2nd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C5506C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fr-FR"/>
              </w:rPr>
              <w:t>Authors contributed equally?</w:t>
            </w: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fr-FR"/>
              </w:rPr>
              <w:br/>
            </w:r>
            <w:r w:rsidRPr="0066119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fr-FR"/>
              </w:rPr>
              <w:t>Place a * after the last character in the last name.</w:t>
            </w:r>
            <w:r w:rsidRPr="0066119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fr-FR"/>
              </w:rPr>
              <w:br/>
            </w:r>
            <w:r w:rsidRPr="0066119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fr-FR"/>
              </w:rPr>
              <w:t>Put authors contributed equally in the abstract body.</w:t>
            </w: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  <w:t>   </w:t>
            </w:r>
          </w:p>
        </w:tc>
      </w:tr>
      <w:tr w:rsidR="00661195" w:rsidRPr="00661195" w14:paraId="46DEEE46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98E0A5F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308EB1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661195" w:rsidRPr="00661195" w14:paraId="1E334504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167C254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3rd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96F49F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fr-FR"/>
              </w:rPr>
              <w:t>Cut &amp; paste title and body?</w:t>
            </w: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fr-FR"/>
              </w:rPr>
              <w:br/>
            </w: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Already composed your abstract in </w:t>
            </w: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Word, Google Docs, or Notepad?</w:t>
            </w: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Just cut and paste title and body. </w:t>
            </w: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Important Note: </w:t>
            </w: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Cut &amp; Paste will remove formatting to ensure the abstract book has a consistent look &amp; feel for all participants.   </w:t>
            </w:r>
          </w:p>
        </w:tc>
      </w:tr>
      <w:tr w:rsidR="00661195" w:rsidRPr="00661195" w14:paraId="54C7818B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FEB6858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0ED327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</w:tr>
      <w:tr w:rsidR="00661195" w:rsidRPr="00661195" w14:paraId="28870656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4C18D70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2nd &amp; 3rd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05BB04C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fr-FR"/>
              </w:rPr>
              <w:t>Basic formatting</w:t>
            </w:r>
            <w:r w:rsidRPr="0066119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fr-FR"/>
              </w:rPr>
              <w:br/>
              <w:t xml:space="preserve">First select the character, word or sentence. </w:t>
            </w:r>
            <w:r w:rsidRPr="0066119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fr-FR"/>
              </w:rPr>
              <w:t>Then select format button.</w:t>
            </w:r>
          </w:p>
        </w:tc>
      </w:tr>
      <w:tr w:rsidR="00661195" w:rsidRPr="00661195" w14:paraId="5C806D00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F0AE9F5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BE383E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661195" w:rsidRPr="00661195" w14:paraId="3E6317DA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5E287F8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2nd &amp; 3rd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E870F4F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fr-FR"/>
              </w:rPr>
              <w:t>Greek letters</w:t>
            </w:r>
            <w:r w:rsidRPr="0066119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fr-FR"/>
              </w:rPr>
              <w:br/>
              <w:t>Place the insertion point (pointer), then select from Special Characters drop down list box. </w:t>
            </w: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fr-FR"/>
              </w:rPr>
              <w:t>Unusual letters</w:t>
            </w:r>
            <w:r w:rsidRPr="0066119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fr-FR"/>
              </w:rPr>
              <w:t> not found in the list may be inserted by cutting and pasting from Word.</w:t>
            </w: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   </w:t>
            </w:r>
          </w:p>
        </w:tc>
      </w:tr>
      <w:tr w:rsidR="00661195" w:rsidRPr="00661195" w14:paraId="421DDDBD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A96CAFA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F5CF49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</w:tr>
      <w:tr w:rsidR="00661195" w:rsidRPr="00661195" w14:paraId="41BAD8D4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ED07AAC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5th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EFED83F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fr-FR"/>
              </w:rPr>
              <w:t>More than 6 authors or 4 affiliations?</w:t>
            </w:r>
            <w:r w:rsidRPr="0066119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fr-FR"/>
              </w:rPr>
              <w:t> You can enter 18 authors / 12 affiliations total. Please be aware that the number of characters will count toward total character limit of ~2,900.</w:t>
            </w: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   </w:t>
            </w:r>
          </w:p>
        </w:tc>
      </w:tr>
      <w:tr w:rsidR="00661195" w:rsidRPr="00661195" w14:paraId="67BF98D4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81D253E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12A8866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</w:tr>
      <w:tr w:rsidR="00661195" w:rsidRPr="00661195" w14:paraId="1D9F1FCA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C56ECCF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4th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C79B56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fr-FR"/>
              </w:rPr>
              <w:t>Preview is how your abstract will look in the book!</w:t>
            </w:r>
            <w:r w:rsidRPr="0066119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fr-FR"/>
              </w:rPr>
              <w:br/>
              <w:t>Please take your time to proof carefully before selecting Submit button.</w:t>
            </w: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  </w:t>
            </w:r>
          </w:p>
        </w:tc>
      </w:tr>
      <w:tr w:rsidR="00661195" w:rsidRPr="00661195" w14:paraId="5CFB1945" w14:textId="77777777" w:rsidTr="0066119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C93516F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A81359" w14:textId="77777777" w:rsidR="00661195" w:rsidRPr="00661195" w:rsidRDefault="00661195" w:rsidP="00661195">
            <w:pP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</w:pPr>
            <w:r w:rsidRPr="0066119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</w:tr>
    </w:tbl>
    <w:p w14:paraId="3DDC3DA1" w14:textId="77777777" w:rsidR="00661195" w:rsidRDefault="00661195" w:rsidP="00F55452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14:paraId="45352A72" w14:textId="77777777" w:rsidR="00661195" w:rsidRDefault="00661195" w:rsidP="00F55452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14:paraId="23AA32E7" w14:textId="77777777" w:rsidR="00661195" w:rsidRDefault="00661195" w:rsidP="00F55452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14:paraId="534D0FDE" w14:textId="77777777" w:rsidR="00CB64BB" w:rsidRDefault="00CB64BB">
      <w:pPr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br w:type="page"/>
      </w:r>
    </w:p>
    <w:p w14:paraId="4218D02D" w14:textId="2DEC0A1F" w:rsidR="00F55452" w:rsidRPr="002F301D" w:rsidRDefault="00F55452" w:rsidP="00F55452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2F301D">
        <w:rPr>
          <w:rFonts w:ascii="Arial" w:hAnsi="Arial" w:cs="Arial"/>
          <w:b/>
          <w:sz w:val="28"/>
          <w:szCs w:val="28"/>
          <w:lang w:val="en-US"/>
        </w:rPr>
        <w:lastRenderedPageBreak/>
        <w:t xml:space="preserve">The mitochondrial genome modulates oxidative stress </w:t>
      </w:r>
      <w:r>
        <w:rPr>
          <w:rFonts w:ascii="Arial" w:hAnsi="Arial" w:cs="Arial"/>
          <w:b/>
          <w:sz w:val="28"/>
          <w:szCs w:val="28"/>
          <w:lang w:val="en-US"/>
        </w:rPr>
        <w:t xml:space="preserve">and telomere length </w:t>
      </w:r>
      <w:r w:rsidRPr="002F301D">
        <w:rPr>
          <w:rFonts w:ascii="Arial" w:hAnsi="Arial" w:cs="Arial"/>
          <w:b/>
          <w:sz w:val="28"/>
          <w:szCs w:val="28"/>
          <w:lang w:val="en-US"/>
        </w:rPr>
        <w:t>in human cells: a transmitochondrial cybrid approach</w:t>
      </w:r>
    </w:p>
    <w:p w14:paraId="4FFCD63A" w14:textId="77777777" w:rsidR="00F55452" w:rsidRDefault="00F55452" w:rsidP="00F55452">
      <w:pPr>
        <w:spacing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3F663B47" w14:textId="2600A3E6" w:rsidR="00F55452" w:rsidRDefault="00F55452" w:rsidP="00F55452">
      <w:pPr>
        <w:spacing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2F301D">
        <w:rPr>
          <w:rFonts w:ascii="Arial" w:hAnsi="Arial" w:cs="Arial"/>
          <w:sz w:val="20"/>
          <w:szCs w:val="20"/>
          <w:lang w:val="en-US"/>
        </w:rPr>
        <w:t>Manon Mahieu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 w:rsidR="00CB64BB">
        <w:rPr>
          <w:rFonts w:ascii="Arial" w:hAnsi="Arial" w:cs="Arial"/>
          <w:sz w:val="20"/>
          <w:szCs w:val="20"/>
          <w:vertAlign w:val="superscript"/>
          <w:lang w:val="en-US"/>
        </w:rPr>
        <w:t>*</w:t>
      </w:r>
      <w:r>
        <w:rPr>
          <w:rFonts w:ascii="Arial" w:hAnsi="Arial" w:cs="Arial"/>
          <w:sz w:val="20"/>
          <w:szCs w:val="20"/>
          <w:lang w:val="en-US"/>
        </w:rPr>
        <w:t>, Jean-Philippe De</w:t>
      </w:r>
      <w:r w:rsidRPr="002F301D">
        <w:rPr>
          <w:rFonts w:ascii="Arial" w:hAnsi="Arial" w:cs="Arial"/>
          <w:sz w:val="20"/>
          <w:szCs w:val="20"/>
          <w:lang w:val="en-US"/>
        </w:rPr>
        <w:t>four</w:t>
      </w:r>
      <w:r w:rsidR="00F41E53"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r w:rsidR="00CB64BB">
        <w:rPr>
          <w:rFonts w:ascii="Arial" w:hAnsi="Arial" w:cs="Arial"/>
          <w:sz w:val="20"/>
          <w:szCs w:val="20"/>
          <w:vertAlign w:val="superscript"/>
          <w:lang w:val="en-US"/>
        </w:rPr>
        <w:t>*</w:t>
      </w:r>
      <w:r w:rsidRPr="002F301D">
        <w:rPr>
          <w:rFonts w:ascii="Arial" w:hAnsi="Arial" w:cs="Arial"/>
          <w:sz w:val="20"/>
          <w:szCs w:val="20"/>
          <w:lang w:val="en-US"/>
        </w:rPr>
        <w:t>, Isabelle Scheers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r w:rsidRPr="002F301D">
        <w:rPr>
          <w:rFonts w:ascii="Arial" w:hAnsi="Arial" w:cs="Arial"/>
          <w:sz w:val="20"/>
          <w:szCs w:val="20"/>
          <w:lang w:val="en-US"/>
        </w:rPr>
        <w:t>, Bénédicte Brichard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r w:rsidRPr="002F301D">
        <w:rPr>
          <w:rFonts w:ascii="Arial" w:hAnsi="Arial" w:cs="Arial"/>
          <w:sz w:val="20"/>
          <w:szCs w:val="20"/>
          <w:lang w:val="en-US"/>
        </w:rPr>
        <w:t>, Gabriel Levy</w:t>
      </w:r>
      <w:r w:rsidR="00F41E53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 w:rsidRPr="002F301D">
        <w:rPr>
          <w:rFonts w:ascii="Arial" w:hAnsi="Arial" w:cs="Arial"/>
          <w:sz w:val="20"/>
          <w:szCs w:val="20"/>
          <w:lang w:val="en-US"/>
        </w:rPr>
        <w:t>, Thierry Arnould</w:t>
      </w:r>
      <w:r w:rsidR="00F41E53">
        <w:rPr>
          <w:rFonts w:ascii="Arial" w:hAnsi="Arial" w:cs="Arial"/>
          <w:sz w:val="20"/>
          <w:szCs w:val="20"/>
          <w:vertAlign w:val="superscript"/>
          <w:lang w:val="en-US"/>
        </w:rPr>
        <w:t>3</w:t>
      </w:r>
      <w:r w:rsidRPr="002F301D">
        <w:rPr>
          <w:rFonts w:ascii="Arial" w:hAnsi="Arial" w:cs="Arial"/>
          <w:sz w:val="20"/>
          <w:szCs w:val="20"/>
          <w:lang w:val="en-US"/>
        </w:rPr>
        <w:t>, Cyril Corbet</w:t>
      </w:r>
      <w:r w:rsidR="00F41E53">
        <w:rPr>
          <w:rFonts w:ascii="Arial" w:hAnsi="Arial" w:cs="Arial"/>
          <w:sz w:val="20"/>
          <w:szCs w:val="20"/>
          <w:vertAlign w:val="superscript"/>
          <w:lang w:val="en-US"/>
        </w:rPr>
        <w:t>4</w:t>
      </w:r>
      <w:r w:rsidRPr="002F301D">
        <w:rPr>
          <w:rFonts w:ascii="Arial" w:hAnsi="Arial" w:cs="Arial"/>
          <w:sz w:val="20"/>
          <w:szCs w:val="20"/>
          <w:lang w:val="en-US"/>
        </w:rPr>
        <w:t xml:space="preserve"> and Anabelle Decottignies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>1</w:t>
      </w:r>
    </w:p>
    <w:p w14:paraId="778424FF" w14:textId="77777777" w:rsidR="004143B3" w:rsidRDefault="004143B3">
      <w:pPr>
        <w:rPr>
          <w:lang w:val="en-US"/>
        </w:rPr>
      </w:pPr>
    </w:p>
    <w:p w14:paraId="78933906" w14:textId="12691471" w:rsidR="00CB64BB" w:rsidRPr="00F55452" w:rsidRDefault="002E11DB" w:rsidP="005A5DAF">
      <w:pPr>
        <w:jc w:val="both"/>
        <w:rPr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More than t</w:t>
      </w:r>
      <w:r w:rsidR="000A0B97">
        <w:rPr>
          <w:rFonts w:ascii="Arial" w:hAnsi="Arial" w:cs="Arial"/>
          <w:sz w:val="20"/>
          <w:szCs w:val="20"/>
          <w:lang w:val="en-US"/>
        </w:rPr>
        <w:t xml:space="preserve">wo decades ago, </w:t>
      </w:r>
      <w:r w:rsidR="00B663C6">
        <w:rPr>
          <w:rFonts w:ascii="Arial" w:hAnsi="Arial" w:cs="Arial"/>
          <w:sz w:val="20"/>
          <w:szCs w:val="20"/>
          <w:lang w:val="en-US"/>
        </w:rPr>
        <w:t xml:space="preserve">the G-rich sequences of </w:t>
      </w:r>
      <w:r w:rsidR="002E31A2">
        <w:rPr>
          <w:rFonts w:ascii="Arial" w:hAnsi="Arial" w:cs="Arial"/>
          <w:sz w:val="20"/>
          <w:szCs w:val="20"/>
          <w:lang w:val="en-US"/>
        </w:rPr>
        <w:t>telomeric DNA w</w:t>
      </w:r>
      <w:r w:rsidR="00B663C6">
        <w:rPr>
          <w:rFonts w:ascii="Arial" w:hAnsi="Arial" w:cs="Arial"/>
          <w:sz w:val="20"/>
          <w:szCs w:val="20"/>
          <w:lang w:val="en-US"/>
        </w:rPr>
        <w:t>ere</w:t>
      </w:r>
      <w:r w:rsidR="002E31A2">
        <w:rPr>
          <w:rFonts w:ascii="Arial" w:hAnsi="Arial" w:cs="Arial"/>
          <w:sz w:val="20"/>
          <w:szCs w:val="20"/>
          <w:lang w:val="en-US"/>
        </w:rPr>
        <w:t xml:space="preserve"> proposed to </w:t>
      </w:r>
      <w:r w:rsidR="00B663C6">
        <w:rPr>
          <w:rFonts w:ascii="Arial" w:hAnsi="Arial" w:cs="Arial"/>
          <w:sz w:val="20"/>
          <w:szCs w:val="20"/>
          <w:lang w:val="en-US"/>
        </w:rPr>
        <w:t>be preferential t</w:t>
      </w:r>
      <w:r w:rsidR="00E4748F">
        <w:rPr>
          <w:rFonts w:ascii="Arial" w:hAnsi="Arial" w:cs="Arial"/>
          <w:sz w:val="20"/>
          <w:szCs w:val="20"/>
          <w:lang w:val="en-US"/>
        </w:rPr>
        <w:t>argets of oxidative damage with potential detrimental impact on telomere length and integrity.</w:t>
      </w:r>
      <w:r w:rsidR="000A0B97">
        <w:rPr>
          <w:rFonts w:ascii="Arial" w:hAnsi="Arial" w:cs="Arial"/>
          <w:sz w:val="20"/>
          <w:szCs w:val="20"/>
          <w:lang w:val="en-US"/>
        </w:rPr>
        <w:t xml:space="preserve"> </w:t>
      </w:r>
      <w:r w:rsidR="00C81C89">
        <w:rPr>
          <w:rFonts w:ascii="Arial" w:hAnsi="Arial" w:cs="Arial"/>
          <w:sz w:val="20"/>
          <w:szCs w:val="20"/>
          <w:lang w:val="en-US"/>
        </w:rPr>
        <w:t>If n</w:t>
      </w:r>
      <w:r w:rsidR="00CB64BB">
        <w:rPr>
          <w:rFonts w:ascii="Arial" w:hAnsi="Arial" w:cs="Arial"/>
          <w:sz w:val="20"/>
          <w:szCs w:val="20"/>
          <w:lang w:val="en-US"/>
        </w:rPr>
        <w:t>ot breathing is not an option</w:t>
      </w:r>
      <w:r w:rsidR="00415183">
        <w:rPr>
          <w:rFonts w:ascii="Arial" w:hAnsi="Arial" w:cs="Arial"/>
          <w:sz w:val="20"/>
          <w:szCs w:val="20"/>
          <w:lang w:val="en-US"/>
        </w:rPr>
        <w:t xml:space="preserve"> (Markkanen, 2017)</w:t>
      </w:r>
      <w:r w:rsidR="00C81C89">
        <w:rPr>
          <w:rFonts w:ascii="Arial" w:hAnsi="Arial" w:cs="Arial"/>
          <w:sz w:val="20"/>
          <w:szCs w:val="20"/>
          <w:lang w:val="en-US"/>
        </w:rPr>
        <w:t xml:space="preserve">, </w:t>
      </w:r>
      <w:r w:rsidR="00807C35">
        <w:rPr>
          <w:rFonts w:ascii="Arial" w:hAnsi="Arial" w:cs="Arial"/>
          <w:sz w:val="20"/>
          <w:szCs w:val="20"/>
          <w:lang w:val="en-US"/>
        </w:rPr>
        <w:t xml:space="preserve">understanding how cellular respiration impacts on telomere regulation remains a challenging question </w:t>
      </w:r>
      <w:r w:rsidR="00B24916">
        <w:rPr>
          <w:rFonts w:ascii="Arial" w:hAnsi="Arial" w:cs="Arial"/>
          <w:sz w:val="20"/>
          <w:szCs w:val="20"/>
          <w:lang w:val="en-US"/>
        </w:rPr>
        <w:t xml:space="preserve">that has, so far, not been addressed in the context of naturally-induced oxidative stress. </w:t>
      </w:r>
      <w:r w:rsidR="00857F61">
        <w:rPr>
          <w:rFonts w:ascii="Arial" w:hAnsi="Arial" w:cs="Arial"/>
          <w:sz w:val="20"/>
          <w:szCs w:val="20"/>
          <w:lang w:val="en-US"/>
        </w:rPr>
        <w:t>ATP production</w:t>
      </w:r>
      <w:r w:rsidR="00D614DD">
        <w:rPr>
          <w:rFonts w:ascii="Arial" w:hAnsi="Arial" w:cs="Arial"/>
          <w:sz w:val="20"/>
          <w:szCs w:val="20"/>
          <w:lang w:val="en-US"/>
        </w:rPr>
        <w:t>,</w:t>
      </w:r>
      <w:r w:rsidR="00857F61">
        <w:rPr>
          <w:rFonts w:ascii="Arial" w:hAnsi="Arial" w:cs="Arial"/>
          <w:sz w:val="20"/>
          <w:szCs w:val="20"/>
          <w:lang w:val="en-US"/>
        </w:rPr>
        <w:t xml:space="preserve"> through ox</w:t>
      </w:r>
      <w:r w:rsidR="009124A4">
        <w:rPr>
          <w:rFonts w:ascii="Arial" w:hAnsi="Arial" w:cs="Arial"/>
          <w:sz w:val="20"/>
          <w:szCs w:val="20"/>
          <w:lang w:val="en-US"/>
        </w:rPr>
        <w:t>idative phosphorylation</w:t>
      </w:r>
      <w:r w:rsidR="00857F61">
        <w:rPr>
          <w:rFonts w:ascii="Arial" w:hAnsi="Arial" w:cs="Arial"/>
          <w:sz w:val="20"/>
          <w:szCs w:val="20"/>
          <w:lang w:val="en-US"/>
        </w:rPr>
        <w:t xml:space="preserve"> in mitochondria</w:t>
      </w:r>
      <w:r w:rsidR="00D614DD">
        <w:rPr>
          <w:rFonts w:ascii="Arial" w:hAnsi="Arial" w:cs="Arial"/>
          <w:sz w:val="20"/>
          <w:szCs w:val="20"/>
          <w:lang w:val="en-US"/>
        </w:rPr>
        <w:t>,</w:t>
      </w:r>
      <w:r w:rsidR="00857F61">
        <w:rPr>
          <w:rFonts w:ascii="Arial" w:hAnsi="Arial" w:cs="Arial"/>
          <w:sz w:val="20"/>
          <w:szCs w:val="20"/>
          <w:lang w:val="en-US"/>
        </w:rPr>
        <w:t xml:space="preserve"> is the major endogenous source of ROS in cells. </w:t>
      </w:r>
      <w:r w:rsidR="000234AD">
        <w:rPr>
          <w:rFonts w:ascii="Arial" w:hAnsi="Arial" w:cs="Arial"/>
          <w:sz w:val="20"/>
          <w:szCs w:val="20"/>
          <w:lang w:val="en-US"/>
        </w:rPr>
        <w:t>Both oxygen consumption and the</w:t>
      </w:r>
      <w:r w:rsidR="009124A4">
        <w:rPr>
          <w:rFonts w:ascii="Arial" w:hAnsi="Arial" w:cs="Arial"/>
          <w:sz w:val="20"/>
          <w:szCs w:val="20"/>
          <w:lang w:val="en-US"/>
        </w:rPr>
        <w:t xml:space="preserve"> proton gradient </w:t>
      </w:r>
      <w:r w:rsidR="000234AD">
        <w:rPr>
          <w:rFonts w:ascii="Arial" w:hAnsi="Arial" w:cs="Arial"/>
          <w:sz w:val="20"/>
          <w:szCs w:val="20"/>
          <w:lang w:val="en-US"/>
        </w:rPr>
        <w:t>strength</w:t>
      </w:r>
      <w:r w:rsidR="000234AD">
        <w:rPr>
          <w:rFonts w:ascii="Arial" w:hAnsi="Arial" w:cs="Arial"/>
          <w:sz w:val="20"/>
          <w:szCs w:val="20"/>
          <w:lang w:val="en-US"/>
        </w:rPr>
        <w:t xml:space="preserve"> </w:t>
      </w:r>
      <w:r w:rsidR="009124A4">
        <w:rPr>
          <w:rFonts w:ascii="Arial" w:hAnsi="Arial" w:cs="Arial"/>
          <w:sz w:val="20"/>
          <w:szCs w:val="20"/>
          <w:lang w:val="en-US"/>
        </w:rPr>
        <w:t xml:space="preserve">across the inner mitochondrial membrane regulate </w:t>
      </w:r>
      <w:r w:rsidR="00857F61">
        <w:rPr>
          <w:rFonts w:ascii="Arial" w:hAnsi="Arial" w:cs="Arial"/>
          <w:sz w:val="20"/>
          <w:szCs w:val="20"/>
          <w:lang w:val="en-US"/>
        </w:rPr>
        <w:t>ROS production</w:t>
      </w:r>
      <w:r w:rsidR="009124A4">
        <w:rPr>
          <w:rFonts w:ascii="Arial" w:hAnsi="Arial" w:cs="Arial"/>
          <w:sz w:val="20"/>
          <w:szCs w:val="20"/>
          <w:lang w:val="en-US"/>
        </w:rPr>
        <w:t xml:space="preserve">. Here, using a transmitochondrial cybrid approach with mitochondria isolated from donors with either very long (&gt;P90), average or short telomeres, we evaluated the impact of the mitochondrial genome on oxidative stress and telomere length in Rho0 recipient cells. </w:t>
      </w:r>
      <w:r w:rsidR="00FA21DB">
        <w:rPr>
          <w:rFonts w:ascii="Arial" w:hAnsi="Arial" w:cs="Arial"/>
          <w:sz w:val="20"/>
          <w:szCs w:val="20"/>
          <w:lang w:val="en-US"/>
        </w:rPr>
        <w:t xml:space="preserve">Our data </w:t>
      </w:r>
      <w:r w:rsidR="000234AD">
        <w:rPr>
          <w:rFonts w:ascii="Arial" w:hAnsi="Arial" w:cs="Arial"/>
          <w:sz w:val="20"/>
          <w:szCs w:val="20"/>
          <w:lang w:val="en-US"/>
        </w:rPr>
        <w:t>revealed</w:t>
      </w:r>
      <w:r w:rsidR="00FA21DB">
        <w:rPr>
          <w:rFonts w:ascii="Arial" w:hAnsi="Arial" w:cs="Arial"/>
          <w:sz w:val="20"/>
          <w:szCs w:val="20"/>
          <w:lang w:val="en-US"/>
        </w:rPr>
        <w:t xml:space="preserve"> </w:t>
      </w:r>
      <w:r w:rsidR="009A5215">
        <w:rPr>
          <w:rFonts w:ascii="Arial" w:hAnsi="Arial" w:cs="Arial"/>
          <w:sz w:val="20"/>
          <w:szCs w:val="20"/>
          <w:lang w:val="en-US"/>
        </w:rPr>
        <w:t>that</w:t>
      </w:r>
      <w:r w:rsidR="00D614DD">
        <w:rPr>
          <w:rFonts w:ascii="Arial" w:hAnsi="Arial" w:cs="Arial"/>
          <w:sz w:val="20"/>
          <w:szCs w:val="20"/>
          <w:lang w:val="en-US"/>
        </w:rPr>
        <w:t xml:space="preserve"> specific</w:t>
      </w:r>
      <w:r w:rsidR="00FA21DB">
        <w:rPr>
          <w:rFonts w:ascii="Arial" w:hAnsi="Arial" w:cs="Arial"/>
          <w:sz w:val="20"/>
          <w:szCs w:val="20"/>
          <w:lang w:val="en-US"/>
        </w:rPr>
        <w:t xml:space="preserve"> </w:t>
      </w:r>
      <w:r w:rsidR="008E52DE">
        <w:rPr>
          <w:rFonts w:ascii="Arial" w:hAnsi="Arial" w:cs="Arial"/>
          <w:sz w:val="20"/>
          <w:szCs w:val="20"/>
          <w:lang w:val="en-US"/>
        </w:rPr>
        <w:t>mtDNA</w:t>
      </w:r>
      <w:r w:rsidR="00FA21DB">
        <w:rPr>
          <w:rFonts w:ascii="Arial" w:hAnsi="Arial" w:cs="Arial"/>
          <w:sz w:val="20"/>
          <w:szCs w:val="20"/>
          <w:lang w:val="en-US"/>
        </w:rPr>
        <w:t xml:space="preserve">-encoded </w:t>
      </w:r>
      <w:r w:rsidR="008E52DE">
        <w:rPr>
          <w:rFonts w:ascii="Arial" w:hAnsi="Arial" w:cs="Arial"/>
          <w:sz w:val="20"/>
          <w:szCs w:val="20"/>
          <w:lang w:val="en-US"/>
        </w:rPr>
        <w:t xml:space="preserve">mitochondrial </w:t>
      </w:r>
      <w:r w:rsidR="00460B77">
        <w:rPr>
          <w:rFonts w:ascii="Arial" w:hAnsi="Arial" w:cs="Arial"/>
          <w:sz w:val="20"/>
          <w:szCs w:val="20"/>
          <w:lang w:val="en-US"/>
        </w:rPr>
        <w:t>protein variants</w:t>
      </w:r>
      <w:r w:rsidR="008E52DE">
        <w:rPr>
          <w:rFonts w:ascii="Arial" w:hAnsi="Arial" w:cs="Arial"/>
          <w:sz w:val="20"/>
          <w:szCs w:val="20"/>
          <w:lang w:val="en-US"/>
        </w:rPr>
        <w:t xml:space="preserve"> </w:t>
      </w:r>
      <w:r w:rsidR="009A5215">
        <w:rPr>
          <w:rFonts w:ascii="Arial" w:hAnsi="Arial" w:cs="Arial"/>
          <w:sz w:val="20"/>
          <w:szCs w:val="20"/>
          <w:lang w:val="en-US"/>
        </w:rPr>
        <w:t>regulate</w:t>
      </w:r>
      <w:bookmarkStart w:id="0" w:name="_GoBack"/>
      <w:bookmarkEnd w:id="0"/>
      <w:r w:rsidR="00D614DD">
        <w:rPr>
          <w:rFonts w:ascii="Arial" w:hAnsi="Arial" w:cs="Arial"/>
          <w:sz w:val="20"/>
          <w:szCs w:val="20"/>
          <w:lang w:val="en-US"/>
        </w:rPr>
        <w:t xml:space="preserve"> oxidative stress and telomere lengt</w:t>
      </w:r>
      <w:r w:rsidR="006F7C10">
        <w:rPr>
          <w:rFonts w:ascii="Arial" w:hAnsi="Arial" w:cs="Arial"/>
          <w:sz w:val="20"/>
          <w:szCs w:val="20"/>
          <w:lang w:val="en-US"/>
        </w:rPr>
        <w:t>h</w:t>
      </w:r>
      <w:r w:rsidR="00F12C5E">
        <w:rPr>
          <w:rFonts w:ascii="Arial" w:hAnsi="Arial" w:cs="Arial"/>
          <w:sz w:val="20"/>
          <w:szCs w:val="20"/>
          <w:lang w:val="en-US"/>
        </w:rPr>
        <w:t>.</w:t>
      </w:r>
      <w:r w:rsidR="006F7C10">
        <w:rPr>
          <w:rFonts w:ascii="Arial" w:hAnsi="Arial" w:cs="Arial"/>
          <w:sz w:val="20"/>
          <w:szCs w:val="20"/>
          <w:lang w:val="en-US"/>
        </w:rPr>
        <w:t xml:space="preserve"> </w:t>
      </w:r>
      <w:r w:rsidR="00F12C5E">
        <w:rPr>
          <w:rFonts w:ascii="Arial" w:hAnsi="Arial" w:cs="Arial"/>
          <w:sz w:val="20"/>
          <w:szCs w:val="20"/>
          <w:lang w:val="en-US"/>
        </w:rPr>
        <w:t>We will discuss how these variants may impact on ROS production and offer a maternal inheritance of telomere length.</w:t>
      </w:r>
    </w:p>
    <w:sectPr w:rsidR="00CB64BB" w:rsidRPr="00F55452" w:rsidSect="003B6C2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E4C"/>
    <w:rsid w:val="000234AD"/>
    <w:rsid w:val="000A0B97"/>
    <w:rsid w:val="002E11DB"/>
    <w:rsid w:val="002E31A2"/>
    <w:rsid w:val="003B6C29"/>
    <w:rsid w:val="004143B3"/>
    <w:rsid w:val="00415183"/>
    <w:rsid w:val="00434E4C"/>
    <w:rsid w:val="00460B77"/>
    <w:rsid w:val="005A5DAF"/>
    <w:rsid w:val="00661195"/>
    <w:rsid w:val="006F7C10"/>
    <w:rsid w:val="00807C35"/>
    <w:rsid w:val="00857F61"/>
    <w:rsid w:val="008E52DE"/>
    <w:rsid w:val="009124A4"/>
    <w:rsid w:val="009A5215"/>
    <w:rsid w:val="00B24916"/>
    <w:rsid w:val="00B663C6"/>
    <w:rsid w:val="00C81C89"/>
    <w:rsid w:val="00CB64BB"/>
    <w:rsid w:val="00D614DD"/>
    <w:rsid w:val="00E4748F"/>
    <w:rsid w:val="00F12C5E"/>
    <w:rsid w:val="00F41E53"/>
    <w:rsid w:val="00F55452"/>
    <w:rsid w:val="00FA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B2855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5545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7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489</Words>
  <Characters>2693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4</cp:revision>
  <dcterms:created xsi:type="dcterms:W3CDTF">2021-09-28T07:57:00Z</dcterms:created>
  <dcterms:modified xsi:type="dcterms:W3CDTF">2021-09-28T09:33:00Z</dcterms:modified>
</cp:coreProperties>
</file>