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129" w:rsidRPr="00576D11" w:rsidRDefault="00600129" w:rsidP="00600129">
      <w:pPr>
        <w:spacing w:after="120" w:line="360" w:lineRule="auto"/>
        <w:jc w:val="center"/>
        <w:rPr>
          <w:rFonts w:asciiTheme="majorHAnsi" w:hAnsiTheme="majorHAnsi"/>
          <w:b/>
          <w:sz w:val="24"/>
          <w:szCs w:val="24"/>
        </w:rPr>
      </w:pPr>
      <w:r>
        <w:rPr>
          <w:rFonts w:asciiTheme="majorHAnsi" w:hAnsiTheme="majorHAnsi"/>
          <w:b/>
          <w:sz w:val="24"/>
          <w:szCs w:val="24"/>
        </w:rPr>
        <w:t>Chapitre 11</w:t>
      </w:r>
    </w:p>
    <w:p w:rsidR="00600129" w:rsidRPr="00576D11" w:rsidRDefault="00600129" w:rsidP="00600129">
      <w:pPr>
        <w:spacing w:after="120" w:line="360" w:lineRule="auto"/>
        <w:jc w:val="center"/>
        <w:rPr>
          <w:rFonts w:asciiTheme="majorHAnsi" w:hAnsiTheme="majorHAnsi"/>
          <w:b/>
          <w:sz w:val="24"/>
          <w:szCs w:val="24"/>
        </w:rPr>
      </w:pPr>
      <w:r w:rsidRPr="00576D11">
        <w:rPr>
          <w:rFonts w:asciiTheme="majorHAnsi" w:hAnsiTheme="majorHAnsi"/>
          <w:b/>
          <w:sz w:val="24"/>
          <w:szCs w:val="24"/>
        </w:rPr>
        <w:t>Le choix de l’austérité pour faire face à la crise. Que reste-t-il aux États comme marge de manœuvre économique et sociale</w:t>
      </w:r>
      <w:r>
        <w:rPr>
          <w:rFonts w:asciiTheme="majorHAnsi" w:hAnsiTheme="majorHAnsi"/>
          <w:b/>
          <w:sz w:val="24"/>
          <w:szCs w:val="24"/>
        </w:rPr>
        <w:t> ?</w:t>
      </w:r>
    </w:p>
    <w:p w:rsidR="00600129" w:rsidRPr="00576D11" w:rsidRDefault="00600129" w:rsidP="00600129">
      <w:pPr>
        <w:spacing w:after="120" w:line="360" w:lineRule="auto"/>
        <w:jc w:val="center"/>
        <w:rPr>
          <w:rFonts w:asciiTheme="majorHAnsi" w:hAnsiTheme="majorHAnsi"/>
          <w:sz w:val="24"/>
          <w:szCs w:val="24"/>
        </w:rPr>
      </w:pPr>
      <w:r>
        <w:rPr>
          <w:rFonts w:asciiTheme="majorHAnsi" w:hAnsiTheme="majorHAnsi"/>
          <w:sz w:val="24"/>
          <w:szCs w:val="24"/>
        </w:rPr>
        <w:t xml:space="preserve">Hélène Caune et </w:t>
      </w:r>
      <w:r w:rsidRPr="00576D11">
        <w:rPr>
          <w:rFonts w:asciiTheme="majorHAnsi" w:hAnsiTheme="majorHAnsi"/>
          <w:sz w:val="24"/>
          <w:szCs w:val="24"/>
        </w:rPr>
        <w:t>Clément Fontan</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t>Moins de dix ans après la création de la zone euro, les pays européens ont dû faire face à la plus grave crise économique depuis</w:t>
      </w:r>
      <w:r>
        <w:rPr>
          <w:rFonts w:asciiTheme="majorHAnsi" w:hAnsiTheme="majorHAnsi"/>
          <w:sz w:val="24"/>
          <w:szCs w:val="24"/>
        </w:rPr>
        <w:t> </w:t>
      </w:r>
      <w:r w:rsidRPr="00576D11">
        <w:rPr>
          <w:rFonts w:asciiTheme="majorHAnsi" w:hAnsiTheme="majorHAnsi"/>
          <w:sz w:val="24"/>
          <w:szCs w:val="24"/>
        </w:rPr>
        <w:t>1929. Quelles ont été les causes de cette crise et comment expliquer la réponse des autorités européennes à celles-ci</w:t>
      </w:r>
      <w:r>
        <w:rPr>
          <w:rFonts w:asciiTheme="majorHAnsi" w:hAnsiTheme="majorHAnsi"/>
          <w:sz w:val="24"/>
          <w:szCs w:val="24"/>
        </w:rPr>
        <w:t> </w:t>
      </w:r>
      <w:r w:rsidRPr="00576D11">
        <w:rPr>
          <w:rFonts w:asciiTheme="majorHAnsi" w:hAnsiTheme="majorHAnsi"/>
          <w:sz w:val="24"/>
          <w:szCs w:val="24"/>
        </w:rPr>
        <w:t xml:space="preserve">? Selon le cadrage politique dominant, les problèmes économiques européens ont d’abord été </w:t>
      </w:r>
      <w:r>
        <w:rPr>
          <w:rFonts w:asciiTheme="majorHAnsi" w:hAnsiTheme="majorHAnsi"/>
          <w:sz w:val="24"/>
          <w:szCs w:val="24"/>
        </w:rPr>
        <w:t>« </w:t>
      </w:r>
      <w:r w:rsidRPr="00576D11">
        <w:rPr>
          <w:rFonts w:asciiTheme="majorHAnsi" w:hAnsiTheme="majorHAnsi"/>
          <w:sz w:val="24"/>
          <w:szCs w:val="24"/>
        </w:rPr>
        <w:t>importés</w:t>
      </w:r>
      <w:r>
        <w:rPr>
          <w:rFonts w:asciiTheme="majorHAnsi" w:hAnsiTheme="majorHAnsi"/>
          <w:sz w:val="24"/>
          <w:szCs w:val="24"/>
        </w:rPr>
        <w:t> »</w:t>
      </w:r>
      <w:r w:rsidRPr="00576D11">
        <w:rPr>
          <w:rFonts w:asciiTheme="majorHAnsi" w:hAnsiTheme="majorHAnsi"/>
          <w:sz w:val="24"/>
          <w:szCs w:val="24"/>
        </w:rPr>
        <w:t xml:space="preserve"> des États-Unis (crise des </w:t>
      </w:r>
      <w:r w:rsidRPr="00576D11">
        <w:rPr>
          <w:rFonts w:asciiTheme="majorHAnsi" w:hAnsiTheme="majorHAnsi"/>
          <w:i/>
          <w:sz w:val="24"/>
          <w:szCs w:val="24"/>
        </w:rPr>
        <w:t>subprime</w:t>
      </w:r>
      <w:r>
        <w:rPr>
          <w:rFonts w:asciiTheme="majorHAnsi" w:hAnsiTheme="majorHAnsi"/>
          <w:i/>
          <w:sz w:val="24"/>
          <w:szCs w:val="24"/>
        </w:rPr>
        <w:t>s</w:t>
      </w:r>
      <w:r w:rsidRPr="00576D11">
        <w:rPr>
          <w:rFonts w:asciiTheme="majorHAnsi" w:hAnsiTheme="majorHAnsi"/>
          <w:sz w:val="24"/>
          <w:szCs w:val="24"/>
        </w:rPr>
        <w:t xml:space="preserve">), puis aggravés par les emprunts irresponsables des pays périphériques (Grèce, Italie, Espagne, Irlande), supposés vivre </w:t>
      </w:r>
      <w:r>
        <w:rPr>
          <w:rFonts w:asciiTheme="majorHAnsi" w:hAnsiTheme="majorHAnsi"/>
          <w:sz w:val="24"/>
          <w:szCs w:val="24"/>
        </w:rPr>
        <w:t>« </w:t>
      </w:r>
      <w:r w:rsidRPr="00576D11">
        <w:rPr>
          <w:rFonts w:asciiTheme="majorHAnsi" w:hAnsiTheme="majorHAnsi"/>
          <w:sz w:val="24"/>
          <w:szCs w:val="24"/>
        </w:rPr>
        <w:t>au-dessus de leurs moyens</w:t>
      </w:r>
      <w:r>
        <w:rPr>
          <w:rFonts w:asciiTheme="majorHAnsi" w:hAnsiTheme="majorHAnsi"/>
          <w:sz w:val="24"/>
          <w:szCs w:val="24"/>
        </w:rPr>
        <w:t> »</w:t>
      </w:r>
      <w:r w:rsidRPr="00576D11">
        <w:rPr>
          <w:rFonts w:asciiTheme="majorHAnsi" w:hAnsiTheme="majorHAnsi"/>
          <w:sz w:val="24"/>
          <w:szCs w:val="24"/>
        </w:rPr>
        <w:t>. Ce cadrage a permis aux États les plus puissants de la zone euro d’imposer leur</w:t>
      </w:r>
      <w:r>
        <w:rPr>
          <w:rFonts w:asciiTheme="majorHAnsi" w:hAnsiTheme="majorHAnsi"/>
          <w:sz w:val="24"/>
          <w:szCs w:val="24"/>
        </w:rPr>
        <w:t>s</w:t>
      </w:r>
      <w:r w:rsidRPr="00576D11">
        <w:rPr>
          <w:rFonts w:asciiTheme="majorHAnsi" w:hAnsiTheme="majorHAnsi"/>
          <w:sz w:val="24"/>
          <w:szCs w:val="24"/>
        </w:rPr>
        <w:t xml:space="preserve"> priorités économiques et politiques.</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t xml:space="preserve">D’abord, les pays du </w:t>
      </w:r>
      <w:r>
        <w:rPr>
          <w:rFonts w:asciiTheme="majorHAnsi" w:hAnsiTheme="majorHAnsi"/>
          <w:sz w:val="24"/>
          <w:szCs w:val="24"/>
        </w:rPr>
        <w:t>« </w:t>
      </w:r>
      <w:r w:rsidRPr="00576D11">
        <w:rPr>
          <w:rFonts w:asciiTheme="majorHAnsi" w:hAnsiTheme="majorHAnsi"/>
          <w:sz w:val="24"/>
          <w:szCs w:val="24"/>
        </w:rPr>
        <w:t>centre</w:t>
      </w:r>
      <w:r>
        <w:rPr>
          <w:rFonts w:asciiTheme="majorHAnsi" w:hAnsiTheme="majorHAnsi"/>
          <w:sz w:val="24"/>
          <w:szCs w:val="24"/>
        </w:rPr>
        <w:t> »</w:t>
      </w:r>
      <w:r w:rsidRPr="00576D11">
        <w:rPr>
          <w:rFonts w:asciiTheme="majorHAnsi" w:hAnsiTheme="majorHAnsi"/>
          <w:sz w:val="24"/>
          <w:szCs w:val="24"/>
        </w:rPr>
        <w:t xml:space="preserve"> ont pu légitimer le contrôle des dépenses des pays </w:t>
      </w:r>
      <w:r>
        <w:rPr>
          <w:rFonts w:asciiTheme="majorHAnsi" w:hAnsiTheme="majorHAnsi"/>
          <w:sz w:val="24"/>
          <w:szCs w:val="24"/>
        </w:rPr>
        <w:t>« </w:t>
      </w:r>
      <w:r w:rsidRPr="00576D11">
        <w:rPr>
          <w:rFonts w:asciiTheme="majorHAnsi" w:hAnsiTheme="majorHAnsi"/>
          <w:sz w:val="24"/>
          <w:szCs w:val="24"/>
        </w:rPr>
        <w:t>périphériques</w:t>
      </w:r>
      <w:r>
        <w:rPr>
          <w:rFonts w:asciiTheme="majorHAnsi" w:hAnsiTheme="majorHAnsi"/>
          <w:sz w:val="24"/>
          <w:szCs w:val="24"/>
        </w:rPr>
        <w:t> »</w:t>
      </w:r>
      <w:r w:rsidRPr="00576D11">
        <w:rPr>
          <w:rFonts w:asciiTheme="majorHAnsi" w:hAnsiTheme="majorHAnsi"/>
          <w:sz w:val="24"/>
          <w:szCs w:val="24"/>
        </w:rPr>
        <w:t xml:space="preserve"> et contraindre les politiques économiques en ce sens. Ainsi, depuis</w:t>
      </w:r>
      <w:r>
        <w:rPr>
          <w:rFonts w:asciiTheme="majorHAnsi" w:hAnsiTheme="majorHAnsi"/>
          <w:sz w:val="24"/>
          <w:szCs w:val="24"/>
        </w:rPr>
        <w:t> </w:t>
      </w:r>
      <w:r w:rsidRPr="00576D11">
        <w:rPr>
          <w:rFonts w:asciiTheme="majorHAnsi" w:hAnsiTheme="majorHAnsi"/>
          <w:sz w:val="24"/>
          <w:szCs w:val="24"/>
        </w:rPr>
        <w:t>2012, les réformes de la gouvernance macro-économique de la zone euro ont renforcé les logiques d’austérité, qui visent en priorité à diminuer les dépenses publiques et contraignent fortement les marges de manœuvre économiques et sociale</w:t>
      </w:r>
      <w:r>
        <w:rPr>
          <w:rFonts w:asciiTheme="majorHAnsi" w:hAnsiTheme="majorHAnsi"/>
          <w:sz w:val="24"/>
          <w:szCs w:val="24"/>
        </w:rPr>
        <w:t>s</w:t>
      </w:r>
      <w:r w:rsidRPr="00576D11">
        <w:rPr>
          <w:rFonts w:asciiTheme="majorHAnsi" w:hAnsiTheme="majorHAnsi"/>
          <w:sz w:val="24"/>
          <w:szCs w:val="24"/>
        </w:rPr>
        <w:t xml:space="preserve"> de l’ensemble des pays de la zone euro. Le choix de l’austérité comme réponse à la crise a ainsi permis aux pays du centre d’empêcher la mise en place d’autres alternatives d’ajustement, comme les mécanismes de transferts budgétaires, fondés sur une solidarité entre </w:t>
      </w:r>
      <w:r>
        <w:rPr>
          <w:rFonts w:asciiTheme="majorHAnsi" w:hAnsiTheme="majorHAnsi"/>
          <w:sz w:val="24"/>
          <w:szCs w:val="24"/>
        </w:rPr>
        <w:t>États-membres</w:t>
      </w:r>
      <w:r w:rsidRPr="00576D11">
        <w:rPr>
          <w:rFonts w:asciiTheme="majorHAnsi" w:hAnsiTheme="majorHAnsi"/>
          <w:sz w:val="24"/>
          <w:szCs w:val="24"/>
        </w:rPr>
        <w:t>.</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t>Ensuite, ce cadrage permet d’occulter les paris financiers risqués des grandes banques européennes qui, depuis</w:t>
      </w:r>
      <w:r>
        <w:rPr>
          <w:rFonts w:asciiTheme="majorHAnsi" w:hAnsiTheme="majorHAnsi"/>
          <w:sz w:val="24"/>
          <w:szCs w:val="24"/>
        </w:rPr>
        <w:t> </w:t>
      </w:r>
      <w:r w:rsidRPr="00576D11">
        <w:rPr>
          <w:rFonts w:asciiTheme="majorHAnsi" w:hAnsiTheme="majorHAnsi"/>
          <w:sz w:val="24"/>
          <w:szCs w:val="24"/>
        </w:rPr>
        <w:t xml:space="preserve">1999, ont investi massivement dans les </w:t>
      </w:r>
      <w:r w:rsidRPr="00576D11">
        <w:rPr>
          <w:rFonts w:asciiTheme="majorHAnsi" w:hAnsiTheme="majorHAnsi"/>
          <w:i/>
          <w:sz w:val="24"/>
          <w:szCs w:val="24"/>
        </w:rPr>
        <w:t>subprime</w:t>
      </w:r>
      <w:r>
        <w:rPr>
          <w:rFonts w:asciiTheme="majorHAnsi" w:hAnsiTheme="majorHAnsi"/>
          <w:i/>
          <w:sz w:val="24"/>
          <w:szCs w:val="24"/>
        </w:rPr>
        <w:t>s</w:t>
      </w:r>
      <w:r w:rsidRPr="00576D11">
        <w:rPr>
          <w:rFonts w:asciiTheme="majorHAnsi" w:hAnsiTheme="majorHAnsi"/>
          <w:sz w:val="24"/>
          <w:szCs w:val="24"/>
        </w:rPr>
        <w:t xml:space="preserve"> étasuniens et les pays périphériques de la zone euro. Après avoir été recapitalisées en</w:t>
      </w:r>
      <w:r>
        <w:rPr>
          <w:rFonts w:asciiTheme="majorHAnsi" w:hAnsiTheme="majorHAnsi"/>
          <w:sz w:val="24"/>
          <w:szCs w:val="24"/>
        </w:rPr>
        <w:t> </w:t>
      </w:r>
      <w:r w:rsidRPr="00576D11">
        <w:rPr>
          <w:rFonts w:asciiTheme="majorHAnsi" w:hAnsiTheme="majorHAnsi"/>
          <w:sz w:val="24"/>
          <w:szCs w:val="24"/>
        </w:rPr>
        <w:t>2008, suite à la chute de Lehman Brothers, les banques se sont retrouvées à nouveau au bord du précipice en</w:t>
      </w:r>
      <w:r>
        <w:rPr>
          <w:rFonts w:asciiTheme="majorHAnsi" w:hAnsiTheme="majorHAnsi"/>
          <w:sz w:val="24"/>
          <w:szCs w:val="24"/>
        </w:rPr>
        <w:t> </w:t>
      </w:r>
      <w:r w:rsidRPr="00576D11">
        <w:rPr>
          <w:rFonts w:asciiTheme="majorHAnsi" w:hAnsiTheme="majorHAnsi"/>
          <w:sz w:val="24"/>
          <w:szCs w:val="24"/>
        </w:rPr>
        <w:t>2010, quand les marchés ont réévalué à la hausse les risques financiers de la périphérie européenne. En permettant aux pays périphériques de refinancer leur dette souveraine détenue par les grandes banques européennes, l’austérité constituait également une réponse qui permettait d’éviter à la fois une nouvelle recapitalisation, mais aussi l’ef</w:t>
      </w:r>
      <w:r>
        <w:rPr>
          <w:rFonts w:asciiTheme="majorHAnsi" w:hAnsiTheme="majorHAnsi"/>
          <w:sz w:val="24"/>
          <w:szCs w:val="24"/>
        </w:rPr>
        <w:t>fondrement du système bancaire.</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 xml:space="preserve">Dans ce chapitre, </w:t>
      </w:r>
      <w:r>
        <w:rPr>
          <w:rFonts w:asciiTheme="majorHAnsi" w:hAnsiTheme="majorHAnsi"/>
          <w:sz w:val="24"/>
          <w:szCs w:val="24"/>
        </w:rPr>
        <w:t xml:space="preserve"> il est identifié tout</w:t>
      </w:r>
      <w:r w:rsidRPr="00576D11">
        <w:rPr>
          <w:rFonts w:asciiTheme="majorHAnsi" w:hAnsiTheme="majorHAnsi"/>
          <w:sz w:val="24"/>
          <w:szCs w:val="24"/>
        </w:rPr>
        <w:t xml:space="preserve"> d’abord les racines politiques de la crise de la zone euro et </w:t>
      </w:r>
      <w:r>
        <w:rPr>
          <w:rFonts w:asciiTheme="majorHAnsi" w:hAnsiTheme="majorHAnsi"/>
          <w:sz w:val="24"/>
          <w:szCs w:val="24"/>
        </w:rPr>
        <w:t xml:space="preserve"> il est expliqué</w:t>
      </w:r>
      <w:r w:rsidRPr="00576D11">
        <w:rPr>
          <w:rFonts w:asciiTheme="majorHAnsi" w:hAnsiTheme="majorHAnsi"/>
          <w:sz w:val="24"/>
          <w:szCs w:val="24"/>
        </w:rPr>
        <w:t xml:space="preserve"> pourquoi l’austérité s’est imposée comme la solution dominante à cette crise. Puis, </w:t>
      </w:r>
      <w:r>
        <w:rPr>
          <w:rFonts w:asciiTheme="majorHAnsi" w:hAnsiTheme="majorHAnsi"/>
          <w:sz w:val="24"/>
          <w:szCs w:val="24"/>
        </w:rPr>
        <w:t xml:space="preserve"> il est identifié</w:t>
      </w:r>
      <w:r w:rsidRPr="00576D11">
        <w:rPr>
          <w:rFonts w:asciiTheme="majorHAnsi" w:hAnsiTheme="majorHAnsi"/>
          <w:sz w:val="24"/>
          <w:szCs w:val="24"/>
        </w:rPr>
        <w:t xml:space="preserve"> les conséquences sociales des politiques d’austérité. Enfin, </w:t>
      </w:r>
      <w:r>
        <w:rPr>
          <w:rFonts w:asciiTheme="majorHAnsi" w:hAnsiTheme="majorHAnsi"/>
          <w:sz w:val="24"/>
          <w:szCs w:val="24"/>
        </w:rPr>
        <w:t xml:space="preserve"> il est exposé</w:t>
      </w:r>
      <w:r w:rsidRPr="00576D11">
        <w:rPr>
          <w:rFonts w:asciiTheme="majorHAnsi" w:hAnsiTheme="majorHAnsi"/>
          <w:sz w:val="24"/>
          <w:szCs w:val="24"/>
        </w:rPr>
        <w:t xml:space="preserve"> des alternatives aux politiques d’austérité.</w:t>
      </w:r>
    </w:p>
    <w:p w:rsidR="00600129" w:rsidRPr="00D950BB" w:rsidRDefault="00600129" w:rsidP="00600129">
      <w:pPr>
        <w:spacing w:after="120" w:line="360" w:lineRule="auto"/>
        <w:jc w:val="both"/>
        <w:rPr>
          <w:rFonts w:asciiTheme="majorHAnsi" w:hAnsiTheme="majorHAnsi"/>
          <w:b/>
          <w:sz w:val="24"/>
          <w:szCs w:val="24"/>
        </w:rPr>
      </w:pPr>
      <w:r w:rsidRPr="00576D11">
        <w:rPr>
          <w:rFonts w:asciiTheme="majorHAnsi" w:hAnsiTheme="majorHAnsi"/>
          <w:b/>
          <w:sz w:val="24"/>
          <w:szCs w:val="24"/>
        </w:rPr>
        <w:t>Les racines politiq</w:t>
      </w:r>
      <w:r>
        <w:rPr>
          <w:rFonts w:asciiTheme="majorHAnsi" w:hAnsiTheme="majorHAnsi"/>
          <w:b/>
          <w:sz w:val="24"/>
          <w:szCs w:val="24"/>
        </w:rPr>
        <w:t>ues de la crise de la zone euro</w:t>
      </w:r>
    </w:p>
    <w:p w:rsidR="00600129" w:rsidRPr="00576D11" w:rsidRDefault="00600129" w:rsidP="00600129">
      <w:pPr>
        <w:spacing w:after="120" w:line="360" w:lineRule="auto"/>
        <w:jc w:val="both"/>
        <w:rPr>
          <w:rFonts w:asciiTheme="majorHAnsi" w:hAnsiTheme="majorHAnsi"/>
          <w:i/>
          <w:sz w:val="24"/>
          <w:szCs w:val="24"/>
        </w:rPr>
      </w:pPr>
      <w:r>
        <w:rPr>
          <w:rFonts w:asciiTheme="majorHAnsi" w:hAnsiTheme="majorHAnsi"/>
          <w:i/>
          <w:sz w:val="24"/>
          <w:szCs w:val="24"/>
        </w:rPr>
        <w:t>L’asymétrie de la zone euro</w:t>
      </w:r>
    </w:p>
    <w:p w:rsidR="00600129" w:rsidRPr="00576D11" w:rsidRDefault="00600129" w:rsidP="00600129">
      <w:pPr>
        <w:spacing w:after="120" w:line="360" w:lineRule="auto"/>
        <w:jc w:val="both"/>
        <w:rPr>
          <w:rFonts w:asciiTheme="majorHAnsi" w:hAnsiTheme="majorHAnsi"/>
          <w:sz w:val="24"/>
          <w:szCs w:val="24"/>
          <w:lang w:val="fr-BE"/>
        </w:rPr>
      </w:pPr>
      <w:r w:rsidRPr="00576D11">
        <w:rPr>
          <w:rFonts w:asciiTheme="majorHAnsi" w:hAnsiTheme="majorHAnsi"/>
          <w:sz w:val="24"/>
          <w:szCs w:val="24"/>
        </w:rPr>
        <w:t>La zone euro est une construction politique qui pose des problèmes économiques. Comme le montre le chapitre</w:t>
      </w:r>
      <w:r>
        <w:rPr>
          <w:rFonts w:asciiTheme="majorHAnsi" w:hAnsiTheme="majorHAnsi"/>
          <w:sz w:val="24"/>
          <w:szCs w:val="24"/>
        </w:rPr>
        <w:t> 12</w:t>
      </w:r>
      <w:r w:rsidRPr="00576D11">
        <w:rPr>
          <w:rFonts w:asciiTheme="majorHAnsi" w:hAnsiTheme="majorHAnsi"/>
          <w:sz w:val="24"/>
          <w:szCs w:val="24"/>
        </w:rPr>
        <w:t xml:space="preserve"> </w:t>
      </w:r>
      <w:r>
        <w:rPr>
          <w:rFonts w:asciiTheme="majorHAnsi" w:hAnsiTheme="majorHAnsi"/>
          <w:sz w:val="24"/>
          <w:szCs w:val="24"/>
        </w:rPr>
        <w:t>ci-dessous</w:t>
      </w:r>
      <w:r w:rsidRPr="00576D11">
        <w:rPr>
          <w:rFonts w:asciiTheme="majorHAnsi" w:hAnsiTheme="majorHAnsi"/>
          <w:sz w:val="24"/>
          <w:szCs w:val="24"/>
        </w:rPr>
        <w:t xml:space="preserve">, une zone monétaire non-optimale, comme la zone euro, est incapable de réaliser les ajustements économiques en cas de choc asymétrique. De plus, </w:t>
      </w:r>
      <w:r w:rsidRPr="00576D11">
        <w:rPr>
          <w:rFonts w:asciiTheme="majorHAnsi" w:hAnsiTheme="majorHAnsi"/>
          <w:sz w:val="24"/>
          <w:szCs w:val="24"/>
          <w:lang w:val="fr-BE"/>
        </w:rPr>
        <w:t>l’hétérogénéité des cycles économiques des différents pays de la zone euro (tels que l’Irlande et l’Allemagne dans les années</w:t>
      </w:r>
      <w:r>
        <w:rPr>
          <w:rFonts w:asciiTheme="majorHAnsi" w:hAnsiTheme="majorHAnsi"/>
          <w:sz w:val="24"/>
          <w:szCs w:val="24"/>
          <w:lang w:val="fr-BE"/>
        </w:rPr>
        <w:t> </w:t>
      </w:r>
      <w:r w:rsidRPr="00576D11">
        <w:rPr>
          <w:rFonts w:asciiTheme="majorHAnsi" w:hAnsiTheme="majorHAnsi"/>
          <w:sz w:val="24"/>
          <w:szCs w:val="24"/>
          <w:lang w:val="fr-BE"/>
        </w:rPr>
        <w:t>2000) empêche la BCE de définir un taux d’intérêt unique qui convienne à tous. Des instruments budgétaires, fiscaux et sociaux communs auraient pu être adoptés pour atténuer les divergences économiques de la zone euro. Cependant, les pays créditeurs de la zone euro, tels que l’Allemagne ou les Pays-Bas, étaient opposés à l’approfondissement de l’intégration fiscale et budgétaire (Dyson et Featherstone,</w:t>
      </w:r>
      <w:r>
        <w:rPr>
          <w:rFonts w:asciiTheme="majorHAnsi" w:hAnsiTheme="majorHAnsi"/>
          <w:sz w:val="24"/>
          <w:szCs w:val="24"/>
          <w:lang w:val="fr-BE"/>
        </w:rPr>
        <w:t> </w:t>
      </w:r>
      <w:r w:rsidRPr="00576D11">
        <w:rPr>
          <w:rFonts w:asciiTheme="majorHAnsi" w:hAnsiTheme="majorHAnsi"/>
          <w:sz w:val="24"/>
          <w:szCs w:val="24"/>
          <w:lang w:val="fr-BE"/>
        </w:rPr>
        <w:t>1999). Ils craignaient que les pays considérés comme moins vertueux (Grèce, Italie, Espagne, Portugal, Irlande, et, dans une moindre mesure, France) profitent de leur crédibilité sur les marchés, et par là, de la convergence des taux d’intérêts sur ceux de l’Allemagne, pour s’endetter excessi</w:t>
      </w:r>
      <w:r>
        <w:rPr>
          <w:rFonts w:asciiTheme="majorHAnsi" w:hAnsiTheme="majorHAnsi"/>
          <w:sz w:val="24"/>
          <w:szCs w:val="24"/>
          <w:lang w:val="fr-BE"/>
        </w:rPr>
        <w:t>vement et créer de l’inflation.</w:t>
      </w:r>
    </w:p>
    <w:p w:rsidR="00600129" w:rsidRPr="00576D11" w:rsidRDefault="00600129" w:rsidP="00600129">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t xml:space="preserve">Par conséquent, plutôt que de procéder à une véritable intégration macro-économique, les pays de la zone euro ont adopté un système de règles contraignants visant à limiter les risques de déficits excessifs et des niveaux trop élevés de dette souveraine (Pacte de Stabilité et de Croissance). </w:t>
      </w:r>
      <w:r w:rsidRPr="00576D11">
        <w:rPr>
          <w:rFonts w:asciiTheme="majorHAnsi" w:hAnsiTheme="majorHAnsi"/>
          <w:sz w:val="24"/>
          <w:szCs w:val="24"/>
        </w:rPr>
        <w:t>De plus,</w:t>
      </w:r>
      <w:r w:rsidRPr="00576D11">
        <w:rPr>
          <w:rFonts w:asciiTheme="majorHAnsi" w:hAnsiTheme="majorHAnsi"/>
          <w:sz w:val="24"/>
          <w:szCs w:val="24"/>
          <w:lang w:val="fr-BE"/>
        </w:rPr>
        <w:t xml:space="preserve"> l’absence d’instruments d’intégration fiscale et sociale combinée aux règles de concurrence libre du marché unique met en compétition les politiques des </w:t>
      </w:r>
      <w:r>
        <w:rPr>
          <w:rFonts w:asciiTheme="majorHAnsi" w:hAnsiTheme="majorHAnsi"/>
          <w:sz w:val="24"/>
          <w:szCs w:val="24"/>
          <w:lang w:val="fr-BE"/>
        </w:rPr>
        <w:t>États-membres</w:t>
      </w:r>
      <w:r w:rsidRPr="00576D11">
        <w:rPr>
          <w:rFonts w:asciiTheme="majorHAnsi" w:hAnsiTheme="majorHAnsi"/>
          <w:sz w:val="24"/>
          <w:szCs w:val="24"/>
          <w:lang w:val="fr-BE"/>
        </w:rPr>
        <w:t xml:space="preserve"> (</w:t>
      </w:r>
      <w:r w:rsidRPr="006A61BE">
        <w:rPr>
          <w:rFonts w:asciiTheme="majorHAnsi" w:hAnsiTheme="majorHAnsi"/>
          <w:i/>
          <w:sz w:val="24"/>
          <w:szCs w:val="24"/>
          <w:lang w:val="fr-BE"/>
        </w:rPr>
        <w:t>dumping</w:t>
      </w:r>
      <w:r w:rsidRPr="00576D11">
        <w:rPr>
          <w:rFonts w:asciiTheme="majorHAnsi" w:hAnsiTheme="majorHAnsi"/>
          <w:sz w:val="24"/>
          <w:szCs w:val="24"/>
          <w:lang w:val="fr-BE"/>
        </w:rPr>
        <w:t xml:space="preserve"> fiscal et social). Par exemple, si un État cherche à augmenter ses recettes fiscales en taxant davantage les entreprises, celles-ci peuvent menacer de relocaliser leurs activités dans un pays plus accommodant. Le Luxembourg, les Pays-Bas ou l’Irlande ont alimenté leur développement économique en attirant ainsi les capitaux des autres pays européens. Enfin, la </w:t>
      </w:r>
      <w:r w:rsidRPr="00576D11">
        <w:rPr>
          <w:rFonts w:asciiTheme="majorHAnsi" w:hAnsiTheme="majorHAnsi"/>
          <w:sz w:val="24"/>
          <w:szCs w:val="24"/>
          <w:lang w:val="fr-BE"/>
        </w:rPr>
        <w:lastRenderedPageBreak/>
        <w:t>grande faiblesse du budget de l’UE ne lui permet pas de mobiliser des instruments de redistribution autre</w:t>
      </w:r>
      <w:r>
        <w:rPr>
          <w:rFonts w:asciiTheme="majorHAnsi" w:hAnsiTheme="majorHAnsi"/>
          <w:sz w:val="24"/>
          <w:szCs w:val="24"/>
          <w:lang w:val="fr-BE"/>
        </w:rPr>
        <w:t>s</w:t>
      </w:r>
      <w:r w:rsidRPr="00576D11">
        <w:rPr>
          <w:rFonts w:asciiTheme="majorHAnsi" w:hAnsiTheme="majorHAnsi"/>
          <w:sz w:val="24"/>
          <w:szCs w:val="24"/>
          <w:lang w:val="fr-BE"/>
        </w:rPr>
        <w:t xml:space="preserve"> que les fonds dédiés au développement de la politique régionale.</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t>Dans ce contexte, les marchés du travail sont devenus la principale variable d’ajustement économique face aux chocs asymétriques, ce qui explique l’orientation accentuée vers des politiques de flexibilisation des salaires, des coûts et de la mobilité du travail. Ces tendances ont été renforcées par la jurispruden</w:t>
      </w:r>
      <w:r>
        <w:rPr>
          <w:rFonts w:asciiTheme="majorHAnsi" w:hAnsiTheme="majorHAnsi"/>
          <w:sz w:val="24"/>
          <w:szCs w:val="24"/>
        </w:rPr>
        <w:t>ce de la Cour de Justice de l’Union européenne</w:t>
      </w:r>
      <w:r w:rsidRPr="00576D11">
        <w:rPr>
          <w:rFonts w:asciiTheme="majorHAnsi" w:hAnsiTheme="majorHAnsi"/>
          <w:sz w:val="24"/>
          <w:szCs w:val="24"/>
        </w:rPr>
        <w:t xml:space="preserve"> qui a régulièrement favorisé, depuis la fin des années</w:t>
      </w:r>
      <w:r>
        <w:rPr>
          <w:rFonts w:asciiTheme="majorHAnsi" w:hAnsiTheme="majorHAnsi"/>
          <w:sz w:val="24"/>
          <w:szCs w:val="24"/>
        </w:rPr>
        <w:t> </w:t>
      </w:r>
      <w:r w:rsidRPr="00576D11">
        <w:rPr>
          <w:rFonts w:asciiTheme="majorHAnsi" w:hAnsiTheme="majorHAnsi"/>
          <w:sz w:val="24"/>
          <w:szCs w:val="24"/>
        </w:rPr>
        <w:t xml:space="preserve">2000, la libre-circulation des services et le libre établissement des entreprises au détriment des normes sociales du pays d’accueil, comme l’ont illustré les arrêts </w:t>
      </w:r>
      <w:r w:rsidRPr="00576D11">
        <w:rPr>
          <w:rFonts w:asciiTheme="majorHAnsi" w:hAnsiTheme="majorHAnsi"/>
          <w:i/>
          <w:iCs/>
          <w:sz w:val="24"/>
          <w:szCs w:val="24"/>
        </w:rPr>
        <w:t xml:space="preserve">Laval </w:t>
      </w:r>
      <w:r w:rsidRPr="00576D11">
        <w:rPr>
          <w:rFonts w:asciiTheme="majorHAnsi" w:hAnsiTheme="majorHAnsi"/>
          <w:sz w:val="24"/>
          <w:szCs w:val="24"/>
        </w:rPr>
        <w:t xml:space="preserve">et </w:t>
      </w:r>
      <w:r w:rsidRPr="00576D11">
        <w:rPr>
          <w:rFonts w:asciiTheme="majorHAnsi" w:hAnsiTheme="majorHAnsi"/>
          <w:i/>
          <w:iCs/>
          <w:sz w:val="24"/>
          <w:szCs w:val="24"/>
        </w:rPr>
        <w:t>Viking</w:t>
      </w:r>
      <w:r w:rsidRPr="00576D11">
        <w:rPr>
          <w:rFonts w:asciiTheme="majorHAnsi" w:hAnsiTheme="majorHAnsi"/>
          <w:sz w:val="24"/>
          <w:szCs w:val="24"/>
        </w:rPr>
        <w:t>.</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lang w:val="fr-BE"/>
        </w:rPr>
        <w:t xml:space="preserve">Enfin, le développement de </w:t>
      </w:r>
      <w:r>
        <w:rPr>
          <w:rFonts w:asciiTheme="majorHAnsi" w:hAnsiTheme="majorHAnsi"/>
          <w:sz w:val="24"/>
          <w:szCs w:val="24"/>
          <w:lang w:val="fr-BE"/>
        </w:rPr>
        <w:t>« </w:t>
      </w:r>
      <w:r w:rsidRPr="00576D11">
        <w:rPr>
          <w:rFonts w:asciiTheme="majorHAnsi" w:hAnsiTheme="majorHAnsi"/>
          <w:sz w:val="24"/>
          <w:szCs w:val="24"/>
          <w:lang w:val="fr-BE"/>
        </w:rPr>
        <w:t>l’Europe sociale</w:t>
      </w:r>
      <w:r>
        <w:rPr>
          <w:rFonts w:asciiTheme="majorHAnsi" w:hAnsiTheme="majorHAnsi"/>
          <w:sz w:val="24"/>
          <w:szCs w:val="24"/>
          <w:lang w:val="fr-BE"/>
        </w:rPr>
        <w:t> »</w:t>
      </w:r>
      <w:r w:rsidRPr="00576D11">
        <w:rPr>
          <w:rFonts w:asciiTheme="majorHAnsi" w:hAnsiTheme="majorHAnsi"/>
          <w:sz w:val="24"/>
          <w:szCs w:val="24"/>
          <w:lang w:val="fr-BE"/>
        </w:rPr>
        <w:t xml:space="preserve"> est resté très limité car il repose principalement sur des méthodes de gouvernance non contraignantes pour les États, qui n’ont </w:t>
      </w:r>
      <w:r w:rsidRPr="00576D11">
        <w:rPr>
          <w:rFonts w:asciiTheme="majorHAnsi" w:hAnsiTheme="majorHAnsi"/>
          <w:sz w:val="24"/>
          <w:szCs w:val="24"/>
        </w:rPr>
        <w:t xml:space="preserve">pas permis de répondre aux enjeux sociaux posés par l’intégration économique et financière européenne. L’Europe sociale est restée un </w:t>
      </w:r>
      <w:r>
        <w:rPr>
          <w:rFonts w:asciiTheme="majorHAnsi" w:hAnsiTheme="majorHAnsi"/>
          <w:sz w:val="24"/>
          <w:szCs w:val="24"/>
        </w:rPr>
        <w:t>« </w:t>
      </w:r>
      <w:r w:rsidRPr="00576D11">
        <w:rPr>
          <w:rFonts w:asciiTheme="majorHAnsi" w:hAnsiTheme="majorHAnsi"/>
          <w:sz w:val="24"/>
          <w:szCs w:val="24"/>
        </w:rPr>
        <w:t>mythe</w:t>
      </w:r>
      <w:r>
        <w:rPr>
          <w:rFonts w:asciiTheme="majorHAnsi" w:hAnsiTheme="majorHAnsi"/>
          <w:sz w:val="24"/>
          <w:szCs w:val="24"/>
        </w:rPr>
        <w:t> »</w:t>
      </w:r>
      <w:r w:rsidRPr="00576D11">
        <w:rPr>
          <w:rFonts w:asciiTheme="majorHAnsi" w:hAnsiTheme="majorHAnsi"/>
          <w:sz w:val="24"/>
          <w:szCs w:val="24"/>
        </w:rPr>
        <w:t xml:space="preserve"> (Moss</w:t>
      </w:r>
      <w:r>
        <w:rPr>
          <w:rFonts w:asciiTheme="majorHAnsi" w:hAnsiTheme="majorHAnsi"/>
          <w:sz w:val="24"/>
          <w:szCs w:val="24"/>
        </w:rPr>
        <w:t>, </w:t>
      </w:r>
      <w:r w:rsidRPr="00576D11">
        <w:rPr>
          <w:rFonts w:asciiTheme="majorHAnsi" w:hAnsiTheme="majorHAnsi"/>
          <w:sz w:val="24"/>
          <w:szCs w:val="24"/>
        </w:rPr>
        <w:t>2001), alors que la concurrence libre et non faussée, les libertés de circulations du marché unique, et la coordination macroéconomique des États de la zone euro sont, elles, des réalités.</w:t>
      </w:r>
    </w:p>
    <w:p w:rsidR="00600129" w:rsidRPr="00D950BB" w:rsidRDefault="00600129" w:rsidP="00600129">
      <w:pPr>
        <w:spacing w:after="120" w:line="360" w:lineRule="auto"/>
        <w:jc w:val="both"/>
        <w:rPr>
          <w:rFonts w:asciiTheme="majorHAnsi" w:hAnsiTheme="majorHAnsi"/>
          <w:i/>
          <w:sz w:val="24"/>
          <w:szCs w:val="24"/>
        </w:rPr>
      </w:pPr>
      <w:r w:rsidRPr="00576D11">
        <w:rPr>
          <w:rFonts w:asciiTheme="majorHAnsi" w:hAnsiTheme="majorHAnsi"/>
          <w:i/>
          <w:sz w:val="24"/>
          <w:szCs w:val="24"/>
        </w:rPr>
        <w:t>L’intégration financiè</w:t>
      </w:r>
      <w:r>
        <w:rPr>
          <w:rFonts w:asciiTheme="majorHAnsi" w:hAnsiTheme="majorHAnsi"/>
          <w:i/>
          <w:sz w:val="24"/>
          <w:szCs w:val="24"/>
        </w:rPr>
        <w:t>re comme solution à l’asymétrie</w:t>
      </w:r>
    </w:p>
    <w:p w:rsidR="00600129" w:rsidRPr="00576D11" w:rsidRDefault="00600129" w:rsidP="00600129">
      <w:pPr>
        <w:spacing w:after="120" w:line="360" w:lineRule="auto"/>
        <w:jc w:val="both"/>
        <w:rPr>
          <w:rFonts w:asciiTheme="majorHAnsi" w:hAnsiTheme="majorHAnsi"/>
          <w:sz w:val="24"/>
          <w:szCs w:val="24"/>
          <w:lang w:val="fr-BE"/>
        </w:rPr>
      </w:pPr>
      <w:r w:rsidRPr="00576D11">
        <w:rPr>
          <w:rFonts w:asciiTheme="majorHAnsi" w:hAnsiTheme="majorHAnsi"/>
          <w:sz w:val="24"/>
          <w:szCs w:val="24"/>
        </w:rPr>
        <w:t>Afin de combler les déséquilibres entre l’intégration monétaire et socio-économique, la Commission Européenne et la Banque Centrale Européenne (BCE) ont alors encouragé l’intégration financière, moins visible et controversée que les questions fiscales et budgétaires. Leur pari consistait à garantir aux opérateurs financiers les mêmes droits et conditions d’investissement sur l’ensemble de la zone euro afin de favoriser des mouvements de capitaux du centre vers la périphérie et, par-là, un accroissement des investissements, de la compétitivité et de la croissance dans les pays périphériques (Gabor et Ban,</w:t>
      </w:r>
      <w:r>
        <w:rPr>
          <w:rFonts w:asciiTheme="majorHAnsi" w:hAnsiTheme="majorHAnsi"/>
          <w:sz w:val="24"/>
          <w:szCs w:val="24"/>
        </w:rPr>
        <w:t> </w:t>
      </w:r>
      <w:r w:rsidRPr="00576D11">
        <w:rPr>
          <w:rFonts w:asciiTheme="majorHAnsi" w:hAnsiTheme="majorHAnsi"/>
          <w:sz w:val="24"/>
          <w:szCs w:val="24"/>
        </w:rPr>
        <w:t>2016).</w:t>
      </w:r>
      <w:r w:rsidRPr="00576D11">
        <w:rPr>
          <w:rFonts w:asciiTheme="majorHAnsi" w:hAnsiTheme="majorHAnsi"/>
          <w:sz w:val="24"/>
          <w:szCs w:val="24"/>
          <w:lang w:val="fr-BE"/>
        </w:rPr>
        <w:t xml:space="preserve"> À première vue, les efforts des autorités européennes ont été</w:t>
      </w:r>
      <w:r w:rsidRPr="00576D11">
        <w:rPr>
          <w:rFonts w:asciiTheme="majorHAnsi" w:hAnsiTheme="majorHAnsi"/>
          <w:sz w:val="24"/>
          <w:szCs w:val="24"/>
        </w:rPr>
        <w:t xml:space="preserve"> récompensés</w:t>
      </w:r>
      <w:r>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sz w:val="24"/>
          <w:szCs w:val="24"/>
          <w:lang w:val="fr-BE"/>
        </w:rPr>
        <w:t>pendant les dix</w:t>
      </w:r>
      <w:r>
        <w:rPr>
          <w:rFonts w:asciiTheme="majorHAnsi" w:hAnsiTheme="majorHAnsi"/>
          <w:sz w:val="24"/>
          <w:szCs w:val="24"/>
          <w:lang w:val="fr-BE"/>
        </w:rPr>
        <w:t> </w:t>
      </w:r>
      <w:r w:rsidRPr="00576D11">
        <w:rPr>
          <w:rFonts w:asciiTheme="majorHAnsi" w:hAnsiTheme="majorHAnsi"/>
          <w:sz w:val="24"/>
          <w:szCs w:val="24"/>
          <w:lang w:val="fr-BE"/>
        </w:rPr>
        <w:t>premières années de la zone euro, la Grèce ne payait guère plus d’intérêt su</w:t>
      </w:r>
      <w:r>
        <w:rPr>
          <w:rFonts w:asciiTheme="majorHAnsi" w:hAnsiTheme="majorHAnsi"/>
          <w:sz w:val="24"/>
          <w:szCs w:val="24"/>
          <w:lang w:val="fr-BE"/>
        </w:rPr>
        <w:t>r ses emprunts que l’Allemagne.</w:t>
      </w:r>
    </w:p>
    <w:p w:rsidR="00600129" w:rsidRPr="00576D11" w:rsidRDefault="00600129" w:rsidP="00600129">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t xml:space="preserve">Cependant, ces mesures ont eu des conséquences problématiques. Ainsi, les grandes banques européennes ont profité de ces nouvelles opportunités pour s’engager dans une vague de fusions et d’acquisitions et dans un recyclage des dettes souveraines européennes avec les banques </w:t>
      </w:r>
      <w:r w:rsidRPr="00576D11">
        <w:rPr>
          <w:rFonts w:asciiTheme="majorHAnsi" w:hAnsiTheme="majorHAnsi"/>
          <w:sz w:val="24"/>
          <w:szCs w:val="24"/>
          <w:lang w:val="fr-BE"/>
        </w:rPr>
        <w:lastRenderedPageBreak/>
        <w:t xml:space="preserve">étasuniennes pour obtenir des </w:t>
      </w:r>
      <w:r w:rsidRPr="00576D11">
        <w:rPr>
          <w:rFonts w:asciiTheme="majorHAnsi" w:hAnsiTheme="majorHAnsi"/>
          <w:i/>
          <w:sz w:val="24"/>
          <w:szCs w:val="24"/>
          <w:lang w:val="fr-BE"/>
        </w:rPr>
        <w:t xml:space="preserve">subprimes </w:t>
      </w:r>
      <w:r w:rsidRPr="00576D11">
        <w:rPr>
          <w:rFonts w:asciiTheme="majorHAnsi" w:hAnsiTheme="majorHAnsi"/>
          <w:sz w:val="24"/>
          <w:szCs w:val="24"/>
          <w:lang w:val="fr-BE"/>
        </w:rPr>
        <w:t>(Tooze</w:t>
      </w:r>
      <w:r>
        <w:rPr>
          <w:rFonts w:asciiTheme="majorHAnsi" w:hAnsiTheme="majorHAnsi"/>
          <w:sz w:val="24"/>
          <w:szCs w:val="24"/>
          <w:lang w:val="fr-BE"/>
        </w:rPr>
        <w:t>, </w:t>
      </w:r>
      <w:r w:rsidRPr="00576D11">
        <w:rPr>
          <w:rFonts w:asciiTheme="majorHAnsi" w:hAnsiTheme="majorHAnsi"/>
          <w:sz w:val="24"/>
          <w:szCs w:val="24"/>
          <w:lang w:val="fr-BE"/>
        </w:rPr>
        <w:t>2018)</w:t>
      </w:r>
      <w:r w:rsidRPr="00576D11">
        <w:rPr>
          <w:rFonts w:asciiTheme="majorHAnsi" w:hAnsiTheme="majorHAnsi"/>
          <w:i/>
          <w:sz w:val="24"/>
          <w:szCs w:val="24"/>
          <w:lang w:val="fr-BE"/>
        </w:rPr>
        <w:t xml:space="preserve">. </w:t>
      </w:r>
      <w:r w:rsidRPr="00576D11">
        <w:rPr>
          <w:rFonts w:asciiTheme="majorHAnsi" w:hAnsiTheme="majorHAnsi"/>
          <w:sz w:val="24"/>
          <w:szCs w:val="24"/>
          <w:lang w:val="fr-BE"/>
        </w:rPr>
        <w:t>Ces montages financiers ont permis aux banques européennes de devenir</w:t>
      </w:r>
      <w:r>
        <w:rPr>
          <w:rFonts w:asciiTheme="majorHAnsi" w:hAnsiTheme="majorHAnsi"/>
          <w:sz w:val="24"/>
          <w:szCs w:val="24"/>
          <w:lang w:val="fr-BE"/>
        </w:rPr>
        <w:t xml:space="preserve"> </w:t>
      </w:r>
      <w:r w:rsidRPr="00576D11">
        <w:rPr>
          <w:rFonts w:asciiTheme="majorHAnsi" w:hAnsiTheme="majorHAnsi"/>
          <w:i/>
          <w:sz w:val="24"/>
          <w:szCs w:val="24"/>
          <w:lang w:val="fr-BE"/>
        </w:rPr>
        <w:t xml:space="preserve">too-big-to-fail  </w:t>
      </w:r>
      <w:r w:rsidRPr="00576D11">
        <w:rPr>
          <w:rFonts w:asciiTheme="majorHAnsi" w:hAnsiTheme="majorHAnsi"/>
          <w:sz w:val="24"/>
          <w:szCs w:val="24"/>
          <w:lang w:val="fr-BE"/>
        </w:rPr>
        <w:t>(trop grosses pour tomber)</w:t>
      </w:r>
      <w:r>
        <w:rPr>
          <w:rFonts w:asciiTheme="majorHAnsi" w:hAnsiTheme="majorHAnsi"/>
          <w:sz w:val="24"/>
          <w:szCs w:val="24"/>
          <w:lang w:val="fr-BE"/>
        </w:rPr>
        <w:t> :</w:t>
      </w:r>
      <w:r w:rsidRPr="00576D11">
        <w:rPr>
          <w:rFonts w:asciiTheme="majorHAnsi" w:hAnsiTheme="majorHAnsi"/>
          <w:sz w:val="24"/>
          <w:szCs w:val="24"/>
          <w:lang w:val="fr-BE"/>
        </w:rPr>
        <w:t xml:space="preserve"> entre</w:t>
      </w:r>
      <w:r>
        <w:rPr>
          <w:rFonts w:asciiTheme="majorHAnsi" w:hAnsiTheme="majorHAnsi"/>
          <w:sz w:val="24"/>
          <w:szCs w:val="24"/>
          <w:lang w:val="fr-BE"/>
        </w:rPr>
        <w:t> </w:t>
      </w:r>
      <w:r w:rsidRPr="00576D11">
        <w:rPr>
          <w:rFonts w:asciiTheme="majorHAnsi" w:hAnsiTheme="majorHAnsi"/>
          <w:sz w:val="24"/>
          <w:szCs w:val="24"/>
          <w:lang w:val="fr-BE"/>
        </w:rPr>
        <w:t>1999 et</w:t>
      </w:r>
      <w:r>
        <w:rPr>
          <w:rFonts w:asciiTheme="majorHAnsi" w:hAnsiTheme="majorHAnsi"/>
          <w:sz w:val="24"/>
          <w:szCs w:val="24"/>
          <w:lang w:val="fr-BE"/>
        </w:rPr>
        <w:t> </w:t>
      </w:r>
      <w:r w:rsidRPr="00576D11">
        <w:rPr>
          <w:rFonts w:asciiTheme="majorHAnsi" w:hAnsiTheme="majorHAnsi"/>
          <w:sz w:val="24"/>
          <w:szCs w:val="24"/>
          <w:lang w:val="fr-BE"/>
        </w:rPr>
        <w:t>2007</w:t>
      </w:r>
      <w:r>
        <w:rPr>
          <w:rFonts w:asciiTheme="majorHAnsi" w:hAnsiTheme="majorHAnsi"/>
          <w:sz w:val="24"/>
          <w:szCs w:val="24"/>
          <w:lang w:val="fr-BE"/>
        </w:rPr>
        <w:t>,</w:t>
      </w:r>
      <w:r w:rsidRPr="00576D11">
        <w:rPr>
          <w:rFonts w:asciiTheme="majorHAnsi" w:hAnsiTheme="majorHAnsi"/>
          <w:sz w:val="24"/>
          <w:szCs w:val="24"/>
          <w:lang w:val="fr-BE"/>
        </w:rPr>
        <w:t xml:space="preserve"> elles ont doublé de taille pour atteindre, en moyenne, 350</w:t>
      </w:r>
      <w:r>
        <w:rPr>
          <w:rFonts w:asciiTheme="majorHAnsi" w:hAnsiTheme="majorHAnsi"/>
          <w:sz w:val="24"/>
          <w:szCs w:val="24"/>
          <w:lang w:val="fr-BE"/>
        </w:rPr>
        <w:t> %</w:t>
      </w:r>
      <w:r w:rsidRPr="00576D11">
        <w:rPr>
          <w:rFonts w:asciiTheme="majorHAnsi" w:hAnsiTheme="majorHAnsi"/>
          <w:sz w:val="24"/>
          <w:szCs w:val="24"/>
          <w:lang w:val="fr-BE"/>
        </w:rPr>
        <w:t xml:space="preserve"> du PIB de la zone euro. L’afflux de capitaux des banques des pays </w:t>
      </w:r>
      <w:r>
        <w:rPr>
          <w:rFonts w:asciiTheme="majorHAnsi" w:hAnsiTheme="majorHAnsi"/>
          <w:sz w:val="24"/>
          <w:szCs w:val="24"/>
          <w:lang w:val="fr-BE"/>
        </w:rPr>
        <w:t>« </w:t>
      </w:r>
      <w:r w:rsidRPr="00576D11">
        <w:rPr>
          <w:rFonts w:asciiTheme="majorHAnsi" w:hAnsiTheme="majorHAnsi"/>
          <w:sz w:val="24"/>
          <w:szCs w:val="24"/>
          <w:lang w:val="fr-BE"/>
        </w:rPr>
        <w:t>centraux</w:t>
      </w:r>
      <w:r>
        <w:rPr>
          <w:rFonts w:asciiTheme="majorHAnsi" w:hAnsiTheme="majorHAnsi"/>
          <w:sz w:val="24"/>
          <w:szCs w:val="24"/>
          <w:lang w:val="fr-BE"/>
        </w:rPr>
        <w:t> »</w:t>
      </w:r>
      <w:r w:rsidRPr="00576D11">
        <w:rPr>
          <w:rFonts w:asciiTheme="majorHAnsi" w:hAnsiTheme="majorHAnsi"/>
          <w:sz w:val="24"/>
          <w:szCs w:val="24"/>
          <w:lang w:val="fr-BE"/>
        </w:rPr>
        <w:t xml:space="preserve"> (France, Allemagne, Pays-Bas) vers les pays périphériques a entra</w:t>
      </w:r>
      <w:r>
        <w:rPr>
          <w:rFonts w:asciiTheme="majorHAnsi" w:hAnsiTheme="majorHAnsi"/>
          <w:sz w:val="24"/>
          <w:szCs w:val="24"/>
          <w:lang w:val="fr-BE"/>
        </w:rPr>
        <w:t>î</w:t>
      </w:r>
      <w:r w:rsidRPr="00576D11">
        <w:rPr>
          <w:rFonts w:asciiTheme="majorHAnsi" w:hAnsiTheme="majorHAnsi"/>
          <w:sz w:val="24"/>
          <w:szCs w:val="24"/>
          <w:lang w:val="fr-BE"/>
        </w:rPr>
        <w:t xml:space="preserve">né une aggravation des dettes publiques et privées et l’apparition de bulles spéculatives immobilières dans les pays </w:t>
      </w:r>
      <w:r>
        <w:rPr>
          <w:rFonts w:asciiTheme="majorHAnsi" w:hAnsiTheme="majorHAnsi"/>
          <w:sz w:val="24"/>
          <w:szCs w:val="24"/>
          <w:lang w:val="fr-BE"/>
        </w:rPr>
        <w:t>« </w:t>
      </w:r>
      <w:r w:rsidRPr="00576D11">
        <w:rPr>
          <w:rFonts w:asciiTheme="majorHAnsi" w:hAnsiTheme="majorHAnsi"/>
          <w:sz w:val="24"/>
          <w:szCs w:val="24"/>
          <w:lang w:val="fr-BE"/>
        </w:rPr>
        <w:t>périphériques</w:t>
      </w:r>
      <w:r>
        <w:rPr>
          <w:rFonts w:asciiTheme="majorHAnsi" w:hAnsiTheme="majorHAnsi"/>
          <w:sz w:val="24"/>
          <w:szCs w:val="24"/>
          <w:lang w:val="fr-BE"/>
        </w:rPr>
        <w:t> »</w:t>
      </w:r>
      <w:r w:rsidRPr="00576D11">
        <w:rPr>
          <w:rFonts w:asciiTheme="majorHAnsi" w:hAnsiTheme="majorHAnsi"/>
          <w:sz w:val="24"/>
          <w:szCs w:val="24"/>
          <w:lang w:val="fr-BE"/>
        </w:rPr>
        <w:t>. L’intégration financière, encouragée par les autorités régulatrices européennes, n’a ainsi pas mené à une convergence économique mais plutôt à une aggravation des déséquilibres économiques au sein de la zone euro.</w:t>
      </w:r>
    </w:p>
    <w:p w:rsidR="00600129" w:rsidRPr="00576D11" w:rsidRDefault="00600129" w:rsidP="00600129">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t>La combinaison de ces facteurs a préparé la tempête parfaite qui a frappé la zone euro en</w:t>
      </w:r>
      <w:r>
        <w:rPr>
          <w:rFonts w:asciiTheme="majorHAnsi" w:hAnsiTheme="majorHAnsi"/>
          <w:sz w:val="24"/>
          <w:szCs w:val="24"/>
          <w:lang w:val="fr-BE"/>
        </w:rPr>
        <w:t> </w:t>
      </w:r>
      <w:r w:rsidRPr="00576D11">
        <w:rPr>
          <w:rFonts w:asciiTheme="majorHAnsi" w:hAnsiTheme="majorHAnsi"/>
          <w:sz w:val="24"/>
          <w:szCs w:val="24"/>
          <w:lang w:val="fr-BE"/>
        </w:rPr>
        <w:t>2009-2010</w:t>
      </w:r>
      <w:r>
        <w:rPr>
          <w:rFonts w:asciiTheme="majorHAnsi" w:hAnsiTheme="majorHAnsi"/>
          <w:sz w:val="24"/>
          <w:szCs w:val="24"/>
          <w:lang w:val="fr-BE"/>
        </w:rPr>
        <w:t> :</w:t>
      </w:r>
      <w:r w:rsidRPr="00576D11">
        <w:rPr>
          <w:rFonts w:asciiTheme="majorHAnsi" w:hAnsiTheme="majorHAnsi"/>
          <w:sz w:val="24"/>
          <w:szCs w:val="24"/>
          <w:lang w:val="fr-BE"/>
        </w:rPr>
        <w:t xml:space="preserve"> non seulement la brusque remontée des taux d’intérêt des dettes souveraines des pays périphériques a compliqué le refinancement des États mais les grandes banques européennes se </w:t>
      </w:r>
      <w:r>
        <w:rPr>
          <w:rFonts w:asciiTheme="majorHAnsi" w:hAnsiTheme="majorHAnsi"/>
          <w:sz w:val="24"/>
          <w:szCs w:val="24"/>
          <w:lang w:val="fr-BE"/>
        </w:rPr>
        <w:t>sont trouvées</w:t>
      </w:r>
      <w:r w:rsidRPr="00576D11">
        <w:rPr>
          <w:rFonts w:asciiTheme="majorHAnsi" w:hAnsiTheme="majorHAnsi"/>
          <w:sz w:val="24"/>
          <w:szCs w:val="24"/>
          <w:lang w:val="fr-BE"/>
        </w:rPr>
        <w:t xml:space="preserve"> fragilisées par</w:t>
      </w:r>
      <w:r>
        <w:rPr>
          <w:rFonts w:asciiTheme="majorHAnsi" w:hAnsiTheme="majorHAnsi"/>
          <w:sz w:val="24"/>
          <w:szCs w:val="24"/>
          <w:lang w:val="fr-BE"/>
        </w:rPr>
        <w:t xml:space="preserve"> leurs expositions à celles-ci.</w:t>
      </w:r>
    </w:p>
    <w:p w:rsidR="00600129" w:rsidRPr="00D950BB" w:rsidRDefault="00600129" w:rsidP="00600129">
      <w:pPr>
        <w:spacing w:after="120" w:line="360" w:lineRule="auto"/>
        <w:jc w:val="both"/>
        <w:rPr>
          <w:rFonts w:asciiTheme="majorHAnsi" w:hAnsiTheme="majorHAnsi"/>
          <w:b/>
          <w:sz w:val="24"/>
          <w:szCs w:val="24"/>
        </w:rPr>
      </w:pPr>
      <w:r w:rsidRPr="00576D11">
        <w:rPr>
          <w:rFonts w:asciiTheme="majorHAnsi" w:hAnsiTheme="majorHAnsi"/>
          <w:b/>
          <w:sz w:val="24"/>
          <w:szCs w:val="24"/>
        </w:rPr>
        <w:t xml:space="preserve">L’austérité comme </w:t>
      </w:r>
      <w:r>
        <w:rPr>
          <w:rFonts w:asciiTheme="majorHAnsi" w:hAnsiTheme="majorHAnsi"/>
          <w:b/>
          <w:sz w:val="24"/>
          <w:szCs w:val="24"/>
        </w:rPr>
        <w:t>réponse aux problèmes bancaires</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sz w:val="24"/>
          <w:szCs w:val="24"/>
        </w:rPr>
        <w:t xml:space="preserve">En février 2010, la Grèce n’était plus en capacité de repayer ses dettes de manière soutenable à ses créanciers. Quand un État rencontre de tels problèmes de solvabilité, la solution institutionnelle classique consiste à lui prêter des fonds en échange de la mise en œuvre de réformes structurelles (afin de rendre l’économie plus compétitive) et d’une restructuration de la dette (afin de ne pas étouffer la relance économique). Cependant, la restructuration de la dette grecque aurait fragilisé les banques françaises et allemandes, qui y étaient exposées à hauteur de </w:t>
      </w:r>
      <w:r>
        <w:rPr>
          <w:rFonts w:asciiTheme="majorHAnsi" w:hAnsiTheme="majorHAnsi"/>
          <w:sz w:val="24"/>
          <w:szCs w:val="24"/>
        </w:rPr>
        <w:t xml:space="preserve">80 </w:t>
      </w:r>
      <w:r w:rsidRPr="00576D11">
        <w:rPr>
          <w:rFonts w:asciiTheme="majorHAnsi" w:hAnsiTheme="majorHAnsi"/>
          <w:sz w:val="24"/>
          <w:szCs w:val="24"/>
        </w:rPr>
        <w:t>milliards d’euros. La restructuration aurait pu aussi engendrer une défiance systémique envers les dettes des autres pays périphériques et aggraver les problèmes de ces mêmes banques. Les gouvernements français et allemands ont alors demandé à leurs banques de ne pas vendre les dettes des pays périphériques qu’elles détenaient afin de ne pas amplifier la panique des marchés. En échange, les gouvernements se sont engagés à ne pas restructurer la dette grecque et à ouvrir des lignes de crédits à la Grèce afin que celle-ci poursuive le remboursement de ses créances aux banques (Blyth</w:t>
      </w:r>
      <w:r>
        <w:rPr>
          <w:rFonts w:asciiTheme="majorHAnsi" w:hAnsiTheme="majorHAnsi"/>
          <w:sz w:val="24"/>
          <w:szCs w:val="24"/>
        </w:rPr>
        <w:t>, </w:t>
      </w:r>
      <w:r w:rsidRPr="00576D11">
        <w:rPr>
          <w:rFonts w:asciiTheme="majorHAnsi" w:hAnsiTheme="majorHAnsi"/>
          <w:sz w:val="24"/>
          <w:szCs w:val="24"/>
        </w:rPr>
        <w:t>2013).</w:t>
      </w:r>
    </w:p>
    <w:p w:rsidR="00600129" w:rsidRPr="00576D11" w:rsidRDefault="00600129" w:rsidP="00600129">
      <w:pPr>
        <w:autoSpaceDE w:val="0"/>
        <w:autoSpaceDN w:val="0"/>
        <w:adjustRightInd w:val="0"/>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En évitant ainsi une nouvelle recapitalisation bancaire, ces choix politiques ont néanmoins imposé une véritable camisole fiscale aux pays de la zone euro. En effet, </w:t>
      </w:r>
      <w:r w:rsidRPr="00576D11">
        <w:rPr>
          <w:rFonts w:asciiTheme="majorHAnsi" w:hAnsiTheme="majorHAnsi"/>
          <w:color w:val="000000" w:themeColor="text1"/>
          <w:sz w:val="24"/>
          <w:szCs w:val="24"/>
        </w:rPr>
        <w:t xml:space="preserve">l’austérité s’institutionnalise dans </w:t>
      </w:r>
      <w:r w:rsidRPr="00576D11">
        <w:rPr>
          <w:rFonts w:asciiTheme="majorHAnsi" w:hAnsiTheme="majorHAnsi"/>
          <w:color w:val="000000" w:themeColor="text1"/>
          <w:sz w:val="24"/>
          <w:szCs w:val="24"/>
        </w:rPr>
        <w:lastRenderedPageBreak/>
        <w:t>les conditions imposées aux États qui font</w:t>
      </w:r>
      <w:bookmarkStart w:id="0" w:name="_GoBack"/>
      <w:bookmarkEnd w:id="0"/>
      <w:r w:rsidRPr="00576D11">
        <w:rPr>
          <w:rFonts w:asciiTheme="majorHAnsi" w:hAnsiTheme="majorHAnsi"/>
          <w:color w:val="000000" w:themeColor="text1"/>
          <w:sz w:val="24"/>
          <w:szCs w:val="24"/>
        </w:rPr>
        <w:t xml:space="preserve"> appel aux prêts financiers accordés par le Conseil </w:t>
      </w:r>
      <w:r>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 sous la surveillance de la </w:t>
      </w:r>
      <w:r w:rsidRPr="00FE6F74">
        <w:rPr>
          <w:rFonts w:asciiTheme="majorHAnsi" w:hAnsiTheme="majorHAnsi"/>
          <w:i/>
          <w:color w:val="000000" w:themeColor="text1"/>
          <w:sz w:val="24"/>
          <w:szCs w:val="24"/>
        </w:rPr>
        <w:t>troïka</w:t>
      </w:r>
      <w:r w:rsidRPr="00576D11">
        <w:rPr>
          <w:rFonts w:asciiTheme="majorHAnsi" w:hAnsiTheme="majorHAnsi"/>
          <w:color w:val="000000" w:themeColor="text1"/>
          <w:sz w:val="24"/>
          <w:szCs w:val="24"/>
        </w:rPr>
        <w:t xml:space="preserve">, une institution </w:t>
      </w:r>
      <w:r w:rsidRPr="00576D11">
        <w:rPr>
          <w:rFonts w:asciiTheme="majorHAnsi" w:hAnsiTheme="majorHAnsi"/>
          <w:i/>
          <w:color w:val="000000" w:themeColor="text1"/>
          <w:sz w:val="24"/>
          <w:szCs w:val="24"/>
        </w:rPr>
        <w:t xml:space="preserve">ad hoc </w:t>
      </w:r>
      <w:r w:rsidRPr="00576D11">
        <w:rPr>
          <w:rFonts w:asciiTheme="majorHAnsi" w:hAnsiTheme="majorHAnsi"/>
          <w:color w:val="000000" w:themeColor="text1"/>
          <w:sz w:val="24"/>
          <w:szCs w:val="24"/>
        </w:rPr>
        <w:t xml:space="preserve">composée des experts de la BCE, du FMI et de la Commission </w:t>
      </w:r>
      <w:r>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uropéenne. Non prévue par les </w:t>
      </w:r>
      <w:r>
        <w:rPr>
          <w:rFonts w:asciiTheme="majorHAnsi" w:hAnsiTheme="majorHAnsi"/>
          <w:color w:val="000000" w:themeColor="text1"/>
          <w:sz w:val="24"/>
          <w:szCs w:val="24"/>
        </w:rPr>
        <w:t>t</w:t>
      </w:r>
      <w:r w:rsidRPr="00576D11">
        <w:rPr>
          <w:rFonts w:asciiTheme="majorHAnsi" w:hAnsiTheme="majorHAnsi"/>
          <w:color w:val="000000" w:themeColor="text1"/>
          <w:sz w:val="24"/>
          <w:szCs w:val="24"/>
        </w:rPr>
        <w:t xml:space="preserve">raités, et établi sur le modèle du FMI et de la Banque mondiale, la </w:t>
      </w:r>
      <w:r w:rsidRPr="00FE6F74">
        <w:rPr>
          <w:rFonts w:asciiTheme="majorHAnsi" w:hAnsiTheme="majorHAnsi"/>
          <w:i/>
          <w:color w:val="000000" w:themeColor="text1"/>
          <w:sz w:val="24"/>
          <w:szCs w:val="24"/>
        </w:rPr>
        <w:t>troïka</w:t>
      </w:r>
      <w:r w:rsidRPr="00576D11">
        <w:rPr>
          <w:rFonts w:asciiTheme="majorHAnsi" w:hAnsiTheme="majorHAnsi"/>
          <w:color w:val="000000" w:themeColor="text1"/>
          <w:sz w:val="24"/>
          <w:szCs w:val="24"/>
        </w:rPr>
        <w:t xml:space="preserve"> a été chargée de négocier les différents protocoles d’accord définis avec les États concernés par ces prêts </w:t>
      </w:r>
      <w:r w:rsidRPr="00576D11">
        <w:rPr>
          <w:rFonts w:asciiTheme="majorHAnsi" w:hAnsiTheme="majorHAnsi"/>
          <w:sz w:val="24"/>
          <w:szCs w:val="24"/>
        </w:rPr>
        <w:t xml:space="preserve">(la Grèce, l’Irlande, le Portugal et Chypre). Dans certains cas, et notamment en Grèce et au Portugal, comme </w:t>
      </w:r>
      <w:r>
        <w:rPr>
          <w:rFonts w:asciiTheme="majorHAnsi" w:hAnsiTheme="majorHAnsi"/>
          <w:sz w:val="24"/>
          <w:szCs w:val="24"/>
        </w:rPr>
        <w:t xml:space="preserve"> il sera vu</w:t>
      </w:r>
      <w:r w:rsidRPr="00576D11">
        <w:rPr>
          <w:rFonts w:asciiTheme="majorHAnsi" w:hAnsiTheme="majorHAnsi"/>
          <w:sz w:val="24"/>
          <w:szCs w:val="24"/>
        </w:rPr>
        <w:t xml:space="preserve"> plus bas, ces négociations ont permis à certains acteurs politiques nationaux de faire voter des réformes auparavant impossibles à réaliser.</w:t>
      </w:r>
    </w:p>
    <w:p w:rsidR="00600129" w:rsidRPr="00576D11" w:rsidRDefault="00600129" w:rsidP="00600129">
      <w:pPr>
        <w:autoSpaceDE w:val="0"/>
        <w:autoSpaceDN w:val="0"/>
        <w:adjustRightInd w:val="0"/>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Ces accords prévoient des mesures d’austérité</w:t>
      </w:r>
      <w:r w:rsidRPr="00576D11">
        <w:rPr>
          <w:rFonts w:asciiTheme="majorHAnsi" w:hAnsiTheme="majorHAnsi"/>
          <w:sz w:val="24"/>
          <w:szCs w:val="24"/>
        </w:rPr>
        <w:t xml:space="preserve"> </w:t>
      </w:r>
      <w:r w:rsidRPr="00576D11">
        <w:rPr>
          <w:rFonts w:asciiTheme="majorHAnsi" w:hAnsiTheme="majorHAnsi"/>
          <w:color w:val="000000" w:themeColor="text1"/>
          <w:sz w:val="24"/>
          <w:szCs w:val="24"/>
        </w:rPr>
        <w:t xml:space="preserve">(réduction des dépenses étatiques et augmentation des privatisations) et la mise en œuvre des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réformes structurelles</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qui mettent l’accent sur les politiques des marchés du travail, la libéralisation et la dérégulation des marchés et la réforme de l’administration publique (Crespy et Vanheuverzwijn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2016). Cette pression européenne s’exerce aussi sur les États périphériques en dehors des protocoles officiels, comme ce fût le cas, à l’été</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2011, en Espagne et en Italie</w:t>
      </w:r>
      <w:r w:rsidRPr="00576D11">
        <w:rPr>
          <w:rFonts w:asciiTheme="majorHAnsi" w:hAnsiTheme="majorHAnsi"/>
          <w:sz w:val="24"/>
          <w:szCs w:val="24"/>
        </w:rPr>
        <w:t xml:space="preserve"> (Fontan,</w:t>
      </w:r>
      <w:r>
        <w:rPr>
          <w:rFonts w:asciiTheme="majorHAnsi" w:hAnsiTheme="majorHAnsi"/>
          <w:sz w:val="24"/>
          <w:szCs w:val="24"/>
        </w:rPr>
        <w:t> </w:t>
      </w:r>
      <w:r w:rsidRPr="00576D11">
        <w:rPr>
          <w:rFonts w:asciiTheme="majorHAnsi" w:hAnsiTheme="majorHAnsi"/>
          <w:sz w:val="24"/>
          <w:szCs w:val="24"/>
        </w:rPr>
        <w:t>2013).</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La réponse européenne à la crise de la dette a aussi renforcé les contraintes budgétaires sur l’ensemble des États de la zone euro (</w:t>
      </w:r>
      <w:r w:rsidRPr="00576D11">
        <w:rPr>
          <w:rFonts w:asciiTheme="majorHAnsi" w:hAnsiTheme="majorHAnsi"/>
          <w:i/>
          <w:color w:val="000000" w:themeColor="text1"/>
          <w:sz w:val="24"/>
          <w:szCs w:val="24"/>
        </w:rPr>
        <w:t>six-pack</w:t>
      </w:r>
      <w:r w:rsidRPr="00576D11">
        <w:rPr>
          <w:rFonts w:asciiTheme="majorHAnsi" w:hAnsiTheme="majorHAnsi"/>
          <w:color w:val="000000" w:themeColor="text1"/>
          <w:sz w:val="24"/>
          <w:szCs w:val="24"/>
        </w:rPr>
        <w:t xml:space="preserve"> et </w:t>
      </w:r>
      <w:r w:rsidRPr="00576D11">
        <w:rPr>
          <w:rFonts w:asciiTheme="majorHAnsi" w:hAnsiTheme="majorHAnsi"/>
          <w:i/>
          <w:color w:val="000000" w:themeColor="text1"/>
          <w:sz w:val="24"/>
          <w:szCs w:val="24"/>
        </w:rPr>
        <w:t>two-pack</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semestre européen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Le Traité sur la Stabilité, la Coordination et la Gouvernance (ou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Pacte budgétaire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signé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2012 instaure le principe de la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règle d’or</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budgétaire et pose le principe de l’équilibre ou de l’excédent des budgets nationaux. En parallèle, la dimension sociale, qui s’était construite comme un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plus</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bien peu contraignant, est devenue encore plus dépendante des politiques macroéconomiques, et </w:t>
      </w:r>
      <w:r>
        <w:rPr>
          <w:rFonts w:asciiTheme="majorHAnsi" w:hAnsiTheme="majorHAnsi"/>
          <w:color w:val="000000" w:themeColor="text1"/>
          <w:sz w:val="24"/>
          <w:szCs w:val="24"/>
        </w:rPr>
        <w:t xml:space="preserve"> tout</w:t>
      </w:r>
      <w:r w:rsidRPr="00576D11">
        <w:rPr>
          <w:rFonts w:asciiTheme="majorHAnsi" w:hAnsiTheme="majorHAnsi"/>
          <w:color w:val="000000" w:themeColor="text1"/>
          <w:sz w:val="24"/>
          <w:szCs w:val="24"/>
        </w:rPr>
        <w:t xml:space="preserve"> particulièrement de l’équilibre du budget des États.</w:t>
      </w:r>
    </w:p>
    <w:p w:rsidR="00600129" w:rsidRPr="00576D11" w:rsidRDefault="00600129" w:rsidP="00600129">
      <w:pPr>
        <w:spacing w:after="120" w:line="360" w:lineRule="auto"/>
        <w:jc w:val="both"/>
        <w:rPr>
          <w:rFonts w:asciiTheme="majorHAnsi" w:hAnsiTheme="majorHAnsi"/>
          <w:sz w:val="24"/>
          <w:szCs w:val="24"/>
        </w:rPr>
      </w:pPr>
      <w:r w:rsidRPr="00576D11">
        <w:rPr>
          <w:rFonts w:asciiTheme="majorHAnsi" w:hAnsiTheme="majorHAnsi"/>
          <w:color w:val="000000" w:themeColor="text1"/>
          <w:sz w:val="24"/>
          <w:szCs w:val="24"/>
        </w:rPr>
        <w:t xml:space="preserve">En parallèle, </w:t>
      </w:r>
      <w:r w:rsidRPr="00576D11">
        <w:rPr>
          <w:rFonts w:asciiTheme="majorHAnsi" w:hAnsiTheme="majorHAnsi"/>
          <w:sz w:val="24"/>
          <w:szCs w:val="24"/>
        </w:rPr>
        <w:t>le plan d’investissement Juncker (du nom du président de la Commission européenne) débuté en</w:t>
      </w:r>
      <w:r>
        <w:rPr>
          <w:rFonts w:asciiTheme="majorHAnsi" w:hAnsiTheme="majorHAnsi"/>
          <w:sz w:val="24"/>
          <w:szCs w:val="24"/>
        </w:rPr>
        <w:t> </w:t>
      </w:r>
      <w:r w:rsidRPr="00576D11">
        <w:rPr>
          <w:rFonts w:asciiTheme="majorHAnsi" w:hAnsiTheme="majorHAnsi"/>
          <w:sz w:val="24"/>
          <w:szCs w:val="24"/>
        </w:rPr>
        <w:t>2015, n’a pas permis d’enrayer la montée du chômage dans les pays les plus touchés par les mesures d’austérité. Si ce plan a mobilisé 315</w:t>
      </w:r>
      <w:r>
        <w:rPr>
          <w:rFonts w:asciiTheme="majorHAnsi" w:hAnsiTheme="majorHAnsi"/>
          <w:sz w:val="24"/>
          <w:szCs w:val="24"/>
        </w:rPr>
        <w:t> </w:t>
      </w:r>
      <w:r w:rsidRPr="00576D11">
        <w:rPr>
          <w:rFonts w:asciiTheme="majorHAnsi" w:hAnsiTheme="majorHAnsi"/>
          <w:sz w:val="24"/>
          <w:szCs w:val="24"/>
        </w:rPr>
        <w:t>milliards d’euros entre</w:t>
      </w:r>
      <w:r>
        <w:rPr>
          <w:rFonts w:asciiTheme="majorHAnsi" w:hAnsiTheme="majorHAnsi"/>
          <w:sz w:val="24"/>
          <w:szCs w:val="24"/>
        </w:rPr>
        <w:t> </w:t>
      </w:r>
      <w:r w:rsidRPr="00576D11">
        <w:rPr>
          <w:rFonts w:asciiTheme="majorHAnsi" w:hAnsiTheme="majorHAnsi"/>
          <w:sz w:val="24"/>
          <w:szCs w:val="24"/>
        </w:rPr>
        <w:t>2015 et</w:t>
      </w:r>
      <w:r>
        <w:rPr>
          <w:rFonts w:asciiTheme="majorHAnsi" w:hAnsiTheme="majorHAnsi"/>
          <w:sz w:val="24"/>
          <w:szCs w:val="24"/>
        </w:rPr>
        <w:t> </w:t>
      </w:r>
      <w:r w:rsidRPr="00576D11">
        <w:rPr>
          <w:rFonts w:asciiTheme="majorHAnsi" w:hAnsiTheme="majorHAnsi"/>
          <w:sz w:val="24"/>
          <w:szCs w:val="24"/>
        </w:rPr>
        <w:t>2018 et devrait atteindre 500</w:t>
      </w:r>
      <w:r>
        <w:rPr>
          <w:rFonts w:asciiTheme="majorHAnsi" w:hAnsiTheme="majorHAnsi"/>
          <w:sz w:val="24"/>
          <w:szCs w:val="24"/>
        </w:rPr>
        <w:t> </w:t>
      </w:r>
      <w:r w:rsidRPr="00576D11">
        <w:rPr>
          <w:rFonts w:asciiTheme="majorHAnsi" w:hAnsiTheme="majorHAnsi"/>
          <w:sz w:val="24"/>
          <w:szCs w:val="24"/>
        </w:rPr>
        <w:t>milliards en</w:t>
      </w:r>
      <w:r>
        <w:rPr>
          <w:rFonts w:asciiTheme="majorHAnsi" w:hAnsiTheme="majorHAnsi"/>
          <w:sz w:val="24"/>
          <w:szCs w:val="24"/>
        </w:rPr>
        <w:t> </w:t>
      </w:r>
      <w:r w:rsidRPr="00576D11">
        <w:rPr>
          <w:rFonts w:asciiTheme="majorHAnsi" w:hAnsiTheme="majorHAnsi"/>
          <w:sz w:val="24"/>
          <w:szCs w:val="24"/>
        </w:rPr>
        <w:t>2020, les investissements directs de la Commission et de la Banque Européenne d’Investissement (BEI) ont été limités à 21</w:t>
      </w:r>
      <w:r>
        <w:rPr>
          <w:rFonts w:asciiTheme="majorHAnsi" w:hAnsiTheme="majorHAnsi"/>
          <w:sz w:val="24"/>
          <w:szCs w:val="24"/>
        </w:rPr>
        <w:t> </w:t>
      </w:r>
      <w:r w:rsidRPr="00576D11">
        <w:rPr>
          <w:rFonts w:asciiTheme="majorHAnsi" w:hAnsiTheme="majorHAnsi"/>
          <w:sz w:val="24"/>
          <w:szCs w:val="24"/>
        </w:rPr>
        <w:t>milliards d’euros. De plus, selon la BEI, le manque d’investissement en Europe est situé entre</w:t>
      </w:r>
      <w:r>
        <w:t> </w:t>
      </w:r>
      <w:r w:rsidRPr="00576D11">
        <w:rPr>
          <w:rFonts w:asciiTheme="majorHAnsi" w:hAnsiTheme="majorHAnsi"/>
          <w:sz w:val="24"/>
          <w:szCs w:val="24"/>
        </w:rPr>
        <w:t>270 et</w:t>
      </w:r>
      <w:r>
        <w:rPr>
          <w:rFonts w:asciiTheme="majorHAnsi" w:hAnsiTheme="majorHAnsi"/>
          <w:sz w:val="24"/>
          <w:szCs w:val="24"/>
        </w:rPr>
        <w:t> </w:t>
      </w:r>
      <w:r w:rsidRPr="00576D11">
        <w:rPr>
          <w:rFonts w:asciiTheme="majorHAnsi" w:hAnsiTheme="majorHAnsi"/>
          <w:sz w:val="24"/>
          <w:szCs w:val="24"/>
        </w:rPr>
        <w:t>330 milliards d’euros par an</w:t>
      </w:r>
      <w:r w:rsidRPr="00576D11">
        <w:rPr>
          <w:rStyle w:val="Appelnotedebasdep"/>
          <w:rFonts w:asciiTheme="majorHAnsi" w:hAnsiTheme="majorHAnsi"/>
          <w:sz w:val="24"/>
          <w:szCs w:val="24"/>
        </w:rPr>
        <w:footnoteReference w:id="1"/>
      </w:r>
      <w:r w:rsidRPr="00576D11">
        <w:rPr>
          <w:rFonts w:asciiTheme="majorHAnsi" w:hAnsiTheme="majorHAnsi"/>
          <w:sz w:val="24"/>
          <w:szCs w:val="24"/>
        </w:rPr>
        <w:t xml:space="preserve">. En </w:t>
      </w:r>
      <w:r w:rsidRPr="00576D11">
        <w:rPr>
          <w:rFonts w:asciiTheme="majorHAnsi" w:hAnsiTheme="majorHAnsi"/>
          <w:sz w:val="24"/>
          <w:szCs w:val="24"/>
        </w:rPr>
        <w:lastRenderedPageBreak/>
        <w:t xml:space="preserve">d’autres mots, la volonté des autorités européennes de relancer l’investissement en Europe a été réelle </w:t>
      </w:r>
      <w:r>
        <w:rPr>
          <w:rFonts w:asciiTheme="majorHAnsi" w:hAnsiTheme="majorHAnsi"/>
          <w:sz w:val="24"/>
          <w:szCs w:val="24"/>
        </w:rPr>
        <w:t>mais n’a pas suffi à compenser</w:t>
      </w:r>
      <w:r w:rsidRPr="00576D11">
        <w:rPr>
          <w:rFonts w:asciiTheme="majorHAnsi" w:hAnsiTheme="majorHAnsi"/>
          <w:sz w:val="24"/>
          <w:szCs w:val="24"/>
        </w:rPr>
        <w:t xml:space="preserve"> les effets récessifs provoqués par la crise et les mesures d’austérité.</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La crise de la dette souveraine des États périphériques de la zone euro marque ainsi une </w:t>
      </w:r>
      <w:r>
        <w:rPr>
          <w:rFonts w:asciiTheme="majorHAnsi" w:hAnsiTheme="majorHAnsi"/>
          <w:sz w:val="24"/>
          <w:szCs w:val="24"/>
        </w:rPr>
        <w:t>« </w:t>
      </w:r>
      <w:r w:rsidRPr="00576D11">
        <w:rPr>
          <w:rFonts w:asciiTheme="majorHAnsi" w:hAnsiTheme="majorHAnsi"/>
          <w:sz w:val="24"/>
          <w:szCs w:val="24"/>
        </w:rPr>
        <w:t>nouvelle ère</w:t>
      </w:r>
      <w:r>
        <w:rPr>
          <w:rFonts w:asciiTheme="majorHAnsi" w:hAnsiTheme="majorHAnsi"/>
          <w:sz w:val="24"/>
          <w:szCs w:val="24"/>
        </w:rPr>
        <w:t> »</w:t>
      </w:r>
      <w:r w:rsidRPr="00576D11">
        <w:rPr>
          <w:rFonts w:asciiTheme="majorHAnsi" w:hAnsiTheme="majorHAnsi"/>
          <w:sz w:val="24"/>
          <w:szCs w:val="24"/>
        </w:rPr>
        <w:t xml:space="preserve"> de l’intégration européenne (De la Porte </w:t>
      </w:r>
      <w:r>
        <w:rPr>
          <w:rFonts w:asciiTheme="majorHAnsi" w:hAnsiTheme="majorHAnsi"/>
          <w:sz w:val="24"/>
          <w:szCs w:val="24"/>
        </w:rPr>
        <w:t>et</w:t>
      </w:r>
      <w:r w:rsidRPr="00576D11">
        <w:rPr>
          <w:rFonts w:asciiTheme="majorHAnsi" w:hAnsiTheme="majorHAnsi"/>
          <w:sz w:val="24"/>
          <w:szCs w:val="24"/>
        </w:rPr>
        <w:t xml:space="preserve"> Heins,</w:t>
      </w:r>
      <w:r>
        <w:rPr>
          <w:rFonts w:asciiTheme="majorHAnsi" w:hAnsiTheme="majorHAnsi"/>
          <w:sz w:val="24"/>
          <w:szCs w:val="24"/>
        </w:rPr>
        <w:t> </w:t>
      </w:r>
      <w:r w:rsidRPr="00576D11">
        <w:rPr>
          <w:rFonts w:asciiTheme="majorHAnsi" w:hAnsiTheme="majorHAnsi"/>
          <w:sz w:val="24"/>
          <w:szCs w:val="24"/>
        </w:rPr>
        <w:t>2016) puisque la contrainte européenne dans la définition des politiques économiques et sociales nationales est considérablement renforcée. C’est dans les pays qui ont demandé une aide financière que la récession et la détérioration des conditions économiques et sociales ont été les plus fortes.</w:t>
      </w:r>
    </w:p>
    <w:p w:rsidR="00600129" w:rsidRPr="00D950BB" w:rsidRDefault="00600129" w:rsidP="00600129">
      <w:pPr>
        <w:pStyle w:val="Paragraphedeliste"/>
        <w:spacing w:after="120" w:line="360" w:lineRule="auto"/>
        <w:ind w:left="0"/>
        <w:jc w:val="both"/>
        <w:rPr>
          <w:rFonts w:asciiTheme="majorHAnsi" w:hAnsiTheme="majorHAnsi"/>
          <w:b/>
          <w:color w:val="000000" w:themeColor="text1"/>
          <w:sz w:val="24"/>
          <w:szCs w:val="24"/>
        </w:rPr>
      </w:pPr>
      <w:r>
        <w:rPr>
          <w:rFonts w:asciiTheme="majorHAnsi" w:hAnsiTheme="majorHAnsi"/>
          <w:b/>
          <w:color w:val="000000" w:themeColor="text1"/>
          <w:sz w:val="24"/>
          <w:szCs w:val="24"/>
        </w:rPr>
        <w:t>Le prix de l’austérité</w:t>
      </w:r>
    </w:p>
    <w:p w:rsidR="00600129" w:rsidRPr="00D950BB" w:rsidRDefault="00600129" w:rsidP="00600129">
      <w:pPr>
        <w:spacing w:after="120" w:line="360" w:lineRule="auto"/>
        <w:jc w:val="both"/>
        <w:rPr>
          <w:rFonts w:asciiTheme="majorHAnsi" w:hAnsiTheme="majorHAnsi"/>
          <w:i/>
          <w:sz w:val="24"/>
          <w:szCs w:val="24"/>
        </w:rPr>
      </w:pPr>
      <w:r>
        <w:rPr>
          <w:rFonts w:asciiTheme="majorHAnsi" w:hAnsiTheme="majorHAnsi"/>
          <w:i/>
          <w:sz w:val="24"/>
          <w:szCs w:val="24"/>
        </w:rPr>
        <w:t>France</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Par rapport à d’autres pays européens, la France a été protégée des effets de la crise par le maintien de son commerce extérieur et des taux stables de consommation des ménages. Les politiques d’austérité déployées pour faire face à la crise n’ont pas conduit à un changement paradigmatique de l’orientation des politiques sociales et des marchés du travail. Cependant, la reprise économique a été lente et contrainte par un fort taux de chômage (10,1</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2016), taux particulièrement élevé pour les jeunes qui ont subi les pertes les plus importantes sur les marchés de l’emploi depuis le début de la crise et restent une cible particulière des réformes politiques et des mesures conjoncturelles (Caune et Theodoropoulou</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2018).</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Cependant, malgré sa puissance économique et politique au sein de la zone euro, la France n’a pas su infléchir la rigueur budgétaire des nouvelles règles de gouvernance </w:t>
      </w:r>
      <w:r>
        <w:rPr>
          <w:rFonts w:asciiTheme="majorHAnsi" w:hAnsiTheme="majorHAnsi"/>
          <w:color w:val="000000" w:themeColor="text1"/>
          <w:sz w:val="24"/>
          <w:szCs w:val="24"/>
        </w:rPr>
        <w:t>économique</w:t>
      </w:r>
      <w:r w:rsidRPr="00576D11">
        <w:rPr>
          <w:rFonts w:asciiTheme="majorHAnsi" w:hAnsiTheme="majorHAnsi"/>
          <w:color w:val="000000" w:themeColor="text1"/>
          <w:sz w:val="24"/>
          <w:szCs w:val="24"/>
        </w:rPr>
        <w:t xml:space="preserve">. Bien que </w:t>
      </w:r>
      <w:r>
        <w:rPr>
          <w:rFonts w:asciiTheme="majorHAnsi" w:hAnsiTheme="majorHAnsi"/>
          <w:color w:val="000000" w:themeColor="text1"/>
          <w:sz w:val="24"/>
          <w:szCs w:val="24"/>
        </w:rPr>
        <w:t>François</w:t>
      </w:r>
      <w:r w:rsidRPr="00576D11">
        <w:rPr>
          <w:rFonts w:asciiTheme="majorHAnsi" w:hAnsiTheme="majorHAnsi"/>
          <w:color w:val="000000" w:themeColor="text1"/>
          <w:sz w:val="24"/>
          <w:szCs w:val="24"/>
        </w:rPr>
        <w:t xml:space="preserve"> Hollande ait affirmé sa volonté de renégocier les règles du Pacte budgétaire lors de la campagne présidentielle de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2012, les résistances du Trésor et l’inflexibilité de l’Allemagne et des autres pays créditeurs ont mené au </w:t>
      </w:r>
      <w:r w:rsidRPr="004B1718">
        <w:rPr>
          <w:rFonts w:asciiTheme="majorHAnsi" w:hAnsiTheme="majorHAnsi"/>
          <w:i/>
          <w:color w:val="000000" w:themeColor="text1"/>
          <w:sz w:val="24"/>
          <w:szCs w:val="24"/>
        </w:rPr>
        <w:t>statu quo</w:t>
      </w:r>
      <w:r w:rsidRPr="00576D11">
        <w:rPr>
          <w:rFonts w:asciiTheme="majorHAnsi" w:hAnsiTheme="majorHAnsi"/>
          <w:color w:val="000000" w:themeColor="text1"/>
          <w:sz w:val="24"/>
          <w:szCs w:val="24"/>
        </w:rPr>
        <w:t>, tout en participant à la division de la gauche française et à l’effondrement historique du Parti Socialiste à la présidentielle de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2017.</w:t>
      </w:r>
    </w:p>
    <w:p w:rsidR="00600129" w:rsidRPr="00D950BB" w:rsidRDefault="00600129" w:rsidP="00600129">
      <w:pPr>
        <w:spacing w:after="120" w:line="360" w:lineRule="auto"/>
        <w:jc w:val="both"/>
        <w:rPr>
          <w:rFonts w:asciiTheme="majorHAnsi" w:hAnsiTheme="majorHAnsi"/>
          <w:i/>
          <w:color w:val="000000" w:themeColor="text1"/>
          <w:sz w:val="24"/>
          <w:szCs w:val="24"/>
        </w:rPr>
      </w:pPr>
      <w:r w:rsidRPr="00576D11">
        <w:rPr>
          <w:rFonts w:asciiTheme="majorHAnsi" w:hAnsiTheme="majorHAnsi"/>
          <w:i/>
          <w:color w:val="000000" w:themeColor="text1"/>
          <w:sz w:val="24"/>
          <w:szCs w:val="24"/>
        </w:rPr>
        <w:t>Portugal</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Face à la crise et à l’augmentation du taux de chômage, les autorités portugaises ont d’abord adopté des mesures sociales, avant de mettre en œuvre, à partir de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2010, des mesures d’austérité caractérisées par l’augmentation de la TVA et des impôts, accompagnées du gel des salaires, de la </w:t>
      </w:r>
      <w:r w:rsidRPr="00576D11">
        <w:rPr>
          <w:rFonts w:asciiTheme="majorHAnsi" w:hAnsiTheme="majorHAnsi"/>
          <w:color w:val="000000" w:themeColor="text1"/>
          <w:sz w:val="24"/>
          <w:szCs w:val="24"/>
        </w:rPr>
        <w:lastRenderedPageBreak/>
        <w:t>réduction des allocations retraites et chômage, du report des investissements publics et de la privatisation des entreprises publiques (aéroports, poste…). Ces mesures ont été amplifiées par les conditions attachées au plan de sauvetage européen de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2011</w:t>
      </w:r>
      <w:r w:rsidRPr="00576D11">
        <w:rPr>
          <w:rFonts w:asciiTheme="majorHAnsi" w:hAnsiTheme="majorHAnsi"/>
          <w:sz w:val="24"/>
          <w:szCs w:val="24"/>
        </w:rPr>
        <w:t xml:space="preserve">. L’austérité portugaise a eu </w:t>
      </w:r>
      <w:r>
        <w:rPr>
          <w:rFonts w:asciiTheme="majorHAnsi" w:hAnsiTheme="majorHAnsi"/>
          <w:sz w:val="24"/>
          <w:szCs w:val="24"/>
        </w:rPr>
        <w:t xml:space="preserve">un </w:t>
      </w:r>
      <w:r w:rsidRPr="00576D11">
        <w:rPr>
          <w:rFonts w:asciiTheme="majorHAnsi" w:hAnsiTheme="majorHAnsi"/>
          <w:sz w:val="24"/>
          <w:szCs w:val="24"/>
        </w:rPr>
        <w:t>effet récessif important (en</w:t>
      </w:r>
      <w:r>
        <w:rPr>
          <w:rFonts w:asciiTheme="majorHAnsi" w:hAnsiTheme="majorHAnsi"/>
          <w:sz w:val="24"/>
          <w:szCs w:val="24"/>
        </w:rPr>
        <w:t> </w:t>
      </w:r>
      <w:r w:rsidRPr="00576D11">
        <w:rPr>
          <w:rFonts w:asciiTheme="majorHAnsi" w:hAnsiTheme="majorHAnsi"/>
          <w:sz w:val="24"/>
          <w:szCs w:val="24"/>
        </w:rPr>
        <w:t>2011 et</w:t>
      </w:r>
      <w:r>
        <w:rPr>
          <w:rFonts w:asciiTheme="majorHAnsi" w:hAnsiTheme="majorHAnsi"/>
          <w:sz w:val="24"/>
          <w:szCs w:val="24"/>
        </w:rPr>
        <w:t> </w:t>
      </w:r>
      <w:r w:rsidRPr="00576D11">
        <w:rPr>
          <w:rFonts w:asciiTheme="majorHAnsi" w:hAnsiTheme="majorHAnsi"/>
          <w:sz w:val="24"/>
          <w:szCs w:val="24"/>
        </w:rPr>
        <w:t>2012)</w:t>
      </w:r>
      <w:r>
        <w:rPr>
          <w:rFonts w:asciiTheme="majorHAnsi" w:hAnsiTheme="majorHAnsi"/>
          <w:sz w:val="24"/>
          <w:szCs w:val="24"/>
        </w:rPr>
        <w:t>,</w:t>
      </w:r>
      <w:r w:rsidRPr="00576D11">
        <w:rPr>
          <w:rFonts w:asciiTheme="majorHAnsi" w:hAnsiTheme="majorHAnsi"/>
          <w:sz w:val="24"/>
          <w:szCs w:val="24"/>
        </w:rPr>
        <w:t xml:space="preserve"> ainsi qu’un impact négatif sur la consommation interne et sur le risque de pauvreté, particulièrement pour les chômeurs (le taux de risque de pauvreté passe de 36</w:t>
      </w:r>
      <w:r>
        <w:rPr>
          <w:rFonts w:asciiTheme="majorHAnsi" w:hAnsiTheme="majorHAnsi"/>
          <w:sz w:val="24"/>
          <w:szCs w:val="24"/>
        </w:rPr>
        <w:t> %</w:t>
      </w:r>
      <w:r w:rsidRPr="00576D11">
        <w:rPr>
          <w:rFonts w:asciiTheme="majorHAnsi" w:hAnsiTheme="majorHAnsi"/>
          <w:sz w:val="24"/>
          <w:szCs w:val="24"/>
        </w:rPr>
        <w:t xml:space="preserve"> en</w:t>
      </w:r>
      <w:r>
        <w:rPr>
          <w:rFonts w:asciiTheme="majorHAnsi" w:hAnsiTheme="majorHAnsi"/>
          <w:sz w:val="24"/>
          <w:szCs w:val="24"/>
        </w:rPr>
        <w:t> </w:t>
      </w:r>
      <w:r w:rsidRPr="00576D11">
        <w:rPr>
          <w:rFonts w:asciiTheme="majorHAnsi" w:hAnsiTheme="majorHAnsi"/>
          <w:sz w:val="24"/>
          <w:szCs w:val="24"/>
        </w:rPr>
        <w:t>2010 à 40,5</w:t>
      </w:r>
      <w:r>
        <w:rPr>
          <w:rFonts w:asciiTheme="majorHAnsi" w:hAnsiTheme="majorHAnsi"/>
          <w:sz w:val="24"/>
          <w:szCs w:val="24"/>
        </w:rPr>
        <w:t> %</w:t>
      </w:r>
      <w:r w:rsidRPr="00576D11">
        <w:rPr>
          <w:rFonts w:asciiTheme="majorHAnsi" w:hAnsiTheme="majorHAnsi"/>
          <w:sz w:val="24"/>
          <w:szCs w:val="24"/>
        </w:rPr>
        <w:t xml:space="preserve"> en</w:t>
      </w:r>
      <w:r>
        <w:rPr>
          <w:rFonts w:asciiTheme="majorHAnsi" w:hAnsiTheme="majorHAnsi"/>
          <w:sz w:val="24"/>
          <w:szCs w:val="24"/>
        </w:rPr>
        <w:t> </w:t>
      </w:r>
      <w:r w:rsidRPr="00576D11">
        <w:rPr>
          <w:rFonts w:asciiTheme="majorHAnsi" w:hAnsiTheme="majorHAnsi"/>
          <w:sz w:val="24"/>
          <w:szCs w:val="24"/>
        </w:rPr>
        <w:t>2013). La baisse des salaires et le transfert des revenus du travail vers le capital a particulièrement touché le salaire minimum et les bas salaires.</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Les réformes d’austérité induites par les contraintes budgétaires et fiscales n’ont pas été imposées de manière unilatérale par les autorités européennes, mais négociées, parfois proposées, soutenues ou amplifiées par les acteurs politiques portugais durant la mise en œuvre du protocole d’accord (Moury et Freire</w:t>
      </w:r>
      <w:r>
        <w:rPr>
          <w:rFonts w:asciiTheme="majorHAnsi" w:hAnsiTheme="majorHAnsi"/>
          <w:sz w:val="24"/>
          <w:szCs w:val="24"/>
        </w:rPr>
        <w:t>, </w:t>
      </w:r>
      <w:r w:rsidRPr="00576D11">
        <w:rPr>
          <w:rFonts w:asciiTheme="majorHAnsi" w:hAnsiTheme="majorHAnsi"/>
          <w:sz w:val="24"/>
          <w:szCs w:val="24"/>
        </w:rPr>
        <w:t xml:space="preserve">2013). </w:t>
      </w:r>
      <w:r>
        <w:rPr>
          <w:rFonts w:asciiTheme="majorHAnsi" w:hAnsiTheme="majorHAnsi"/>
          <w:sz w:val="24"/>
          <w:szCs w:val="24"/>
        </w:rPr>
        <w:t>Comme dans les autres pays</w:t>
      </w:r>
      <w:r w:rsidRPr="00576D11">
        <w:rPr>
          <w:rFonts w:asciiTheme="majorHAnsi" w:hAnsiTheme="majorHAnsi"/>
          <w:sz w:val="24"/>
          <w:szCs w:val="24"/>
        </w:rPr>
        <w:t xml:space="preserve">, la mise en œuvre du </w:t>
      </w:r>
      <w:r>
        <w:rPr>
          <w:rFonts w:asciiTheme="majorHAnsi" w:hAnsiTheme="majorHAnsi"/>
          <w:sz w:val="24"/>
          <w:szCs w:val="24"/>
        </w:rPr>
        <w:t>« </w:t>
      </w:r>
      <w:r w:rsidRPr="00576D11">
        <w:rPr>
          <w:rFonts w:asciiTheme="majorHAnsi" w:hAnsiTheme="majorHAnsi"/>
          <w:sz w:val="24"/>
          <w:szCs w:val="24"/>
        </w:rPr>
        <w:t>plan de sauvetage</w:t>
      </w:r>
      <w:r>
        <w:rPr>
          <w:rFonts w:asciiTheme="majorHAnsi" w:hAnsiTheme="majorHAnsi"/>
          <w:sz w:val="24"/>
          <w:szCs w:val="24"/>
        </w:rPr>
        <w:t> »</w:t>
      </w:r>
      <w:r w:rsidRPr="00576D11">
        <w:rPr>
          <w:rFonts w:asciiTheme="majorHAnsi" w:hAnsiTheme="majorHAnsi"/>
          <w:sz w:val="24"/>
          <w:szCs w:val="24"/>
        </w:rPr>
        <w:t xml:space="preserve"> a eu des effets politiques importants. Durant cette période, la Cour </w:t>
      </w:r>
      <w:r>
        <w:rPr>
          <w:rFonts w:asciiTheme="majorHAnsi" w:hAnsiTheme="majorHAnsi"/>
          <w:sz w:val="24"/>
          <w:szCs w:val="24"/>
        </w:rPr>
        <w:t>constitutionnelle</w:t>
      </w:r>
      <w:r w:rsidRPr="00576D11">
        <w:rPr>
          <w:rFonts w:asciiTheme="majorHAnsi" w:hAnsiTheme="majorHAnsi"/>
          <w:sz w:val="24"/>
          <w:szCs w:val="24"/>
        </w:rPr>
        <w:t xml:space="preserve"> portugaise a notamment affermi son pouvoir </w:t>
      </w:r>
      <w:r>
        <w:rPr>
          <w:rFonts w:asciiTheme="majorHAnsi" w:hAnsiTheme="majorHAnsi"/>
          <w:sz w:val="24"/>
          <w:szCs w:val="24"/>
        </w:rPr>
        <w:t>en</w:t>
      </w:r>
      <w:r w:rsidRPr="00576D11">
        <w:rPr>
          <w:rFonts w:asciiTheme="majorHAnsi" w:hAnsiTheme="majorHAnsi"/>
          <w:sz w:val="24"/>
          <w:szCs w:val="24"/>
        </w:rPr>
        <w:t xml:space="preserve"> rejetant quatre</w:t>
      </w:r>
      <w:r>
        <w:rPr>
          <w:rFonts w:asciiTheme="majorHAnsi" w:hAnsiTheme="majorHAnsi"/>
          <w:sz w:val="24"/>
          <w:szCs w:val="24"/>
        </w:rPr>
        <w:t> </w:t>
      </w:r>
      <w:r w:rsidRPr="00576D11">
        <w:rPr>
          <w:rFonts w:asciiTheme="majorHAnsi" w:hAnsiTheme="majorHAnsi"/>
          <w:sz w:val="24"/>
          <w:szCs w:val="24"/>
        </w:rPr>
        <w:t>mesures d’austérité proposées par le gouvernement. Enfin, au soir des élections d’octobre</w:t>
      </w:r>
      <w:r>
        <w:rPr>
          <w:rFonts w:asciiTheme="majorHAnsi" w:hAnsiTheme="majorHAnsi"/>
          <w:sz w:val="24"/>
          <w:szCs w:val="24"/>
        </w:rPr>
        <w:t> </w:t>
      </w:r>
      <w:r w:rsidRPr="00576D11">
        <w:rPr>
          <w:rFonts w:asciiTheme="majorHAnsi" w:hAnsiTheme="majorHAnsi"/>
          <w:sz w:val="24"/>
          <w:szCs w:val="24"/>
        </w:rPr>
        <w:t>2015, un an et demi après la sortie du plan de sauvetage, et alors qu’il n’était pas majoritaire, le PS a su se rapprocher des autres forces de gauche pour trouver un accord politique inédit qui lui a permis de revenir au pouvoir.</w:t>
      </w:r>
    </w:p>
    <w:p w:rsidR="00600129" w:rsidRPr="00D950BB" w:rsidRDefault="00600129" w:rsidP="00600129">
      <w:pPr>
        <w:spacing w:after="120" w:line="360" w:lineRule="auto"/>
        <w:jc w:val="both"/>
        <w:rPr>
          <w:rFonts w:asciiTheme="majorHAnsi" w:hAnsiTheme="majorHAnsi"/>
          <w:i/>
          <w:color w:val="000000" w:themeColor="text1"/>
          <w:sz w:val="24"/>
          <w:szCs w:val="24"/>
        </w:rPr>
      </w:pPr>
      <w:r>
        <w:rPr>
          <w:rFonts w:asciiTheme="majorHAnsi" w:hAnsiTheme="majorHAnsi"/>
          <w:i/>
          <w:color w:val="000000" w:themeColor="text1"/>
          <w:sz w:val="24"/>
          <w:szCs w:val="24"/>
        </w:rPr>
        <w:t>Grèce</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La Grèce est le pays de la zone euro où les politiques d’austérité ont été imposées de la manière la plus coercitive lors de trois</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programmes d’assistance financière successifs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2012 et</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2015). Ces programmes n’ont pas permis de régler les problèmes économiques structurels de la Grèce mais ils ont engendré une récession aux conséquences très lourdes. Tous les indicateurs en attestent</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2018, le PIB de la Grèce est inférieur de 25</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à son niveau de</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2010, le taux de chômage atteignait 28</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2015 (contre 10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2010) et la dette publique représente 180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du PIB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2018 (contre 100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2010). L’austérité a aussi un coût humain et social considérable (Stuckler et Basu,</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2014). Le budget des politiques de santé en Grèce a été réduit de 10 à 6</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du PIB, entra</w:t>
      </w:r>
      <w:r>
        <w:rPr>
          <w:rFonts w:asciiTheme="majorHAnsi" w:hAnsiTheme="majorHAnsi"/>
          <w:color w:val="000000" w:themeColor="text1"/>
          <w:sz w:val="24"/>
          <w:szCs w:val="24"/>
        </w:rPr>
        <w:t>î</w:t>
      </w:r>
      <w:r w:rsidRPr="00576D11">
        <w:rPr>
          <w:rFonts w:asciiTheme="majorHAnsi" w:hAnsiTheme="majorHAnsi"/>
          <w:color w:val="000000" w:themeColor="text1"/>
          <w:sz w:val="24"/>
          <w:szCs w:val="24"/>
        </w:rPr>
        <w:t>nant la fermeture de la moitié des hôpitaux, une hausse de 50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des infections VIH et un retour de la malaria. L’insécurité alimentaire a aussi progressé de 10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par an</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le taux de mortalité a augmenté de 20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entre </w:t>
      </w:r>
      <w:r w:rsidRPr="00576D11">
        <w:rPr>
          <w:rFonts w:asciiTheme="majorHAnsi" w:hAnsiTheme="majorHAnsi"/>
          <w:color w:val="000000" w:themeColor="text1"/>
          <w:sz w:val="24"/>
          <w:szCs w:val="24"/>
        </w:rPr>
        <w:t>2010 e</w:t>
      </w:r>
      <w:r>
        <w:rPr>
          <w:rFonts w:asciiTheme="majorHAnsi" w:hAnsiTheme="majorHAnsi"/>
          <w:color w:val="000000" w:themeColor="text1"/>
          <w:sz w:val="24"/>
          <w:szCs w:val="24"/>
        </w:rPr>
        <w:t>t </w:t>
      </w:r>
      <w:r w:rsidRPr="00576D11">
        <w:rPr>
          <w:rFonts w:asciiTheme="majorHAnsi" w:hAnsiTheme="majorHAnsi"/>
          <w:color w:val="000000" w:themeColor="text1"/>
          <w:sz w:val="24"/>
          <w:szCs w:val="24"/>
        </w:rPr>
        <w:t>2013, et le taux de suicide de 35</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sur la même période.</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lastRenderedPageBreak/>
        <w:t xml:space="preserve">Les résistances de la population grecque aux mesures d’austérité ont mené à la victoire électorale du parti de gauche radicale </w:t>
      </w:r>
      <w:r w:rsidRPr="00A51EDE">
        <w:rPr>
          <w:rFonts w:asciiTheme="majorHAnsi" w:hAnsiTheme="majorHAnsi"/>
          <w:i/>
          <w:color w:val="000000" w:themeColor="text1"/>
          <w:sz w:val="24"/>
          <w:szCs w:val="24"/>
        </w:rPr>
        <w:t>Syriza</w:t>
      </w:r>
      <w:r w:rsidRPr="00576D11">
        <w:rPr>
          <w:rFonts w:asciiTheme="majorHAnsi" w:hAnsiTheme="majorHAnsi"/>
          <w:color w:val="000000" w:themeColor="text1"/>
          <w:sz w:val="24"/>
          <w:szCs w:val="24"/>
        </w:rPr>
        <w:t xml:space="preserve"> en janvier</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2015. Quand ce gouvernement a organisé un référendum pour tenter d’infléchir les conditions du troisième plan d’aide à l’été</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2015, les autorités européennes ont d’abord tenté d’influencer la campagne référendaire. La BCE, notamment, a limité les montants de liquidités fournies aux banques grecques, qui ont dû, à leur tour, limiter les retraits de dépôt des particuliers à 50</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euros par jour. Puis, quand les résultats du référendum ont montré que plus de 55</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de la population grecque refusait les termes de ce nouveau plan d’aide, les autorités européennes ont forcé le gouvernement grec à accepter des conditions encore plus strictes que celles prévues initialement. En somme, la Grèce est l’exemple le plus marquant de la réponse voulue par les autorités européennes à la crise de la zone euro, que Jean-Claude Junker, le président de la Commission </w:t>
      </w:r>
      <w:r>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uropéenne </w:t>
      </w:r>
      <w:r>
        <w:rPr>
          <w:rFonts w:asciiTheme="majorHAnsi" w:hAnsiTheme="majorHAnsi"/>
          <w:color w:val="000000" w:themeColor="text1"/>
          <w:sz w:val="24"/>
          <w:szCs w:val="24"/>
        </w:rPr>
        <w:t>depuis </w:t>
      </w:r>
      <w:r w:rsidRPr="00576D11">
        <w:rPr>
          <w:rFonts w:asciiTheme="majorHAnsi" w:hAnsiTheme="majorHAnsi"/>
          <w:color w:val="000000" w:themeColor="text1"/>
          <w:sz w:val="24"/>
          <w:szCs w:val="24"/>
        </w:rPr>
        <w:t>2014, résume ainsi</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 Il</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ne</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peut</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pas</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y</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avoir</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de choix</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démocratique</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conte les</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traités</w:t>
      </w:r>
      <w:r w:rsidRPr="00576D11">
        <w:rPr>
          <w:rFonts w:asciiTheme="majorHAnsi" w:hAnsiTheme="majorHAnsi"/>
          <w:color w:val="000000" w:themeColor="text1"/>
          <w:sz w:val="24"/>
          <w:szCs w:val="24"/>
        </w:rPr>
        <w:t xml:space="preserve"> </w:t>
      </w:r>
      <w:r>
        <w:rPr>
          <w:rFonts w:asciiTheme="majorHAnsi" w:hAnsiTheme="majorHAnsi"/>
          <w:color w:val="000000" w:themeColor="text1"/>
          <w:sz w:val="24"/>
          <w:szCs w:val="24"/>
        </w:rPr>
        <w:t>européens</w:t>
      </w:r>
      <w:r w:rsidRPr="00576D11">
        <w:rPr>
          <w:rStyle w:val="Appelnotedebasdep"/>
          <w:rFonts w:asciiTheme="majorHAnsi" w:hAnsiTheme="majorHAnsi"/>
          <w:color w:val="000000" w:themeColor="text1"/>
          <w:sz w:val="24"/>
          <w:szCs w:val="24"/>
        </w:rPr>
        <w:footnoteReference w:id="2"/>
      </w:r>
      <w:r>
        <w:rPr>
          <w:rFonts w:asciiTheme="majorHAnsi" w:hAnsiTheme="majorHAnsi"/>
          <w:color w:val="000000" w:themeColor="text1"/>
          <w:sz w:val="24"/>
          <w:szCs w:val="24"/>
        </w:rPr>
        <w:t>. »</w:t>
      </w:r>
    </w:p>
    <w:p w:rsidR="00600129" w:rsidRPr="00D950BB" w:rsidRDefault="00600129" w:rsidP="00600129">
      <w:pPr>
        <w:spacing w:after="120" w:line="360" w:lineRule="auto"/>
        <w:jc w:val="both"/>
        <w:rPr>
          <w:rFonts w:asciiTheme="majorHAnsi" w:hAnsiTheme="majorHAnsi"/>
          <w:sz w:val="24"/>
          <w:szCs w:val="24"/>
        </w:rPr>
      </w:pPr>
      <w:r w:rsidRPr="00576D11">
        <w:rPr>
          <w:rFonts w:asciiTheme="majorHAnsi" w:hAnsiTheme="majorHAnsi"/>
          <w:b/>
          <w:sz w:val="24"/>
          <w:szCs w:val="24"/>
        </w:rPr>
        <w:t>Au-delà de l’austérité</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Quels leviers pourraient être activés pour redonner des marges de manœuvre aux politiques budgétaires et sociales des États</w:t>
      </w:r>
      <w:r>
        <w:rPr>
          <w:rFonts w:asciiTheme="majorHAnsi" w:hAnsiTheme="majorHAnsi"/>
          <w:color w:val="000000" w:themeColor="text1"/>
          <w:sz w:val="24"/>
          <w:szCs w:val="24"/>
        </w:rPr>
        <w:t> ?</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La formation d’un budget européen conséquent permettrait à l’UE de mener des politiques fiscales distributives pour rendre la zone euro plus homogène. Cependant, l’augmentation – déjà très limitée – demandée par les institutions européennes reste peu probable en raison des réticences de certains </w:t>
      </w:r>
      <w:r>
        <w:rPr>
          <w:rFonts w:asciiTheme="majorHAnsi" w:hAnsiTheme="majorHAnsi"/>
          <w:sz w:val="24"/>
          <w:szCs w:val="24"/>
        </w:rPr>
        <w:t>États-membres</w:t>
      </w:r>
      <w:r w:rsidRPr="00576D11">
        <w:rPr>
          <w:rFonts w:asciiTheme="majorHAnsi" w:hAnsiTheme="majorHAnsi"/>
          <w:sz w:val="24"/>
          <w:szCs w:val="24"/>
        </w:rPr>
        <w:t xml:space="preserve"> et ne constituerait qu’une amélioration à la marge. Tant que le Parlement européen ne pourra pas voter les taux d’imposition au niveau de l’UE, notamment sur le revenu des personnes, les débats resteront cristallisés sur les contributions nationales au budget européen, qui constituent justement un obstacle à toute augmentation conséquente de celui-ci. La proposition de chercheurs et responsables politiques réunis autour de Thomas Piketty sur la création d’un budget de la zone euro constitué des impôts communs sur les bénéfices des sociétés et les plus hauts revenus et patrimoines constituerait une avancée majeure, mais dont un préalable serait la constitution, peu réaliste, d’une assemblée des pays de la zone euro.</w:t>
      </w:r>
    </w:p>
    <w:p w:rsidR="00600129" w:rsidRPr="00576D11" w:rsidRDefault="00600129" w:rsidP="00600129">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lastRenderedPageBreak/>
        <w:t>La création d’un mécanisme européen d’indemnisation des chômeurs a rencontré ces dernières années une attention nouvelle. Des plus cosmétiques au</w:t>
      </w:r>
      <w:r>
        <w:rPr>
          <w:rFonts w:asciiTheme="majorHAnsi" w:hAnsiTheme="majorHAnsi"/>
          <w:sz w:val="24"/>
          <w:szCs w:val="24"/>
        </w:rPr>
        <w:t>x</w:t>
      </w:r>
      <w:r w:rsidRPr="00576D11">
        <w:rPr>
          <w:rFonts w:asciiTheme="majorHAnsi" w:hAnsiTheme="majorHAnsi"/>
          <w:sz w:val="24"/>
          <w:szCs w:val="24"/>
        </w:rPr>
        <w:t xml:space="preserve"> plus approfondies, différentes variantes sont proposées, de la réassurance (virements budgétaires forfaitaires entre un fonds européen et les </w:t>
      </w:r>
      <w:r>
        <w:rPr>
          <w:rFonts w:asciiTheme="majorHAnsi" w:hAnsiTheme="majorHAnsi"/>
          <w:sz w:val="24"/>
          <w:szCs w:val="24"/>
        </w:rPr>
        <w:t>États-membres</w:t>
      </w:r>
      <w:r w:rsidRPr="00576D11">
        <w:rPr>
          <w:rFonts w:asciiTheme="majorHAnsi" w:hAnsiTheme="majorHAnsi"/>
          <w:sz w:val="24"/>
          <w:szCs w:val="24"/>
        </w:rPr>
        <w:t xml:space="preserve">) à l’assurance chômage européenne (par laquelle les chômeurs des </w:t>
      </w:r>
      <w:r>
        <w:rPr>
          <w:rFonts w:asciiTheme="majorHAnsi" w:hAnsiTheme="majorHAnsi"/>
          <w:sz w:val="24"/>
          <w:szCs w:val="24"/>
        </w:rPr>
        <w:t>États-membres</w:t>
      </w:r>
      <w:r w:rsidRPr="00576D11">
        <w:rPr>
          <w:rFonts w:asciiTheme="majorHAnsi" w:hAnsiTheme="majorHAnsi"/>
          <w:sz w:val="24"/>
          <w:szCs w:val="24"/>
        </w:rPr>
        <w:t xml:space="preserve"> percevraient une prestation individuelle versée par un fonds européen). Ces modèles pourraient permettre d’améliorer la convergence économique et sociale des </w:t>
      </w:r>
      <w:r>
        <w:rPr>
          <w:rFonts w:asciiTheme="majorHAnsi" w:hAnsiTheme="majorHAnsi"/>
          <w:sz w:val="24"/>
          <w:szCs w:val="24"/>
        </w:rPr>
        <w:t>États-membres</w:t>
      </w:r>
      <w:r w:rsidRPr="00576D11">
        <w:rPr>
          <w:rFonts w:asciiTheme="majorHAnsi" w:hAnsiTheme="majorHAnsi"/>
          <w:sz w:val="24"/>
          <w:szCs w:val="24"/>
        </w:rPr>
        <w:t>, dans le contexte du développement du marché unique et de la zone euro, en donnant à l’assurance chômage un rôle de stabilisateur économique (Vandenbroucke</w:t>
      </w:r>
      <w:r>
        <w:rPr>
          <w:rFonts w:asciiTheme="majorHAnsi" w:hAnsiTheme="majorHAnsi"/>
          <w:sz w:val="24"/>
          <w:szCs w:val="24"/>
        </w:rPr>
        <w:t>, </w:t>
      </w:r>
      <w:r w:rsidRPr="00576D11">
        <w:rPr>
          <w:rFonts w:asciiTheme="majorHAnsi" w:hAnsiTheme="majorHAnsi"/>
          <w:sz w:val="24"/>
          <w:szCs w:val="24"/>
        </w:rPr>
        <w:t>2015).</w:t>
      </w:r>
      <w:r>
        <w:rPr>
          <w:rFonts w:asciiTheme="majorHAnsi" w:hAnsiTheme="majorHAnsi"/>
          <w:sz w:val="24"/>
          <w:szCs w:val="24"/>
        </w:rPr>
        <w:t xml:space="preserve"> </w:t>
      </w:r>
      <w:r w:rsidRPr="00576D11">
        <w:rPr>
          <w:rFonts w:asciiTheme="majorHAnsi" w:hAnsiTheme="majorHAnsi"/>
          <w:sz w:val="24"/>
          <w:szCs w:val="24"/>
        </w:rPr>
        <w:t xml:space="preserve">Dans la même veine, l’instauration d’un salaire minimum européen pourrait améliorer les conditions économiques et sociales des travailleurs européens et limiter les risques de </w:t>
      </w:r>
      <w:r w:rsidRPr="005D4402">
        <w:rPr>
          <w:rFonts w:asciiTheme="majorHAnsi" w:hAnsiTheme="majorHAnsi"/>
          <w:i/>
          <w:sz w:val="24"/>
          <w:szCs w:val="24"/>
        </w:rPr>
        <w:t>dumping</w:t>
      </w:r>
      <w:r w:rsidRPr="00576D11">
        <w:rPr>
          <w:rFonts w:asciiTheme="majorHAnsi" w:hAnsiTheme="majorHAnsi"/>
          <w:sz w:val="24"/>
          <w:szCs w:val="24"/>
        </w:rPr>
        <w:t xml:space="preserve"> social. Pour ne pas </w:t>
      </w:r>
      <w:r>
        <w:rPr>
          <w:rFonts w:asciiTheme="majorHAnsi" w:hAnsiTheme="majorHAnsi"/>
          <w:sz w:val="24"/>
          <w:szCs w:val="24"/>
        </w:rPr>
        <w:t>entraîner</w:t>
      </w:r>
      <w:r w:rsidRPr="00576D11">
        <w:rPr>
          <w:rFonts w:asciiTheme="majorHAnsi" w:hAnsiTheme="majorHAnsi"/>
          <w:sz w:val="24"/>
          <w:szCs w:val="24"/>
        </w:rPr>
        <w:t xml:space="preserve"> un moins disant social, cette proposition devrait être inspirée des réflexions sur le salaire décent, et à l’aune du niveau équitable du salaire minimum par rapport au salaire médian ou du salaire moyen. Cependant, cette proposition pourrait être difficilement acceptée dans les pays où les salaires </w:t>
      </w:r>
      <w:r w:rsidRPr="005D4402">
        <w:rPr>
          <w:rFonts w:asciiTheme="majorHAnsi" w:hAnsiTheme="majorHAnsi"/>
          <w:i/>
          <w:sz w:val="24"/>
          <w:szCs w:val="24"/>
        </w:rPr>
        <w:t>minima</w:t>
      </w:r>
      <w:r w:rsidRPr="00576D11">
        <w:rPr>
          <w:rFonts w:asciiTheme="majorHAnsi" w:hAnsiTheme="majorHAnsi"/>
          <w:sz w:val="24"/>
          <w:szCs w:val="24"/>
        </w:rPr>
        <w:t xml:space="preserve"> sont fixés par convention collective comme c’est le cas en Autriche, au Danemark, en Finlande et en Suède.</w:t>
      </w:r>
      <w:r>
        <w:rPr>
          <w:rFonts w:asciiTheme="majorHAnsi" w:hAnsiTheme="majorHAnsi"/>
          <w:sz w:val="24"/>
          <w:szCs w:val="24"/>
        </w:rPr>
        <w:t xml:space="preserve"> </w:t>
      </w:r>
      <w:r w:rsidRPr="00576D11">
        <w:rPr>
          <w:rFonts w:asciiTheme="majorHAnsi" w:hAnsiTheme="majorHAnsi"/>
          <w:color w:val="000000" w:themeColor="text1"/>
          <w:sz w:val="24"/>
          <w:szCs w:val="24"/>
        </w:rPr>
        <w:t xml:space="preserve">Enfin, les autorités européennes devraient réorienter le système financier et leurs propres stratégies d’investissement pour faire face au défi du changement climatique, qui ne pourra pas être assumé par les </w:t>
      </w:r>
      <w:r>
        <w:rPr>
          <w:rFonts w:asciiTheme="majorHAnsi" w:hAnsiTheme="majorHAnsi"/>
          <w:color w:val="000000" w:themeColor="text1"/>
          <w:sz w:val="24"/>
          <w:szCs w:val="24"/>
        </w:rPr>
        <w:t>État</w:t>
      </w:r>
      <w:r w:rsidRPr="00576D11">
        <w:rPr>
          <w:rFonts w:asciiTheme="majorHAnsi" w:hAnsiTheme="majorHAnsi"/>
          <w:color w:val="000000" w:themeColor="text1"/>
          <w:sz w:val="24"/>
          <w:szCs w:val="24"/>
        </w:rPr>
        <w:t>s-membres disposant de peu de marge de manœuvre budgétaire. En particulier, les autorités de régulation financière européennes pourraient incorporer des considérations environnementales dans les réglementations bancaires prudentielles. La BCE pourrait soit imposer une conditionnalité environnementale à ses offres de liquidités</w:t>
      </w:r>
      <w:r>
        <w:rPr>
          <w:rFonts w:asciiTheme="majorHAnsi" w:hAnsiTheme="majorHAnsi"/>
          <w:color w:val="000000" w:themeColor="text1"/>
          <w:sz w:val="24"/>
          <w:szCs w:val="24"/>
        </w:rPr>
        <w:t>,</w:t>
      </w:r>
      <w:r w:rsidRPr="00576D11">
        <w:rPr>
          <w:rFonts w:asciiTheme="majorHAnsi" w:hAnsiTheme="majorHAnsi"/>
          <w:color w:val="000000" w:themeColor="text1"/>
          <w:sz w:val="24"/>
          <w:szCs w:val="24"/>
        </w:rPr>
        <w:t xml:space="preserve"> soit assumer un rôle plus actif en mettant en œuvre un programme massif de rachat d’actifs </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verts</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(Dietsch et </w:t>
      </w:r>
      <w:r w:rsidRPr="005D4402">
        <w:rPr>
          <w:rFonts w:asciiTheme="majorHAnsi" w:hAnsiTheme="majorHAnsi"/>
          <w:i/>
          <w:color w:val="000000" w:themeColor="text1"/>
          <w:sz w:val="24"/>
          <w:szCs w:val="24"/>
        </w:rPr>
        <w:t>al</w:t>
      </w:r>
      <w:r>
        <w:rPr>
          <w:rFonts w:asciiTheme="majorHAnsi" w:hAnsiTheme="majorHAnsi"/>
          <w:i/>
          <w:color w:val="000000" w:themeColor="text1"/>
          <w:sz w:val="24"/>
          <w:szCs w:val="24"/>
        </w:rPr>
        <w:t>.</w:t>
      </w:r>
      <w:r w:rsidRPr="00576D11">
        <w:rPr>
          <w:rFonts w:asciiTheme="majorHAnsi" w:hAnsiTheme="majorHAnsi"/>
          <w:color w:val="000000" w:themeColor="text1"/>
          <w:sz w:val="24"/>
          <w:szCs w:val="24"/>
        </w:rPr>
        <w:t>,</w:t>
      </w:r>
      <w:r>
        <w:rPr>
          <w:rFonts w:asciiTheme="majorHAnsi" w:hAnsiTheme="majorHAnsi"/>
          <w:color w:val="000000" w:themeColor="text1"/>
          <w:sz w:val="24"/>
          <w:szCs w:val="24"/>
        </w:rPr>
        <w:t> </w:t>
      </w:r>
      <w:r w:rsidRPr="00576D11">
        <w:rPr>
          <w:rFonts w:asciiTheme="majorHAnsi" w:hAnsiTheme="majorHAnsi"/>
          <w:color w:val="000000" w:themeColor="text1"/>
          <w:sz w:val="24"/>
          <w:szCs w:val="24"/>
        </w:rPr>
        <w:t>2018).</w:t>
      </w:r>
    </w:p>
    <w:p w:rsidR="006D1613" w:rsidRDefault="006D1613"/>
    <w:sectPr w:rsidR="006D16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FAE" w:rsidRDefault="00547FAE" w:rsidP="00600129">
      <w:pPr>
        <w:spacing w:after="0" w:line="240" w:lineRule="auto"/>
      </w:pPr>
      <w:r>
        <w:separator/>
      </w:r>
    </w:p>
  </w:endnote>
  <w:endnote w:type="continuationSeparator" w:id="0">
    <w:p w:rsidR="00547FAE" w:rsidRDefault="00547FAE" w:rsidP="00600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FAE" w:rsidRDefault="00547FAE" w:rsidP="00600129">
      <w:pPr>
        <w:spacing w:after="0" w:line="240" w:lineRule="auto"/>
      </w:pPr>
      <w:r>
        <w:separator/>
      </w:r>
    </w:p>
  </w:footnote>
  <w:footnote w:type="continuationSeparator" w:id="0">
    <w:p w:rsidR="00547FAE" w:rsidRDefault="00547FAE" w:rsidP="00600129">
      <w:pPr>
        <w:spacing w:after="0" w:line="240" w:lineRule="auto"/>
      </w:pPr>
      <w:r>
        <w:continuationSeparator/>
      </w:r>
    </w:p>
  </w:footnote>
  <w:footnote w:id="1">
    <w:p w:rsidR="00600129" w:rsidRPr="00FC7039" w:rsidRDefault="00600129" w:rsidP="0060012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Ban</w:t>
      </w:r>
      <w:r>
        <w:rPr>
          <w:rFonts w:asciiTheme="majorHAnsi" w:hAnsiTheme="majorHAnsi"/>
        </w:rPr>
        <w:t>que Européenne d’Investissement :</w:t>
      </w:r>
      <w:r w:rsidRPr="00FC7039">
        <w:rPr>
          <w:rFonts w:asciiTheme="majorHAnsi" w:hAnsiTheme="majorHAnsi"/>
        </w:rPr>
        <w:t xml:space="preserve"> Why does the EU need an investment plan?, http://www.eib.org/attachments/efsi_factsheet1_why_en.pdf</w:t>
      </w:r>
    </w:p>
  </w:footnote>
  <w:footnote w:id="2">
    <w:p w:rsidR="00600129" w:rsidRPr="00FC7039" w:rsidRDefault="00600129" w:rsidP="0060012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Jean-Claude Juncker, 28 janvier 2015, Bruxelles, entretien au Figaro :</w:t>
      </w:r>
    </w:p>
    <w:p w:rsidR="00600129" w:rsidRPr="00FC7039" w:rsidRDefault="00600129" w:rsidP="00600129">
      <w:pPr>
        <w:pStyle w:val="Notedebasdepage"/>
        <w:jc w:val="both"/>
        <w:rPr>
          <w:rFonts w:asciiTheme="majorHAnsi" w:hAnsiTheme="majorHAnsi"/>
        </w:rPr>
      </w:pPr>
      <w:r w:rsidRPr="00FC7039">
        <w:rPr>
          <w:rFonts w:asciiTheme="majorHAnsi" w:hAnsiTheme="majorHAnsi"/>
        </w:rPr>
        <w:t>http://www.lefigaro.fr/conjoncture/2015/01/28/20002-20150128ARTFIG00441-jean-claude-juncker-pas-question-de-supprimer-la-dette-grecque.php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29"/>
    <w:rsid w:val="00547FAE"/>
    <w:rsid w:val="00600129"/>
    <w:rsid w:val="006D1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7F3E5"/>
  <w15:chartTrackingRefBased/>
  <w15:docId w15:val="{082B4E1D-CECE-49F4-B82D-CCEEFE0B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129"/>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129"/>
    <w:pPr>
      <w:ind w:left="720"/>
      <w:contextualSpacing/>
    </w:pPr>
  </w:style>
  <w:style w:type="character" w:styleId="Marquedecommentaire">
    <w:name w:val="annotation reference"/>
    <w:basedOn w:val="Policepardfaut"/>
    <w:uiPriority w:val="99"/>
    <w:semiHidden/>
    <w:unhideWhenUsed/>
    <w:rsid w:val="00600129"/>
    <w:rPr>
      <w:sz w:val="16"/>
      <w:szCs w:val="16"/>
    </w:rPr>
  </w:style>
  <w:style w:type="paragraph" w:styleId="Commentaire">
    <w:name w:val="annotation text"/>
    <w:basedOn w:val="Normal"/>
    <w:link w:val="CommentaireCar"/>
    <w:uiPriority w:val="99"/>
    <w:semiHidden/>
    <w:unhideWhenUsed/>
    <w:rsid w:val="00600129"/>
    <w:pPr>
      <w:spacing w:line="240" w:lineRule="auto"/>
    </w:pPr>
    <w:rPr>
      <w:sz w:val="20"/>
      <w:szCs w:val="20"/>
    </w:rPr>
  </w:style>
  <w:style w:type="character" w:customStyle="1" w:styleId="CommentaireCar">
    <w:name w:val="Commentaire Car"/>
    <w:basedOn w:val="Policepardfaut"/>
    <w:link w:val="Commentaire"/>
    <w:uiPriority w:val="99"/>
    <w:semiHidden/>
    <w:rsid w:val="00600129"/>
    <w:rPr>
      <w:sz w:val="20"/>
      <w:szCs w:val="20"/>
      <w:lang w:val="fr-FR"/>
    </w:rPr>
  </w:style>
  <w:style w:type="paragraph" w:styleId="Notedebasdepage">
    <w:name w:val="footnote text"/>
    <w:basedOn w:val="Normal"/>
    <w:link w:val="NotedebasdepageCar"/>
    <w:uiPriority w:val="99"/>
    <w:unhideWhenUsed/>
    <w:rsid w:val="00600129"/>
    <w:pPr>
      <w:spacing w:after="0" w:line="240" w:lineRule="auto"/>
    </w:pPr>
    <w:rPr>
      <w:sz w:val="20"/>
      <w:szCs w:val="20"/>
    </w:rPr>
  </w:style>
  <w:style w:type="character" w:customStyle="1" w:styleId="NotedebasdepageCar">
    <w:name w:val="Note de bas de page Car"/>
    <w:basedOn w:val="Policepardfaut"/>
    <w:link w:val="Notedebasdepage"/>
    <w:uiPriority w:val="99"/>
    <w:rsid w:val="00600129"/>
    <w:rPr>
      <w:sz w:val="20"/>
      <w:szCs w:val="20"/>
      <w:lang w:val="fr-FR"/>
    </w:rPr>
  </w:style>
  <w:style w:type="character" w:styleId="Appelnotedebasdep">
    <w:name w:val="footnote reference"/>
    <w:basedOn w:val="Policepardfaut"/>
    <w:uiPriority w:val="99"/>
    <w:unhideWhenUsed/>
    <w:rsid w:val="00600129"/>
    <w:rPr>
      <w:vertAlign w:val="superscript"/>
    </w:rPr>
  </w:style>
  <w:style w:type="paragraph" w:styleId="Textedebulles">
    <w:name w:val="Balloon Text"/>
    <w:basedOn w:val="Normal"/>
    <w:link w:val="TextedebullesCar"/>
    <w:uiPriority w:val="99"/>
    <w:semiHidden/>
    <w:unhideWhenUsed/>
    <w:rsid w:val="0060012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0129"/>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1F5FB-E73A-4216-B017-B0D8D791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3168</Words>
  <Characters>18062</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Clément Fontan</dc:creator>
  <cp:keywords/>
  <dc:description/>
  <cp:lastModifiedBy>Clément Fontan</cp:lastModifiedBy>
  <cp:revision>1</cp:revision>
  <dcterms:created xsi:type="dcterms:W3CDTF">2019-03-20T15:28:00Z</dcterms:created>
  <dcterms:modified xsi:type="dcterms:W3CDTF">2019-03-20T15:29:00Z</dcterms:modified>
</cp:coreProperties>
</file>