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500D" w:rsidRPr="00C07EC9" w:rsidRDefault="0086080E" w:rsidP="00C07EC9">
      <w:pPr>
        <w:pStyle w:val="Titre"/>
      </w:pPr>
      <w:r>
        <w:t>F</w:t>
      </w:r>
      <w:r w:rsidR="0009500D" w:rsidRPr="00C07EC9">
        <w:t xml:space="preserve">emmes </w:t>
      </w:r>
      <w:r>
        <w:t>en responsabilité</w:t>
      </w:r>
      <w:r w:rsidR="0009500D" w:rsidRPr="00C07EC9">
        <w:t xml:space="preserve"> pastoral</w:t>
      </w:r>
      <w:r>
        <w:t>e</w:t>
      </w:r>
      <w:r w:rsidR="00BA19FB">
        <w:t xml:space="preserve"> en </w:t>
      </w:r>
      <w:r w:rsidR="00BA19FB" w:rsidRPr="00C07EC9">
        <w:t>Belgique francophone</w:t>
      </w:r>
      <w:r w:rsidR="0009500D" w:rsidRPr="00C07EC9">
        <w:t>:</w:t>
      </w:r>
      <w:r>
        <w:t xml:space="preserve"> </w:t>
      </w:r>
      <w:r w:rsidR="00BA19FB">
        <w:t>un processus en cours d’</w:t>
      </w:r>
      <w:r w:rsidR="000B19A7">
        <w:t>institutionnalisation</w:t>
      </w:r>
      <w:r w:rsidR="00FC6495">
        <w:t xml:space="preserve"> </w:t>
      </w:r>
    </w:p>
    <w:p w:rsidR="0009500D" w:rsidRDefault="0009500D" w:rsidP="00C07EC9"/>
    <w:p w:rsidR="000B19A7" w:rsidRDefault="000B19A7" w:rsidP="00C07EC9">
      <w:r>
        <w:t xml:space="preserve">L’angle d'attaque de cet article est de proposer un éclairage sur cette « Eglise féminine » à partir de la réalité des laïcs mandatés en pastorale, qui sont, nous </w:t>
      </w:r>
      <w:r w:rsidR="00E7755E">
        <w:t xml:space="preserve">le </w:t>
      </w:r>
      <w:r>
        <w:t xml:space="preserve">verrons, </w:t>
      </w:r>
      <w:r w:rsidR="00E7755E">
        <w:t xml:space="preserve">en </w:t>
      </w:r>
      <w:r>
        <w:t>très grande majorité des femmes. Ce</w:t>
      </w:r>
      <w:r w:rsidR="00E7755E">
        <w:t xml:space="preserve"> choix</w:t>
      </w:r>
      <w:r>
        <w:t xml:space="preserve"> s’inscrit dans</w:t>
      </w:r>
      <w:r w:rsidRPr="00C07EC9">
        <w:t xml:space="preserve"> la perspective ouverte par la sociologue Céline Béraud dans son ouvrage </w:t>
      </w:r>
      <w:r w:rsidRPr="00C07EC9">
        <w:rPr>
          <w:i/>
        </w:rPr>
        <w:t>Prêtres, diacres, laïcs. Révolution silencieuse dans le catholicisme français</w:t>
      </w:r>
      <w:r w:rsidRPr="00C07EC9">
        <w:rPr>
          <w:rStyle w:val="Appelnotedebasdep"/>
          <w:i/>
        </w:rPr>
        <w:footnoteReference w:id="1"/>
      </w:r>
      <w:r>
        <w:rPr>
          <w:i/>
        </w:rPr>
        <w:t> </w:t>
      </w:r>
      <w:r>
        <w:t xml:space="preserve">: son analyse lui fait dire que ce </w:t>
      </w:r>
      <w:r w:rsidRPr="00C07EC9">
        <w:t>« processus de redistribution des tâches »</w:t>
      </w:r>
      <w:r w:rsidRPr="00C07EC9">
        <w:rPr>
          <w:rStyle w:val="Appelnotedebasdep"/>
        </w:rPr>
        <w:footnoteReference w:id="2"/>
      </w:r>
      <w:r>
        <w:t xml:space="preserve"> au sein du </w:t>
      </w:r>
      <w:r w:rsidRPr="00C07EC9">
        <w:t xml:space="preserve">monde de « travailleurs » ecclésiaux est une révolution qui ne dit pas son nom. </w:t>
      </w:r>
      <w:r>
        <w:t xml:space="preserve">Il y a donc là un poste d’observation pertinent sur les évolutions à l’œuvre </w:t>
      </w:r>
      <w:r w:rsidR="004E02E1">
        <w:t>dans</w:t>
      </w:r>
      <w:r>
        <w:t xml:space="preserve"> la répartition des rôles</w:t>
      </w:r>
      <w:r w:rsidR="004E02E1">
        <w:t xml:space="preserve"> au sein du corps ecclésial</w:t>
      </w:r>
      <w:r>
        <w:t>, et elle concerne les femmes.</w:t>
      </w:r>
    </w:p>
    <w:p w:rsidR="000B19A7" w:rsidRPr="00C07EC9" w:rsidRDefault="000B19A7" w:rsidP="00C07EC9">
      <w:r>
        <w:t xml:space="preserve">La réflexion proposée s’appuie sur différentes données </w:t>
      </w:r>
      <w:r w:rsidR="00FA0666">
        <w:t xml:space="preserve">récoltées en Belgique francophone, et plus particulièrement dans le diocèse de Malines-Bruxelles. L’enquête n’est pas exhaustive, loin s’en faut, mais elle met </w:t>
      </w:r>
      <w:r>
        <w:t xml:space="preserve">en évidence le lent mais sûr processus d’institutionnalisation de cette collaboration féminine au sein du corps ecclésial, qui </w:t>
      </w:r>
      <w:r w:rsidR="00FA0666">
        <w:t xml:space="preserve">débouche en différents lieux sur la participation de quelques femmes </w:t>
      </w:r>
      <w:r w:rsidR="00BA19FB">
        <w:t>à la gouvernance ecclésiale</w:t>
      </w:r>
      <w:r w:rsidR="004E02E1">
        <w:rPr>
          <w:rStyle w:val="Appelnotedebasdep"/>
        </w:rPr>
        <w:footnoteReference w:id="3"/>
      </w:r>
      <w:r w:rsidR="00FA0666">
        <w:t xml:space="preserve">. Sur cette base, il sera possible de partager </w:t>
      </w:r>
      <w:r w:rsidR="00034243">
        <w:t xml:space="preserve">quelques constats, </w:t>
      </w:r>
      <w:r w:rsidR="00FA0666">
        <w:t>interrogations</w:t>
      </w:r>
      <w:r w:rsidR="00034243">
        <w:t xml:space="preserve"> et pistes de recherche</w:t>
      </w:r>
      <w:r w:rsidR="00FA0666">
        <w:t>.</w:t>
      </w:r>
    </w:p>
    <w:p w:rsidR="000B19A7" w:rsidRDefault="00FA0666" w:rsidP="00C07EC9">
      <w:r>
        <w:t xml:space="preserve">Partageons une précaution oratoire avant d’entrer dans le vif du sujet. La prise de parole sur cette </w:t>
      </w:r>
      <w:r w:rsidR="00E7755E">
        <w:t>th</w:t>
      </w:r>
      <w:r>
        <w:t xml:space="preserve">ématique est délicate. </w:t>
      </w:r>
      <w:r w:rsidR="0015400E">
        <w:t>Un coup d’œil rapide sur</w:t>
      </w:r>
      <w:r>
        <w:t xml:space="preserve"> la littérature </w:t>
      </w:r>
      <w:r w:rsidR="003618CA">
        <w:t>laisse</w:t>
      </w:r>
      <w:r w:rsidR="0015400E">
        <w:t xml:space="preserve"> </w:t>
      </w:r>
      <w:r w:rsidR="003618CA">
        <w:t>entr</w:t>
      </w:r>
      <w:r w:rsidR="0015400E">
        <w:t xml:space="preserve">evoir </w:t>
      </w:r>
      <w:r w:rsidR="003618CA">
        <w:t>un</w:t>
      </w:r>
      <w:r w:rsidR="0015400E">
        <w:t xml:space="preserve"> débat souvent passionné</w:t>
      </w:r>
      <w:r w:rsidR="003618CA">
        <w:t>. O</w:t>
      </w:r>
      <w:r>
        <w:t>n voit s’y opposer deux discours. Le premier milite pour la parité</w:t>
      </w:r>
      <w:r w:rsidR="0030346C">
        <w:t xml:space="preserve"> au nom de la dignité de tous les baptisés et des évolutions socioculturelles à l’œuvre dans nos sociétés</w:t>
      </w:r>
      <w:r w:rsidR="0051372C">
        <w:t> : il suscite l’enthousiasme de certains, mais éveille aussi des critiques de tout bord</w:t>
      </w:r>
      <w:r w:rsidR="0051372C">
        <w:rPr>
          <w:rStyle w:val="Appelnotedebasdep"/>
        </w:rPr>
        <w:footnoteReference w:id="4"/>
      </w:r>
      <w:r w:rsidR="0051372C">
        <w:t>. L</w:t>
      </w:r>
      <w:r w:rsidR="0030346C">
        <w:t>e second prône l’ </w:t>
      </w:r>
      <w:r w:rsidR="0015400E">
        <w:t>« </w:t>
      </w:r>
      <w:r w:rsidR="0030346C">
        <w:t>égalité dans la différence » au nom de la spécificité de l’anthropologie biblique</w:t>
      </w:r>
      <w:r w:rsidR="00F15370">
        <w:t xml:space="preserve"> ; cette posture ouvre un débat anthropologique </w:t>
      </w:r>
      <w:r w:rsidR="0015400E">
        <w:t>to</w:t>
      </w:r>
      <w:bookmarkStart w:id="0" w:name="_GoBack"/>
      <w:bookmarkEnd w:id="0"/>
      <w:r w:rsidR="0015400E">
        <w:t xml:space="preserve">ut à fait </w:t>
      </w:r>
      <w:r w:rsidR="00F15370">
        <w:t xml:space="preserve">intéressant mais </w:t>
      </w:r>
      <w:r w:rsidR="000E6EEA">
        <w:t>elle</w:t>
      </w:r>
      <w:r w:rsidR="0015400E">
        <w:t xml:space="preserve"> </w:t>
      </w:r>
      <w:r w:rsidR="00F15370">
        <w:t xml:space="preserve">laisse </w:t>
      </w:r>
      <w:r w:rsidR="0015400E">
        <w:t xml:space="preserve">aussi </w:t>
      </w:r>
      <w:r w:rsidR="00F15370">
        <w:t>perplexe au nom du conformisme qu’elle pourrait entraîner</w:t>
      </w:r>
      <w:r w:rsidR="00F15370">
        <w:rPr>
          <w:rStyle w:val="Appelnotedebasdep"/>
        </w:rPr>
        <w:footnoteReference w:id="5"/>
      </w:r>
      <w:r w:rsidR="0030346C">
        <w:t xml:space="preserve">. Le débat autour du </w:t>
      </w:r>
      <w:proofErr w:type="spellStart"/>
      <w:r w:rsidR="0030346C" w:rsidRPr="0030346C">
        <w:rPr>
          <w:i/>
        </w:rPr>
        <w:t>gender</w:t>
      </w:r>
      <w:proofErr w:type="spellEnd"/>
      <w:r w:rsidR="0030346C">
        <w:t xml:space="preserve"> fournit un bel exemple </w:t>
      </w:r>
      <w:r w:rsidR="00F15370">
        <w:t>de ces oppositions</w:t>
      </w:r>
      <w:r w:rsidR="00F15370">
        <w:rPr>
          <w:rStyle w:val="Appelnotedebasdep"/>
        </w:rPr>
        <w:footnoteReference w:id="6"/>
      </w:r>
      <w:r w:rsidR="00F15370">
        <w:t xml:space="preserve">. </w:t>
      </w:r>
      <w:r w:rsidR="0015400E">
        <w:t>Au cœur de ce</w:t>
      </w:r>
      <w:r w:rsidR="000E6EEA">
        <w:t>tte</w:t>
      </w:r>
      <w:r w:rsidR="0015400E">
        <w:t xml:space="preserve"> </w:t>
      </w:r>
      <w:r w:rsidR="00E7755E">
        <w:t>problématique polémique,</w:t>
      </w:r>
      <w:r w:rsidR="0015400E">
        <w:t xml:space="preserve"> il me semble intéressant de prendre appui sur des données empiriques pour discerner les évolutions à l’œuvre, en évitant, autant que faire se peut, les postures idéologiques.</w:t>
      </w:r>
    </w:p>
    <w:p w:rsidR="003C2AD3" w:rsidRDefault="00B76DDB" w:rsidP="00FA0666">
      <w:pPr>
        <w:rPr>
          <w:b/>
          <w:sz w:val="24"/>
        </w:rPr>
      </w:pPr>
      <w:r>
        <w:rPr>
          <w:b/>
          <w:sz w:val="24"/>
        </w:rPr>
        <w:t>Le monde des animateurs pastoraux en Belgique francophone</w:t>
      </w:r>
    </w:p>
    <w:p w:rsidR="006A647B" w:rsidRDefault="00B76DDB" w:rsidP="0015400E">
      <w:r>
        <w:t xml:space="preserve">Pour entrer en matière, </w:t>
      </w:r>
      <w:r w:rsidR="00E7755E">
        <w:t>je commencerai</w:t>
      </w:r>
      <w:r>
        <w:t xml:space="preserve"> par observer comment cette réalité des laïcs mandatés s’est inscrite progressivement dans le paysage ecclésial du sud de la Belgique. Cette mise en perspective historique fait le zoom sur la réalité particulière du Brabant wallon, et s’élargit </w:t>
      </w:r>
      <w:r w:rsidR="0051209D">
        <w:t xml:space="preserve">aux chiffres actuels tant dans le diocèse de Malines-Bruxelles que dans les </w:t>
      </w:r>
      <w:r w:rsidR="00147AA1">
        <w:t>autres diocèses</w:t>
      </w:r>
      <w:r w:rsidR="000E7980">
        <w:rPr>
          <w:rStyle w:val="Appelnotedebasdep"/>
        </w:rPr>
        <w:footnoteReference w:id="7"/>
      </w:r>
      <w:r>
        <w:t>.</w:t>
      </w:r>
      <w:r w:rsidR="00E7755E">
        <w:t xml:space="preserve"> Je </w:t>
      </w:r>
      <w:r w:rsidR="00E7755E">
        <w:lastRenderedPageBreak/>
        <w:t>poursuivrai en m’</w:t>
      </w:r>
      <w:r w:rsidR="0051209D">
        <w:t>arrêtan</w:t>
      </w:r>
      <w:r w:rsidR="00E7755E">
        <w:t xml:space="preserve">t aux procédures de formation et d’accompagnement mises sur pied en lien avec l’émergence de ces nouveaux acteurs pastoraux. Grâce à une démarche vécue </w:t>
      </w:r>
      <w:r w:rsidR="00FA2D88">
        <w:t>par un groupe de ces animateurs pastoraux engagés en paroisse</w:t>
      </w:r>
      <w:r w:rsidR="0051209D">
        <w:t>, nous pourrons nous approcher de l’expérience vécue de ces laïcs mandatés. Un dernier coup de projecteur mettra en lumière la participation de ces laïcs à la gouvernance ecclésiale.</w:t>
      </w:r>
    </w:p>
    <w:p w:rsidR="009F0442" w:rsidRPr="009F0442" w:rsidRDefault="009F0442" w:rsidP="009F0442">
      <w:pPr>
        <w:spacing w:before="240"/>
        <w:rPr>
          <w:b/>
        </w:rPr>
      </w:pPr>
      <w:r w:rsidRPr="009F0442">
        <w:rPr>
          <w:b/>
        </w:rPr>
        <w:t>Zoom sur l’historique au Brabant wallon</w:t>
      </w:r>
    </w:p>
    <w:p w:rsidR="00F261B2" w:rsidRPr="00C07EC9" w:rsidRDefault="00495B42" w:rsidP="00C07EC9">
      <w:r w:rsidRPr="00C07EC9">
        <w:t>C’est à la fin des années 70 qu’apparaissent les premiers engagements de laïcs en pastorale dans le Vicariat du Brabant wallon</w:t>
      </w:r>
      <w:r w:rsidR="005F6097">
        <w:rPr>
          <w:rStyle w:val="Appelnotedebasdep"/>
        </w:rPr>
        <w:footnoteReference w:id="8"/>
      </w:r>
      <w:r w:rsidRPr="00C07EC9">
        <w:t> : en 1976, un couple est engagé</w:t>
      </w:r>
      <w:r w:rsidR="007F63CE">
        <w:t xml:space="preserve"> (à temps partiel)</w:t>
      </w:r>
      <w:r w:rsidRPr="00C07EC9">
        <w:t xml:space="preserve"> dans la perspective novatrice de mettre l’audio-visuel au service de</w:t>
      </w:r>
      <w:r w:rsidR="00154EC5">
        <w:t xml:space="preserve"> la catéchèse et de la liturgie ;</w:t>
      </w:r>
      <w:r w:rsidRPr="00C07EC9">
        <w:t xml:space="preserve"> en 1979, une femme est engagée au service d’une paroisse, en 1982, une femme est nommée </w:t>
      </w:r>
      <w:r w:rsidR="007F63CE">
        <w:t xml:space="preserve">(à temps complet) </w:t>
      </w:r>
      <w:r w:rsidRPr="00C07EC9">
        <w:t xml:space="preserve">responsable de la coordination des institutions </w:t>
      </w:r>
      <w:proofErr w:type="spellStart"/>
      <w:r w:rsidRPr="00C07EC9">
        <w:t>sociocaritatives</w:t>
      </w:r>
      <w:proofErr w:type="spellEnd"/>
      <w:r w:rsidRPr="00C07EC9">
        <w:t xml:space="preserve"> </w:t>
      </w:r>
      <w:r w:rsidR="001836FC" w:rsidRPr="00C07EC9">
        <w:t>dans le Brabant wallon, et en particulier au service de la pastor</w:t>
      </w:r>
      <w:r w:rsidR="00154EC5">
        <w:t>ale de la santé. C</w:t>
      </w:r>
      <w:r w:rsidR="001836FC" w:rsidRPr="00C07EC9">
        <w:t xml:space="preserve">’est dans ces trois domaines – services pastoraux, paroisses et pastorale de la santé – que vont se développer l’engagement de ces animateurs pastoraux. A partir de 1990, la liste de ces laïcs est intégrée dans l’annuaire diocésain, </w:t>
      </w:r>
      <w:r w:rsidR="001D13D0">
        <w:t xml:space="preserve">qu’ils soient bénévoles ou salariés, à temps plein ou à temps partiel. On y </w:t>
      </w:r>
      <w:r w:rsidR="001836FC" w:rsidRPr="00C07EC9">
        <w:t>repren</w:t>
      </w:r>
      <w:r w:rsidR="001D13D0">
        <w:t>d</w:t>
      </w:r>
      <w:r w:rsidR="001836FC" w:rsidRPr="00C07EC9">
        <w:t xml:space="preserve"> leurs coordonnées, leur mission et l’année de leur envoi en mission. Sur cette base, il </w:t>
      </w:r>
      <w:r w:rsidR="0051209D">
        <w:t>a été</w:t>
      </w:r>
      <w:r w:rsidR="001836FC" w:rsidRPr="00C07EC9">
        <w:t xml:space="preserve"> possible d’é</w:t>
      </w:r>
      <w:r w:rsidR="00154EC5">
        <w:t>t</w:t>
      </w:r>
      <w:r w:rsidR="0051209D">
        <w:t>ablir</w:t>
      </w:r>
      <w:r w:rsidR="001836FC" w:rsidRPr="00C07EC9">
        <w:t xml:space="preserve"> la courbe d’évolution des ces engagements.</w:t>
      </w:r>
    </w:p>
    <w:p w:rsidR="001836FC" w:rsidRDefault="001836FC" w:rsidP="00C07EC9">
      <w:pPr>
        <w:rPr>
          <w:b/>
          <w:sz w:val="20"/>
        </w:rPr>
      </w:pPr>
      <w:r w:rsidRPr="00D4312B">
        <w:rPr>
          <w:b/>
          <w:sz w:val="20"/>
        </w:rPr>
        <w:t>Années et secteurs d’engagement</w:t>
      </w:r>
      <w:r w:rsidR="00D4312B" w:rsidRPr="00196A19">
        <w:rPr>
          <w:rStyle w:val="Appelnotedebasdep"/>
          <w:sz w:val="20"/>
        </w:rPr>
        <w:footnoteReference w:id="9"/>
      </w:r>
    </w:p>
    <w:tbl>
      <w:tblPr>
        <w:tblW w:w="8780" w:type="dxa"/>
        <w:tblInd w:w="65" w:type="dxa"/>
        <w:tblCellMar>
          <w:left w:w="70" w:type="dxa"/>
          <w:right w:w="70" w:type="dxa"/>
        </w:tblCellMar>
        <w:tblLook w:val="04A0" w:firstRow="1" w:lastRow="0" w:firstColumn="1" w:lastColumn="0" w:noHBand="0" w:noVBand="1"/>
      </w:tblPr>
      <w:tblGrid>
        <w:gridCol w:w="1400"/>
        <w:gridCol w:w="820"/>
        <w:gridCol w:w="820"/>
        <w:gridCol w:w="820"/>
        <w:gridCol w:w="820"/>
        <w:gridCol w:w="820"/>
        <w:gridCol w:w="820"/>
        <w:gridCol w:w="820"/>
        <w:gridCol w:w="820"/>
        <w:gridCol w:w="820"/>
      </w:tblGrid>
      <w:tr w:rsidR="00196A19" w:rsidRPr="00196A19" w:rsidTr="00196A19">
        <w:trPr>
          <w:trHeight w:val="315"/>
        </w:trPr>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left"/>
              <w:rPr>
                <w:rFonts w:ascii="Calibri" w:hAnsi="Calibri" w:cs="Times New Roman"/>
                <w:color w:val="000000"/>
                <w:sz w:val="24"/>
                <w:lang w:eastAsia="fr-BE"/>
              </w:rPr>
            </w:pPr>
            <w:r w:rsidRPr="00196A19">
              <w:rPr>
                <w:rFonts w:ascii="Calibri" w:hAnsi="Calibri" w:cs="Times New Roman"/>
                <w:color w:val="000000"/>
                <w:sz w:val="24"/>
                <w:lang w:eastAsia="fr-BE"/>
              </w:rPr>
              <w:t> </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left"/>
              <w:rPr>
                <w:rFonts w:ascii="Calibri" w:hAnsi="Calibri" w:cs="Times New Roman"/>
                <w:b/>
                <w:bCs/>
                <w:color w:val="000000"/>
                <w:szCs w:val="22"/>
                <w:lang w:eastAsia="fr-BE"/>
              </w:rPr>
            </w:pPr>
            <w:r w:rsidRPr="00196A19">
              <w:rPr>
                <w:rFonts w:ascii="Calibri" w:hAnsi="Calibri" w:cs="Times New Roman"/>
                <w:b/>
                <w:bCs/>
                <w:color w:val="000000"/>
                <w:szCs w:val="22"/>
                <w:lang w:eastAsia="fr-BE"/>
              </w:rPr>
              <w:t>1975-</w:t>
            </w:r>
            <w:r>
              <w:rPr>
                <w:rFonts w:ascii="Calibri" w:hAnsi="Calibri" w:cs="Times New Roman"/>
                <w:b/>
                <w:bCs/>
                <w:color w:val="000000"/>
                <w:szCs w:val="22"/>
                <w:lang w:eastAsia="fr-BE"/>
              </w:rPr>
              <w:t>19</w:t>
            </w:r>
            <w:r w:rsidRPr="00196A19">
              <w:rPr>
                <w:rFonts w:ascii="Calibri" w:hAnsi="Calibri" w:cs="Times New Roman"/>
                <w:b/>
                <w:bCs/>
                <w:color w:val="000000"/>
                <w:szCs w:val="22"/>
                <w:lang w:eastAsia="fr-BE"/>
              </w:rPr>
              <w:t>79</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left"/>
              <w:rPr>
                <w:rFonts w:ascii="Calibri" w:hAnsi="Calibri" w:cs="Times New Roman"/>
                <w:b/>
                <w:bCs/>
                <w:color w:val="000000"/>
                <w:szCs w:val="22"/>
                <w:lang w:eastAsia="fr-BE"/>
              </w:rPr>
            </w:pPr>
            <w:r w:rsidRPr="00196A19">
              <w:rPr>
                <w:rFonts w:ascii="Calibri" w:hAnsi="Calibri" w:cs="Times New Roman"/>
                <w:b/>
                <w:bCs/>
                <w:color w:val="000000"/>
                <w:szCs w:val="22"/>
                <w:lang w:eastAsia="fr-BE"/>
              </w:rPr>
              <w:t>1980-</w:t>
            </w:r>
            <w:r>
              <w:rPr>
                <w:rFonts w:ascii="Calibri" w:hAnsi="Calibri" w:cs="Times New Roman"/>
                <w:b/>
                <w:bCs/>
                <w:color w:val="000000"/>
                <w:szCs w:val="22"/>
                <w:lang w:eastAsia="fr-BE"/>
              </w:rPr>
              <w:t>19</w:t>
            </w:r>
            <w:r w:rsidRPr="00196A19">
              <w:rPr>
                <w:rFonts w:ascii="Calibri" w:hAnsi="Calibri" w:cs="Times New Roman"/>
                <w:b/>
                <w:bCs/>
                <w:color w:val="000000"/>
                <w:szCs w:val="22"/>
                <w:lang w:eastAsia="fr-BE"/>
              </w:rPr>
              <w:t>84</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left"/>
              <w:rPr>
                <w:rFonts w:ascii="Calibri" w:hAnsi="Calibri" w:cs="Times New Roman"/>
                <w:b/>
                <w:bCs/>
                <w:color w:val="000000"/>
                <w:szCs w:val="22"/>
                <w:lang w:eastAsia="fr-BE"/>
              </w:rPr>
            </w:pPr>
            <w:r w:rsidRPr="00196A19">
              <w:rPr>
                <w:rFonts w:ascii="Calibri" w:hAnsi="Calibri" w:cs="Times New Roman"/>
                <w:b/>
                <w:bCs/>
                <w:color w:val="000000"/>
                <w:szCs w:val="22"/>
                <w:lang w:eastAsia="fr-BE"/>
              </w:rPr>
              <w:t>1985-</w:t>
            </w:r>
            <w:r>
              <w:rPr>
                <w:rFonts w:ascii="Calibri" w:hAnsi="Calibri" w:cs="Times New Roman"/>
                <w:b/>
                <w:bCs/>
                <w:color w:val="000000"/>
                <w:szCs w:val="22"/>
                <w:lang w:eastAsia="fr-BE"/>
              </w:rPr>
              <w:t>19</w:t>
            </w:r>
            <w:r w:rsidRPr="00196A19">
              <w:rPr>
                <w:rFonts w:ascii="Calibri" w:hAnsi="Calibri" w:cs="Times New Roman"/>
                <w:b/>
                <w:bCs/>
                <w:color w:val="000000"/>
                <w:szCs w:val="22"/>
                <w:lang w:eastAsia="fr-BE"/>
              </w:rPr>
              <w:t>89</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left"/>
              <w:rPr>
                <w:rFonts w:ascii="Calibri" w:hAnsi="Calibri" w:cs="Times New Roman"/>
                <w:b/>
                <w:bCs/>
                <w:color w:val="000000"/>
                <w:szCs w:val="22"/>
                <w:lang w:eastAsia="fr-BE"/>
              </w:rPr>
            </w:pPr>
            <w:r w:rsidRPr="00196A19">
              <w:rPr>
                <w:rFonts w:ascii="Calibri" w:hAnsi="Calibri" w:cs="Times New Roman"/>
                <w:b/>
                <w:bCs/>
                <w:color w:val="000000"/>
                <w:szCs w:val="22"/>
                <w:lang w:eastAsia="fr-BE"/>
              </w:rPr>
              <w:t>1990-</w:t>
            </w:r>
            <w:r>
              <w:rPr>
                <w:rFonts w:ascii="Calibri" w:hAnsi="Calibri" w:cs="Times New Roman"/>
                <w:b/>
                <w:bCs/>
                <w:color w:val="000000"/>
                <w:szCs w:val="22"/>
                <w:lang w:eastAsia="fr-BE"/>
              </w:rPr>
              <w:t>19</w:t>
            </w:r>
            <w:r w:rsidRPr="00196A19">
              <w:rPr>
                <w:rFonts w:ascii="Calibri" w:hAnsi="Calibri" w:cs="Times New Roman"/>
                <w:b/>
                <w:bCs/>
                <w:color w:val="000000"/>
                <w:szCs w:val="22"/>
                <w:lang w:eastAsia="fr-BE"/>
              </w:rPr>
              <w:t>94</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left"/>
              <w:rPr>
                <w:rFonts w:ascii="Calibri" w:hAnsi="Calibri" w:cs="Times New Roman"/>
                <w:b/>
                <w:bCs/>
                <w:color w:val="000000"/>
                <w:szCs w:val="22"/>
                <w:lang w:eastAsia="fr-BE"/>
              </w:rPr>
            </w:pPr>
            <w:r w:rsidRPr="00196A19">
              <w:rPr>
                <w:rFonts w:ascii="Calibri" w:hAnsi="Calibri" w:cs="Times New Roman"/>
                <w:b/>
                <w:bCs/>
                <w:color w:val="000000"/>
                <w:szCs w:val="22"/>
                <w:lang w:eastAsia="fr-BE"/>
              </w:rPr>
              <w:t>1995-</w:t>
            </w:r>
            <w:r>
              <w:rPr>
                <w:rFonts w:ascii="Calibri" w:hAnsi="Calibri" w:cs="Times New Roman"/>
                <w:b/>
                <w:bCs/>
                <w:color w:val="000000"/>
                <w:szCs w:val="22"/>
                <w:lang w:eastAsia="fr-BE"/>
              </w:rPr>
              <w:t>19</w:t>
            </w:r>
            <w:r w:rsidRPr="00196A19">
              <w:rPr>
                <w:rFonts w:ascii="Calibri" w:hAnsi="Calibri" w:cs="Times New Roman"/>
                <w:b/>
                <w:bCs/>
                <w:color w:val="000000"/>
                <w:szCs w:val="22"/>
                <w:lang w:eastAsia="fr-BE"/>
              </w:rPr>
              <w:t>99</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left"/>
              <w:rPr>
                <w:rFonts w:ascii="Calibri" w:hAnsi="Calibri" w:cs="Times New Roman"/>
                <w:b/>
                <w:bCs/>
                <w:color w:val="000000"/>
                <w:szCs w:val="22"/>
                <w:lang w:eastAsia="fr-BE"/>
              </w:rPr>
            </w:pPr>
            <w:r w:rsidRPr="00196A19">
              <w:rPr>
                <w:rFonts w:ascii="Calibri" w:hAnsi="Calibri" w:cs="Times New Roman"/>
                <w:b/>
                <w:bCs/>
                <w:color w:val="000000"/>
                <w:szCs w:val="22"/>
                <w:lang w:eastAsia="fr-BE"/>
              </w:rPr>
              <w:t>2000-</w:t>
            </w:r>
            <w:r>
              <w:rPr>
                <w:rFonts w:ascii="Calibri" w:hAnsi="Calibri" w:cs="Times New Roman"/>
                <w:b/>
                <w:bCs/>
                <w:color w:val="000000"/>
                <w:szCs w:val="22"/>
                <w:lang w:eastAsia="fr-BE"/>
              </w:rPr>
              <w:t>20</w:t>
            </w:r>
            <w:r w:rsidRPr="00196A19">
              <w:rPr>
                <w:rFonts w:ascii="Calibri" w:hAnsi="Calibri" w:cs="Times New Roman"/>
                <w:b/>
                <w:bCs/>
                <w:color w:val="000000"/>
                <w:szCs w:val="22"/>
                <w:lang w:eastAsia="fr-BE"/>
              </w:rPr>
              <w:t>04</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left"/>
              <w:rPr>
                <w:rFonts w:ascii="Calibri" w:hAnsi="Calibri" w:cs="Times New Roman"/>
                <w:b/>
                <w:bCs/>
                <w:color w:val="000000"/>
                <w:szCs w:val="22"/>
                <w:lang w:eastAsia="fr-BE"/>
              </w:rPr>
            </w:pPr>
            <w:r w:rsidRPr="00196A19">
              <w:rPr>
                <w:rFonts w:ascii="Calibri" w:hAnsi="Calibri" w:cs="Times New Roman"/>
                <w:b/>
                <w:bCs/>
                <w:color w:val="000000"/>
                <w:szCs w:val="22"/>
                <w:lang w:eastAsia="fr-BE"/>
              </w:rPr>
              <w:t>2005-</w:t>
            </w:r>
            <w:r>
              <w:rPr>
                <w:rFonts w:ascii="Calibri" w:hAnsi="Calibri" w:cs="Times New Roman"/>
                <w:b/>
                <w:bCs/>
                <w:color w:val="000000"/>
                <w:szCs w:val="22"/>
                <w:lang w:eastAsia="fr-BE"/>
              </w:rPr>
              <w:t>20</w:t>
            </w:r>
            <w:r w:rsidRPr="00196A19">
              <w:rPr>
                <w:rFonts w:ascii="Calibri" w:hAnsi="Calibri" w:cs="Times New Roman"/>
                <w:b/>
                <w:bCs/>
                <w:color w:val="000000"/>
                <w:szCs w:val="22"/>
                <w:lang w:eastAsia="fr-BE"/>
              </w:rPr>
              <w:t>09</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left"/>
              <w:rPr>
                <w:rFonts w:ascii="Calibri" w:hAnsi="Calibri" w:cs="Times New Roman"/>
                <w:b/>
                <w:bCs/>
                <w:color w:val="000000"/>
                <w:szCs w:val="22"/>
                <w:lang w:eastAsia="fr-BE"/>
              </w:rPr>
            </w:pPr>
            <w:r w:rsidRPr="00196A19">
              <w:rPr>
                <w:rFonts w:ascii="Calibri" w:hAnsi="Calibri" w:cs="Times New Roman"/>
                <w:b/>
                <w:bCs/>
                <w:color w:val="000000"/>
                <w:szCs w:val="22"/>
                <w:lang w:eastAsia="fr-BE"/>
              </w:rPr>
              <w:t>2010-</w:t>
            </w:r>
            <w:r>
              <w:rPr>
                <w:rFonts w:ascii="Calibri" w:hAnsi="Calibri" w:cs="Times New Roman"/>
                <w:b/>
                <w:bCs/>
                <w:color w:val="000000"/>
                <w:szCs w:val="22"/>
                <w:lang w:eastAsia="fr-BE"/>
              </w:rPr>
              <w:t>2014</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left"/>
              <w:rPr>
                <w:rFonts w:ascii="Calibri" w:hAnsi="Calibri" w:cs="Times New Roman"/>
                <w:b/>
                <w:bCs/>
                <w:color w:val="000000"/>
                <w:sz w:val="24"/>
                <w:lang w:eastAsia="fr-BE"/>
              </w:rPr>
            </w:pPr>
            <w:r w:rsidRPr="00196A19">
              <w:rPr>
                <w:rFonts w:ascii="Calibri" w:hAnsi="Calibri" w:cs="Times New Roman"/>
                <w:b/>
                <w:bCs/>
                <w:color w:val="000000"/>
                <w:sz w:val="24"/>
                <w:lang w:eastAsia="fr-BE"/>
              </w:rPr>
              <w:t>Total</w:t>
            </w:r>
          </w:p>
        </w:tc>
      </w:tr>
      <w:tr w:rsidR="00196A19" w:rsidRPr="00196A19" w:rsidTr="00196A19">
        <w:trPr>
          <w:trHeight w:val="315"/>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left"/>
              <w:rPr>
                <w:rFonts w:ascii="Calibri" w:hAnsi="Calibri" w:cs="Times New Roman"/>
                <w:b/>
                <w:bCs/>
                <w:color w:val="000000"/>
                <w:sz w:val="24"/>
                <w:lang w:eastAsia="fr-BE"/>
              </w:rPr>
            </w:pPr>
            <w:r w:rsidRPr="00196A19">
              <w:rPr>
                <w:rFonts w:ascii="Calibri" w:hAnsi="Calibri" w:cs="Times New Roman"/>
                <w:b/>
                <w:bCs/>
                <w:color w:val="000000"/>
                <w:sz w:val="24"/>
                <w:lang w:eastAsia="fr-BE"/>
              </w:rPr>
              <w:t>Services</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3</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4</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16</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13</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16</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10</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8</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12</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82</w:t>
            </w:r>
          </w:p>
        </w:tc>
      </w:tr>
      <w:tr w:rsidR="00196A19" w:rsidRPr="00196A19" w:rsidTr="00196A19">
        <w:trPr>
          <w:trHeight w:val="315"/>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left"/>
              <w:rPr>
                <w:rFonts w:ascii="Calibri" w:hAnsi="Calibri" w:cs="Times New Roman"/>
                <w:b/>
                <w:bCs/>
                <w:color w:val="000000"/>
                <w:sz w:val="24"/>
                <w:lang w:eastAsia="fr-BE"/>
              </w:rPr>
            </w:pPr>
            <w:r w:rsidRPr="00196A19">
              <w:rPr>
                <w:rFonts w:ascii="Calibri" w:hAnsi="Calibri" w:cs="Times New Roman"/>
                <w:b/>
                <w:bCs/>
                <w:color w:val="000000"/>
                <w:sz w:val="24"/>
                <w:lang w:eastAsia="fr-BE"/>
              </w:rPr>
              <w:t>Santé</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 </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1</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7</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6</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5</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5</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8</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10</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42</w:t>
            </w:r>
          </w:p>
        </w:tc>
      </w:tr>
      <w:tr w:rsidR="00196A19" w:rsidRPr="00196A19" w:rsidTr="00196A19">
        <w:trPr>
          <w:trHeight w:val="315"/>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left"/>
              <w:rPr>
                <w:rFonts w:ascii="Calibri" w:hAnsi="Calibri" w:cs="Times New Roman"/>
                <w:b/>
                <w:bCs/>
                <w:color w:val="000000"/>
                <w:sz w:val="24"/>
                <w:lang w:eastAsia="fr-BE"/>
              </w:rPr>
            </w:pPr>
            <w:r w:rsidRPr="00196A19">
              <w:rPr>
                <w:rFonts w:ascii="Calibri" w:hAnsi="Calibri" w:cs="Times New Roman"/>
                <w:b/>
                <w:bCs/>
                <w:color w:val="000000"/>
                <w:sz w:val="24"/>
                <w:lang w:eastAsia="fr-BE"/>
              </w:rPr>
              <w:t>Paroisses</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 </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 </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1</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4</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10</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5</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3</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2</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25</w:t>
            </w:r>
          </w:p>
        </w:tc>
      </w:tr>
      <w:tr w:rsidR="00196A19" w:rsidRPr="00196A19" w:rsidTr="00196A19">
        <w:trPr>
          <w:trHeight w:val="315"/>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left"/>
              <w:rPr>
                <w:rFonts w:ascii="Calibri" w:hAnsi="Calibri" w:cs="Times New Roman"/>
                <w:b/>
                <w:bCs/>
                <w:color w:val="000000"/>
                <w:sz w:val="24"/>
                <w:lang w:eastAsia="fr-BE"/>
              </w:rPr>
            </w:pPr>
            <w:r w:rsidRPr="00196A19">
              <w:rPr>
                <w:rFonts w:ascii="Calibri" w:hAnsi="Calibri" w:cs="Times New Roman"/>
                <w:b/>
                <w:bCs/>
                <w:color w:val="000000"/>
                <w:sz w:val="24"/>
                <w:lang w:eastAsia="fr-BE"/>
              </w:rPr>
              <w:t>Prison et div</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 </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 </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 </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1</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 </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1</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2</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2</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6</w:t>
            </w:r>
          </w:p>
        </w:tc>
      </w:tr>
      <w:tr w:rsidR="00196A19" w:rsidRPr="00196A19" w:rsidTr="00196A19">
        <w:trPr>
          <w:trHeight w:val="315"/>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left"/>
              <w:rPr>
                <w:rFonts w:ascii="Calibri" w:hAnsi="Calibri" w:cs="Times New Roman"/>
                <w:b/>
                <w:bCs/>
                <w:color w:val="000000"/>
                <w:sz w:val="24"/>
                <w:lang w:eastAsia="fr-BE"/>
              </w:rPr>
            </w:pPr>
            <w:r w:rsidRPr="00196A19">
              <w:rPr>
                <w:rFonts w:ascii="Calibri" w:hAnsi="Calibri" w:cs="Times New Roman"/>
                <w:b/>
                <w:bCs/>
                <w:color w:val="000000"/>
                <w:sz w:val="24"/>
                <w:lang w:eastAsia="fr-BE"/>
              </w:rPr>
              <w:t>Total</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3</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5</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24</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26</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31</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21</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21</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26</w:t>
            </w:r>
          </w:p>
        </w:tc>
        <w:tc>
          <w:tcPr>
            <w:tcW w:w="820" w:type="dxa"/>
            <w:tcBorders>
              <w:top w:val="nil"/>
              <w:left w:val="nil"/>
              <w:bottom w:val="single" w:sz="4" w:space="0" w:color="auto"/>
              <w:right w:val="single" w:sz="4" w:space="0" w:color="auto"/>
            </w:tcBorders>
            <w:shd w:val="clear" w:color="auto" w:fill="auto"/>
            <w:noWrap/>
            <w:vAlign w:val="bottom"/>
            <w:hideMark/>
          </w:tcPr>
          <w:p w:rsidR="00196A19" w:rsidRPr="00196A19" w:rsidRDefault="00196A19" w:rsidP="00196A19">
            <w:pPr>
              <w:widowControl/>
              <w:autoSpaceDE/>
              <w:autoSpaceDN/>
              <w:adjustRightInd/>
              <w:spacing w:after="0"/>
              <w:jc w:val="center"/>
              <w:rPr>
                <w:rFonts w:ascii="Calibri" w:hAnsi="Calibri" w:cs="Times New Roman"/>
                <w:color w:val="000000"/>
                <w:sz w:val="24"/>
                <w:lang w:eastAsia="fr-BE"/>
              </w:rPr>
            </w:pPr>
            <w:r w:rsidRPr="00196A19">
              <w:rPr>
                <w:rFonts w:ascii="Calibri" w:hAnsi="Calibri" w:cs="Times New Roman"/>
                <w:color w:val="000000"/>
                <w:sz w:val="24"/>
                <w:lang w:eastAsia="fr-BE"/>
              </w:rPr>
              <w:t>156</w:t>
            </w:r>
          </w:p>
        </w:tc>
      </w:tr>
    </w:tbl>
    <w:p w:rsidR="00196A19" w:rsidRPr="00D4312B" w:rsidRDefault="00196A19" w:rsidP="00C07EC9">
      <w:pPr>
        <w:rPr>
          <w:b/>
        </w:rPr>
      </w:pPr>
    </w:p>
    <w:p w:rsidR="00FA7D8D" w:rsidRPr="00C07EC9" w:rsidRDefault="00FA7D8D" w:rsidP="00C07EC9">
      <w:r w:rsidRPr="00FA7D8D">
        <w:rPr>
          <w:noProof/>
          <w:lang w:eastAsia="fr-BE"/>
        </w:rPr>
        <w:drawing>
          <wp:inline distT="0" distB="0" distL="0" distR="0">
            <wp:extent cx="6122670" cy="3133725"/>
            <wp:effectExtent l="19050" t="0" r="11430"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836FC" w:rsidRDefault="00FA7D8D" w:rsidP="009F0442">
      <w:r>
        <w:lastRenderedPageBreak/>
        <w:t xml:space="preserve">Ce tableau </w:t>
      </w:r>
      <w:r w:rsidR="007822E5">
        <w:t>met en lumière</w:t>
      </w:r>
      <w:r>
        <w:t xml:space="preserve"> que c’est</w:t>
      </w:r>
      <w:r w:rsidR="00A848BB">
        <w:t xml:space="preserve"> à partir du milieu des années 80 que ces engagements se développent réellement</w:t>
      </w:r>
      <w:r>
        <w:t>, co</w:t>
      </w:r>
      <w:r w:rsidR="007822E5">
        <w:t>rrespondant – co</w:t>
      </w:r>
      <w:r>
        <w:t>ïncid</w:t>
      </w:r>
      <w:r w:rsidR="007822E5">
        <w:t>ence ? –</w:t>
      </w:r>
      <w:r>
        <w:t xml:space="preserve"> avec la période de réflexion sur le laïcat suscitée par le synode des évêques sur les laïcs de </w:t>
      </w:r>
      <w:r w:rsidR="00A848BB">
        <w:t>1987</w:t>
      </w:r>
      <w:r w:rsidR="006B1EB8">
        <w:t xml:space="preserve">. </w:t>
      </w:r>
      <w:r w:rsidR="00B77534">
        <w:t>L</w:t>
      </w:r>
      <w:r w:rsidR="00A848BB">
        <w:t xml:space="preserve">es </w:t>
      </w:r>
      <w:r w:rsidR="001836FC" w:rsidRPr="001836FC">
        <w:t>engagements s</w:t>
      </w:r>
      <w:r w:rsidR="006B1EB8">
        <w:t>’</w:t>
      </w:r>
      <w:r w:rsidR="001836FC" w:rsidRPr="001836FC">
        <w:t>accél</w:t>
      </w:r>
      <w:r w:rsidR="006B1EB8">
        <w:t>èrent</w:t>
      </w:r>
      <w:r w:rsidR="001836FC" w:rsidRPr="001836FC">
        <w:t xml:space="preserve"> à partir de 1996</w:t>
      </w:r>
      <w:r w:rsidR="006B1EB8">
        <w:t xml:space="preserve"> parce que c’est </w:t>
      </w:r>
      <w:r w:rsidR="007822E5">
        <w:t>l’</w:t>
      </w:r>
      <w:r w:rsidR="001836FC" w:rsidRPr="001836FC">
        <w:t xml:space="preserve">année </w:t>
      </w:r>
      <w:r w:rsidR="006B1EB8">
        <w:t>où est conclu l’</w:t>
      </w:r>
      <w:r w:rsidR="001836FC" w:rsidRPr="00547A5B">
        <w:t>accord entre l’Eglise et l’Etat</w:t>
      </w:r>
      <w:r w:rsidR="001836FC">
        <w:t xml:space="preserve"> qui a permis</w:t>
      </w:r>
      <w:r w:rsidR="001836FC" w:rsidRPr="00547A5B">
        <w:t xml:space="preserve"> d’attribuer </w:t>
      </w:r>
      <w:r w:rsidR="006B1EB8" w:rsidRPr="00547A5B">
        <w:t>des postes de ministres du</w:t>
      </w:r>
      <w:r w:rsidR="006B1EB8">
        <w:t xml:space="preserve"> culte rémunérés par l’Etat</w:t>
      </w:r>
      <w:r w:rsidR="006B1EB8" w:rsidRPr="00547A5B">
        <w:t xml:space="preserve"> </w:t>
      </w:r>
      <w:r w:rsidR="006B1EB8">
        <w:t xml:space="preserve">à des laïcs appelés par l’Etat </w:t>
      </w:r>
      <w:r w:rsidR="001836FC" w:rsidRPr="00547A5B">
        <w:t>« assistants paroissiaux »</w:t>
      </w:r>
      <w:r w:rsidR="001836FC">
        <w:rPr>
          <w:rStyle w:val="Appelnotedebasdep"/>
        </w:rPr>
        <w:footnoteReference w:id="10"/>
      </w:r>
      <w:r w:rsidR="001836FC" w:rsidRPr="001836FC">
        <w:t xml:space="preserve">. Les nominations et les engagements se sont poursuivi </w:t>
      </w:r>
      <w:r w:rsidR="00FA2D88">
        <w:t>par la suite</w:t>
      </w:r>
      <w:r w:rsidR="001836FC" w:rsidRPr="001836FC">
        <w:t xml:space="preserve">, à un rythme moins soutenu </w:t>
      </w:r>
      <w:r w:rsidR="00C07EC9">
        <w:t xml:space="preserve">mais relativement </w:t>
      </w:r>
      <w:r w:rsidR="001836FC" w:rsidRPr="001836FC">
        <w:t>constant</w:t>
      </w:r>
      <w:r w:rsidR="006B1EB8">
        <w:rPr>
          <w:rStyle w:val="Appelnotedebasdep"/>
        </w:rPr>
        <w:footnoteReference w:id="11"/>
      </w:r>
      <w:r w:rsidR="001836FC" w:rsidRPr="001836FC">
        <w:t>.</w:t>
      </w:r>
      <w:r w:rsidR="00FC3EA9">
        <w:t xml:space="preserve"> Ces laïcs sont principalement des femmes : sur près de 160 personnes</w:t>
      </w:r>
      <w:r w:rsidR="007822E5">
        <w:t xml:space="preserve"> ayant exercé ou exerçant une mission pastorale</w:t>
      </w:r>
      <w:r w:rsidR="00FC3EA9">
        <w:t>, il y a une trentaine d’hommes, les femmes constituant les 4/5</w:t>
      </w:r>
      <w:r w:rsidR="00FC3EA9" w:rsidRPr="001D13D0">
        <w:rPr>
          <w:vertAlign w:val="superscript"/>
        </w:rPr>
        <w:t>e</w:t>
      </w:r>
      <w:r w:rsidR="00FC3EA9">
        <w:t xml:space="preserve"> de ce collectif. </w:t>
      </w:r>
    </w:p>
    <w:p w:rsidR="009F0442" w:rsidRDefault="009F0442" w:rsidP="009F0442">
      <w:pPr>
        <w:spacing w:before="240"/>
        <w:rPr>
          <w:b/>
        </w:rPr>
      </w:pPr>
      <w:r>
        <w:rPr>
          <w:b/>
        </w:rPr>
        <w:t>Les chiffres actuels</w:t>
      </w:r>
    </w:p>
    <w:p w:rsidR="00B77534" w:rsidRPr="001836FC" w:rsidRDefault="00FC3EA9" w:rsidP="009F0442">
      <w:r>
        <w:t xml:space="preserve">La réalité actuelle prolonge </w:t>
      </w:r>
      <w:r w:rsidR="007822E5">
        <w:t xml:space="preserve">et renforce </w:t>
      </w:r>
      <w:r>
        <w:t>ce constat avec 7 hommes pour 52 femmes</w:t>
      </w:r>
      <w:r w:rsidR="00FC5810">
        <w:t xml:space="preserve"> au Brabant wallon</w:t>
      </w:r>
      <w:r w:rsidR="0056204D">
        <w:t>. L</w:t>
      </w:r>
      <w:r w:rsidR="007822E5">
        <w:t>a réalité est</w:t>
      </w:r>
      <w:r w:rsidR="00FC5810">
        <w:t xml:space="preserve"> fort semblable à Bruxelles (régime francophone), avec 9 hommes pour 49 femmes</w:t>
      </w:r>
      <w:r>
        <w:t xml:space="preserve">, </w:t>
      </w:r>
      <w:r w:rsidR="00B77534">
        <w:t xml:space="preserve">comme en témoignent les tableaux suivants qui </w:t>
      </w:r>
      <w:r w:rsidR="007822E5">
        <w:t>rendent compte d</w:t>
      </w:r>
      <w:r>
        <w:t>es chiffres actuels</w:t>
      </w:r>
      <w:r w:rsidR="00FC5810">
        <w:t xml:space="preserve"> (au 1</w:t>
      </w:r>
      <w:r w:rsidR="00FC5810" w:rsidRPr="00FC3EA9">
        <w:rPr>
          <w:vertAlign w:val="superscript"/>
        </w:rPr>
        <w:t>er</w:t>
      </w:r>
      <w:r w:rsidR="00FC5810">
        <w:t xml:space="preserve"> janvier 2014)</w:t>
      </w:r>
      <w:r>
        <w:t xml:space="preserve"> </w:t>
      </w:r>
      <w:r w:rsidR="007822E5">
        <w:t>pour ces deux zones pastorales</w:t>
      </w:r>
      <w:r w:rsidR="0056204D">
        <w:rPr>
          <w:rStyle w:val="Appelnotedebasdep"/>
        </w:rPr>
        <w:footnoteReference w:id="12"/>
      </w:r>
      <w:r>
        <w:t xml:space="preserve">. </w:t>
      </w:r>
    </w:p>
    <w:p w:rsidR="006B1EB8" w:rsidRDefault="0056204D" w:rsidP="006B1EB8">
      <w:r w:rsidRPr="0056204D">
        <w:rPr>
          <w:noProof/>
          <w:lang w:eastAsia="fr-BE"/>
        </w:rPr>
        <w:drawing>
          <wp:inline distT="0" distB="0" distL="0" distR="0">
            <wp:extent cx="2295525" cy="2867025"/>
            <wp:effectExtent l="19050" t="0" r="9525" b="0"/>
            <wp:docPr id="9"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tab/>
      </w:r>
      <w:r>
        <w:tab/>
      </w:r>
      <w:r w:rsidRPr="0056204D">
        <w:rPr>
          <w:noProof/>
          <w:lang w:eastAsia="fr-BE"/>
        </w:rPr>
        <w:drawing>
          <wp:inline distT="0" distB="0" distL="0" distR="0">
            <wp:extent cx="2286000" cy="2867025"/>
            <wp:effectExtent l="19050" t="0" r="19050" b="0"/>
            <wp:docPr id="10"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E72F7" w:rsidRDefault="006E72F7" w:rsidP="006D25F3">
      <w:r>
        <w:t>Le nombre de ces animateurs pastoraux varie selon les diocèses… Dans le diocèse de Tournai, il y a 71 animateurs en pastorale dont 3 bénévoles (engagés en pastorale territoriale</w:t>
      </w:r>
      <w:r w:rsidRPr="001A1177">
        <w:t xml:space="preserve"> </w:t>
      </w:r>
      <w:r>
        <w:t>pour plus de la moitié et dans les services)</w:t>
      </w:r>
      <w:r w:rsidRPr="006B7632">
        <w:rPr>
          <w:vertAlign w:val="superscript"/>
        </w:rPr>
        <w:footnoteReference w:id="13"/>
      </w:r>
      <w:r>
        <w:t>, auxquels il faut ajouter 21 personnes rémunérées pastorale de la santé, et 2 bénévoles. Dans le diocèse de Liège, on compte 41 assistants paroissiaux et 24 agents pastoraux (18 bénévoles et 6 rémunérés) dans la pastorale hospitalière ; l’annuaire diocésain en ligne contient également la catégorie « animateur(</w:t>
      </w:r>
      <w:proofErr w:type="spellStart"/>
      <w:r>
        <w:t>trice</w:t>
      </w:r>
      <w:proofErr w:type="spellEnd"/>
      <w:r>
        <w:t>) avec lettre de mission » qui reprend 77 personnes</w:t>
      </w:r>
      <w:r w:rsidRPr="006B7632">
        <w:rPr>
          <w:rStyle w:val="Appelnotedebasdep"/>
        </w:rPr>
        <w:footnoteReference w:id="14"/>
      </w:r>
      <w:r>
        <w:t xml:space="preserve"> Dans le diocèse de Namur, il y a 40 assistants paroissiaux dont 3 animateurs pastoraux bénévoles</w:t>
      </w:r>
      <w:r>
        <w:rPr>
          <w:rStyle w:val="Appelnotedebasdep"/>
        </w:rPr>
        <w:footnoteReference w:id="15"/>
      </w:r>
      <w:r>
        <w:t> ; en pastorale hospitalière, on compte 58 personnes dont 9 sont rémunérées parles institutions hospitalières et 49 bénévoles.</w:t>
      </w:r>
    </w:p>
    <w:p w:rsidR="006D25F3" w:rsidRDefault="006E72F7" w:rsidP="006D25F3">
      <w:r>
        <w:lastRenderedPageBreak/>
        <w:t>La</w:t>
      </w:r>
      <w:r w:rsidR="006D25F3">
        <w:t xml:space="preserve"> variété dans les chiffres et les appellations rej</w:t>
      </w:r>
      <w:r w:rsidR="0056204D">
        <w:t xml:space="preserve">oint l’analyse de Céline Béraud </w:t>
      </w:r>
      <w:r w:rsidR="006D25F3">
        <w:t xml:space="preserve">qui </w:t>
      </w:r>
      <w:r w:rsidR="007822E5">
        <w:t xml:space="preserve">évoque </w:t>
      </w:r>
      <w:r w:rsidR="006D25F3">
        <w:t>cette diversité d’appellations et de pratiques, ces statistiques quasi inexistantes</w:t>
      </w:r>
      <w:r w:rsidR="007822E5">
        <w:t>, témoin manifeste d’une réalité difficile à accorder avec les principes ministériels proclamés haut et fort</w:t>
      </w:r>
      <w:r w:rsidR="006D25F3">
        <w:rPr>
          <w:rStyle w:val="Appelnotedebasdep"/>
        </w:rPr>
        <w:footnoteReference w:id="16"/>
      </w:r>
      <w:r w:rsidR="006D25F3">
        <w:t xml:space="preserve">. </w:t>
      </w:r>
      <w:r w:rsidR="007822E5">
        <w:t>Cette diversité</w:t>
      </w:r>
      <w:r w:rsidR="009F0442">
        <w:t xml:space="preserve"> reflète </w:t>
      </w:r>
      <w:r w:rsidR="007822E5">
        <w:t>également des différences manifeste</w:t>
      </w:r>
      <w:r w:rsidR="00E35994">
        <w:t>s</w:t>
      </w:r>
      <w:r w:rsidR="007822E5">
        <w:t xml:space="preserve"> entre les</w:t>
      </w:r>
      <w:r w:rsidR="009F0442">
        <w:t xml:space="preserve"> diocèses : c’est à Malines-Bruxelles et </w:t>
      </w:r>
      <w:r w:rsidR="006B7632">
        <w:t xml:space="preserve">ensuite </w:t>
      </w:r>
      <w:r w:rsidR="009F0442">
        <w:t>à Liège que</w:t>
      </w:r>
      <w:r w:rsidR="006B7632">
        <w:t xml:space="preserve"> le</w:t>
      </w:r>
      <w:r w:rsidR="009F0442">
        <w:t xml:space="preserve"> travail avec ces laïcs mandatés a le plus d’histoire. Dans les diocèses de Namur et de Tournai, </w:t>
      </w:r>
      <w:r w:rsidR="007822E5">
        <w:t xml:space="preserve">le développement de ces engagements est plus tardif et a été principalement lié </w:t>
      </w:r>
      <w:r w:rsidR="009F0442">
        <w:t>à la possibilité</w:t>
      </w:r>
      <w:r w:rsidR="007822E5">
        <w:t xml:space="preserve"> déjà évoquée</w:t>
      </w:r>
      <w:r w:rsidR="009F0442">
        <w:t xml:space="preserve"> de n</w:t>
      </w:r>
      <w:r w:rsidR="007822E5">
        <w:t>ommer des assistants paroissiaux rémunérés par l’Etat (</w:t>
      </w:r>
      <w:r w:rsidR="006B7632">
        <w:t>1996</w:t>
      </w:r>
      <w:r w:rsidR="007822E5">
        <w:t>)</w:t>
      </w:r>
      <w:r w:rsidR="009F0442">
        <w:t>.</w:t>
      </w:r>
    </w:p>
    <w:p w:rsidR="009F0442" w:rsidRPr="009F0442" w:rsidRDefault="009F0442" w:rsidP="008A6747">
      <w:pPr>
        <w:spacing w:before="240"/>
        <w:rPr>
          <w:b/>
        </w:rPr>
      </w:pPr>
      <w:r w:rsidRPr="009F0442">
        <w:rPr>
          <w:b/>
        </w:rPr>
        <w:t>La formation initiale</w:t>
      </w:r>
      <w:r w:rsidR="00A76AC7">
        <w:rPr>
          <w:b/>
        </w:rPr>
        <w:t xml:space="preserve"> et l’accompagnement des ces acteurs</w:t>
      </w:r>
    </w:p>
    <w:p w:rsidR="00570EAA" w:rsidRDefault="009F0442" w:rsidP="00570EAA">
      <w:r>
        <w:t xml:space="preserve">Ces différences </w:t>
      </w:r>
      <w:r w:rsidR="00570EAA">
        <w:t>entre les diocèses se son</w:t>
      </w:r>
      <w:r>
        <w:t>t traduite</w:t>
      </w:r>
      <w:r w:rsidR="00570EAA">
        <w:t>s</w:t>
      </w:r>
      <w:r>
        <w:t xml:space="preserve"> </w:t>
      </w:r>
      <w:r w:rsidR="006B7632">
        <w:t xml:space="preserve">dans une mise sur pied étalée </w:t>
      </w:r>
      <w:r w:rsidR="00570EAA">
        <w:t xml:space="preserve">dans le temps </w:t>
      </w:r>
      <w:r w:rsidR="006B7632">
        <w:t>des parcours de formation. Dans le diocèse de Malines-Bruxelles, un parcours spécifique</w:t>
      </w:r>
      <w:r w:rsidR="00D86B0F">
        <w:t xml:space="preserve"> pour tous les animateurs pastoraux</w:t>
      </w:r>
      <w:r w:rsidR="00D86B0F">
        <w:rPr>
          <w:rStyle w:val="Appelnotedebasdep"/>
        </w:rPr>
        <w:footnoteReference w:id="17"/>
      </w:r>
      <w:r w:rsidR="00D86B0F">
        <w:t xml:space="preserve"> d’un volume de 150 heures étalé sur 2 ans</w:t>
      </w:r>
      <w:r w:rsidR="006B7632">
        <w:t xml:space="preserve"> </w:t>
      </w:r>
      <w:r w:rsidR="00D86B0F">
        <w:t xml:space="preserve">– la Formation à l’animation pastorale (F.A.P.) – </w:t>
      </w:r>
      <w:r w:rsidR="006B7632">
        <w:t xml:space="preserve">est mis sur pied </w:t>
      </w:r>
      <w:r w:rsidR="00D86B0F">
        <w:t>dès</w:t>
      </w:r>
      <w:r w:rsidR="006B7632">
        <w:t xml:space="preserve"> 1992</w:t>
      </w:r>
      <w:r w:rsidR="00704D8B">
        <w:t> ; en 2000, ce</w:t>
      </w:r>
      <w:r w:rsidR="00D86B0F">
        <w:t xml:space="preserve"> parcours est réorganisé</w:t>
      </w:r>
      <w:r w:rsidR="007D7BD8">
        <w:t xml:space="preserve"> </w:t>
      </w:r>
      <w:r w:rsidR="00570EAA">
        <w:t>avec un</w:t>
      </w:r>
      <w:r w:rsidR="00D86B0F">
        <w:t xml:space="preserve"> volume horaire </w:t>
      </w:r>
      <w:r w:rsidR="00570EAA">
        <w:t xml:space="preserve">qui </w:t>
      </w:r>
      <w:r w:rsidR="00D86B0F">
        <w:t>double</w:t>
      </w:r>
      <w:r w:rsidR="00E35994">
        <w:t xml:space="preserve"> pour développer la formation théologique</w:t>
      </w:r>
      <w:r w:rsidR="00D86B0F">
        <w:t xml:space="preserve"> et </w:t>
      </w:r>
      <w:r w:rsidR="007D7BD8">
        <w:t>s’étale</w:t>
      </w:r>
      <w:r w:rsidR="00D86B0F">
        <w:t xml:space="preserve"> sur 4 ans. Dans le diocèse de Liège, l’Institut supérieur de catéchèse et de pastorale </w:t>
      </w:r>
      <w:r w:rsidR="007D7BD8">
        <w:t>propose à partir de</w:t>
      </w:r>
      <w:r w:rsidR="00D86B0F">
        <w:t xml:space="preserve"> 1997 un programme de 450</w:t>
      </w:r>
      <w:r w:rsidR="00E35994">
        <w:t xml:space="preserve"> h.</w:t>
      </w:r>
      <w:r w:rsidR="00D86B0F">
        <w:t xml:space="preserve"> de formation comprenant des stages selon différentes options</w:t>
      </w:r>
      <w:r w:rsidR="007D7BD8">
        <w:t xml:space="preserve"> (paroisse, jeunes, santé, prison)</w:t>
      </w:r>
      <w:r w:rsidR="00E35994">
        <w:t xml:space="preserve"> ; une réforme a été engagée en 2007, visant elle aussi à déployer la formation théologique. </w:t>
      </w:r>
      <w:r w:rsidR="00D86B0F">
        <w:t>Le di</w:t>
      </w:r>
      <w:r w:rsidR="007D7BD8">
        <w:t>ocèse de Tournai a commencé en optant pour</w:t>
      </w:r>
      <w:r w:rsidR="00D86B0F">
        <w:t xml:space="preserve"> des parcours personnalisés </w:t>
      </w:r>
      <w:r w:rsidR="007D7BD8">
        <w:t>selon les</w:t>
      </w:r>
      <w:r w:rsidR="00D86B0F">
        <w:t xml:space="preserve"> candidat</w:t>
      </w:r>
      <w:r w:rsidR="007D7BD8">
        <w:t>s</w:t>
      </w:r>
      <w:r w:rsidR="00D86B0F">
        <w:t>, tout en développant des rencontres régulières de formation permanente ; c’est en 2007 qu</w:t>
      </w:r>
      <w:r w:rsidR="007D7BD8">
        <w:t>’est organisé</w:t>
      </w:r>
      <w:r w:rsidR="00D86B0F">
        <w:t xml:space="preserve"> un premier </w:t>
      </w:r>
      <w:r w:rsidR="000028C9">
        <w:t>cycle de formation initiale de 150</w:t>
      </w:r>
      <w:r w:rsidR="00392356">
        <w:t xml:space="preserve"> </w:t>
      </w:r>
      <w:r w:rsidR="000028C9">
        <w:t xml:space="preserve">heures. Le diocèse de Namur </w:t>
      </w:r>
      <w:r w:rsidR="00570EAA">
        <w:t xml:space="preserve">a pendant plusieurs années </w:t>
      </w:r>
      <w:r w:rsidR="000028C9">
        <w:t>exig</w:t>
      </w:r>
      <w:r w:rsidR="00570EAA">
        <w:t xml:space="preserve">é 300 heures de formation sans </w:t>
      </w:r>
      <w:r w:rsidR="007D7BD8">
        <w:t>propo</w:t>
      </w:r>
      <w:r w:rsidR="00570EAA">
        <w:t xml:space="preserve">ser de </w:t>
      </w:r>
      <w:r w:rsidR="000028C9">
        <w:t>parcours</w:t>
      </w:r>
      <w:r w:rsidR="00570EAA">
        <w:t xml:space="preserve"> spécifique</w:t>
      </w:r>
      <w:r w:rsidR="007D7BD8">
        <w:rPr>
          <w:rStyle w:val="Appelnotedebasdep"/>
        </w:rPr>
        <w:footnoteReference w:id="18"/>
      </w:r>
      <w:r w:rsidR="00570EAA">
        <w:t> ; c</w:t>
      </w:r>
      <w:r w:rsidR="000028C9">
        <w:t xml:space="preserve">e n’est que depuis 2011 que l’Institut diocésain de formation </w:t>
      </w:r>
      <w:r w:rsidR="00E35994">
        <w:t>a été créé</w:t>
      </w:r>
      <w:r w:rsidR="000028C9">
        <w:t>.</w:t>
      </w:r>
      <w:r w:rsidR="007D7BD8">
        <w:t xml:space="preserve"> </w:t>
      </w:r>
      <w:r w:rsidR="00570EAA">
        <w:t>Ces différentes propositions se sont mises sur pied indépendamment les unes des autres et sans concertation entre les diocèses</w:t>
      </w:r>
      <w:r w:rsidR="00570EAA">
        <w:rPr>
          <w:rStyle w:val="Appelnotedebasdep"/>
        </w:rPr>
        <w:footnoteReference w:id="19"/>
      </w:r>
      <w:r w:rsidR="00570EAA">
        <w:t>.</w:t>
      </w:r>
    </w:p>
    <w:p w:rsidR="001A1177" w:rsidRDefault="00ED4D92" w:rsidP="006B1EB8">
      <w:r>
        <w:t>Depuis lors, la mise sur pied par la Faculté de théologie d’un certificat en théologie pastorale (</w:t>
      </w:r>
      <w:proofErr w:type="spellStart"/>
      <w:r>
        <w:t>CeTP</w:t>
      </w:r>
      <w:proofErr w:type="spellEnd"/>
      <w:r>
        <w:t xml:space="preserve">) qui offre la possibilité d’une </w:t>
      </w:r>
      <w:r w:rsidR="0063135F">
        <w:t>certification</w:t>
      </w:r>
      <w:r>
        <w:t xml:space="preserve"> universitaire de ces parcours</w:t>
      </w:r>
      <w:r>
        <w:rPr>
          <w:rStyle w:val="Appelnotedebasdep"/>
        </w:rPr>
        <w:footnoteReference w:id="20"/>
      </w:r>
      <w:r w:rsidR="00FA112D">
        <w:t xml:space="preserve"> a permis une certaine homologation des filières de formation. Par ailleurs, entre janvier et juin 2013</w:t>
      </w:r>
      <w:r w:rsidR="007D7BD8">
        <w:t>, suite à une concertation entre la Faculté et la commission interdiocésaine de pastorale de la santé</w:t>
      </w:r>
      <w:r w:rsidR="00FA112D">
        <w:t>, un certificat</w:t>
      </w:r>
      <w:r w:rsidR="00FA112D" w:rsidRPr="00FA112D">
        <w:t xml:space="preserve"> </w:t>
      </w:r>
      <w:r w:rsidR="00FA112D" w:rsidRPr="00FA112D">
        <w:rPr>
          <w:bCs/>
        </w:rPr>
        <w:t>universitaire de la pastorale santé (CUPS</w:t>
      </w:r>
      <w:r w:rsidR="00FA112D">
        <w:t xml:space="preserve">) a été proposé pour les agents pastoraux engagés </w:t>
      </w:r>
      <w:r w:rsidR="00570EAA">
        <w:t xml:space="preserve">dans cette </w:t>
      </w:r>
      <w:r w:rsidR="00FA112D">
        <w:t>pastorale. Le succès remporté par cette proposit</w:t>
      </w:r>
      <w:r w:rsidR="0062069C">
        <w:t xml:space="preserve">ion </w:t>
      </w:r>
      <w:r w:rsidR="007D7BD8">
        <w:t>a drainé</w:t>
      </w:r>
      <w:r w:rsidR="0062069C">
        <w:t xml:space="preserve"> d’autres demandes : la Commission interdiocésaine de pastorale liturgique (CIPL) souhaiterait l’organisation d’un </w:t>
      </w:r>
      <w:r w:rsidR="00570EAA">
        <w:t xml:space="preserve">même </w:t>
      </w:r>
      <w:r w:rsidR="0062069C">
        <w:t xml:space="preserve">certificat </w:t>
      </w:r>
      <w:r w:rsidR="00570EAA">
        <w:t xml:space="preserve">spécialisé </w:t>
      </w:r>
      <w:r w:rsidR="0062069C">
        <w:t>en pastorale liturgique, la Commission interdiocésaine de catéchèse (CIC) s’interroge sur la possibilité d’un</w:t>
      </w:r>
      <w:r w:rsidR="00570EAA">
        <w:t>e</w:t>
      </w:r>
      <w:r w:rsidR="0062069C">
        <w:t xml:space="preserve"> </w:t>
      </w:r>
      <w:r w:rsidR="00570EAA">
        <w:t xml:space="preserve">orientation </w:t>
      </w:r>
      <w:r w:rsidR="0062069C">
        <w:t>catéchétique</w:t>
      </w:r>
      <w:r w:rsidR="00570EAA">
        <w:t xml:space="preserve"> de ce certificat</w:t>
      </w:r>
      <w:r w:rsidR="00570EAA">
        <w:rPr>
          <w:rStyle w:val="Appelnotedebasdep"/>
        </w:rPr>
        <w:footnoteReference w:id="21"/>
      </w:r>
      <w:r w:rsidR="0062069C">
        <w:t>.</w:t>
      </w:r>
    </w:p>
    <w:p w:rsidR="00B27296" w:rsidRDefault="0063135F" w:rsidP="006B1EB8">
      <w:r>
        <w:t xml:space="preserve">Cette présentation rapide témoigne du chemin parcouru en deux décennies : les responsabilités confiées à ces acteurs </w:t>
      </w:r>
      <w:r w:rsidR="00B3384C">
        <w:t>ont</w:t>
      </w:r>
      <w:r>
        <w:t xml:space="preserve"> conduit les diocèses à affiner leurs exigences de formation et </w:t>
      </w:r>
      <w:r w:rsidR="00B3384C">
        <w:t>aboutis</w:t>
      </w:r>
      <w:r>
        <w:t>sent à une concertation et une collaboration avec la Faculté de théologie</w:t>
      </w:r>
      <w:r w:rsidR="00E35994">
        <w:t>, manifestant une institutionnalisation progressive de leur collaboration</w:t>
      </w:r>
      <w:r>
        <w:t>.</w:t>
      </w:r>
      <w:r w:rsidR="00B3384C">
        <w:t xml:space="preserve"> </w:t>
      </w:r>
      <w:r w:rsidR="00E35994">
        <w:t>Relevons cependant qu’il n’y a pas unanimité pour soutenir la</w:t>
      </w:r>
      <w:r w:rsidR="00B3384C">
        <w:t xml:space="preserve"> professionnalisation de ces nouveaux acteurs. </w:t>
      </w:r>
    </w:p>
    <w:p w:rsidR="004A2F87" w:rsidRDefault="004154D3" w:rsidP="006B1EB8">
      <w:r>
        <w:lastRenderedPageBreak/>
        <w:t>Cette attention aux compétences bénéficie en</w:t>
      </w:r>
      <w:r w:rsidR="00B27296">
        <w:t xml:space="preserve"> retour </w:t>
      </w:r>
      <w:r>
        <w:t>à</w:t>
      </w:r>
      <w:r w:rsidR="00847413">
        <w:t xml:space="preserve"> l’institution, car </w:t>
      </w:r>
      <w:r w:rsidR="007D7BD8">
        <w:t xml:space="preserve">ces laïcs </w:t>
      </w:r>
      <w:r w:rsidR="00B27296">
        <w:t xml:space="preserve">de </w:t>
      </w:r>
      <w:r w:rsidR="00B3384C">
        <w:t xml:space="preserve">filières de formation spécialisées </w:t>
      </w:r>
      <w:r w:rsidR="00B27296">
        <w:t>en fonction des différentes pastorales (santé, liturgie, catéchèse)</w:t>
      </w:r>
      <w:r w:rsidR="00B3384C">
        <w:t xml:space="preserve"> </w:t>
      </w:r>
      <w:r w:rsidR="00B27296">
        <w:t xml:space="preserve">ne leur </w:t>
      </w:r>
      <w:r w:rsidR="00847413">
        <w:t xml:space="preserve">est </w:t>
      </w:r>
      <w:r w:rsidR="00B27296">
        <w:t xml:space="preserve">pas exclusivement réservée : elle a bénéficié ou </w:t>
      </w:r>
      <w:r w:rsidR="007D7BD8">
        <w:t xml:space="preserve">pourra </w:t>
      </w:r>
      <w:r w:rsidR="00B27296">
        <w:t xml:space="preserve">bénéficier également </w:t>
      </w:r>
      <w:r w:rsidR="000A412A">
        <w:t>à</w:t>
      </w:r>
      <w:r w:rsidR="00B27296">
        <w:t xml:space="preserve"> </w:t>
      </w:r>
      <w:r w:rsidR="00B3384C">
        <w:t xml:space="preserve">des prêtres ou </w:t>
      </w:r>
      <w:r w:rsidR="000A412A">
        <w:t xml:space="preserve">des </w:t>
      </w:r>
      <w:r w:rsidR="00B3384C">
        <w:t xml:space="preserve">diacres collaborant à ces pastorales. L’entrée en scène de ces nouveaux acteurs </w:t>
      </w:r>
      <w:r w:rsidR="00B27296">
        <w:t>contribue dès lors à valoriser un</w:t>
      </w:r>
      <w:r w:rsidR="000A412A">
        <w:t>e nouvelle forme de légitimité</w:t>
      </w:r>
      <w:r w:rsidR="00B27296">
        <w:t>, basée sur la compétence, et plus seulement sur la fonction</w:t>
      </w:r>
      <w:r w:rsidR="00A76AC7">
        <w:rPr>
          <w:rStyle w:val="Appelnotedebasdep"/>
        </w:rPr>
        <w:footnoteReference w:id="22"/>
      </w:r>
      <w:r w:rsidR="00B27296">
        <w:t xml:space="preserve">. Cette attention </w:t>
      </w:r>
      <w:r w:rsidR="0003214F">
        <w:t>au développement d’aptitudes spécifiques</w:t>
      </w:r>
      <w:r w:rsidR="00B27296">
        <w:t xml:space="preserve"> </w:t>
      </w:r>
      <w:r w:rsidR="000A412A">
        <w:t xml:space="preserve">peut </w:t>
      </w:r>
      <w:r w:rsidR="00B27296">
        <w:t>contribue</w:t>
      </w:r>
      <w:r w:rsidR="000A412A">
        <w:t>r</w:t>
      </w:r>
      <w:r w:rsidR="00B27296">
        <w:t xml:space="preserve"> à renforcer la crédibilité des pratiques pastorales dans une société qui valorise </w:t>
      </w:r>
      <w:r w:rsidR="0003214F">
        <w:t>hautement la compétence.</w:t>
      </w:r>
    </w:p>
    <w:p w:rsidR="00196A19" w:rsidRDefault="00196A19" w:rsidP="00871378">
      <w:r>
        <w:t>La façon dont ces acteurs sont accompagnés est un a</w:t>
      </w:r>
      <w:r w:rsidRPr="00196A19">
        <w:t>utre</w:t>
      </w:r>
      <w:r>
        <w:t xml:space="preserve"> lieu de diversité. </w:t>
      </w:r>
      <w:r w:rsidR="009B3A4F">
        <w:t xml:space="preserve">A l’exception </w:t>
      </w:r>
      <w:r w:rsidR="00847413">
        <w:t>de celui de Malines-Bruxelles, l</w:t>
      </w:r>
      <w:r w:rsidR="006D0335">
        <w:t>es diocèses</w:t>
      </w:r>
      <w:r w:rsidR="00631802">
        <w:t xml:space="preserve"> </w:t>
      </w:r>
      <w:r w:rsidR="00847413">
        <w:t xml:space="preserve">francophones de Belgique </w:t>
      </w:r>
      <w:r w:rsidR="00631802">
        <w:t>disposent d’une commission ou d’un bureau des animateurs en pastorale ou des assistants paroissiaux</w:t>
      </w:r>
      <w:r w:rsidR="00631802">
        <w:rPr>
          <w:rStyle w:val="Appelnotedebasdep"/>
        </w:rPr>
        <w:footnoteReference w:id="23"/>
      </w:r>
      <w:r w:rsidR="00631802">
        <w:t xml:space="preserve">. La composition de celle-ci est à géométrie variable puisqu’on y retrouve </w:t>
      </w:r>
      <w:r w:rsidR="009B3A4F">
        <w:t>toujours</w:t>
      </w:r>
      <w:r w:rsidR="00631802">
        <w:t xml:space="preserve"> le vicaire général </w:t>
      </w:r>
      <w:r w:rsidR="009B3A4F">
        <w:t xml:space="preserve">parfois </w:t>
      </w:r>
      <w:r w:rsidR="00631802">
        <w:t xml:space="preserve">entouré </w:t>
      </w:r>
      <w:r w:rsidR="009B3A4F">
        <w:t xml:space="preserve">seulement </w:t>
      </w:r>
      <w:r w:rsidR="00631802">
        <w:t xml:space="preserve">de quelques-uns de ces laïcs mandatés, nommés par l’évêque sur base d’une consultation </w:t>
      </w:r>
      <w:r w:rsidR="006D0335">
        <w:t xml:space="preserve">des assistants paroissiaux </w:t>
      </w:r>
      <w:r w:rsidR="00631802">
        <w:t xml:space="preserve">(Namur), </w:t>
      </w:r>
      <w:r w:rsidR="009B3A4F">
        <w:t xml:space="preserve">avec </w:t>
      </w:r>
      <w:r w:rsidR="00E35994">
        <w:t>2</w:t>
      </w:r>
      <w:r w:rsidR="009B3A4F">
        <w:t xml:space="preserve"> prêtres et 8 laïcs (</w:t>
      </w:r>
      <w:r>
        <w:t>Tournai</w:t>
      </w:r>
      <w:r w:rsidR="009B3A4F">
        <w:t xml:space="preserve">) ou avec l’évêque, 3 prêtres et </w:t>
      </w:r>
      <w:r w:rsidR="005102D5">
        <w:t>4 animatrices pastorales ou assistantes paroissiales</w:t>
      </w:r>
      <w:r w:rsidR="009B3A4F">
        <w:t xml:space="preserve"> (Liège)</w:t>
      </w:r>
      <w:r w:rsidR="00B57DDB">
        <w:t xml:space="preserve">. </w:t>
      </w:r>
      <w:r w:rsidR="00D82DA6">
        <w:t xml:space="preserve">A </w:t>
      </w:r>
      <w:r w:rsidR="005102D5">
        <w:t xml:space="preserve">Bruxelles, </w:t>
      </w:r>
      <w:r w:rsidR="009B3A4F">
        <w:t xml:space="preserve">c’est </w:t>
      </w:r>
      <w:r w:rsidR="005102D5">
        <w:t xml:space="preserve">une personne </w:t>
      </w:r>
      <w:r w:rsidR="00847413">
        <w:t xml:space="preserve">qui </w:t>
      </w:r>
      <w:r w:rsidR="005102D5">
        <w:t>est déléguée vicariale pour les animateurs et animatrices pastoraux. Au Brabant wallon, l’accompagnement de ces acteurs est confié à l’adjoint de l’évêque auxiliaire</w:t>
      </w:r>
      <w:r w:rsidR="00BB06BD">
        <w:t> ; la nouvelle adjointe de l’évêque s’est vue confier l’accompagnement des animateurs pastoraux engagés en paroisse.</w:t>
      </w:r>
      <w:r w:rsidR="009B3A4F">
        <w:t xml:space="preserve"> Sans plus d’information, il est difficile d’évaluer </w:t>
      </w:r>
      <w:r w:rsidR="006D0335">
        <w:t>la pertinence</w:t>
      </w:r>
      <w:r w:rsidR="009B3A4F">
        <w:t xml:space="preserve"> de ces différentes </w:t>
      </w:r>
      <w:r w:rsidR="006D0335">
        <w:t>formes d’accompagnement. C</w:t>
      </w:r>
      <w:r w:rsidR="009B3A4F">
        <w:t xml:space="preserve">ependant, comme pour la formation, </w:t>
      </w:r>
      <w:r w:rsidR="00E7755E">
        <w:t>la présence de ces instances et leur</w:t>
      </w:r>
      <w:r w:rsidR="009B3A4F">
        <w:t xml:space="preserve"> cette diversité témoigne</w:t>
      </w:r>
      <w:r w:rsidR="00E7755E">
        <w:t>nt</w:t>
      </w:r>
      <w:r w:rsidR="009B3A4F">
        <w:t xml:space="preserve"> d’un processus </w:t>
      </w:r>
      <w:r w:rsidR="00E7755E">
        <w:t xml:space="preserve">en cours </w:t>
      </w:r>
      <w:r w:rsidR="009B3A4F">
        <w:t>d’institutionnalisation.</w:t>
      </w:r>
    </w:p>
    <w:p w:rsidR="008A6747" w:rsidRPr="008A6747" w:rsidRDefault="00B12165" w:rsidP="00B12165">
      <w:pPr>
        <w:spacing w:before="240"/>
        <w:rPr>
          <w:b/>
          <w:sz w:val="24"/>
        </w:rPr>
      </w:pPr>
      <w:r w:rsidRPr="00B12165">
        <w:rPr>
          <w:b/>
        </w:rPr>
        <w:t>Une r</w:t>
      </w:r>
      <w:r w:rsidR="008A6747" w:rsidRPr="00B12165">
        <w:rPr>
          <w:b/>
        </w:rPr>
        <w:t>electure de l’évolution de la responsabilité pastorale</w:t>
      </w:r>
      <w:r w:rsidRPr="00B12165">
        <w:rPr>
          <w:b/>
        </w:rPr>
        <w:t xml:space="preserve"> en paroisse</w:t>
      </w:r>
    </w:p>
    <w:p w:rsidR="00B554EA" w:rsidRDefault="00B12165" w:rsidP="00871378">
      <w:r>
        <w:t>Faisons un pas de plus dans notre</w:t>
      </w:r>
      <w:r w:rsidR="00D82DA6">
        <w:t xml:space="preserve"> réflexion </w:t>
      </w:r>
      <w:r>
        <w:t xml:space="preserve">en nous intéressant à la relecture faite au cours de cette année pastorale 2013-2014 par </w:t>
      </w:r>
      <w:r w:rsidR="00E35994">
        <w:t>un groupe d’animateurs pastoraux engagés en paroisse</w:t>
      </w:r>
      <w:r>
        <w:t xml:space="preserve"> </w:t>
      </w:r>
      <w:r w:rsidR="006D0335">
        <w:t xml:space="preserve">parce que </w:t>
      </w:r>
      <w:r>
        <w:t xml:space="preserve">cet </w:t>
      </w:r>
      <w:r w:rsidR="008A6747">
        <w:t xml:space="preserve">apport </w:t>
      </w:r>
      <w:r>
        <w:t>nous permet de toucher du doigt la conscience qu’ont aujourd’hui ces acteurs de leur mission</w:t>
      </w:r>
      <w:r w:rsidR="009942AB">
        <w:t xml:space="preserve">. </w:t>
      </w:r>
      <w:r w:rsidR="00847413">
        <w:t>Avec l’aide d’un accompagnement institutionnel, l</w:t>
      </w:r>
      <w:r w:rsidR="009942AB">
        <w:t>es animateurs pastoraux engagés en paroisses ont procédé à un</w:t>
      </w:r>
      <w:r w:rsidR="006D0335">
        <w:t>e relecture de l’évolution de leur</w:t>
      </w:r>
      <w:r w:rsidR="009942AB">
        <w:t xml:space="preserve"> responsabilité pastorale, dont ils ont dégagé des points forts, des défis et des questions ; une petite équipe a présenté l’aboutissement de ce travail </w:t>
      </w:r>
      <w:r w:rsidR="00E35994">
        <w:t>à l’évêque et à son conseil</w:t>
      </w:r>
      <w:r w:rsidR="006D0335">
        <w:t xml:space="preserve"> en juin 2014</w:t>
      </w:r>
      <w:r w:rsidR="009942AB">
        <w:t xml:space="preserve">. </w:t>
      </w:r>
    </w:p>
    <w:p w:rsidR="00D82DA6" w:rsidRDefault="009942AB" w:rsidP="00871378">
      <w:r>
        <w:t>Des point</w:t>
      </w:r>
      <w:r w:rsidR="008A6747">
        <w:t>s</w:t>
      </w:r>
      <w:r>
        <w:t xml:space="preserve"> forts se dégage une conscience </w:t>
      </w:r>
      <w:r w:rsidR="006D0335">
        <w:t>affirmée</w:t>
      </w:r>
      <w:r>
        <w:t xml:space="preserve"> de leur vocation pastorale, avec ce qu’elle </w:t>
      </w:r>
      <w:r w:rsidR="008A6747">
        <w:t xml:space="preserve">suppose comme </w:t>
      </w:r>
      <w:r w:rsidR="006D0335">
        <w:t>vécu</w:t>
      </w:r>
      <w:r w:rsidR="008A6747">
        <w:t xml:space="preserve"> de foi et d’engagement ecclésial</w:t>
      </w:r>
      <w:r w:rsidR="00B554EA">
        <w:t>, au service des communautés</w:t>
      </w:r>
      <w:r w:rsidR="008A6747">
        <w:t xml:space="preserve"> ; l’expérience de coresponsabilité que suppose la mise sur pied des unités pastorales est également </w:t>
      </w:r>
      <w:r w:rsidR="006D0335">
        <w:t>relevé</w:t>
      </w:r>
      <w:r w:rsidR="008A6747">
        <w:t xml:space="preserve">e comme point fort. La dimension interculturelle des communautés, le dialogue interreligieux constituent deux défis de taille, tout comme la volonté de construire des communautés vivantes dans un contexte </w:t>
      </w:r>
      <w:r w:rsidR="006D0335">
        <w:t>souvent</w:t>
      </w:r>
      <w:r w:rsidR="008A6747">
        <w:t xml:space="preserve"> vieillissant</w:t>
      </w:r>
      <w:r w:rsidR="006D0335">
        <w:t xml:space="preserve"> et très mobile ; c’est également pour </w:t>
      </w:r>
      <w:r w:rsidR="00E35994">
        <w:t>ces acteurs</w:t>
      </w:r>
      <w:r w:rsidR="006D0335">
        <w:t xml:space="preserve"> un défi de trouver des personnes prêtes à s’engager dans la durée au service de ces communautés</w:t>
      </w:r>
      <w:r w:rsidR="00B12165">
        <w:t xml:space="preserve">. Quant aux questions posées, elles portent principalement sur l’encadrement de leur mission : selon quelles modalités la mission spécifique de chacun est-elle définie, quelles instances pour évaluer cette mission et que faut-il évaluer, </w:t>
      </w:r>
      <w:r w:rsidR="002259AD">
        <w:t xml:space="preserve">comment unifier les critères concernant les frais remboursés, quelle formation permanente (tant personnelle que collective)… et qui </w:t>
      </w:r>
      <w:r w:rsidR="008A0F78">
        <w:t>doivent-ils considérer comme</w:t>
      </w:r>
      <w:r w:rsidR="002259AD">
        <w:t xml:space="preserve"> leur responsable ultime ?</w:t>
      </w:r>
    </w:p>
    <w:p w:rsidR="00871378" w:rsidRDefault="00BB3208" w:rsidP="006B1EB8">
      <w:r>
        <w:t>Qu</w:t>
      </w:r>
      <w:r w:rsidR="00B554EA">
        <w:t>’est-ce qui ressort</w:t>
      </w:r>
      <w:r>
        <w:t xml:space="preserve"> de </w:t>
      </w:r>
      <w:r w:rsidR="00E35994">
        <w:t>c</w:t>
      </w:r>
      <w:r w:rsidR="00B554EA">
        <w:t>ette relecture</w:t>
      </w:r>
      <w:r w:rsidR="00E35994">
        <w:t> ? Elle</w:t>
      </w:r>
      <w:r w:rsidR="00B554EA">
        <w:t xml:space="preserve"> traduit une maturité collective de ce corps d’agents pastoraux, </w:t>
      </w:r>
      <w:r w:rsidR="005D069D">
        <w:t>en ce sens qu’il a développé une attitude réflexive à l’égard de sa mission ; il est capable</w:t>
      </w:r>
      <w:r w:rsidR="00B554EA">
        <w:t xml:space="preserve"> de formuler ce qui </w:t>
      </w:r>
      <w:r w:rsidR="005D069D">
        <w:t xml:space="preserve">le </w:t>
      </w:r>
      <w:r w:rsidR="00B554EA">
        <w:t xml:space="preserve">motive et les défis pastoraux à relever d’un contexte spécifique. Cette compétence met en évidence la pertinence des procédures de formation et d’accompagnement </w:t>
      </w:r>
      <w:r w:rsidR="005D069D">
        <w:t>instaur</w:t>
      </w:r>
      <w:r w:rsidR="00B554EA">
        <w:t xml:space="preserve">ées. </w:t>
      </w:r>
      <w:r w:rsidR="00407271">
        <w:t>L</w:t>
      </w:r>
      <w:r w:rsidR="008A0F78">
        <w:t>es demandes de clarification sont aussi le fruit de cette maturité : elles visent à sortir du flou pour que le cadre des missions et les</w:t>
      </w:r>
      <w:r w:rsidR="008A0F78" w:rsidRPr="008A0F78">
        <w:t xml:space="preserve"> </w:t>
      </w:r>
      <w:r w:rsidR="008A0F78">
        <w:t xml:space="preserve">instances qui </w:t>
      </w:r>
      <w:r w:rsidR="008A0F78">
        <w:lastRenderedPageBreak/>
        <w:t xml:space="preserve">l’évaluent soient clarifiés, elles </w:t>
      </w:r>
      <w:r w:rsidR="002C1508">
        <w:t>sollicitent</w:t>
      </w:r>
      <w:r w:rsidR="008A0F78">
        <w:t xml:space="preserve"> des moyens pour déployer cette compétence. </w:t>
      </w:r>
      <w:r w:rsidR="002C1508">
        <w:t>Loin des postures revendicatrices, on perçoit derrière cette relecture un désir d’allier générosité et compétence au service de la mission.</w:t>
      </w:r>
    </w:p>
    <w:p w:rsidR="00BA19FB" w:rsidRDefault="00BA19FB" w:rsidP="00BA19FB">
      <w:pPr>
        <w:spacing w:before="240"/>
        <w:rPr>
          <w:b/>
        </w:rPr>
      </w:pPr>
      <w:r w:rsidRPr="009B27F5">
        <w:rPr>
          <w:b/>
        </w:rPr>
        <w:t xml:space="preserve">La participation </w:t>
      </w:r>
      <w:r>
        <w:rPr>
          <w:b/>
        </w:rPr>
        <w:t>à la gouvernance ecclésiale</w:t>
      </w:r>
    </w:p>
    <w:p w:rsidR="00BA19FB" w:rsidRDefault="00BA19FB" w:rsidP="00BA19FB">
      <w:r>
        <w:t>Autre indice d</w:t>
      </w:r>
      <w:r w:rsidR="002C1508">
        <w:t>u</w:t>
      </w:r>
      <w:r>
        <w:t xml:space="preserve"> processus</w:t>
      </w:r>
      <w:r w:rsidR="002C1508">
        <w:t xml:space="preserve"> d’institutionnalisation</w:t>
      </w:r>
      <w:r>
        <w:t xml:space="preserve">, la progressive participation de quelques-unes de ces femmes au pouvoir de gouvernement. </w:t>
      </w:r>
      <w:r w:rsidR="006F77F8">
        <w:t>Cette dernière année a été riche en nouveauté</w:t>
      </w:r>
      <w:r w:rsidR="00E35994">
        <w:t>s</w:t>
      </w:r>
      <w:r w:rsidR="006F77F8">
        <w:t xml:space="preserve"> sur ce plan. Dans le diocèse de Tournai où</w:t>
      </w:r>
      <w:r>
        <w:t xml:space="preserve"> </w:t>
      </w:r>
      <w:r w:rsidR="00A33FDC">
        <w:t>une</w:t>
      </w:r>
      <w:r>
        <w:t xml:space="preserve"> femme est </w:t>
      </w:r>
      <w:r w:rsidR="006F77F8">
        <w:t xml:space="preserve">membre du conseil épiscopal en tant que </w:t>
      </w:r>
      <w:r>
        <w:t xml:space="preserve">chancelière et porte-parole de l’évêque, on peut espérer de nouvelles évolutions puisque le synode diocésain a voté le 30 novembre 2013 le texte suivant : « dans le but d’arriver à une parité hommes/femmes, </w:t>
      </w:r>
      <w:r w:rsidRPr="00E35994">
        <w:t>des femmes seront appelées à tous les niveaux de gouvernance</w:t>
      </w:r>
      <w:r>
        <w:t xml:space="preserve"> : le conseil épiscopal, les conseils diocésains, les groupes de travail pastoral, les services pastoraux » (décret n° 44). Le nouveau conseil épiscopal du diocèse de Liège (avril 2014) comprend </w:t>
      </w:r>
      <w:r w:rsidR="00847413">
        <w:t xml:space="preserve">pour la première fois deux femmes, </w:t>
      </w:r>
      <w:r>
        <w:t xml:space="preserve">déléguées épiscopales, l’une pour la pastorale de la santé et l’autre pour représenter la communauté germanophone ; un troisième laïc est délégué épiscopal pour l’éducation et l’enseignement. </w:t>
      </w:r>
      <w:r w:rsidR="003B20C2">
        <w:t>Ajoutons ici, puisqu’elle est liégeoise, que l’aumônière en chef des prisons francophones de Belgique est une femme</w:t>
      </w:r>
      <w:r w:rsidR="00847413">
        <w:t> ; elle a été nommée en 2006</w:t>
      </w:r>
      <w:r w:rsidR="003B20C2">
        <w:rPr>
          <w:rStyle w:val="Appelnotedebasdep"/>
        </w:rPr>
        <w:footnoteReference w:id="24"/>
      </w:r>
      <w:r w:rsidR="003B20C2">
        <w:t>.</w:t>
      </w:r>
    </w:p>
    <w:p w:rsidR="00BA19FB" w:rsidRDefault="006F77F8" w:rsidP="00BA19FB">
      <w:r>
        <w:t>Si le</w:t>
      </w:r>
      <w:r w:rsidR="00BA19FB">
        <w:t xml:space="preserve"> conseil épiscopal de l’archevêché de Malines-Bruxelles comprend</w:t>
      </w:r>
      <w:r w:rsidR="00A33FDC" w:rsidRPr="00A33FDC">
        <w:t xml:space="preserve"> </w:t>
      </w:r>
      <w:r w:rsidR="00A33FDC">
        <w:t>depuis déjà plus de 10 ans</w:t>
      </w:r>
      <w:r w:rsidR="00BA19FB">
        <w:t xml:space="preserve"> deux déléguées épiscopales </w:t>
      </w:r>
      <w:r w:rsidR="00A33FDC">
        <w:t>(les déléguées francophone et néerlandophone</w:t>
      </w:r>
      <w:r w:rsidR="00BA19FB">
        <w:t xml:space="preserve"> pour la vie religieuse)</w:t>
      </w:r>
      <w:r>
        <w:rPr>
          <w:rStyle w:val="Appelnotedebasdep"/>
        </w:rPr>
        <w:footnoteReference w:id="25"/>
      </w:r>
      <w:r>
        <w:t>, on peut relever d’autres évolutions notables s</w:t>
      </w:r>
      <w:r w:rsidR="00A33FDC">
        <w:t>ur le terrain d</w:t>
      </w:r>
      <w:r>
        <w:t>es deux vicariats</w:t>
      </w:r>
      <w:r w:rsidR="00BA19FB">
        <w:t>. A côté des deux déléguées vicariales (pour les animateurs et animatrices pastoraux et pour la pastorale de la santé)</w:t>
      </w:r>
      <w:r w:rsidR="00BA19FB">
        <w:rPr>
          <w:rStyle w:val="Appelnotedebasdep"/>
        </w:rPr>
        <w:footnoteReference w:id="26"/>
      </w:r>
      <w:r w:rsidR="00BA19FB">
        <w:t xml:space="preserve"> </w:t>
      </w:r>
      <w:r w:rsidR="00A33FDC">
        <w:t xml:space="preserve">à </w:t>
      </w:r>
      <w:r w:rsidR="00BA19FB">
        <w:t>Bruxelles et des 4 déléguées (formation, jeunes, santé et solidarités)</w:t>
      </w:r>
      <w:r w:rsidR="00A33FDC" w:rsidRPr="00A33FDC">
        <w:t xml:space="preserve"> </w:t>
      </w:r>
      <w:r w:rsidR="00A33FDC">
        <w:t>au Brabant wallon</w:t>
      </w:r>
      <w:r w:rsidR="00BA19FB">
        <w:rPr>
          <w:rStyle w:val="Appelnotedebasdep"/>
        </w:rPr>
        <w:footnoteReference w:id="27"/>
      </w:r>
      <w:r w:rsidR="00BA19FB">
        <w:t xml:space="preserve">, l’évêque </w:t>
      </w:r>
      <w:r w:rsidR="00847413">
        <w:t>auxiliaire pour</w:t>
      </w:r>
      <w:r w:rsidR="00BA19FB">
        <w:t xml:space="preserve"> Bruxelles a nommé en 2013 deux femmes coordinatrice</w:t>
      </w:r>
      <w:r>
        <w:t>s</w:t>
      </w:r>
      <w:r w:rsidR="00BA19FB">
        <w:t xml:space="preserve"> de la pastorale d’une unité pastorale « en application du canon 517 § 2 »</w:t>
      </w:r>
      <w:r w:rsidR="00BA19FB">
        <w:rPr>
          <w:rStyle w:val="Appelnotedebasdep"/>
        </w:rPr>
        <w:footnoteReference w:id="28"/>
      </w:r>
      <w:r w:rsidR="00A33FDC">
        <w:t xml:space="preserve"> ; </w:t>
      </w:r>
      <w:r w:rsidR="00BA19FB">
        <w:t xml:space="preserve">une femme a été nommée </w:t>
      </w:r>
      <w:r w:rsidR="00A33FDC">
        <w:t xml:space="preserve">en avril 2014 </w:t>
      </w:r>
      <w:r w:rsidR="00BA19FB">
        <w:t>adjointe de l’évêque auxiliaire</w:t>
      </w:r>
      <w:r w:rsidR="000606BC">
        <w:t xml:space="preserve"> pour le Brabant wallon</w:t>
      </w:r>
      <w:r w:rsidR="00BA19FB">
        <w:t>, en collaboration avec un autre adjoint prêtre.</w:t>
      </w:r>
      <w:r>
        <w:t xml:space="preserve"> Sans que chacune de ces nominations ne constitue en elle-même une révolution</w:t>
      </w:r>
      <w:r>
        <w:rPr>
          <w:rStyle w:val="Appelnotedebasdep"/>
        </w:rPr>
        <w:footnoteReference w:id="29"/>
      </w:r>
      <w:r w:rsidR="001B16A3">
        <w:t>, le</w:t>
      </w:r>
      <w:r>
        <w:t xml:space="preserve"> tableau qu</w:t>
      </w:r>
      <w:r w:rsidR="001B16A3">
        <w:t>i se dégage de l’ensemble de ces nominations et perspectives montre la confiance grandissante qui est faite à ces nouveaux acteurs et la fécondité qui se dégage de ces nouvelles collaborations. C’est ce tableau d’ensemble qui va nous permettre de faire ressortir quelques constats, interrogations et pistes de recherche</w:t>
      </w:r>
      <w:r w:rsidR="00FF3E52">
        <w:t>.</w:t>
      </w:r>
    </w:p>
    <w:p w:rsidR="00FF3E52" w:rsidRDefault="00386AA9" w:rsidP="00FF3E52">
      <w:pPr>
        <w:rPr>
          <w:b/>
          <w:sz w:val="24"/>
        </w:rPr>
      </w:pPr>
      <w:r>
        <w:rPr>
          <w:b/>
          <w:sz w:val="24"/>
        </w:rPr>
        <w:t>Bilan provisoire et questions à approfondir</w:t>
      </w:r>
    </w:p>
    <w:p w:rsidR="002826F3" w:rsidRDefault="006A127F" w:rsidP="006B1EB8">
      <w:r>
        <w:t xml:space="preserve">Les faits qui ont été présentés ne prétendent pas dresser le bilan des collaborations féminines à la vie ecclésiale, ils ne représentent qu’une approche partielle. </w:t>
      </w:r>
      <w:r w:rsidR="00407271">
        <w:t xml:space="preserve">Ils sont cependant suffisamment significatifs que pour en tirer </w:t>
      </w:r>
      <w:r w:rsidR="00194725">
        <w:t>d</w:t>
      </w:r>
      <w:r w:rsidR="00407271">
        <w:t xml:space="preserve">es enseignements sur les évolutions en cours et </w:t>
      </w:r>
      <w:r w:rsidR="00194725">
        <w:t xml:space="preserve">pour </w:t>
      </w:r>
      <w:r w:rsidR="00407271">
        <w:t>poser quelques questions.</w:t>
      </w:r>
    </w:p>
    <w:p w:rsidR="00407271" w:rsidRDefault="00407271" w:rsidP="006B1EB8">
      <w:r>
        <w:t>Cela va sans dire, mais i</w:t>
      </w:r>
      <w:r w:rsidR="00194725">
        <w:t>l faut le</w:t>
      </w:r>
      <w:r>
        <w:t xml:space="preserve"> relever : le processus d’institutionnalisation dont témoignent </w:t>
      </w:r>
      <w:r w:rsidR="00194725">
        <w:t xml:space="preserve">les </w:t>
      </w:r>
      <w:r>
        <w:t>indices</w:t>
      </w:r>
      <w:r w:rsidR="00194725">
        <w:t xml:space="preserve"> relevés</w:t>
      </w:r>
      <w:r>
        <w:t xml:space="preserve"> – nombre de personnes engagées, homogénéisation des parcours de formation, mise en place de procédures d’accompagnement, maturité dans l’</w:t>
      </w:r>
      <w:r w:rsidR="00194725">
        <w:t xml:space="preserve">exercice de la mission et </w:t>
      </w:r>
      <w:r>
        <w:t>demandes de clarification, participation de quelques-unes à la gouvernance ecclésiale – manifeste qu’on a atteint un point de non retour</w:t>
      </w:r>
      <w:r w:rsidR="00530570">
        <w:rPr>
          <w:rStyle w:val="Appelnotedebasdep"/>
        </w:rPr>
        <w:footnoteReference w:id="30"/>
      </w:r>
      <w:r>
        <w:t xml:space="preserve">. Personne n’oserait </w:t>
      </w:r>
      <w:r w:rsidR="00194725">
        <w:t>imaginer</w:t>
      </w:r>
      <w:r>
        <w:t xml:space="preserve"> se passer de ce </w:t>
      </w:r>
      <w:r w:rsidR="00225AC3">
        <w:t xml:space="preserve">nouveau </w:t>
      </w:r>
      <w:r>
        <w:t xml:space="preserve">personnel </w:t>
      </w:r>
      <w:r w:rsidR="00194725">
        <w:t>qui</w:t>
      </w:r>
      <w:r w:rsidR="00225AC3">
        <w:t xml:space="preserve"> fait désormais partie du paysage</w:t>
      </w:r>
      <w:r w:rsidR="00194725" w:rsidRPr="00194725">
        <w:t xml:space="preserve"> </w:t>
      </w:r>
      <w:r w:rsidR="00194725">
        <w:t>ecclésial. L</w:t>
      </w:r>
      <w:r w:rsidR="00225AC3">
        <w:t xml:space="preserve">a préoccupation de la </w:t>
      </w:r>
      <w:r w:rsidR="00225AC3">
        <w:lastRenderedPageBreak/>
        <w:t xml:space="preserve">conférence épiscopale est plutôt de consolider le statut </w:t>
      </w:r>
      <w:r w:rsidR="0033244E">
        <w:t>d</w:t>
      </w:r>
      <w:r w:rsidR="00194725">
        <w:t>e</w:t>
      </w:r>
      <w:r w:rsidR="00273B61">
        <w:t>s assistants paroissiaux</w:t>
      </w:r>
      <w:r w:rsidR="00225AC3">
        <w:rPr>
          <w:rStyle w:val="Appelnotedebasdep"/>
        </w:rPr>
        <w:footnoteReference w:id="31"/>
      </w:r>
      <w:r w:rsidR="00273B61">
        <w:t>.</w:t>
      </w:r>
    </w:p>
    <w:p w:rsidR="00530570" w:rsidRDefault="005B2716" w:rsidP="006B1EB8">
      <w:r>
        <w:t>Sur le plan théologique, cette collaboration de laïcs s’inscrit dans la ligne de la valorisation de la vocation de tous les baptisés telle qu’elle a été entérinée et promue par le Concile Vatican II. La collaboration qui s’est mise en œuvre est une des expressions de la coresponsabilité de toutes les composantes du Peuple de Dieu dans la mission ecclésiale.</w:t>
      </w:r>
      <w:r w:rsidR="00530570">
        <w:t xml:space="preserve"> Mais c</w:t>
      </w:r>
      <w:r>
        <w:t xml:space="preserve">e </w:t>
      </w:r>
      <w:r w:rsidR="00217C36">
        <w:t>partage des tâches</w:t>
      </w:r>
      <w:r>
        <w:t xml:space="preserve"> </w:t>
      </w:r>
      <w:r w:rsidR="00217C36">
        <w:t xml:space="preserve">inédit </w:t>
      </w:r>
      <w:r>
        <w:t xml:space="preserve">n’est cependant pas sans poser de </w:t>
      </w:r>
      <w:r w:rsidR="00217C36">
        <w:t xml:space="preserve">nouvelles </w:t>
      </w:r>
      <w:r w:rsidR="00E31E96">
        <w:t xml:space="preserve">questions théologiques. </w:t>
      </w:r>
      <w:r w:rsidR="00530570">
        <w:t>Différents éléments montrent qu’il continue à s’inscrire dans le regi</w:t>
      </w:r>
      <w:r w:rsidR="000F336F">
        <w:t xml:space="preserve">stre de la suppléance au manque de ministères ordonnés. Les postes d’assistants paroissiaux ont pu être créés suite à la diminution du nombre de prêtres. L’application du canon 517 § 2 qui a permis </w:t>
      </w:r>
      <w:r w:rsidR="00B63B5E">
        <w:t>de nommer</w:t>
      </w:r>
      <w:r w:rsidR="000F336F">
        <w:t xml:space="preserve"> à Bruxelles les deux coordinatrices de la pastorale d’une unité pastorale » fait explicitement référence à la pénurie de prêtres</w:t>
      </w:r>
      <w:r w:rsidR="000F336F">
        <w:rPr>
          <w:rStyle w:val="Appelnotedebasdep"/>
        </w:rPr>
        <w:footnoteReference w:id="32"/>
      </w:r>
      <w:r w:rsidR="000F336F">
        <w:t xml:space="preserve">. La thèse doctorale de François Moog a montré que la </w:t>
      </w:r>
      <w:r w:rsidR="00B63B5E">
        <w:t>théologie sous-jacente à ce canon inscrit cette « </w:t>
      </w:r>
      <w:r w:rsidR="00B63B5E" w:rsidRPr="00B63B5E">
        <w:t xml:space="preserve">participation à l’exercice de la charge pastorale » </w:t>
      </w:r>
      <w:r w:rsidR="00B63B5E">
        <w:t>dans une ecclésiologie qui réserve la participation à quelques-uns</w:t>
      </w:r>
      <w:r w:rsidR="00B63B5E">
        <w:rPr>
          <w:rStyle w:val="Appelnotedebasdep"/>
        </w:rPr>
        <w:footnoteReference w:id="33"/>
      </w:r>
      <w:r w:rsidR="00E31E96">
        <w:t xml:space="preserve">. </w:t>
      </w:r>
      <w:r w:rsidR="00B63B5E">
        <w:t>Ce</w:t>
      </w:r>
      <w:r w:rsidR="000606BC">
        <w:t xml:space="preserve">tte réalité des laïcs en mission ecclésiale –tels qu’on les </w:t>
      </w:r>
      <w:proofErr w:type="spellStart"/>
      <w:r w:rsidR="000606BC">
        <w:t>appele</w:t>
      </w:r>
      <w:proofErr w:type="spellEnd"/>
      <w:r w:rsidR="000606BC">
        <w:t xml:space="preserve"> en Franc – </w:t>
      </w:r>
      <w:r w:rsidR="00B63B5E">
        <w:t xml:space="preserve">repose la question </w:t>
      </w:r>
      <w:r w:rsidR="000606BC">
        <w:t xml:space="preserve">de la nécessité de distinguer, ou non, le </w:t>
      </w:r>
      <w:r w:rsidR="00B63B5E">
        <w:t>pouvoir d’ordre, communiqué par l’ordination sacramentelle, et le pouvoir de juridiction qui vient de la mission canonique</w:t>
      </w:r>
      <w:r w:rsidR="00227AF4">
        <w:rPr>
          <w:rStyle w:val="Appelnotedebasdep"/>
        </w:rPr>
        <w:footnoteReference w:id="34"/>
      </w:r>
      <w:r w:rsidR="00B63B5E">
        <w:t>.</w:t>
      </w:r>
    </w:p>
    <w:p w:rsidR="000F3DB0" w:rsidRDefault="000606BC" w:rsidP="006B1EB8">
      <w:r>
        <w:t>A</w:t>
      </w:r>
      <w:r w:rsidR="00217C36">
        <w:t xml:space="preserve"> partir du moment où cette coresponsabilité s’inscrit jusque dans la gouvernance ecclésiale, </w:t>
      </w:r>
      <w:r w:rsidR="00ED2098">
        <w:t>ell</w:t>
      </w:r>
      <w:r w:rsidR="00217C36">
        <w:t>e questionne certains des arguments invoqués pour justifier le choix de n’ordonner que des hommes. Adjointe de l’évêque</w:t>
      </w:r>
      <w:r w:rsidR="003B20C2">
        <w:t xml:space="preserve"> auxiliaire, déléguée vicariale</w:t>
      </w:r>
      <w:r w:rsidR="000F3DB0">
        <w:t xml:space="preserve"> ou épiscopale</w:t>
      </w:r>
      <w:r w:rsidR="003B20C2">
        <w:t xml:space="preserve">, </w:t>
      </w:r>
      <w:r w:rsidR="000F3DB0">
        <w:t>aumônière en chef, coordinatrice d’unité agissent-elles</w:t>
      </w:r>
      <w:r w:rsidR="00ED2098">
        <w:t>,</w:t>
      </w:r>
      <w:r w:rsidR="000F3DB0">
        <w:t xml:space="preserve"> </w:t>
      </w:r>
      <w:r w:rsidR="00ED2098">
        <w:t xml:space="preserve">oui ou non, </w:t>
      </w:r>
      <w:r w:rsidR="000F3DB0">
        <w:t>au nom du Christ-tête dans leu</w:t>
      </w:r>
      <w:r w:rsidR="00ED2098">
        <w:t>r responsabilité de direction ? Les</w:t>
      </w:r>
      <w:r w:rsidR="002A768F">
        <w:t xml:space="preserve"> responsabilités confiées à ces femmes</w:t>
      </w:r>
      <w:r w:rsidR="000F3DB0">
        <w:t xml:space="preserve"> ne met</w:t>
      </w:r>
      <w:r w:rsidR="002A768F">
        <w:t>tent</w:t>
      </w:r>
      <w:r w:rsidR="00ED2098">
        <w:t>-elles dès lors pas</w:t>
      </w:r>
      <w:r w:rsidR="000F3DB0">
        <w:t xml:space="preserve"> en cause l’association symbolique entre </w:t>
      </w:r>
      <w:r w:rsidR="002A768F">
        <w:t xml:space="preserve">le Christ-Epoux et </w:t>
      </w:r>
      <w:r w:rsidR="000F3DB0">
        <w:t>la masculinité</w:t>
      </w:r>
      <w:r w:rsidR="00513434">
        <w:t xml:space="preserve"> telle que l’évoque </w:t>
      </w:r>
      <w:r w:rsidR="00513434">
        <w:rPr>
          <w:i/>
        </w:rPr>
        <w:t xml:space="preserve">Inter </w:t>
      </w:r>
      <w:proofErr w:type="spellStart"/>
      <w:r w:rsidR="00513434">
        <w:rPr>
          <w:i/>
        </w:rPr>
        <w:t>insigniores</w:t>
      </w:r>
      <w:proofErr w:type="spellEnd"/>
      <w:r w:rsidR="002A768F">
        <w:rPr>
          <w:rStyle w:val="Appelnotedebasdep"/>
        </w:rPr>
        <w:footnoteReference w:id="35"/>
      </w:r>
      <w:r w:rsidR="00ED2098">
        <w:t> ?</w:t>
      </w:r>
      <w:r w:rsidR="000F3DB0">
        <w:t xml:space="preserve"> </w:t>
      </w:r>
    </w:p>
    <w:p w:rsidR="002A768F" w:rsidRDefault="002A768F" w:rsidP="006B1EB8">
      <w:r>
        <w:t>Mais il faut tout de suite relever que ces femmes en responsabilité</w:t>
      </w:r>
      <w:r w:rsidR="006C32FB">
        <w:t xml:space="preserve"> ecclésiale</w:t>
      </w:r>
      <w:r>
        <w:t>, tant celles qui travaillent « à la base »</w:t>
      </w:r>
      <w:r w:rsidRPr="002A768F">
        <w:t xml:space="preserve"> </w:t>
      </w:r>
      <w:r>
        <w:t xml:space="preserve">que celles qui ont des postes de gouvernance, </w:t>
      </w:r>
      <w:r w:rsidR="00902BD4">
        <w:t xml:space="preserve">n’inscrivent pas leur position dans l’institution ecclésiale dans une visée </w:t>
      </w:r>
      <w:r w:rsidR="006C32FB">
        <w:t>contestat</w:t>
      </w:r>
      <w:r w:rsidR="00902BD4">
        <w:t>rice, que du contraire. Parmi les demandes des animateurs et animatrices pastoraux de Bruxelles, il n’y a rien qui va dans le sens d’une plus grande participation à la gouvernance ecclésiale. Ils et elles sont là et portent leur part de la mission de l’Eglise dans ce moment de trans</w:t>
      </w:r>
      <w:r w:rsidR="00513434">
        <w:t>formation sociale et ecclésiale, et c</w:t>
      </w:r>
      <w:r w:rsidR="00902BD4">
        <w:t xml:space="preserve">’est pour une plus grande liberté d’action qu’ils demandent des clarifications et des moyens pour la mission. </w:t>
      </w:r>
    </w:p>
    <w:p w:rsidR="00A653C3" w:rsidRDefault="00F376C5" w:rsidP="006B1EB8">
      <w:r>
        <w:t>Cette posture mérite un temps d’arrêt.</w:t>
      </w:r>
      <w:r w:rsidR="007E346D">
        <w:t xml:space="preserve"> </w:t>
      </w:r>
      <w:r w:rsidR="00F97BB8">
        <w:t xml:space="preserve">Il importe </w:t>
      </w:r>
      <w:r w:rsidR="00D02C11">
        <w:t>tout d’abord</w:t>
      </w:r>
      <w:r w:rsidR="00F97BB8">
        <w:t xml:space="preserve"> de favoriser </w:t>
      </w:r>
      <w:r w:rsidR="00530570">
        <w:t xml:space="preserve">– </w:t>
      </w:r>
      <w:r w:rsidR="00513434">
        <w:t xml:space="preserve">comme cela a été le cas </w:t>
      </w:r>
      <w:r w:rsidR="00530570">
        <w:t>pour le groupe évoqué</w:t>
      </w:r>
      <w:r w:rsidR="00513434">
        <w:t xml:space="preserve"> </w:t>
      </w:r>
      <w:r w:rsidR="00530570">
        <w:t xml:space="preserve">– </w:t>
      </w:r>
      <w:r w:rsidR="00F97BB8">
        <w:t xml:space="preserve">des lieux ont ces acteurs ont la parole, et une parole qui peut remonter au conseil vicarial ou épiscopal : parce que leur statut est fragile, parce que, pour eux comme pour tous les acteurs ecclésiaux, ce moment de transformation sociale et ecclésiale est éprouvant, il </w:t>
      </w:r>
      <w:r w:rsidR="00513434">
        <w:t>est essentiel d’offrir</w:t>
      </w:r>
      <w:r w:rsidR="00F97BB8">
        <w:t xml:space="preserve"> des espaces où chacun peut relire ce qu’il vit, en trouver le sens et être entendu dans ses demandes. </w:t>
      </w:r>
      <w:r w:rsidR="00D02C11">
        <w:t xml:space="preserve">Quant à ceux qui les écoutent, heureux seront-ils s’ils </w:t>
      </w:r>
      <w:r w:rsidR="00F97BB8">
        <w:t>entend</w:t>
      </w:r>
      <w:r w:rsidR="00D02C11">
        <w:t xml:space="preserve">ent </w:t>
      </w:r>
      <w:r w:rsidR="00F97BB8">
        <w:t>ce qui leur est demandé</w:t>
      </w:r>
      <w:r w:rsidR="00D02C11">
        <w:t xml:space="preserve"> : ils confirmeront ces acteurs dans leur vocation, au bénéfice de la mission qu’ils leur confient. Ajoutons que de tels espaces de parole gagneraient à être proposés à d’autres acteurs ecclésiaux – je pense ici aux ministres ordonnés – car ils sont eux </w:t>
      </w:r>
      <w:r w:rsidR="00D02C11">
        <w:lastRenderedPageBreak/>
        <w:t>aussi affectés par la dureté des temps et par ce processus de transformation ecclésiale</w:t>
      </w:r>
      <w:r w:rsidR="00A653C3">
        <w:rPr>
          <w:rStyle w:val="Appelnotedebasdep"/>
        </w:rPr>
        <w:footnoteReference w:id="36"/>
      </w:r>
      <w:r w:rsidR="00A653C3">
        <w:t xml:space="preserve">. </w:t>
      </w:r>
    </w:p>
    <w:p w:rsidR="00D02C11" w:rsidRDefault="00A653C3" w:rsidP="006B1EB8">
      <w:r>
        <w:t>Un mot encore, avant de conclure, sur le profit non revendicateur de ces acteurs et actrices : l’heure n’est plus à la militance mais plutôt au soin de soi comme le souligne Céline Béraud dans la conclusion de son ouvrage</w:t>
      </w:r>
      <w:r>
        <w:rPr>
          <w:rStyle w:val="Appelnotedebasdep"/>
        </w:rPr>
        <w:footnoteReference w:id="37"/>
      </w:r>
      <w:r>
        <w:t xml:space="preserve">. </w:t>
      </w:r>
      <w:r w:rsidR="00666863">
        <w:t xml:space="preserve">Il n’empêche qu’on peut quand-même s’interroger sur le décalage entre les évolutions de la société civile et ce qui se passe à l’intérieur de l’institution ecclésiale. </w:t>
      </w:r>
      <w:r w:rsidR="00AA2642">
        <w:t xml:space="preserve">Si Anne Soupa et Christine </w:t>
      </w:r>
      <w:proofErr w:type="spellStart"/>
      <w:r w:rsidR="00AA2642">
        <w:t>Pedotti</w:t>
      </w:r>
      <w:proofErr w:type="spellEnd"/>
      <w:r w:rsidR="00AA2642">
        <w:t xml:space="preserve"> ont pris pour devise « ni partir ni nous taire »</w:t>
      </w:r>
      <w:r w:rsidR="00AA2642">
        <w:rPr>
          <w:rStyle w:val="Appelnotedebasdep"/>
        </w:rPr>
        <w:footnoteReference w:id="38"/>
      </w:r>
      <w:r w:rsidR="00AA2642">
        <w:t xml:space="preserve">… c’est parce que certains et certaines sont partis. Ceux et celles qui restent </w:t>
      </w:r>
      <w:r w:rsidR="00BD4C2D">
        <w:t xml:space="preserve">seraient-ils seulement ceux qui </w:t>
      </w:r>
      <w:r w:rsidR="00AA2642">
        <w:t xml:space="preserve">s’accommodent de ce que Béatrice de </w:t>
      </w:r>
      <w:proofErr w:type="spellStart"/>
      <w:r w:rsidR="00AA2642">
        <w:t>Gasquet</w:t>
      </w:r>
      <w:proofErr w:type="spellEnd"/>
      <w:r w:rsidR="00AA2642">
        <w:t xml:space="preserve"> appelle </w:t>
      </w:r>
      <w:r w:rsidR="00701E17">
        <w:t xml:space="preserve">« le </w:t>
      </w:r>
      <w:r w:rsidR="00AA2642">
        <w:t>plafond de vitrail », paraphrasant le « plafond de verre » que rencontrent les carrières féminines</w:t>
      </w:r>
      <w:r w:rsidR="00701E17">
        <w:t xml:space="preserve"> dans le monde du travail</w:t>
      </w:r>
      <w:r w:rsidR="00BD4C2D">
        <w:rPr>
          <w:rStyle w:val="Appelnotedebasdep"/>
        </w:rPr>
        <w:footnoteReference w:id="39"/>
      </w:r>
      <w:r w:rsidR="00BD4C2D">
        <w:t> ?</w:t>
      </w:r>
    </w:p>
    <w:p w:rsidR="008E287C" w:rsidRDefault="00BD4C2D" w:rsidP="006B1EB8">
      <w:r>
        <w:t xml:space="preserve">En guide de conclusion, lançons une invitation aux pasteurs et théologiens, aux femmes et aux hommes : ces questions méritent notre attention, elles demandent à être mûries de façon à répondre à l’appel lancé par le pape François dans </w:t>
      </w:r>
      <w:proofErr w:type="spellStart"/>
      <w:r>
        <w:rPr>
          <w:i/>
        </w:rPr>
        <w:t>Evangelii</w:t>
      </w:r>
      <w:proofErr w:type="spellEnd"/>
      <w:r>
        <w:rPr>
          <w:i/>
        </w:rPr>
        <w:t xml:space="preserve"> </w:t>
      </w:r>
      <w:proofErr w:type="spellStart"/>
      <w:r>
        <w:rPr>
          <w:i/>
        </w:rPr>
        <w:t>gaudium</w:t>
      </w:r>
      <w:proofErr w:type="spellEnd"/>
      <w:r>
        <w:rPr>
          <w:i/>
        </w:rPr>
        <w:t> </w:t>
      </w:r>
      <w:r>
        <w:t>: « </w:t>
      </w:r>
      <w:r w:rsidRPr="00BD4C2D">
        <w:t>il faut encore élargir les espaces pour une présence féminine plus incisive dans l’Église »</w:t>
      </w:r>
      <w:r>
        <w:t xml:space="preserve"> (EG</w:t>
      </w:r>
      <w:r w:rsidRPr="00BD4C2D">
        <w:t xml:space="preserve"> n° 103)</w:t>
      </w:r>
      <w:r>
        <w:t xml:space="preserve">. </w:t>
      </w:r>
      <w:r w:rsidR="00D17237">
        <w:t>Dans son intervention sur « </w:t>
      </w:r>
      <w:r w:rsidR="00D17237" w:rsidRPr="00D17237">
        <w:t>Hommes et femmes dans l’Eglise</w:t>
      </w:r>
      <w:r w:rsidR="00D17237">
        <w:t xml:space="preserve"> » aux </w:t>
      </w:r>
      <w:r w:rsidR="00D17237">
        <w:rPr>
          <w:i/>
        </w:rPr>
        <w:t>Semaines sociales de France</w:t>
      </w:r>
      <w:r w:rsidR="00D17237">
        <w:t>, Alphonse Borras désigne trois fronts pour avancer l’expérience ecclésiale vers la parité des responsabilités</w:t>
      </w:r>
      <w:r w:rsidR="008E287C">
        <w:t>, et Jérôme Vignon,</w:t>
      </w:r>
      <w:r w:rsidR="00530570">
        <w:t xml:space="preserve"> président des </w:t>
      </w:r>
      <w:r w:rsidR="00530570" w:rsidRPr="00530570">
        <w:rPr>
          <w:i/>
        </w:rPr>
        <w:t>Semaines sociales de France</w:t>
      </w:r>
      <w:r w:rsidR="00530570">
        <w:t>,</w:t>
      </w:r>
      <w:r w:rsidR="008E287C">
        <w:t xml:space="preserve"> dans sa conclusion, les reformule de la façon suivante</w:t>
      </w:r>
      <w:r w:rsidR="00D17237">
        <w:t xml:space="preserve"> : </w:t>
      </w:r>
    </w:p>
    <w:p w:rsidR="008E287C" w:rsidRPr="008E287C" w:rsidRDefault="008E287C" w:rsidP="008E287C">
      <w:pPr>
        <w:ind w:left="708"/>
        <w:rPr>
          <w:sz w:val="20"/>
        </w:rPr>
      </w:pPr>
      <w:r>
        <w:rPr>
          <w:sz w:val="20"/>
        </w:rPr>
        <w:t>« Mais</w:t>
      </w:r>
      <w:r w:rsidRPr="008E287C">
        <w:rPr>
          <w:sz w:val="20"/>
        </w:rPr>
        <w:t xml:space="preserve"> des chantiers sont d’abord à ouvrir où l’expérience ecclésiale des hommes et des femmes, des religieux et des religieuses sera dialoguée et confrontée. Ils portent sur la qualité de la relation et du respect ; l’apprentissage à la prise de parole et à la décision ; les représentations et l’imaginaire, y compris les stéréotypes »</w:t>
      </w:r>
      <w:r w:rsidRPr="008B02A4">
        <w:rPr>
          <w:rStyle w:val="Appelnotedebasdep"/>
          <w:sz w:val="18"/>
          <w:szCs w:val="18"/>
        </w:rPr>
        <w:footnoteReference w:id="40"/>
      </w:r>
      <w:r w:rsidRPr="008B02A4">
        <w:rPr>
          <w:sz w:val="20"/>
        </w:rPr>
        <w:t>.</w:t>
      </w:r>
    </w:p>
    <w:p w:rsidR="00BD4C2D" w:rsidRDefault="00BD4C2D" w:rsidP="006B1EB8">
      <w:r>
        <w:t>Le processus en cours dans nos régions est une réponse</w:t>
      </w:r>
      <w:r w:rsidR="00701E17">
        <w:t xml:space="preserve"> </w:t>
      </w:r>
      <w:r w:rsidR="008E287C">
        <w:t xml:space="preserve">ces différents </w:t>
      </w:r>
      <w:r w:rsidR="00701E17">
        <w:t>appel</w:t>
      </w:r>
      <w:r w:rsidR="008E287C">
        <w:t>s</w:t>
      </w:r>
      <w:r w:rsidR="00BE7145">
        <w:t>. I</w:t>
      </w:r>
      <w:r w:rsidR="00701E17">
        <w:t>l faut poursuivre l’effort</w:t>
      </w:r>
      <w:r w:rsidR="00194725">
        <w:t xml:space="preserve"> et la réflexion pour qu’il puisse porter tous ses fruits, chez nous et ailleurs, au service de l’annonce de l’Evangile dans nos sociétés sécularisées.</w:t>
      </w:r>
    </w:p>
    <w:p w:rsidR="00BE7145" w:rsidRDefault="00BE7145" w:rsidP="006B1EB8"/>
    <w:p w:rsidR="00BE7145" w:rsidRDefault="00BE7145" w:rsidP="006B1EB8">
      <w:pPr>
        <w:rPr>
          <w:b/>
        </w:rPr>
      </w:pPr>
      <w:r w:rsidRPr="00BE7145">
        <w:rPr>
          <w:b/>
        </w:rPr>
        <w:t>Résumé</w:t>
      </w:r>
    </w:p>
    <w:p w:rsidR="00BE7145" w:rsidRPr="00BE7145" w:rsidRDefault="006F0F74" w:rsidP="006B1EB8">
      <w:r>
        <w:t>C</w:t>
      </w:r>
      <w:r w:rsidR="00BE7145">
        <w:t xml:space="preserve">et article </w:t>
      </w:r>
      <w:r>
        <w:t>part d’une observation de la réalité</w:t>
      </w:r>
      <w:r w:rsidR="00BE7145">
        <w:t xml:space="preserve"> des laïcs mandatés </w:t>
      </w:r>
      <w:r>
        <w:t xml:space="preserve">– majoritairement des femmes – </w:t>
      </w:r>
      <w:r w:rsidR="00BE7145">
        <w:t>en pastorale en Belgique francophone.</w:t>
      </w:r>
      <w:r w:rsidR="00A205A9">
        <w:t xml:space="preserve"> Après quelques </w:t>
      </w:r>
      <w:r w:rsidR="007D557E">
        <w:t>chiffres</w:t>
      </w:r>
      <w:r w:rsidR="00A205A9">
        <w:t>, l’article décrit l</w:t>
      </w:r>
      <w:r w:rsidR="007D557E">
        <w:t xml:space="preserve">es procédures de formation et d’accompagnement </w:t>
      </w:r>
      <w:r w:rsidR="00A205A9">
        <w:t>de ces</w:t>
      </w:r>
      <w:r w:rsidR="007D557E">
        <w:t xml:space="preserve"> acteurs pastoraux</w:t>
      </w:r>
      <w:r w:rsidR="00A205A9">
        <w:t xml:space="preserve">, rend compte </w:t>
      </w:r>
      <w:r w:rsidR="007D557E">
        <w:t>d’une démarche vécue par un groupe de ces animateurs pastoraux</w:t>
      </w:r>
      <w:r w:rsidR="00A205A9">
        <w:t xml:space="preserve"> et </w:t>
      </w:r>
      <w:r w:rsidR="007D557E">
        <w:t>met</w:t>
      </w:r>
      <w:r w:rsidR="00A205A9">
        <w:t xml:space="preserve"> </w:t>
      </w:r>
      <w:r w:rsidR="007D557E">
        <w:t xml:space="preserve">en lumière la participation de </w:t>
      </w:r>
      <w:r>
        <w:t>quelques-unes de ces</w:t>
      </w:r>
      <w:r w:rsidR="007C3B5E">
        <w:t xml:space="preserve"> </w:t>
      </w:r>
      <w:r>
        <w:t>femmes</w:t>
      </w:r>
      <w:r w:rsidR="007D557E">
        <w:t xml:space="preserve"> à la gouvernance ecclésiale. </w:t>
      </w:r>
      <w:r w:rsidR="00277B3F">
        <w:t>Ces</w:t>
      </w:r>
      <w:r w:rsidR="007D557E">
        <w:t xml:space="preserve"> différents indices qui traduisent un lent mais sûr processus d’institutionnalisation</w:t>
      </w:r>
      <w:r w:rsidR="00277B3F">
        <w:t xml:space="preserve"> </w:t>
      </w:r>
      <w:r>
        <w:t>conduis</w:t>
      </w:r>
      <w:r w:rsidR="00277B3F">
        <w:t xml:space="preserve">ent </w:t>
      </w:r>
      <w:r>
        <w:t>à</w:t>
      </w:r>
      <w:r w:rsidR="00277B3F">
        <w:t xml:space="preserve"> mettre en évidence le débat théologique que suscite</w:t>
      </w:r>
      <w:r>
        <w:t>nt</w:t>
      </w:r>
      <w:r w:rsidR="00277B3F">
        <w:t xml:space="preserve"> la présence de ces nouveaux acteurs, et l’articulation de leur mission à ce</w:t>
      </w:r>
      <w:r>
        <w:t>lle</w:t>
      </w:r>
      <w:r w:rsidR="00277B3F">
        <w:t xml:space="preserve"> des ministres ordonnés. La fragilité de leur statut met en relief la nécessité de leur offrir des espaces de parole, mais aussi de développer des espaces de réflexion pour promouv</w:t>
      </w:r>
      <w:r>
        <w:t>oir</w:t>
      </w:r>
      <w:r w:rsidR="003333B8">
        <w:t xml:space="preserve"> et penser</w:t>
      </w:r>
      <w:r>
        <w:t xml:space="preserve"> « une présence féminine plus incisive dans l’Eglise » (EG n° 103).</w:t>
      </w:r>
    </w:p>
    <w:sectPr w:rsidR="00BE7145" w:rsidRPr="00BE7145" w:rsidSect="00F31A69">
      <w:pgSz w:w="11906" w:h="16838" w:code="9"/>
      <w:pgMar w:top="1258" w:right="926" w:bottom="902" w:left="144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3ABF" w:rsidRDefault="00A73ABF" w:rsidP="00C07EC9">
      <w:r>
        <w:separator/>
      </w:r>
    </w:p>
  </w:endnote>
  <w:endnote w:type="continuationSeparator" w:id="0">
    <w:p w:rsidR="00A73ABF" w:rsidRDefault="00A73ABF" w:rsidP="00C07E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LinePrinter">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3ABF" w:rsidRDefault="00A73ABF" w:rsidP="00C07EC9">
      <w:r>
        <w:separator/>
      </w:r>
    </w:p>
  </w:footnote>
  <w:footnote w:type="continuationSeparator" w:id="0">
    <w:p w:rsidR="00A73ABF" w:rsidRDefault="00A73ABF" w:rsidP="00C07EC9">
      <w:r>
        <w:continuationSeparator/>
      </w:r>
    </w:p>
  </w:footnote>
  <w:footnote w:id="1">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Paris, PUF, 2007, 351 p.</w:t>
      </w:r>
    </w:p>
  </w:footnote>
  <w:footnote w:id="2">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4</w:t>
      </w:r>
      <w:r w:rsidRPr="008B02A4">
        <w:rPr>
          <w:sz w:val="18"/>
          <w:szCs w:val="18"/>
          <w:vertAlign w:val="superscript"/>
        </w:rPr>
        <w:t>e</w:t>
      </w:r>
      <w:r w:rsidRPr="008B02A4">
        <w:rPr>
          <w:sz w:val="18"/>
          <w:szCs w:val="18"/>
        </w:rPr>
        <w:t xml:space="preserve"> de couverture</w:t>
      </w:r>
      <w:r w:rsidR="003618CA" w:rsidRPr="008B02A4">
        <w:rPr>
          <w:sz w:val="18"/>
          <w:szCs w:val="18"/>
        </w:rPr>
        <w:t>.</w:t>
      </w:r>
    </w:p>
  </w:footnote>
  <w:footnote w:id="3">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Il aurait été intéressant d’élargir l’enquête à la zone néerlandophone du pays, ainsi qu’à d’autres pays comme la </w:t>
      </w:r>
      <w:r w:rsidR="0008036D" w:rsidRPr="008B02A4">
        <w:rPr>
          <w:sz w:val="18"/>
          <w:szCs w:val="18"/>
        </w:rPr>
        <w:t>France. Mais une telle enquête demande du temps car les données ne sont pas</w:t>
      </w:r>
      <w:r w:rsidR="000E6EEA" w:rsidRPr="008B02A4">
        <w:rPr>
          <w:sz w:val="18"/>
          <w:szCs w:val="18"/>
        </w:rPr>
        <w:t xml:space="preserve"> collectées, il faut les rechercher diocèse par diocèse. En France, un document intitulé </w:t>
      </w:r>
      <w:r w:rsidR="000E6EEA" w:rsidRPr="008B02A4">
        <w:rPr>
          <w:i/>
          <w:sz w:val="18"/>
          <w:szCs w:val="18"/>
        </w:rPr>
        <w:t>Les laïcs en mission ecclésiale : quelques repères</w:t>
      </w:r>
      <w:r w:rsidR="000E6EEA" w:rsidRPr="008B02A4">
        <w:rPr>
          <w:sz w:val="18"/>
          <w:szCs w:val="18"/>
        </w:rPr>
        <w:t xml:space="preserve"> a été publié par la Commission épiscopale pour les ministres ordonnés et les laïcs en mission ecclésiale en janvier 2011 ; il n’est plus disponible actuellement sur Internet, cf. </w:t>
      </w:r>
      <w:r w:rsidR="000E6EEA" w:rsidRPr="008B02A4">
        <w:rPr>
          <w:smallCaps/>
          <w:sz w:val="18"/>
          <w:szCs w:val="18"/>
        </w:rPr>
        <w:t>C. Chevalier</w:t>
      </w:r>
      <w:r w:rsidR="000E6EEA" w:rsidRPr="008B02A4">
        <w:rPr>
          <w:sz w:val="18"/>
          <w:szCs w:val="18"/>
        </w:rPr>
        <w:t xml:space="preserve">, </w:t>
      </w:r>
      <w:r w:rsidR="000E6EEA" w:rsidRPr="008B02A4">
        <w:rPr>
          <w:rStyle w:val="Rfrenceintense"/>
          <w:i/>
          <w:szCs w:val="18"/>
        </w:rPr>
        <w:t>Enjeux théologiques des parcours de formation de laïcs à la responsabilité ecclésiale</w:t>
      </w:r>
      <w:r w:rsidR="000E6EEA" w:rsidRPr="008B02A4">
        <w:rPr>
          <w:rStyle w:val="Rfrenceintense"/>
          <w:szCs w:val="18"/>
        </w:rPr>
        <w:t>, Paris-Louvain-la-Neuve, 2012, p. 6 note 8.</w:t>
      </w:r>
    </w:p>
  </w:footnote>
  <w:footnote w:id="4">
    <w:p w:rsidR="004E02E1" w:rsidRPr="008B02A4" w:rsidRDefault="004E02E1" w:rsidP="008B02A4">
      <w:pPr>
        <w:pStyle w:val="Notedebasdepage"/>
        <w:spacing w:after="60"/>
        <w:rPr>
          <w:color w:val="0000FF" w:themeColor="hyperlink"/>
          <w:sz w:val="18"/>
          <w:szCs w:val="18"/>
          <w:u w:val="single"/>
        </w:rPr>
      </w:pPr>
      <w:r w:rsidRPr="008B02A4">
        <w:rPr>
          <w:rStyle w:val="Appelnotedebasdep"/>
          <w:sz w:val="18"/>
          <w:szCs w:val="18"/>
        </w:rPr>
        <w:footnoteRef/>
      </w:r>
      <w:r w:rsidRPr="008B02A4">
        <w:rPr>
          <w:sz w:val="18"/>
          <w:szCs w:val="18"/>
        </w:rPr>
        <w:t xml:space="preserve"> Le livre d’Anne </w:t>
      </w:r>
      <w:r w:rsidRPr="008B02A4">
        <w:rPr>
          <w:smallCaps/>
          <w:sz w:val="18"/>
          <w:szCs w:val="18"/>
        </w:rPr>
        <w:t>Soupa</w:t>
      </w:r>
      <w:r w:rsidRPr="008B02A4">
        <w:rPr>
          <w:sz w:val="18"/>
          <w:szCs w:val="18"/>
        </w:rPr>
        <w:t xml:space="preserve"> et Christine </w:t>
      </w:r>
      <w:proofErr w:type="spellStart"/>
      <w:r w:rsidRPr="008B02A4">
        <w:rPr>
          <w:smallCaps/>
          <w:sz w:val="18"/>
          <w:szCs w:val="18"/>
        </w:rPr>
        <w:t>Pedotti</w:t>
      </w:r>
      <w:proofErr w:type="spellEnd"/>
      <w:r w:rsidRPr="008B02A4">
        <w:rPr>
          <w:sz w:val="18"/>
          <w:szCs w:val="18"/>
        </w:rPr>
        <w:t xml:space="preserve">, </w:t>
      </w:r>
      <w:r w:rsidRPr="008B02A4">
        <w:rPr>
          <w:i/>
          <w:sz w:val="18"/>
          <w:szCs w:val="18"/>
        </w:rPr>
        <w:t xml:space="preserve">Les pieds dans le bénitier, </w:t>
      </w:r>
      <w:r w:rsidRPr="008B02A4">
        <w:rPr>
          <w:sz w:val="18"/>
          <w:szCs w:val="18"/>
        </w:rPr>
        <w:t xml:space="preserve">Presses de la Renaissance, Paris, 2010 s’inscrit dans cette ligne. Tout en adoptant une posture relativement modérée, il fait l’objet de critiques assez virulentes, cf. </w:t>
      </w:r>
      <w:hyperlink r:id="rId1" w:history="1">
        <w:r w:rsidRPr="008B02A4">
          <w:rPr>
            <w:rStyle w:val="Lienhypertexte"/>
            <w:sz w:val="18"/>
            <w:szCs w:val="18"/>
          </w:rPr>
          <w:t>http://www.dieumaintenant.com/lespiedsdanslebenitier.html</w:t>
        </w:r>
      </w:hyperlink>
      <w:r w:rsidRPr="008B02A4">
        <w:rPr>
          <w:sz w:val="18"/>
          <w:szCs w:val="18"/>
        </w:rPr>
        <w:t xml:space="preserve">. Le livre de Maud </w:t>
      </w:r>
      <w:r w:rsidRPr="008B02A4">
        <w:rPr>
          <w:smallCaps/>
          <w:sz w:val="18"/>
          <w:szCs w:val="18"/>
        </w:rPr>
        <w:t>Amandier</w:t>
      </w:r>
      <w:r w:rsidRPr="008B02A4">
        <w:rPr>
          <w:sz w:val="18"/>
          <w:szCs w:val="18"/>
        </w:rPr>
        <w:t xml:space="preserve"> et Alice </w:t>
      </w:r>
      <w:r w:rsidRPr="008B02A4">
        <w:rPr>
          <w:smallCaps/>
          <w:sz w:val="18"/>
          <w:szCs w:val="18"/>
        </w:rPr>
        <w:t>Chablis</w:t>
      </w:r>
      <w:r w:rsidRPr="008B02A4">
        <w:rPr>
          <w:sz w:val="18"/>
          <w:szCs w:val="18"/>
        </w:rPr>
        <w:t>, </w:t>
      </w:r>
      <w:r w:rsidRPr="008B02A4">
        <w:rPr>
          <w:i/>
          <w:sz w:val="18"/>
          <w:szCs w:val="18"/>
        </w:rPr>
        <w:t xml:space="preserve">Le déni : Enquête sur l’Église et l’égalité de sexes, </w:t>
      </w:r>
      <w:r w:rsidRPr="008B02A4">
        <w:rPr>
          <w:sz w:val="18"/>
          <w:szCs w:val="18"/>
        </w:rPr>
        <w:t xml:space="preserve">Éditions Bayard/Novalis, 2014, franchement critique, est publié sous un nom d’emprunt ; il est accueilli avec réserve sur le site québécois militant « Femmes et ministères », cf. </w:t>
      </w:r>
      <w:hyperlink r:id="rId2" w:history="1">
        <w:r w:rsidRPr="008B02A4">
          <w:rPr>
            <w:rStyle w:val="Lienhypertexte"/>
            <w:sz w:val="18"/>
            <w:szCs w:val="18"/>
          </w:rPr>
          <w:t>http://femmes-ministeres.org/?p=1949</w:t>
        </w:r>
      </w:hyperlink>
      <w:r w:rsidRPr="008B02A4">
        <w:rPr>
          <w:rStyle w:val="Lienhypertexte"/>
          <w:sz w:val="18"/>
          <w:szCs w:val="18"/>
        </w:rPr>
        <w:t>.</w:t>
      </w:r>
    </w:p>
  </w:footnote>
  <w:footnote w:id="5">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On peut lire à ce propos les propos conclusifs d’Anne-Marie </w:t>
      </w:r>
      <w:r w:rsidRPr="008B02A4">
        <w:rPr>
          <w:smallCaps/>
          <w:sz w:val="18"/>
          <w:szCs w:val="18"/>
        </w:rPr>
        <w:t>Pelletier</w:t>
      </w:r>
      <w:r w:rsidRPr="008B02A4">
        <w:rPr>
          <w:sz w:val="18"/>
          <w:szCs w:val="18"/>
        </w:rPr>
        <w:t xml:space="preserve">, </w:t>
      </w:r>
      <w:r w:rsidRPr="008B02A4">
        <w:rPr>
          <w:i/>
          <w:sz w:val="18"/>
          <w:szCs w:val="18"/>
        </w:rPr>
        <w:t>Le christianisme et les femmes</w:t>
      </w:r>
      <w:r w:rsidRPr="008B02A4">
        <w:rPr>
          <w:sz w:val="18"/>
          <w:szCs w:val="18"/>
        </w:rPr>
        <w:t>, Cerf, Paris, 2001 ; p. 173-185.</w:t>
      </w:r>
    </w:p>
  </w:footnote>
  <w:footnote w:id="6">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Voir l’analyse que propose Céline </w:t>
      </w:r>
      <w:r w:rsidRPr="008B02A4">
        <w:rPr>
          <w:smallCaps/>
          <w:sz w:val="18"/>
          <w:szCs w:val="18"/>
        </w:rPr>
        <w:t>Béraud</w:t>
      </w:r>
      <w:r w:rsidRPr="008B02A4">
        <w:rPr>
          <w:sz w:val="18"/>
          <w:szCs w:val="18"/>
        </w:rPr>
        <w:t xml:space="preserve">, « Quand les questions de genre travaillent le catholicisme », dans </w:t>
      </w:r>
      <w:r w:rsidRPr="008B02A4">
        <w:rPr>
          <w:i/>
          <w:sz w:val="18"/>
          <w:szCs w:val="18"/>
        </w:rPr>
        <w:t>Etudes</w:t>
      </w:r>
      <w:r w:rsidRPr="008B02A4">
        <w:rPr>
          <w:sz w:val="18"/>
          <w:szCs w:val="18"/>
        </w:rPr>
        <w:t>, 2011/2, Tome 414, p. 211-221.</w:t>
      </w:r>
    </w:p>
  </w:footnote>
  <w:footnote w:id="7">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Il y a quatre diocèses entièrement ou partiellement francophones en Belgique : les diocèses de Liège (près d’ 11000000 habitants), Malines-Bruxelles, Namur (760 000 habitants) et Tournai (1300000 habitants). Le diocèse de Malines-Bruxelles, bilingue, est réparti en 3 zones pastorales, confiée chacune à un évêque auxiliaire : le Vicariat du Brabant flamand (néerlandophone), le Vicariat de Bruxelles (bilingue, 1100000 habitants) et le Vicariat du Brabant wallon (francophone, 390000 habitants). </w:t>
      </w:r>
    </w:p>
  </w:footnote>
  <w:footnote w:id="8">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Ces chiffres ont été collectés pour une exposition réalisée en septembre 2012 pour les 50 ans de la création du Vicariat du Brabant wallon, et organisée par Marie-Astrid Collet, historienne au sein du CHIREL, Comité d</w:t>
      </w:r>
      <w:r w:rsidRPr="008B02A4">
        <w:rPr>
          <w:rFonts w:hint="eastAsia"/>
          <w:sz w:val="18"/>
          <w:szCs w:val="18"/>
        </w:rPr>
        <w:t>’</w:t>
      </w:r>
      <w:r w:rsidRPr="008B02A4">
        <w:rPr>
          <w:sz w:val="18"/>
          <w:szCs w:val="18"/>
        </w:rPr>
        <w:t>histoire religieuse du Brabant wallon et moi-même comme responsable service de la formation du Vicariat du Brabant wallon.</w:t>
      </w:r>
    </w:p>
  </w:footnote>
  <w:footnote w:id="9">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Ce tableau ne prend en compte que les engagements, pas les départs. Les durées dans la mission varient de un an à 29 ans (avec 71 personnes qui ont eu une mission entre un et 5 ans ou depuis moins de 6 ans).</w:t>
      </w:r>
    </w:p>
  </w:footnote>
  <w:footnote w:id="10">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L.-L. </w:t>
      </w:r>
      <w:r w:rsidRPr="008B02A4">
        <w:rPr>
          <w:smallCaps/>
          <w:sz w:val="18"/>
          <w:szCs w:val="18"/>
        </w:rPr>
        <w:t>Christians</w:t>
      </w:r>
      <w:r w:rsidRPr="008B02A4">
        <w:rPr>
          <w:sz w:val="18"/>
          <w:szCs w:val="18"/>
        </w:rPr>
        <w:t xml:space="preserve">, </w:t>
      </w:r>
      <w:r w:rsidR="00530570" w:rsidRPr="008B02A4">
        <w:rPr>
          <w:sz w:val="18"/>
          <w:szCs w:val="18"/>
        </w:rPr>
        <w:t>« </w:t>
      </w:r>
      <w:r w:rsidRPr="008B02A4">
        <w:rPr>
          <w:sz w:val="18"/>
          <w:szCs w:val="18"/>
        </w:rPr>
        <w:t xml:space="preserve">L’incidence civile d’une question ecclésiologique. Le cas des assistants paroissiaux en </w:t>
      </w:r>
      <w:r w:rsidR="00530570" w:rsidRPr="008B02A4">
        <w:rPr>
          <w:sz w:val="18"/>
          <w:szCs w:val="18"/>
        </w:rPr>
        <w:t>Belgique »</w:t>
      </w:r>
      <w:r w:rsidRPr="008B02A4">
        <w:rPr>
          <w:sz w:val="18"/>
          <w:szCs w:val="18"/>
        </w:rPr>
        <w:t xml:space="preserve">, dans A. </w:t>
      </w:r>
      <w:r w:rsidRPr="008B02A4">
        <w:rPr>
          <w:smallCaps/>
          <w:sz w:val="18"/>
          <w:szCs w:val="18"/>
        </w:rPr>
        <w:t>Borras</w:t>
      </w:r>
      <w:r w:rsidRPr="008B02A4">
        <w:rPr>
          <w:sz w:val="18"/>
          <w:szCs w:val="18"/>
        </w:rPr>
        <w:t xml:space="preserve"> (dir.), </w:t>
      </w:r>
      <w:r w:rsidRPr="008B02A4">
        <w:rPr>
          <w:i/>
          <w:sz w:val="18"/>
          <w:szCs w:val="18"/>
        </w:rPr>
        <w:t>Des laïcs en responsabilité pastorale. Accueillir les nouveaux ministères</w:t>
      </w:r>
      <w:r w:rsidRPr="008B02A4">
        <w:rPr>
          <w:sz w:val="18"/>
          <w:szCs w:val="18"/>
        </w:rPr>
        <w:t>, Paris, Le Cerf, 1998, p.181-206, en particulier la note 13, p.185.</w:t>
      </w:r>
    </w:p>
  </w:footnote>
  <w:footnote w:id="11">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La collecte des données s’arrêtent en 2012, il n’est pas été possible de les actualiser.</w:t>
      </w:r>
    </w:p>
  </w:footnote>
  <w:footnote w:id="12">
    <w:p w:rsidR="0056204D" w:rsidRPr="008B02A4" w:rsidRDefault="0056204D"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A cela s’ajoutent 4 animatrices auprès des communautés étrangères et 5 animatrices dont les missions sont au service de Bruxelles et du Brabant wallon cf. </w:t>
      </w:r>
      <w:r w:rsidRPr="008B02A4">
        <w:rPr>
          <w:i/>
          <w:sz w:val="18"/>
          <w:szCs w:val="18"/>
        </w:rPr>
        <w:t>Annuaire de l’archidiocèse de Malines-Bruxelles</w:t>
      </w:r>
      <w:r w:rsidRPr="008B02A4">
        <w:rPr>
          <w:sz w:val="18"/>
          <w:szCs w:val="18"/>
        </w:rPr>
        <w:t>, 2014, p. 433, 448.</w:t>
      </w:r>
    </w:p>
  </w:footnote>
  <w:footnote w:id="13">
    <w:p w:rsidR="006E72F7" w:rsidRPr="008B02A4" w:rsidRDefault="006E72F7" w:rsidP="008B02A4">
      <w:pPr>
        <w:pStyle w:val="Notedebasdepage"/>
        <w:spacing w:after="60"/>
        <w:rPr>
          <w:rStyle w:val="Rfrenceintense"/>
          <w:szCs w:val="18"/>
        </w:rPr>
      </w:pPr>
      <w:r w:rsidRPr="008B02A4">
        <w:rPr>
          <w:rStyle w:val="Appelnotedebasdep"/>
          <w:sz w:val="18"/>
          <w:szCs w:val="18"/>
        </w:rPr>
        <w:footnoteRef/>
      </w:r>
      <w:r w:rsidRPr="008B02A4">
        <w:rPr>
          <w:sz w:val="18"/>
          <w:szCs w:val="18"/>
        </w:rPr>
        <w:t xml:space="preserve"> Information recueil</w:t>
      </w:r>
      <w:r w:rsidRPr="008B02A4">
        <w:rPr>
          <w:rStyle w:val="Rfrenceintense"/>
          <w:szCs w:val="18"/>
        </w:rPr>
        <w:t>lie auprès de l’abbé Daniel Procureur, responsable de la commission diocésaine pour les animateurs en pastorale dans le diocèse de Tournai.</w:t>
      </w:r>
    </w:p>
  </w:footnote>
  <w:footnote w:id="14">
    <w:p w:rsidR="006E72F7" w:rsidRPr="008B02A4" w:rsidRDefault="006E72F7" w:rsidP="008B02A4">
      <w:pPr>
        <w:pStyle w:val="Notedebasdepage"/>
        <w:spacing w:after="60"/>
        <w:rPr>
          <w:rStyle w:val="Rfrenceintense"/>
          <w:szCs w:val="18"/>
        </w:rPr>
      </w:pPr>
      <w:r w:rsidRPr="008B02A4">
        <w:rPr>
          <w:rStyle w:val="Appelnotedebasdep"/>
          <w:sz w:val="18"/>
          <w:szCs w:val="18"/>
        </w:rPr>
        <w:footnoteRef/>
      </w:r>
      <w:r w:rsidRPr="008B02A4">
        <w:rPr>
          <w:sz w:val="18"/>
          <w:szCs w:val="18"/>
        </w:rPr>
        <w:t xml:space="preserve"> </w:t>
      </w:r>
      <w:r w:rsidRPr="008B02A4">
        <w:rPr>
          <w:rStyle w:val="Rfrenceintense"/>
          <w:szCs w:val="18"/>
        </w:rPr>
        <w:t>On</w:t>
      </w:r>
      <w:r w:rsidRPr="008B02A4">
        <w:rPr>
          <w:sz w:val="18"/>
          <w:szCs w:val="18"/>
        </w:rPr>
        <w:t xml:space="preserve"> retrouve parmi ces personnes engagées en pastorale hospitalière, des personnes engagées dans les services diocésains, dans les aumôneries carcérales et dans les équipes pastorales ; </w:t>
      </w:r>
      <w:r w:rsidR="004154D3">
        <w:rPr>
          <w:sz w:val="18"/>
          <w:szCs w:val="18"/>
        </w:rPr>
        <w:t>l’annuaire prop</w:t>
      </w:r>
      <w:r w:rsidRPr="008B02A4">
        <w:rPr>
          <w:rStyle w:val="Rfrenceintense"/>
          <w:szCs w:val="18"/>
        </w:rPr>
        <w:t>ose encore deux autres catégories : « autre animateur/</w:t>
      </w:r>
      <w:proofErr w:type="spellStart"/>
      <w:r w:rsidRPr="008B02A4">
        <w:rPr>
          <w:rStyle w:val="Rfrenceintense"/>
          <w:szCs w:val="18"/>
        </w:rPr>
        <w:t>trice</w:t>
      </w:r>
      <w:proofErr w:type="spellEnd"/>
      <w:r w:rsidRPr="008B02A4">
        <w:rPr>
          <w:rStyle w:val="Rfrenceintense"/>
          <w:szCs w:val="18"/>
        </w:rPr>
        <w:t xml:space="preserve"> en service » et « autre laïc ».</w:t>
      </w:r>
    </w:p>
  </w:footnote>
  <w:footnote w:id="15">
    <w:p w:rsidR="006E72F7" w:rsidRPr="008B02A4" w:rsidRDefault="006E72F7" w:rsidP="008B02A4">
      <w:pPr>
        <w:pStyle w:val="Notedebasdepage"/>
        <w:spacing w:after="60"/>
        <w:rPr>
          <w:rStyle w:val="Rfrenceintense"/>
          <w:szCs w:val="18"/>
        </w:rPr>
      </w:pPr>
      <w:r w:rsidRPr="008B02A4">
        <w:rPr>
          <w:rStyle w:val="Appelnotedebasdep"/>
          <w:sz w:val="18"/>
          <w:szCs w:val="18"/>
        </w:rPr>
        <w:footnoteRef/>
      </w:r>
      <w:r w:rsidRPr="008B02A4">
        <w:rPr>
          <w:sz w:val="18"/>
          <w:szCs w:val="18"/>
        </w:rPr>
        <w:t xml:space="preserve"> Information recueil</w:t>
      </w:r>
      <w:r w:rsidRPr="008B02A4">
        <w:rPr>
          <w:rStyle w:val="Rfrenceintense"/>
          <w:szCs w:val="18"/>
        </w:rPr>
        <w:t>lie auprès de Rita Marcq, responsable des admissions au sein du bureau des assistants paroissiaux dans le diocèse de Namur.</w:t>
      </w:r>
    </w:p>
  </w:footnote>
  <w:footnote w:id="16">
    <w:p w:rsidR="004E02E1" w:rsidRPr="008B02A4" w:rsidRDefault="004E02E1" w:rsidP="008B02A4">
      <w:pPr>
        <w:pStyle w:val="Notedebasdepage"/>
        <w:spacing w:after="60"/>
        <w:rPr>
          <w:rStyle w:val="Rfrenceintense"/>
          <w:szCs w:val="18"/>
        </w:rPr>
      </w:pPr>
      <w:r w:rsidRPr="008B02A4">
        <w:rPr>
          <w:rStyle w:val="Appelnotedebasdep"/>
          <w:sz w:val="18"/>
          <w:szCs w:val="18"/>
        </w:rPr>
        <w:footnoteRef/>
      </w:r>
      <w:r w:rsidRPr="008B02A4">
        <w:rPr>
          <w:sz w:val="18"/>
          <w:szCs w:val="18"/>
        </w:rPr>
        <w:t xml:space="preserve"> </w:t>
      </w:r>
      <w:r w:rsidRPr="008B02A4">
        <w:rPr>
          <w:rStyle w:val="Rfrenceintense"/>
          <w:szCs w:val="18"/>
        </w:rPr>
        <w:t>C. B</w:t>
      </w:r>
      <w:r w:rsidRPr="008B02A4">
        <w:rPr>
          <w:rStyle w:val="Rfrenceintense"/>
          <w:smallCaps/>
          <w:szCs w:val="18"/>
        </w:rPr>
        <w:t>éraud</w:t>
      </w:r>
      <w:r w:rsidRPr="008B02A4">
        <w:rPr>
          <w:rStyle w:val="Rfrenceintense"/>
          <w:szCs w:val="18"/>
        </w:rPr>
        <w:t xml:space="preserve">, </w:t>
      </w:r>
      <w:r w:rsidRPr="008B02A4">
        <w:rPr>
          <w:i/>
          <w:sz w:val="18"/>
          <w:szCs w:val="18"/>
        </w:rPr>
        <w:t>Prêtres, diacres, laïcs. Révolution silencieuse dans le catholicisme français</w:t>
      </w:r>
      <w:r w:rsidRPr="008B02A4">
        <w:rPr>
          <w:sz w:val="18"/>
          <w:szCs w:val="18"/>
        </w:rPr>
        <w:t>, Paris, PUF, 200</w:t>
      </w:r>
      <w:r w:rsidRPr="008B02A4">
        <w:rPr>
          <w:rStyle w:val="Rfrenceintense"/>
          <w:szCs w:val="18"/>
        </w:rPr>
        <w:t>7, p. 106-111.</w:t>
      </w:r>
      <w:r w:rsidR="006E72F7" w:rsidRPr="008B02A4">
        <w:rPr>
          <w:rStyle w:val="Rfrenceintense"/>
          <w:szCs w:val="18"/>
        </w:rPr>
        <w:t xml:space="preserve"> Cf. </w:t>
      </w:r>
      <w:r w:rsidR="006E72F7" w:rsidRPr="008B02A4">
        <w:rPr>
          <w:rStyle w:val="Rfrenceintense"/>
          <w:i/>
          <w:szCs w:val="18"/>
        </w:rPr>
        <w:t>supra</w:t>
      </w:r>
      <w:r w:rsidR="00392356">
        <w:rPr>
          <w:rStyle w:val="Rfrenceintense"/>
          <w:i/>
          <w:szCs w:val="18"/>
        </w:rPr>
        <w:t xml:space="preserve"> </w:t>
      </w:r>
      <w:r w:rsidR="006E72F7" w:rsidRPr="008B02A4">
        <w:rPr>
          <w:rStyle w:val="Rfrenceintense"/>
          <w:szCs w:val="18"/>
        </w:rPr>
        <w:t>note 3.</w:t>
      </w:r>
    </w:p>
  </w:footnote>
  <w:footnote w:id="17">
    <w:p w:rsidR="004E02E1" w:rsidRPr="008B02A4" w:rsidRDefault="004E02E1" w:rsidP="008B02A4">
      <w:pPr>
        <w:pStyle w:val="Notedebasdepage"/>
        <w:spacing w:after="60"/>
        <w:rPr>
          <w:rStyle w:val="Rfrenceintense"/>
          <w:szCs w:val="18"/>
        </w:rPr>
      </w:pPr>
      <w:r w:rsidRPr="008B02A4">
        <w:rPr>
          <w:rStyle w:val="Rfrenceintense"/>
          <w:szCs w:val="18"/>
        </w:rPr>
        <w:footnoteRef/>
      </w:r>
      <w:r w:rsidRPr="008B02A4">
        <w:rPr>
          <w:rStyle w:val="Rfrenceintense"/>
          <w:szCs w:val="18"/>
        </w:rPr>
        <w:t xml:space="preserve"> Qui constitue également une partie de la formation des candidats diacres.</w:t>
      </w:r>
    </w:p>
  </w:footnote>
  <w:footnote w:id="18">
    <w:p w:rsidR="004E02E1" w:rsidRPr="008B02A4" w:rsidRDefault="004E02E1" w:rsidP="008B02A4">
      <w:pPr>
        <w:pStyle w:val="Notedebasdepage"/>
        <w:spacing w:after="60"/>
        <w:rPr>
          <w:rStyle w:val="Rfrenceintense"/>
          <w:szCs w:val="18"/>
        </w:rPr>
      </w:pPr>
      <w:r w:rsidRPr="008B02A4">
        <w:rPr>
          <w:rStyle w:val="Rfrenceintense"/>
          <w:szCs w:val="18"/>
        </w:rPr>
        <w:footnoteRef/>
      </w:r>
      <w:r w:rsidRPr="008B02A4">
        <w:rPr>
          <w:rStyle w:val="Rfrenceintense"/>
          <w:szCs w:val="18"/>
        </w:rPr>
        <w:t xml:space="preserve"> Ces données ont été récoltées dans le cadre de ma recherche doctorale, à partir d’une rencontre qui a eu lieu le 6 novembre 2007 entre </w:t>
      </w:r>
      <w:r w:rsidRPr="008B02A4">
        <w:rPr>
          <w:sz w:val="18"/>
          <w:szCs w:val="18"/>
        </w:rPr>
        <w:t xml:space="preserve">Alphonse Borras, vicaire général du diocèse de Liège, Olivier </w:t>
      </w:r>
      <w:proofErr w:type="spellStart"/>
      <w:r w:rsidRPr="008B02A4">
        <w:rPr>
          <w:sz w:val="18"/>
          <w:szCs w:val="18"/>
        </w:rPr>
        <w:t>Fröhlich</w:t>
      </w:r>
      <w:proofErr w:type="spellEnd"/>
      <w:r w:rsidRPr="008B02A4">
        <w:rPr>
          <w:sz w:val="18"/>
          <w:szCs w:val="18"/>
        </w:rPr>
        <w:t xml:space="preserve">, vicaire général du diocèse de Tournai, Philippe Hector, alors vicaire épiscopal chargé de la formation dans le diocèse de Namur et Jean-Luc Hudsyn, alors adjoint de l’évêque auxiliaire du Brabant wallon (diocèse de Malines-Bruxelles). </w:t>
      </w:r>
      <w:r w:rsidRPr="008B02A4">
        <w:rPr>
          <w:rStyle w:val="Rfrenceintense"/>
          <w:szCs w:val="18"/>
        </w:rPr>
        <w:t xml:space="preserve">Cf. </w:t>
      </w:r>
      <w:r w:rsidRPr="008B02A4">
        <w:rPr>
          <w:rStyle w:val="Rfrenceintense"/>
          <w:i/>
          <w:szCs w:val="18"/>
        </w:rPr>
        <w:t>Enjeux théologiques</w:t>
      </w:r>
      <w:r w:rsidR="00227AF4" w:rsidRPr="008B02A4">
        <w:rPr>
          <w:rStyle w:val="Rfrenceintense"/>
          <w:i/>
          <w:szCs w:val="18"/>
        </w:rPr>
        <w:t>…</w:t>
      </w:r>
      <w:r w:rsidR="00227AF4" w:rsidRPr="008B02A4">
        <w:rPr>
          <w:rStyle w:val="Rfrenceintense"/>
          <w:szCs w:val="18"/>
        </w:rPr>
        <w:t xml:space="preserve">, </w:t>
      </w:r>
      <w:r w:rsidR="00227AF4" w:rsidRPr="008B02A4">
        <w:rPr>
          <w:rStyle w:val="Rfrenceintense"/>
          <w:i/>
          <w:szCs w:val="18"/>
        </w:rPr>
        <w:t xml:space="preserve">op. </w:t>
      </w:r>
      <w:proofErr w:type="gramStart"/>
      <w:r w:rsidR="00227AF4" w:rsidRPr="008B02A4">
        <w:rPr>
          <w:rStyle w:val="Rfrenceintense"/>
          <w:i/>
          <w:szCs w:val="18"/>
        </w:rPr>
        <w:t>cit.</w:t>
      </w:r>
      <w:r w:rsidRPr="008B02A4">
        <w:rPr>
          <w:rStyle w:val="Rfrenceintense"/>
          <w:szCs w:val="18"/>
        </w:rPr>
        <w:t>,</w:t>
      </w:r>
      <w:proofErr w:type="gramEnd"/>
      <w:r w:rsidRPr="008B02A4">
        <w:rPr>
          <w:rStyle w:val="Rfrenceintense"/>
          <w:szCs w:val="18"/>
        </w:rPr>
        <w:t xml:space="preserve"> Paris-Louvain-la-Neuve, 2012, p.166-167. </w:t>
      </w:r>
    </w:p>
  </w:footnote>
  <w:footnote w:id="19">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Les participants à la rencontre évoquée à la note précédente n’étaient alors pas au fait des propositions des autres diocèses.</w:t>
      </w:r>
    </w:p>
  </w:footnote>
  <w:footnote w:id="20">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Moyennant l’obtention d’un certain nombre de crédits, la participation à des journées de formation pastorale et la rédaction d’un travail de fin d’études, cf. </w:t>
      </w:r>
      <w:hyperlink r:id="rId3" w:history="1">
        <w:r w:rsidRPr="008B02A4">
          <w:rPr>
            <w:rStyle w:val="Lienhypertexte"/>
            <w:sz w:val="18"/>
            <w:szCs w:val="18"/>
          </w:rPr>
          <w:t>http://www.uclouvain.be/theo-cetp.html</w:t>
        </w:r>
      </w:hyperlink>
      <w:r w:rsidRPr="008B02A4">
        <w:rPr>
          <w:sz w:val="18"/>
          <w:szCs w:val="18"/>
        </w:rPr>
        <w:t>. Ce certificat est organisé par ce Centre Universitaire de théologie pratique (CUTP), inséré dans la Faculté de théologie et placé sous la responsabilité du professeur Arnaud Join-Lambert et au sein duquel je travaille. Cette certification relève de l’Institut universitaire de formation continue (IUFC).</w:t>
      </w:r>
    </w:p>
  </w:footnote>
  <w:footnote w:id="21">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Ces propositions sont également menées par ou adressées au CUTP.</w:t>
      </w:r>
    </w:p>
  </w:footnote>
  <w:footnote w:id="22">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Cf. A. </w:t>
      </w:r>
      <w:r w:rsidRPr="008B02A4">
        <w:rPr>
          <w:smallCaps/>
          <w:sz w:val="18"/>
          <w:szCs w:val="18"/>
        </w:rPr>
        <w:t>Borras</w:t>
      </w:r>
      <w:r w:rsidRPr="008B02A4">
        <w:rPr>
          <w:sz w:val="18"/>
          <w:szCs w:val="18"/>
        </w:rPr>
        <w:t xml:space="preserve">, « L’articulation des ministères : de la théologie à la lettre de mission », dans </w:t>
      </w:r>
      <w:r w:rsidRPr="008B02A4">
        <w:rPr>
          <w:i/>
          <w:sz w:val="18"/>
          <w:szCs w:val="18"/>
        </w:rPr>
        <w:t>Esprit et Vie</w:t>
      </w:r>
      <w:r w:rsidRPr="008B02A4">
        <w:rPr>
          <w:sz w:val="18"/>
          <w:szCs w:val="18"/>
        </w:rPr>
        <w:t>, n° 179, octobre 2007, p. 6-9.</w:t>
      </w:r>
    </w:p>
  </w:footnote>
  <w:footnote w:id="23">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 Commission diocésaine pour les animateurs en pastorale » pour Tournai, dont il est déjà question dans l’article d’André </w:t>
      </w:r>
      <w:r w:rsidRPr="008B02A4">
        <w:rPr>
          <w:smallCaps/>
          <w:sz w:val="18"/>
          <w:szCs w:val="18"/>
        </w:rPr>
        <w:t>Minet</w:t>
      </w:r>
      <w:r w:rsidRPr="008B02A4">
        <w:rPr>
          <w:sz w:val="18"/>
          <w:szCs w:val="18"/>
        </w:rPr>
        <w:t xml:space="preserve">, </w:t>
      </w:r>
      <w:r w:rsidRPr="008B02A4">
        <w:rPr>
          <w:i/>
          <w:iCs/>
          <w:sz w:val="18"/>
          <w:szCs w:val="18"/>
        </w:rPr>
        <w:t>La formation diocésaine des animateurs pastoraux. Quelques points de repères</w:t>
      </w:r>
      <w:r w:rsidRPr="008B02A4">
        <w:rPr>
          <w:sz w:val="18"/>
          <w:szCs w:val="18"/>
        </w:rPr>
        <w:t>, dans Alphonse B</w:t>
      </w:r>
      <w:r w:rsidRPr="008B02A4">
        <w:rPr>
          <w:smallCaps/>
          <w:sz w:val="18"/>
          <w:szCs w:val="18"/>
        </w:rPr>
        <w:t>orras</w:t>
      </w:r>
      <w:r w:rsidRPr="008B02A4">
        <w:rPr>
          <w:sz w:val="18"/>
          <w:szCs w:val="18"/>
        </w:rPr>
        <w:t xml:space="preserve"> (dir.), </w:t>
      </w:r>
      <w:r w:rsidRPr="008B02A4">
        <w:rPr>
          <w:i/>
          <w:iCs/>
          <w:sz w:val="18"/>
          <w:szCs w:val="18"/>
        </w:rPr>
        <w:t>Des laïcs en responsabilité pastorale ? Accueillir les nouveaux ministères</w:t>
      </w:r>
      <w:r w:rsidRPr="008B02A4">
        <w:rPr>
          <w:sz w:val="18"/>
          <w:szCs w:val="18"/>
        </w:rPr>
        <w:t xml:space="preserve">, Paris, Le Cerf, 1998, p. 272 ; « Bureau des assistants paroissiaux » pour Namur, « commission des ministères laïcs » composée d’un « bureau pour les assistants paroissiaux » et d’un « bureau pour les animateurs pastoraux » à Liège. </w:t>
      </w:r>
    </w:p>
  </w:footnote>
  <w:footnote w:id="24">
    <w:p w:rsidR="004E02E1" w:rsidRPr="008B02A4" w:rsidRDefault="004E02E1" w:rsidP="008B02A4">
      <w:pPr>
        <w:pStyle w:val="Notedebasdepage"/>
        <w:spacing w:after="60"/>
        <w:rPr>
          <w:sz w:val="18"/>
          <w:szCs w:val="18"/>
          <w:lang w:val="en-US"/>
        </w:rPr>
      </w:pPr>
      <w:r w:rsidRPr="008B02A4">
        <w:rPr>
          <w:rStyle w:val="Appelnotedebasdep"/>
          <w:sz w:val="18"/>
          <w:szCs w:val="18"/>
        </w:rPr>
        <w:footnoteRef/>
      </w:r>
      <w:r w:rsidRPr="008B02A4">
        <w:rPr>
          <w:sz w:val="18"/>
          <w:szCs w:val="18"/>
          <w:lang w:val="en-US"/>
        </w:rPr>
        <w:t xml:space="preserve"> Cf. http://info.catho.be/tag/anne-marie-fortemps.</w:t>
      </w:r>
    </w:p>
  </w:footnote>
  <w:footnote w:id="25">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Il y a trois autres délégués épiscopaux masculins, deux laïcs (économe et pour l’enseignement néerlandophone) et un diacre (pour l’enseignement francophone).</w:t>
      </w:r>
    </w:p>
  </w:footnote>
  <w:footnote w:id="26">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Nommées en 2008 par Mgr De </w:t>
      </w:r>
      <w:proofErr w:type="spellStart"/>
      <w:r w:rsidRPr="008B02A4">
        <w:rPr>
          <w:sz w:val="18"/>
          <w:szCs w:val="18"/>
        </w:rPr>
        <w:t>Kesel</w:t>
      </w:r>
      <w:proofErr w:type="spellEnd"/>
      <w:r w:rsidRPr="008B02A4">
        <w:rPr>
          <w:sz w:val="18"/>
          <w:szCs w:val="18"/>
        </w:rPr>
        <w:t> ; il y a eu un changement de personnes pour la déléguée à la pastorale de la santé en 2013.</w:t>
      </w:r>
    </w:p>
  </w:footnote>
  <w:footnote w:id="27">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Les trois premières nommées en 2011 et la quatrième en 2013 par Mgr Hudsyn ; le conseil vicarial comprend deux autres femmes (respectivement responsables de la catéchèse et de la communication), un homme laïc (responsable des services évangélisation et couple et famille), ainsi que deux prêtres (l’adjoint de l’évêque et un doyen).</w:t>
      </w:r>
    </w:p>
  </w:footnote>
  <w:footnote w:id="28">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Cf.</w:t>
      </w:r>
      <w:r w:rsidRPr="008B02A4">
        <w:rPr>
          <w:i/>
          <w:sz w:val="18"/>
          <w:szCs w:val="18"/>
        </w:rPr>
        <w:t xml:space="preserve"> Annuaire de l’archidiocèse de Malines-Bruxelles</w:t>
      </w:r>
      <w:r w:rsidRPr="008B02A4">
        <w:rPr>
          <w:sz w:val="18"/>
          <w:szCs w:val="18"/>
        </w:rPr>
        <w:t xml:space="preserve">, 2014, p. 443, 446. </w:t>
      </w:r>
    </w:p>
  </w:footnote>
  <w:footnote w:id="29">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L</w:t>
      </w:r>
      <w:r w:rsidR="00530570" w:rsidRPr="008B02A4">
        <w:rPr>
          <w:sz w:val="18"/>
          <w:szCs w:val="18"/>
        </w:rPr>
        <w:t>’évêque auxiliaire</w:t>
      </w:r>
      <w:r w:rsidRPr="008B02A4">
        <w:rPr>
          <w:sz w:val="18"/>
          <w:szCs w:val="18"/>
        </w:rPr>
        <w:t xml:space="preserve"> de Bruxelles</w:t>
      </w:r>
      <w:r w:rsidR="00530570" w:rsidRPr="008B02A4">
        <w:rPr>
          <w:sz w:val="18"/>
          <w:szCs w:val="18"/>
        </w:rPr>
        <w:t xml:space="preserve"> –</w:t>
      </w:r>
      <w:r w:rsidR="000606BC">
        <w:rPr>
          <w:sz w:val="18"/>
          <w:szCs w:val="18"/>
        </w:rPr>
        <w:t xml:space="preserve"> </w:t>
      </w:r>
      <w:r w:rsidR="00530570" w:rsidRPr="008B02A4">
        <w:rPr>
          <w:sz w:val="18"/>
          <w:szCs w:val="18"/>
        </w:rPr>
        <w:t>Mgr Pau</w:t>
      </w:r>
      <w:r w:rsidR="000606BC">
        <w:rPr>
          <w:sz w:val="18"/>
          <w:szCs w:val="18"/>
        </w:rPr>
        <w:t>l</w:t>
      </w:r>
      <w:r w:rsidR="00530570" w:rsidRPr="008B02A4">
        <w:rPr>
          <w:sz w:val="18"/>
          <w:szCs w:val="18"/>
        </w:rPr>
        <w:t xml:space="preserve"> </w:t>
      </w:r>
      <w:proofErr w:type="spellStart"/>
      <w:r w:rsidR="00530570" w:rsidRPr="008B02A4">
        <w:rPr>
          <w:sz w:val="18"/>
          <w:szCs w:val="18"/>
        </w:rPr>
        <w:t>Lanneau</w:t>
      </w:r>
      <w:proofErr w:type="spellEnd"/>
      <w:r w:rsidR="00530570" w:rsidRPr="008B02A4">
        <w:rPr>
          <w:sz w:val="18"/>
          <w:szCs w:val="18"/>
        </w:rPr>
        <w:t xml:space="preserve"> – a d</w:t>
      </w:r>
      <w:r w:rsidRPr="008B02A4">
        <w:rPr>
          <w:sz w:val="18"/>
          <w:szCs w:val="18"/>
        </w:rPr>
        <w:t xml:space="preserve">éjà </w:t>
      </w:r>
      <w:r w:rsidR="00530570" w:rsidRPr="008B02A4">
        <w:rPr>
          <w:sz w:val="18"/>
          <w:szCs w:val="18"/>
        </w:rPr>
        <w:t>appelé une femme pour être son</w:t>
      </w:r>
      <w:r w:rsidRPr="008B02A4">
        <w:rPr>
          <w:sz w:val="18"/>
          <w:szCs w:val="18"/>
        </w:rPr>
        <w:t xml:space="preserve"> adjointe </w:t>
      </w:r>
      <w:r w:rsidR="00530570" w:rsidRPr="008B02A4">
        <w:rPr>
          <w:sz w:val="18"/>
          <w:szCs w:val="18"/>
        </w:rPr>
        <w:t xml:space="preserve">au milieu des années 90, </w:t>
      </w:r>
      <w:r w:rsidRPr="008B02A4">
        <w:rPr>
          <w:sz w:val="18"/>
          <w:szCs w:val="18"/>
        </w:rPr>
        <w:t>aux côtés d’un a</w:t>
      </w:r>
      <w:r w:rsidR="00530570" w:rsidRPr="008B02A4">
        <w:rPr>
          <w:sz w:val="18"/>
          <w:szCs w:val="18"/>
        </w:rPr>
        <w:t>djoint prêtre</w:t>
      </w:r>
      <w:r w:rsidRPr="008B02A4">
        <w:rPr>
          <w:sz w:val="18"/>
          <w:szCs w:val="18"/>
        </w:rPr>
        <w:t>.</w:t>
      </w:r>
    </w:p>
  </w:footnote>
  <w:footnote w:id="30">
    <w:p w:rsidR="00530570" w:rsidRPr="008B02A4" w:rsidRDefault="00530570"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A. </w:t>
      </w:r>
      <w:r w:rsidRPr="008B02A4">
        <w:rPr>
          <w:smallCaps/>
          <w:sz w:val="18"/>
          <w:szCs w:val="18"/>
        </w:rPr>
        <w:t>Borras</w:t>
      </w:r>
      <w:r w:rsidRPr="008B02A4">
        <w:rPr>
          <w:sz w:val="18"/>
          <w:szCs w:val="18"/>
        </w:rPr>
        <w:t xml:space="preserve">, « L’articulation des ministères… », </w:t>
      </w:r>
      <w:proofErr w:type="gramStart"/>
      <w:r w:rsidRPr="008B02A4">
        <w:rPr>
          <w:i/>
          <w:sz w:val="18"/>
          <w:szCs w:val="18"/>
        </w:rPr>
        <w:t>op</w:t>
      </w:r>
      <w:proofErr w:type="gramEnd"/>
      <w:r w:rsidRPr="008B02A4">
        <w:rPr>
          <w:i/>
          <w:sz w:val="18"/>
          <w:szCs w:val="18"/>
        </w:rPr>
        <w:t xml:space="preserve">. </w:t>
      </w:r>
      <w:proofErr w:type="gramStart"/>
      <w:r w:rsidRPr="008B02A4">
        <w:rPr>
          <w:i/>
          <w:sz w:val="18"/>
          <w:szCs w:val="18"/>
        </w:rPr>
        <w:t>cit.</w:t>
      </w:r>
      <w:r w:rsidRPr="008B02A4">
        <w:rPr>
          <w:sz w:val="18"/>
          <w:szCs w:val="18"/>
        </w:rPr>
        <w:t>,</w:t>
      </w:r>
      <w:proofErr w:type="gramEnd"/>
      <w:r w:rsidRPr="008B02A4">
        <w:rPr>
          <w:sz w:val="18"/>
          <w:szCs w:val="18"/>
        </w:rPr>
        <w:t xml:space="preserve"> p. 2-4.</w:t>
      </w:r>
    </w:p>
  </w:footnote>
  <w:footnote w:id="31">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Il faut savoir qu’actuellement, le salaire d’assistant paroissial, équivalent à celui de vicaire, est « la rémunération la plus basse qui peut être accordée à un agent de l’Etat » ; il correspond « au niveau D de la fonction publique fédérale » pour lequel « aucun titre scolaire particulier n’est requis… sinon savoir lire et écrire », cf. M. </w:t>
      </w:r>
      <w:r w:rsidRPr="008B02A4">
        <w:rPr>
          <w:smallCaps/>
          <w:sz w:val="18"/>
          <w:szCs w:val="18"/>
        </w:rPr>
        <w:t>Beumier</w:t>
      </w:r>
      <w:r w:rsidRPr="008B02A4">
        <w:rPr>
          <w:sz w:val="18"/>
          <w:szCs w:val="18"/>
        </w:rPr>
        <w:t xml:space="preserve">, « Le statut social des ministres des cultes et des délégués laïques », dans </w:t>
      </w:r>
      <w:r w:rsidRPr="008B02A4">
        <w:rPr>
          <w:i/>
          <w:sz w:val="18"/>
          <w:szCs w:val="18"/>
        </w:rPr>
        <w:t>Courrier hebdomadaire</w:t>
      </w:r>
      <w:r w:rsidRPr="008B02A4">
        <w:rPr>
          <w:sz w:val="18"/>
          <w:szCs w:val="18"/>
        </w:rPr>
        <w:t>, n° 1918, CRISP, 2006, p. 27.</w:t>
      </w:r>
    </w:p>
  </w:footnote>
  <w:footnote w:id="32">
    <w:p w:rsidR="000F336F" w:rsidRPr="008B02A4" w:rsidRDefault="000F336F" w:rsidP="008B02A4">
      <w:pPr>
        <w:pStyle w:val="Notedebasdepage"/>
        <w:spacing w:after="60"/>
        <w:rPr>
          <w:sz w:val="18"/>
          <w:szCs w:val="18"/>
        </w:rPr>
      </w:pPr>
      <w:r w:rsidRPr="008B02A4">
        <w:rPr>
          <w:rStyle w:val="Appelnotedebasdep"/>
          <w:sz w:val="18"/>
          <w:szCs w:val="18"/>
        </w:rPr>
        <w:footnoteRef/>
      </w:r>
      <w:r w:rsidRPr="008B02A4">
        <w:rPr>
          <w:sz w:val="18"/>
          <w:szCs w:val="18"/>
          <w:lang w:val="fr-FR"/>
        </w:rPr>
        <w:t xml:space="preserve"> Canon 517 § 2 : Si, à cause de la pénurie de prêtres, l’Évêque diocésain croit devoir confier à un diacre ou à une autre personne non revêtue du caractère sacerdotal, ou encore à une communauté de personnes, une participation à l’exercice de la charge pastorale de la paroisse, il constituera un prêtre qui, muni des pouvoirs et facultés du curé, sera le modérateur de la charge pastorale. </w:t>
      </w:r>
    </w:p>
  </w:footnote>
  <w:footnote w:id="33">
    <w:p w:rsidR="00B63B5E" w:rsidRPr="008B02A4" w:rsidRDefault="00B63B5E" w:rsidP="008B02A4">
      <w:pPr>
        <w:pStyle w:val="Notedebasdepage"/>
        <w:spacing w:after="60"/>
        <w:rPr>
          <w:sz w:val="18"/>
          <w:szCs w:val="18"/>
          <w:lang w:val="fr-FR"/>
        </w:rPr>
      </w:pPr>
      <w:r w:rsidRPr="008B02A4">
        <w:rPr>
          <w:rStyle w:val="Appelnotedebasdep"/>
          <w:sz w:val="18"/>
          <w:szCs w:val="18"/>
        </w:rPr>
        <w:footnoteRef/>
      </w:r>
      <w:r w:rsidRPr="008B02A4">
        <w:rPr>
          <w:sz w:val="18"/>
          <w:szCs w:val="18"/>
        </w:rPr>
        <w:t xml:space="preserve"> </w:t>
      </w:r>
      <w:r w:rsidRPr="008B02A4">
        <w:rPr>
          <w:sz w:val="18"/>
          <w:szCs w:val="18"/>
          <w:lang w:val="fr-FR"/>
        </w:rPr>
        <w:t>F. </w:t>
      </w:r>
      <w:proofErr w:type="spellStart"/>
      <w:r w:rsidRPr="008B02A4">
        <w:rPr>
          <w:smallCaps/>
          <w:sz w:val="18"/>
          <w:szCs w:val="18"/>
          <w:lang w:val="fr-FR"/>
        </w:rPr>
        <w:t>Moog</w:t>
      </w:r>
      <w:proofErr w:type="spellEnd"/>
      <w:r w:rsidRPr="008B02A4">
        <w:rPr>
          <w:sz w:val="18"/>
          <w:szCs w:val="18"/>
          <w:lang w:val="fr-FR"/>
        </w:rPr>
        <w:t xml:space="preserve">, </w:t>
      </w:r>
      <w:r w:rsidRPr="008B02A4">
        <w:rPr>
          <w:i/>
          <w:sz w:val="18"/>
          <w:szCs w:val="18"/>
          <w:lang w:val="fr-FR"/>
        </w:rPr>
        <w:t>La participation à l'exercice de la charge pastorale. Une évaluation théologique du canon 517 § 2</w:t>
      </w:r>
      <w:r w:rsidRPr="008B02A4">
        <w:rPr>
          <w:sz w:val="18"/>
          <w:szCs w:val="18"/>
          <w:lang w:val="fr-FR"/>
        </w:rPr>
        <w:t>, Paris, Desclée de Brouwer, 2010, p. 25.</w:t>
      </w:r>
    </w:p>
  </w:footnote>
  <w:footnote w:id="34">
    <w:p w:rsidR="00227AF4" w:rsidRPr="008B02A4" w:rsidRDefault="00227AF4"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w:t>
      </w:r>
      <w:r w:rsidR="00E31E96" w:rsidRPr="008B02A4">
        <w:rPr>
          <w:sz w:val="18"/>
          <w:szCs w:val="18"/>
        </w:rPr>
        <w:t>Le Concile Vatican II n’a pas repris cette distinction alors qu’elle a reprise dan</w:t>
      </w:r>
      <w:r w:rsidR="00BE7145">
        <w:rPr>
          <w:sz w:val="18"/>
          <w:szCs w:val="18"/>
        </w:rPr>
        <w:t>s</w:t>
      </w:r>
      <w:r w:rsidR="00E31E96" w:rsidRPr="008B02A4">
        <w:rPr>
          <w:sz w:val="18"/>
          <w:szCs w:val="18"/>
        </w:rPr>
        <w:t xml:space="preserve"> le Code de Droit canon de 1983, suscitant un important débat théologique, cf. L. V</w:t>
      </w:r>
      <w:r w:rsidR="00ED2098" w:rsidRPr="008B02A4">
        <w:rPr>
          <w:smallCaps/>
          <w:sz w:val="18"/>
          <w:szCs w:val="18"/>
        </w:rPr>
        <w:t>illemin</w:t>
      </w:r>
      <w:r w:rsidR="00E31E96" w:rsidRPr="008B02A4">
        <w:rPr>
          <w:sz w:val="18"/>
          <w:szCs w:val="18"/>
        </w:rPr>
        <w:t xml:space="preserve">, </w:t>
      </w:r>
      <w:r w:rsidR="00E31E96" w:rsidRPr="008B02A4">
        <w:rPr>
          <w:i/>
          <w:sz w:val="18"/>
          <w:szCs w:val="18"/>
        </w:rPr>
        <w:t>Pouvoir d’ordre et de juridiction. Histoire théologique de leur distinction</w:t>
      </w:r>
      <w:r w:rsidR="00E31E96" w:rsidRPr="008B02A4">
        <w:rPr>
          <w:sz w:val="18"/>
          <w:szCs w:val="18"/>
        </w:rPr>
        <w:t>, Paris, Le Cerf, 2003</w:t>
      </w:r>
      <w:r w:rsidR="00ED2098" w:rsidRPr="008B02A4">
        <w:rPr>
          <w:sz w:val="18"/>
          <w:szCs w:val="18"/>
        </w:rPr>
        <w:t xml:space="preserve">. </w:t>
      </w:r>
      <w:r w:rsidRPr="008B02A4">
        <w:rPr>
          <w:sz w:val="18"/>
          <w:szCs w:val="18"/>
          <w:lang w:val="fr-FR"/>
        </w:rPr>
        <w:t>A</w:t>
      </w:r>
      <w:r w:rsidR="00ED2098" w:rsidRPr="008B02A4">
        <w:rPr>
          <w:sz w:val="18"/>
          <w:szCs w:val="18"/>
          <w:lang w:val="fr-FR"/>
        </w:rPr>
        <w:t xml:space="preserve">lphonse </w:t>
      </w:r>
      <w:r w:rsidR="00BE7145">
        <w:rPr>
          <w:sz w:val="18"/>
          <w:szCs w:val="18"/>
          <w:lang w:val="fr-FR"/>
        </w:rPr>
        <w:t xml:space="preserve">Borras </w:t>
      </w:r>
      <w:r w:rsidR="00ED2098" w:rsidRPr="008B02A4">
        <w:rPr>
          <w:sz w:val="18"/>
          <w:szCs w:val="18"/>
          <w:lang w:val="fr-FR"/>
        </w:rPr>
        <w:t xml:space="preserve">en présente </w:t>
      </w:r>
      <w:r w:rsidR="00BE7145">
        <w:rPr>
          <w:sz w:val="18"/>
          <w:szCs w:val="18"/>
          <w:lang w:val="fr-FR"/>
        </w:rPr>
        <w:t xml:space="preserve">brièvement </w:t>
      </w:r>
      <w:r w:rsidR="00ED2098" w:rsidRPr="008B02A4">
        <w:rPr>
          <w:sz w:val="18"/>
          <w:szCs w:val="18"/>
          <w:lang w:val="fr-FR"/>
        </w:rPr>
        <w:t xml:space="preserve">les implications pour la théologie des ministères </w:t>
      </w:r>
      <w:r w:rsidR="00BE7145">
        <w:rPr>
          <w:sz w:val="18"/>
          <w:szCs w:val="18"/>
          <w:lang w:val="fr-FR"/>
        </w:rPr>
        <w:t xml:space="preserve">dans </w:t>
      </w:r>
      <w:r w:rsidRPr="008B02A4">
        <w:rPr>
          <w:sz w:val="18"/>
          <w:szCs w:val="18"/>
          <w:lang w:val="fr-FR"/>
        </w:rPr>
        <w:t xml:space="preserve">« Ordre et juridiction : les enjeux théologiques actuels de l’histoire d’une distinction », dans </w:t>
      </w:r>
      <w:r w:rsidRPr="008B02A4">
        <w:rPr>
          <w:i/>
          <w:sz w:val="18"/>
          <w:szCs w:val="18"/>
          <w:lang w:val="fr-FR"/>
        </w:rPr>
        <w:t>Revue théologique de Louvain</w:t>
      </w:r>
      <w:r w:rsidRPr="008B02A4">
        <w:rPr>
          <w:sz w:val="18"/>
          <w:szCs w:val="18"/>
          <w:lang w:val="fr-FR"/>
        </w:rPr>
        <w:t>,</w:t>
      </w:r>
      <w:r w:rsidR="00ED2098" w:rsidRPr="008B02A4">
        <w:rPr>
          <w:sz w:val="18"/>
          <w:szCs w:val="18"/>
          <w:lang w:val="fr-FR"/>
        </w:rPr>
        <w:t xml:space="preserve"> 35 (2004), p</w:t>
      </w:r>
      <w:r w:rsidRPr="008B02A4">
        <w:rPr>
          <w:sz w:val="18"/>
          <w:szCs w:val="18"/>
          <w:lang w:val="fr-FR"/>
        </w:rPr>
        <w:t xml:space="preserve">. </w:t>
      </w:r>
      <w:r w:rsidR="00ED2098" w:rsidRPr="008B02A4">
        <w:rPr>
          <w:sz w:val="18"/>
          <w:szCs w:val="18"/>
          <w:lang w:val="fr-FR"/>
        </w:rPr>
        <w:t>505-508</w:t>
      </w:r>
      <w:r w:rsidRPr="008B02A4">
        <w:rPr>
          <w:sz w:val="18"/>
          <w:szCs w:val="18"/>
          <w:lang w:val="fr-FR"/>
        </w:rPr>
        <w:t>.</w:t>
      </w:r>
    </w:p>
  </w:footnote>
  <w:footnote w:id="35">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Cf. </w:t>
      </w:r>
      <w:r w:rsidRPr="008B02A4">
        <w:rPr>
          <w:i/>
          <w:sz w:val="18"/>
          <w:szCs w:val="18"/>
        </w:rPr>
        <w:t xml:space="preserve">Déclaration </w:t>
      </w:r>
      <w:r w:rsidRPr="008B02A4">
        <w:rPr>
          <w:sz w:val="18"/>
          <w:szCs w:val="18"/>
        </w:rPr>
        <w:t xml:space="preserve">Inter </w:t>
      </w:r>
      <w:proofErr w:type="spellStart"/>
      <w:r w:rsidRPr="008B02A4">
        <w:rPr>
          <w:sz w:val="18"/>
          <w:szCs w:val="18"/>
        </w:rPr>
        <w:t>insigniores</w:t>
      </w:r>
      <w:proofErr w:type="spellEnd"/>
      <w:r w:rsidRPr="008B02A4">
        <w:rPr>
          <w:sz w:val="18"/>
          <w:szCs w:val="18"/>
        </w:rPr>
        <w:t xml:space="preserve"> </w:t>
      </w:r>
      <w:r w:rsidRPr="008B02A4">
        <w:rPr>
          <w:i/>
          <w:sz w:val="18"/>
          <w:szCs w:val="18"/>
        </w:rPr>
        <w:t>sur la question de l’admission des femmes au sacerdoce ministériel</w:t>
      </w:r>
      <w:r w:rsidRPr="008B02A4">
        <w:rPr>
          <w:sz w:val="18"/>
          <w:szCs w:val="18"/>
        </w:rPr>
        <w:t>, 1976, n° 5.</w:t>
      </w:r>
    </w:p>
  </w:footnote>
  <w:footnote w:id="36">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Voir à ce propos D. </w:t>
      </w:r>
      <w:r w:rsidRPr="008B02A4">
        <w:rPr>
          <w:smallCaps/>
          <w:sz w:val="18"/>
          <w:szCs w:val="18"/>
        </w:rPr>
        <w:t xml:space="preserve">Villepelet, </w:t>
      </w:r>
      <w:r w:rsidRPr="008B02A4">
        <w:rPr>
          <w:sz w:val="18"/>
          <w:szCs w:val="18"/>
        </w:rPr>
        <w:t>« </w:t>
      </w:r>
      <w:r w:rsidRPr="008B02A4">
        <w:rPr>
          <w:iCs/>
          <w:sz w:val="18"/>
          <w:szCs w:val="18"/>
        </w:rPr>
        <w:t>Apprendre la différence et le partenariat », dans</w:t>
      </w:r>
      <w:r w:rsidRPr="008B02A4">
        <w:rPr>
          <w:i/>
          <w:iCs/>
          <w:sz w:val="18"/>
          <w:szCs w:val="18"/>
        </w:rPr>
        <w:t xml:space="preserve"> La Maison-Dieu</w:t>
      </w:r>
      <w:r w:rsidRPr="008B02A4">
        <w:rPr>
          <w:sz w:val="18"/>
          <w:szCs w:val="18"/>
        </w:rPr>
        <w:t>, 215 (1998/3), p. 111-124D. </w:t>
      </w:r>
      <w:proofErr w:type="spellStart"/>
      <w:r w:rsidRPr="008B02A4">
        <w:rPr>
          <w:smallCaps/>
          <w:sz w:val="18"/>
          <w:szCs w:val="18"/>
        </w:rPr>
        <w:t>Noblot</w:t>
      </w:r>
      <w:proofErr w:type="spellEnd"/>
      <w:r w:rsidRPr="008B02A4">
        <w:rPr>
          <w:sz w:val="18"/>
          <w:szCs w:val="18"/>
        </w:rPr>
        <w:t>, « </w:t>
      </w:r>
      <w:r w:rsidRPr="008B02A4">
        <w:rPr>
          <w:iCs/>
          <w:sz w:val="18"/>
          <w:szCs w:val="18"/>
        </w:rPr>
        <w:t>Pratiques de formation dans le diocèse de Troyes »</w:t>
      </w:r>
      <w:r w:rsidRPr="008B02A4">
        <w:rPr>
          <w:sz w:val="18"/>
          <w:szCs w:val="18"/>
        </w:rPr>
        <w:t xml:space="preserve">, dans </w:t>
      </w:r>
      <w:r w:rsidRPr="008B02A4">
        <w:rPr>
          <w:i/>
          <w:iCs/>
          <w:sz w:val="18"/>
          <w:szCs w:val="18"/>
        </w:rPr>
        <w:t>Revue de sciences religieuses</w:t>
      </w:r>
      <w:r w:rsidRPr="008B02A4">
        <w:rPr>
          <w:sz w:val="18"/>
          <w:szCs w:val="18"/>
        </w:rPr>
        <w:t>,</w:t>
      </w:r>
      <w:r w:rsidRPr="008B02A4">
        <w:rPr>
          <w:i/>
          <w:iCs/>
          <w:sz w:val="18"/>
          <w:szCs w:val="18"/>
        </w:rPr>
        <w:t xml:space="preserve"> </w:t>
      </w:r>
      <w:r w:rsidRPr="008B02A4">
        <w:rPr>
          <w:sz w:val="18"/>
          <w:szCs w:val="18"/>
        </w:rPr>
        <w:t>79/3 (2005), p. 354-360</w:t>
      </w:r>
    </w:p>
  </w:footnote>
  <w:footnote w:id="37">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w:t>
      </w:r>
      <w:r w:rsidRPr="008B02A4">
        <w:rPr>
          <w:rStyle w:val="Rfrenceintense"/>
          <w:szCs w:val="18"/>
        </w:rPr>
        <w:t>C. B</w:t>
      </w:r>
      <w:r w:rsidRPr="008B02A4">
        <w:rPr>
          <w:rStyle w:val="Rfrenceintense"/>
          <w:smallCaps/>
          <w:szCs w:val="18"/>
        </w:rPr>
        <w:t>éraud</w:t>
      </w:r>
      <w:r w:rsidRPr="008B02A4">
        <w:rPr>
          <w:rStyle w:val="Rfrenceintense"/>
          <w:szCs w:val="18"/>
        </w:rPr>
        <w:t xml:space="preserve">, </w:t>
      </w:r>
      <w:r w:rsidRPr="008B02A4">
        <w:rPr>
          <w:i/>
          <w:sz w:val="18"/>
          <w:szCs w:val="18"/>
        </w:rPr>
        <w:t xml:space="preserve">Prêtres, diacres, laïcs…, op. </w:t>
      </w:r>
      <w:proofErr w:type="gramStart"/>
      <w:r w:rsidRPr="008B02A4">
        <w:rPr>
          <w:i/>
          <w:sz w:val="18"/>
          <w:szCs w:val="18"/>
        </w:rPr>
        <w:t>cit.</w:t>
      </w:r>
      <w:r w:rsidRPr="008B02A4">
        <w:rPr>
          <w:sz w:val="18"/>
          <w:szCs w:val="18"/>
        </w:rPr>
        <w:t>,</w:t>
      </w:r>
      <w:proofErr w:type="gramEnd"/>
      <w:r w:rsidRPr="008B02A4">
        <w:rPr>
          <w:sz w:val="18"/>
          <w:szCs w:val="18"/>
        </w:rPr>
        <w:t xml:space="preserve"> p. 306.</w:t>
      </w:r>
    </w:p>
  </w:footnote>
  <w:footnote w:id="38">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A. </w:t>
      </w:r>
      <w:r w:rsidRPr="008B02A4">
        <w:rPr>
          <w:smallCaps/>
          <w:sz w:val="18"/>
          <w:szCs w:val="18"/>
        </w:rPr>
        <w:t>Soupa</w:t>
      </w:r>
      <w:r w:rsidRPr="008B02A4">
        <w:rPr>
          <w:sz w:val="18"/>
          <w:szCs w:val="18"/>
        </w:rPr>
        <w:t xml:space="preserve"> et C. </w:t>
      </w:r>
      <w:proofErr w:type="spellStart"/>
      <w:r w:rsidRPr="008B02A4">
        <w:rPr>
          <w:smallCaps/>
          <w:sz w:val="18"/>
          <w:szCs w:val="18"/>
        </w:rPr>
        <w:t>Pedotti</w:t>
      </w:r>
      <w:proofErr w:type="spellEnd"/>
      <w:r w:rsidRPr="008B02A4">
        <w:rPr>
          <w:sz w:val="18"/>
          <w:szCs w:val="18"/>
        </w:rPr>
        <w:t xml:space="preserve">, </w:t>
      </w:r>
      <w:r w:rsidRPr="008B02A4">
        <w:rPr>
          <w:i/>
          <w:sz w:val="18"/>
          <w:szCs w:val="18"/>
        </w:rPr>
        <w:t xml:space="preserve">Les pieds dans le bénitier, op. </w:t>
      </w:r>
      <w:proofErr w:type="gramStart"/>
      <w:r w:rsidRPr="008B02A4">
        <w:rPr>
          <w:i/>
          <w:sz w:val="18"/>
          <w:szCs w:val="18"/>
        </w:rPr>
        <w:t>cit.</w:t>
      </w:r>
      <w:r w:rsidRPr="008B02A4">
        <w:rPr>
          <w:sz w:val="18"/>
          <w:szCs w:val="18"/>
        </w:rPr>
        <w:t>,</w:t>
      </w:r>
      <w:proofErr w:type="gramEnd"/>
      <w:r w:rsidRPr="008B02A4">
        <w:rPr>
          <w:sz w:val="18"/>
          <w:szCs w:val="18"/>
        </w:rPr>
        <w:t xml:space="preserve"> p. 139.</w:t>
      </w:r>
    </w:p>
  </w:footnote>
  <w:footnote w:id="39">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Citée par C. </w:t>
      </w:r>
      <w:r w:rsidRPr="008B02A4">
        <w:rPr>
          <w:rStyle w:val="Rfrenceintense"/>
          <w:smallCaps/>
          <w:szCs w:val="18"/>
        </w:rPr>
        <w:t>Béraud</w:t>
      </w:r>
      <w:r w:rsidRPr="008B02A4">
        <w:rPr>
          <w:sz w:val="18"/>
          <w:szCs w:val="18"/>
        </w:rPr>
        <w:t>, « Quand les questions de genre… »,</w:t>
      </w:r>
      <w:r w:rsidRPr="008B02A4">
        <w:rPr>
          <w:i/>
          <w:sz w:val="18"/>
          <w:szCs w:val="18"/>
        </w:rPr>
        <w:t xml:space="preserve"> </w:t>
      </w:r>
      <w:proofErr w:type="gramStart"/>
      <w:r w:rsidRPr="008B02A4">
        <w:rPr>
          <w:i/>
          <w:sz w:val="18"/>
          <w:szCs w:val="18"/>
        </w:rPr>
        <w:t>op</w:t>
      </w:r>
      <w:proofErr w:type="gramEnd"/>
      <w:r w:rsidRPr="008B02A4">
        <w:rPr>
          <w:i/>
          <w:sz w:val="18"/>
          <w:szCs w:val="18"/>
        </w:rPr>
        <w:t xml:space="preserve">. </w:t>
      </w:r>
      <w:proofErr w:type="gramStart"/>
      <w:r w:rsidRPr="008B02A4">
        <w:rPr>
          <w:i/>
          <w:sz w:val="18"/>
          <w:szCs w:val="18"/>
        </w:rPr>
        <w:t>cit.</w:t>
      </w:r>
      <w:r w:rsidRPr="008B02A4">
        <w:rPr>
          <w:sz w:val="18"/>
          <w:szCs w:val="18"/>
        </w:rPr>
        <w:t>,</w:t>
      </w:r>
      <w:proofErr w:type="gramEnd"/>
      <w:r w:rsidRPr="008B02A4">
        <w:rPr>
          <w:sz w:val="18"/>
          <w:szCs w:val="18"/>
        </w:rPr>
        <w:t xml:space="preserve"> p. 214.</w:t>
      </w:r>
    </w:p>
  </w:footnote>
  <w:footnote w:id="40">
    <w:p w:rsidR="004E02E1" w:rsidRPr="008B02A4" w:rsidRDefault="004E02E1" w:rsidP="008B02A4">
      <w:pPr>
        <w:pStyle w:val="Notedebasdepage"/>
        <w:spacing w:after="60"/>
        <w:rPr>
          <w:sz w:val="18"/>
          <w:szCs w:val="18"/>
        </w:rPr>
      </w:pPr>
      <w:r w:rsidRPr="008B02A4">
        <w:rPr>
          <w:rStyle w:val="Appelnotedebasdep"/>
          <w:sz w:val="18"/>
          <w:szCs w:val="18"/>
        </w:rPr>
        <w:footnoteRef/>
      </w:r>
      <w:r w:rsidRPr="008B02A4">
        <w:rPr>
          <w:sz w:val="18"/>
          <w:szCs w:val="18"/>
        </w:rPr>
        <w:t xml:space="preserve"> A. </w:t>
      </w:r>
      <w:r w:rsidRPr="008B02A4">
        <w:rPr>
          <w:smallCaps/>
          <w:sz w:val="18"/>
          <w:szCs w:val="18"/>
        </w:rPr>
        <w:t>Borras</w:t>
      </w:r>
      <w:r w:rsidRPr="008B02A4">
        <w:rPr>
          <w:sz w:val="18"/>
          <w:szCs w:val="18"/>
        </w:rPr>
        <w:t xml:space="preserve">, </w:t>
      </w:r>
      <w:r w:rsidRPr="008B02A4">
        <w:rPr>
          <w:i/>
          <w:sz w:val="18"/>
          <w:szCs w:val="18"/>
        </w:rPr>
        <w:t>Hommes et femmes dans l’Eglise</w:t>
      </w:r>
      <w:r w:rsidRPr="008B02A4">
        <w:rPr>
          <w:sz w:val="18"/>
          <w:szCs w:val="18"/>
        </w:rPr>
        <w:t xml:space="preserve">, dans </w:t>
      </w:r>
      <w:r w:rsidRPr="008B02A4">
        <w:rPr>
          <w:smallCaps/>
          <w:sz w:val="18"/>
          <w:szCs w:val="18"/>
        </w:rPr>
        <w:t>Semaines sociales de France</w:t>
      </w:r>
      <w:r w:rsidRPr="008B02A4">
        <w:rPr>
          <w:sz w:val="18"/>
          <w:szCs w:val="18"/>
        </w:rPr>
        <w:t xml:space="preserve">, </w:t>
      </w:r>
      <w:r w:rsidR="008B02A4" w:rsidRPr="008B02A4">
        <w:rPr>
          <w:i/>
          <w:sz w:val="18"/>
          <w:szCs w:val="18"/>
        </w:rPr>
        <w:t>Hommes et femmes, l</w:t>
      </w:r>
      <w:r w:rsidR="00ED2098" w:rsidRPr="008B02A4">
        <w:rPr>
          <w:i/>
          <w:sz w:val="18"/>
          <w:szCs w:val="18"/>
        </w:rPr>
        <w:t>a nouvelle donne. Actes de la</w:t>
      </w:r>
      <w:r w:rsidR="008B02A4" w:rsidRPr="008B02A4">
        <w:rPr>
          <w:i/>
          <w:sz w:val="18"/>
          <w:szCs w:val="18"/>
        </w:rPr>
        <w:t xml:space="preserve"> 87</w:t>
      </w:r>
      <w:r w:rsidR="008B02A4" w:rsidRPr="008B02A4">
        <w:rPr>
          <w:i/>
          <w:sz w:val="18"/>
          <w:szCs w:val="18"/>
          <w:vertAlign w:val="superscript"/>
        </w:rPr>
        <w:t>e</w:t>
      </w:r>
      <w:r w:rsidR="008B02A4" w:rsidRPr="008B02A4">
        <w:rPr>
          <w:i/>
          <w:sz w:val="18"/>
          <w:szCs w:val="18"/>
        </w:rPr>
        <w:t xml:space="preserve"> session. Parc Floral de Paris, 23-25 </w:t>
      </w:r>
      <w:r w:rsidRPr="008B02A4">
        <w:rPr>
          <w:sz w:val="18"/>
          <w:szCs w:val="18"/>
        </w:rPr>
        <w:t xml:space="preserve">novembre 2012, p. </w:t>
      </w:r>
      <w:r w:rsidR="008B02A4" w:rsidRPr="008B02A4">
        <w:rPr>
          <w:sz w:val="18"/>
          <w:szCs w:val="18"/>
        </w:rPr>
        <w:t>1</w:t>
      </w:r>
      <w:r w:rsidRPr="008B02A4">
        <w:rPr>
          <w:sz w:val="18"/>
          <w:szCs w:val="18"/>
        </w:rPr>
        <w:t>5</w:t>
      </w:r>
      <w:r w:rsidR="008B02A4" w:rsidRPr="008B02A4">
        <w:rPr>
          <w:sz w:val="18"/>
          <w:szCs w:val="18"/>
        </w:rPr>
        <w:t>0-152</w:t>
      </w:r>
      <w:r w:rsidRPr="008B02A4">
        <w:rPr>
          <w:sz w:val="18"/>
          <w:szCs w:val="18"/>
        </w:rPr>
        <w:t xml:space="preserve"> ; </w:t>
      </w:r>
      <w:r w:rsidRPr="008B02A4">
        <w:rPr>
          <w:smallCaps/>
          <w:sz w:val="18"/>
          <w:szCs w:val="18"/>
        </w:rPr>
        <w:t>J. Vignon</w:t>
      </w:r>
      <w:r w:rsidRPr="008B02A4">
        <w:rPr>
          <w:sz w:val="18"/>
          <w:szCs w:val="18"/>
        </w:rPr>
        <w:t xml:space="preserve">, « Conclusions », dans </w:t>
      </w:r>
      <w:r w:rsidR="008B02A4" w:rsidRPr="008B02A4">
        <w:rPr>
          <w:i/>
          <w:sz w:val="18"/>
          <w:szCs w:val="18"/>
        </w:rPr>
        <w:t>ibidem</w:t>
      </w:r>
      <w:r w:rsidR="008B02A4" w:rsidRPr="008B02A4">
        <w:rPr>
          <w:sz w:val="18"/>
          <w:szCs w:val="18"/>
        </w:rPr>
        <w:t>, p. 232-233.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2C6697"/>
    <w:multiLevelType w:val="multilevel"/>
    <w:tmpl w:val="24C6356E"/>
    <w:lvl w:ilvl="0">
      <w:start w:val="5"/>
      <w:numFmt w:val="decimal"/>
      <w:lvlText w:val="Chapitre %1 : "/>
      <w:lvlJc w:val="left"/>
      <w:pPr>
        <w:tabs>
          <w:tab w:val="num" w:pos="1800"/>
        </w:tabs>
        <w:ind w:left="432" w:hanging="432"/>
      </w:pPr>
      <w:rPr>
        <w:rFonts w:hint="default"/>
      </w:rPr>
    </w:lvl>
    <w:lvl w:ilvl="1">
      <w:start w:val="1"/>
      <w:numFmt w:val="decimal"/>
      <w:lvlText w:val="%1.%2"/>
      <w:lvlJc w:val="left"/>
      <w:pPr>
        <w:tabs>
          <w:tab w:val="num" w:pos="0"/>
        </w:tabs>
        <w:ind w:left="576" w:hanging="576"/>
      </w:pPr>
      <w:rPr>
        <w:rFonts w:hint="default"/>
      </w:rPr>
    </w:lvl>
    <w:lvl w:ilvl="2">
      <w:start w:val="1"/>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864" w:hanging="864"/>
      </w:pPr>
      <w:rPr>
        <w:rFonts w:hint="default"/>
      </w:rPr>
    </w:lvl>
    <w:lvl w:ilvl="4">
      <w:start w:val="1"/>
      <w:numFmt w:val="decimal"/>
      <w:lvlText w:val="%1.%2.%3.%4.%5"/>
      <w:lvlJc w:val="left"/>
      <w:pPr>
        <w:tabs>
          <w:tab w:val="num" w:pos="0"/>
        </w:tabs>
        <w:ind w:left="1008" w:hanging="1008"/>
      </w:pPr>
      <w:rPr>
        <w:rFonts w:hint="default"/>
      </w:rPr>
    </w:lvl>
    <w:lvl w:ilvl="5">
      <w:start w:val="1"/>
      <w:numFmt w:val="decimal"/>
      <w:lvlText w:val="%1.%2.%3.%4.%5.%6"/>
      <w:lvlJc w:val="left"/>
      <w:pPr>
        <w:tabs>
          <w:tab w:val="num" w:pos="0"/>
        </w:tabs>
        <w:ind w:left="1152" w:hanging="1152"/>
      </w:pPr>
      <w:rPr>
        <w:rFonts w:hint="default"/>
      </w:rPr>
    </w:lvl>
    <w:lvl w:ilvl="6">
      <w:start w:val="1"/>
      <w:numFmt w:val="decimal"/>
      <w:lvlText w:val="%1.%2.%3.%4.%5.%6.%7"/>
      <w:lvlJc w:val="left"/>
      <w:pPr>
        <w:tabs>
          <w:tab w:val="num" w:pos="0"/>
        </w:tabs>
        <w:ind w:left="1296" w:hanging="1296"/>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584" w:hanging="1584"/>
      </w:pPr>
      <w:rPr>
        <w:rFonts w:hint="default"/>
      </w:rPr>
    </w:lvl>
  </w:abstractNum>
  <w:abstractNum w:abstractNumId="1">
    <w:nsid w:val="42591FD3"/>
    <w:multiLevelType w:val="multilevel"/>
    <w:tmpl w:val="4694F154"/>
    <w:lvl w:ilvl="0">
      <w:start w:val="1"/>
      <w:numFmt w:val="decimal"/>
      <w:lvlText w:val="%1."/>
      <w:lvlJc w:val="left"/>
      <w:pPr>
        <w:ind w:left="717" w:hanging="360"/>
      </w:pPr>
      <w:rPr>
        <w:rFonts w:hint="default"/>
      </w:rPr>
    </w:lvl>
    <w:lvl w:ilvl="1">
      <w:start w:val="1"/>
      <w:numFmt w:val="decimal"/>
      <w:isLgl/>
      <w:lvlText w:val="%1.%2."/>
      <w:lvlJc w:val="left"/>
      <w:pPr>
        <w:ind w:left="717" w:hanging="360"/>
      </w:pPr>
      <w:rPr>
        <w:rFonts w:hint="default"/>
      </w:rPr>
    </w:lvl>
    <w:lvl w:ilvl="2">
      <w:start w:val="1"/>
      <w:numFmt w:val="decimal"/>
      <w:isLgl/>
      <w:lvlText w:val="%1.%2.%3."/>
      <w:lvlJc w:val="left"/>
      <w:pPr>
        <w:ind w:left="1077" w:hanging="720"/>
      </w:pPr>
      <w:rPr>
        <w:rFonts w:hint="default"/>
      </w:rPr>
    </w:lvl>
    <w:lvl w:ilvl="3">
      <w:start w:val="1"/>
      <w:numFmt w:val="decimal"/>
      <w:isLgl/>
      <w:lvlText w:val="%1.%2.%3.%4."/>
      <w:lvlJc w:val="left"/>
      <w:pPr>
        <w:ind w:left="1077" w:hanging="720"/>
      </w:pPr>
      <w:rPr>
        <w:rFonts w:hint="default"/>
      </w:rPr>
    </w:lvl>
    <w:lvl w:ilvl="4">
      <w:start w:val="1"/>
      <w:numFmt w:val="decimal"/>
      <w:isLgl/>
      <w:lvlText w:val="%1.%2.%3.%4.%5."/>
      <w:lvlJc w:val="left"/>
      <w:pPr>
        <w:ind w:left="1437" w:hanging="1080"/>
      </w:pPr>
      <w:rPr>
        <w:rFonts w:hint="default"/>
      </w:rPr>
    </w:lvl>
    <w:lvl w:ilvl="5">
      <w:start w:val="1"/>
      <w:numFmt w:val="decimal"/>
      <w:isLgl/>
      <w:lvlText w:val="%1.%2.%3.%4.%5.%6."/>
      <w:lvlJc w:val="left"/>
      <w:pPr>
        <w:ind w:left="1437" w:hanging="1080"/>
      </w:pPr>
      <w:rPr>
        <w:rFonts w:hint="default"/>
      </w:rPr>
    </w:lvl>
    <w:lvl w:ilvl="6">
      <w:start w:val="1"/>
      <w:numFmt w:val="decimal"/>
      <w:isLgl/>
      <w:lvlText w:val="%1.%2.%3.%4.%5.%6.%7."/>
      <w:lvlJc w:val="left"/>
      <w:pPr>
        <w:ind w:left="1797" w:hanging="1440"/>
      </w:pPr>
      <w:rPr>
        <w:rFonts w:hint="default"/>
      </w:rPr>
    </w:lvl>
    <w:lvl w:ilvl="7">
      <w:start w:val="1"/>
      <w:numFmt w:val="decimal"/>
      <w:isLgl/>
      <w:lvlText w:val="%1.%2.%3.%4.%5.%6.%7.%8."/>
      <w:lvlJc w:val="left"/>
      <w:pPr>
        <w:ind w:left="1797" w:hanging="1440"/>
      </w:pPr>
      <w:rPr>
        <w:rFonts w:hint="default"/>
      </w:rPr>
    </w:lvl>
    <w:lvl w:ilvl="8">
      <w:start w:val="1"/>
      <w:numFmt w:val="decimal"/>
      <w:isLgl/>
      <w:lvlText w:val="%1.%2.%3.%4.%5.%6.%7.%8.%9."/>
      <w:lvlJc w:val="left"/>
      <w:pPr>
        <w:ind w:left="2157" w:hanging="1800"/>
      </w:pPr>
      <w:rPr>
        <w:rFonts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drawingGridHorizontalSpacing w:val="120"/>
  <w:displayHorizontalDrawingGridEvery w:val="0"/>
  <w:displayVertic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09500D"/>
    <w:rsid w:val="000028C9"/>
    <w:rsid w:val="0003214F"/>
    <w:rsid w:val="00034243"/>
    <w:rsid w:val="000606BC"/>
    <w:rsid w:val="00077EFE"/>
    <w:rsid w:val="0008036D"/>
    <w:rsid w:val="0009500D"/>
    <w:rsid w:val="000A03FE"/>
    <w:rsid w:val="000A412A"/>
    <w:rsid w:val="000B19A7"/>
    <w:rsid w:val="000E6EEA"/>
    <w:rsid w:val="000E7980"/>
    <w:rsid w:val="000F336F"/>
    <w:rsid w:val="000F3DB0"/>
    <w:rsid w:val="000F4D00"/>
    <w:rsid w:val="00104665"/>
    <w:rsid w:val="00147AA1"/>
    <w:rsid w:val="001506FF"/>
    <w:rsid w:val="0015400E"/>
    <w:rsid w:val="00154EC5"/>
    <w:rsid w:val="00165344"/>
    <w:rsid w:val="00171036"/>
    <w:rsid w:val="00174CFD"/>
    <w:rsid w:val="0018068D"/>
    <w:rsid w:val="001836FC"/>
    <w:rsid w:val="00194725"/>
    <w:rsid w:val="00196A19"/>
    <w:rsid w:val="001A1177"/>
    <w:rsid w:val="001B16A3"/>
    <w:rsid w:val="001B52C9"/>
    <w:rsid w:val="001D13D0"/>
    <w:rsid w:val="001E4927"/>
    <w:rsid w:val="00217C36"/>
    <w:rsid w:val="002259AD"/>
    <w:rsid w:val="00225AC3"/>
    <w:rsid w:val="00227AF4"/>
    <w:rsid w:val="00273B61"/>
    <w:rsid w:val="00277B3F"/>
    <w:rsid w:val="002826F3"/>
    <w:rsid w:val="002A768F"/>
    <w:rsid w:val="002B4DE0"/>
    <w:rsid w:val="002B5320"/>
    <w:rsid w:val="002C1508"/>
    <w:rsid w:val="002F631D"/>
    <w:rsid w:val="0030346C"/>
    <w:rsid w:val="0033244E"/>
    <w:rsid w:val="003333B8"/>
    <w:rsid w:val="003618CA"/>
    <w:rsid w:val="00386AA9"/>
    <w:rsid w:val="00392356"/>
    <w:rsid w:val="003B20C2"/>
    <w:rsid w:val="003C2AD3"/>
    <w:rsid w:val="00407271"/>
    <w:rsid w:val="004154D3"/>
    <w:rsid w:val="00477235"/>
    <w:rsid w:val="00495B42"/>
    <w:rsid w:val="004A2F87"/>
    <w:rsid w:val="004E02E1"/>
    <w:rsid w:val="004F25A2"/>
    <w:rsid w:val="005102D5"/>
    <w:rsid w:val="0051209D"/>
    <w:rsid w:val="00513434"/>
    <w:rsid w:val="0051372C"/>
    <w:rsid w:val="00530570"/>
    <w:rsid w:val="00551032"/>
    <w:rsid w:val="005510A4"/>
    <w:rsid w:val="0056204D"/>
    <w:rsid w:val="00567280"/>
    <w:rsid w:val="00570EAA"/>
    <w:rsid w:val="005B2716"/>
    <w:rsid w:val="005D069D"/>
    <w:rsid w:val="005E33EE"/>
    <w:rsid w:val="005F13BE"/>
    <w:rsid w:val="005F6097"/>
    <w:rsid w:val="0062069C"/>
    <w:rsid w:val="0063135F"/>
    <w:rsid w:val="00631802"/>
    <w:rsid w:val="00640C62"/>
    <w:rsid w:val="00666863"/>
    <w:rsid w:val="006A127F"/>
    <w:rsid w:val="006A647B"/>
    <w:rsid w:val="006B1EB8"/>
    <w:rsid w:val="006B7632"/>
    <w:rsid w:val="006C32FB"/>
    <w:rsid w:val="006D0335"/>
    <w:rsid w:val="006D25F3"/>
    <w:rsid w:val="006E72F7"/>
    <w:rsid w:val="006F0F74"/>
    <w:rsid w:val="006F77F8"/>
    <w:rsid w:val="00701E17"/>
    <w:rsid w:val="00704D8B"/>
    <w:rsid w:val="0072461A"/>
    <w:rsid w:val="007370B1"/>
    <w:rsid w:val="00762DD0"/>
    <w:rsid w:val="00781BB4"/>
    <w:rsid w:val="007822E5"/>
    <w:rsid w:val="007914FF"/>
    <w:rsid w:val="007A1B69"/>
    <w:rsid w:val="007C3B5E"/>
    <w:rsid w:val="007D557E"/>
    <w:rsid w:val="007D7BD8"/>
    <w:rsid w:val="007E346D"/>
    <w:rsid w:val="007F63CE"/>
    <w:rsid w:val="007F7A50"/>
    <w:rsid w:val="008047A6"/>
    <w:rsid w:val="00806A8E"/>
    <w:rsid w:val="00847413"/>
    <w:rsid w:val="0086080E"/>
    <w:rsid w:val="00871378"/>
    <w:rsid w:val="008752A1"/>
    <w:rsid w:val="00884274"/>
    <w:rsid w:val="008A0F78"/>
    <w:rsid w:val="008A277D"/>
    <w:rsid w:val="008A6747"/>
    <w:rsid w:val="008B02A4"/>
    <w:rsid w:val="008E287C"/>
    <w:rsid w:val="00902BD4"/>
    <w:rsid w:val="009317B7"/>
    <w:rsid w:val="0097371B"/>
    <w:rsid w:val="009942AB"/>
    <w:rsid w:val="009B27F5"/>
    <w:rsid w:val="009B3A4F"/>
    <w:rsid w:val="009C76DB"/>
    <w:rsid w:val="009E1F98"/>
    <w:rsid w:val="009F0442"/>
    <w:rsid w:val="00A120B0"/>
    <w:rsid w:val="00A205A9"/>
    <w:rsid w:val="00A32EF2"/>
    <w:rsid w:val="00A33FDC"/>
    <w:rsid w:val="00A35DD7"/>
    <w:rsid w:val="00A653C3"/>
    <w:rsid w:val="00A7156B"/>
    <w:rsid w:val="00A73ABF"/>
    <w:rsid w:val="00A76AC7"/>
    <w:rsid w:val="00A848BB"/>
    <w:rsid w:val="00AA2642"/>
    <w:rsid w:val="00B12165"/>
    <w:rsid w:val="00B1404E"/>
    <w:rsid w:val="00B27296"/>
    <w:rsid w:val="00B3384C"/>
    <w:rsid w:val="00B54AD4"/>
    <w:rsid w:val="00B554EA"/>
    <w:rsid w:val="00B57DDB"/>
    <w:rsid w:val="00B63B5E"/>
    <w:rsid w:val="00B76DDB"/>
    <w:rsid w:val="00B77534"/>
    <w:rsid w:val="00BA19FB"/>
    <w:rsid w:val="00BB06BD"/>
    <w:rsid w:val="00BB3208"/>
    <w:rsid w:val="00BD4C2D"/>
    <w:rsid w:val="00BE7145"/>
    <w:rsid w:val="00C07EC9"/>
    <w:rsid w:val="00C2679C"/>
    <w:rsid w:val="00C64621"/>
    <w:rsid w:val="00C64C13"/>
    <w:rsid w:val="00C64F5B"/>
    <w:rsid w:val="00D02C11"/>
    <w:rsid w:val="00D17237"/>
    <w:rsid w:val="00D40277"/>
    <w:rsid w:val="00D4312B"/>
    <w:rsid w:val="00D66102"/>
    <w:rsid w:val="00D82DA6"/>
    <w:rsid w:val="00D86B0F"/>
    <w:rsid w:val="00E158CA"/>
    <w:rsid w:val="00E31E96"/>
    <w:rsid w:val="00E35994"/>
    <w:rsid w:val="00E4712B"/>
    <w:rsid w:val="00E7755E"/>
    <w:rsid w:val="00E811A5"/>
    <w:rsid w:val="00E852C8"/>
    <w:rsid w:val="00ED2098"/>
    <w:rsid w:val="00ED4D92"/>
    <w:rsid w:val="00F15370"/>
    <w:rsid w:val="00F261B2"/>
    <w:rsid w:val="00F31A69"/>
    <w:rsid w:val="00F376C5"/>
    <w:rsid w:val="00F77127"/>
    <w:rsid w:val="00F93C08"/>
    <w:rsid w:val="00F97BB8"/>
    <w:rsid w:val="00FA0666"/>
    <w:rsid w:val="00FA112D"/>
    <w:rsid w:val="00FA2D88"/>
    <w:rsid w:val="00FA7D8D"/>
    <w:rsid w:val="00FC3EA9"/>
    <w:rsid w:val="00FC3FD7"/>
    <w:rsid w:val="00FC5810"/>
    <w:rsid w:val="00FC6495"/>
    <w:rsid w:val="00FF3E52"/>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New" w:eastAsia="Times New Roman" w:hAnsi="Times New Roman" w:cs="Times New Roman"/>
        <w:lang w:val="fr-BE" w:eastAsia="fr-B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7EC9"/>
    <w:pPr>
      <w:widowControl w:val="0"/>
      <w:autoSpaceDE w:val="0"/>
      <w:autoSpaceDN w:val="0"/>
      <w:adjustRightInd w:val="0"/>
      <w:spacing w:after="120"/>
      <w:jc w:val="both"/>
    </w:pPr>
    <w:rPr>
      <w:rFonts w:ascii="Arial" w:hAnsi="Arial" w:cs="Arial"/>
      <w:sz w:val="22"/>
      <w:szCs w:val="24"/>
      <w:lang w:eastAsia="en-US"/>
    </w:rPr>
  </w:style>
  <w:style w:type="paragraph" w:styleId="Titre1">
    <w:name w:val="heading 1"/>
    <w:basedOn w:val="Normal"/>
    <w:next w:val="Normal"/>
    <w:link w:val="Titre1Car"/>
    <w:qFormat/>
    <w:rsid w:val="00F261B2"/>
    <w:pPr>
      <w:keepNext/>
      <w:spacing w:before="240"/>
      <w:outlineLvl w:val="0"/>
    </w:pPr>
    <w:rPr>
      <w:rFonts w:eastAsiaTheme="majorEastAsia" w:cstheme="majorBidi"/>
      <w:b/>
      <w:bCs/>
      <w:kern w:val="32"/>
      <w:sz w:val="28"/>
      <w:szCs w:val="32"/>
    </w:rPr>
  </w:style>
  <w:style w:type="paragraph" w:styleId="Titre2">
    <w:name w:val="heading 2"/>
    <w:basedOn w:val="Normal"/>
    <w:next w:val="Normal"/>
    <w:link w:val="Titre2Car"/>
    <w:semiHidden/>
    <w:unhideWhenUsed/>
    <w:qFormat/>
    <w:rsid w:val="002F631D"/>
    <w:pPr>
      <w:keepNext/>
      <w:spacing w:before="240" w:after="60"/>
      <w:outlineLvl w:val="1"/>
    </w:pPr>
    <w:rPr>
      <w:rFonts w:asciiTheme="majorHAnsi" w:eastAsiaTheme="majorEastAsia" w:hAnsiTheme="majorHAnsi" w:cstheme="majorBidi"/>
      <w:b/>
      <w:bCs/>
      <w:i/>
      <w:iCs/>
      <w:sz w:val="28"/>
      <w:szCs w:val="28"/>
    </w:rPr>
  </w:style>
  <w:style w:type="paragraph" w:styleId="Titre3">
    <w:name w:val="heading 3"/>
    <w:basedOn w:val="Normal"/>
    <w:next w:val="Normal"/>
    <w:link w:val="Titre3Car"/>
    <w:semiHidden/>
    <w:unhideWhenUsed/>
    <w:qFormat/>
    <w:rsid w:val="002F631D"/>
    <w:pPr>
      <w:keepNext/>
      <w:spacing w:before="240" w:after="60"/>
      <w:outlineLvl w:val="2"/>
    </w:pPr>
    <w:rPr>
      <w:rFonts w:asciiTheme="majorHAnsi" w:eastAsiaTheme="majorEastAsia" w:hAnsiTheme="majorHAnsi" w:cstheme="majorBidi"/>
      <w:b/>
      <w:bCs/>
      <w:sz w:val="26"/>
      <w:szCs w:val="26"/>
    </w:rPr>
  </w:style>
  <w:style w:type="paragraph" w:styleId="Titre4">
    <w:name w:val="heading 4"/>
    <w:basedOn w:val="Normal"/>
    <w:next w:val="Normal"/>
    <w:link w:val="Titre4Car"/>
    <w:semiHidden/>
    <w:unhideWhenUsed/>
    <w:qFormat/>
    <w:rsid w:val="002F631D"/>
    <w:pPr>
      <w:keepNext/>
      <w:spacing w:before="240" w:after="60"/>
      <w:outlineLvl w:val="3"/>
    </w:pPr>
    <w:rPr>
      <w:rFonts w:asciiTheme="minorHAnsi" w:eastAsiaTheme="minorEastAsia" w:hAnsiTheme="minorHAnsi" w:cstheme="minorBidi"/>
      <w:b/>
      <w:bCs/>
      <w:sz w:val="28"/>
      <w:szCs w:val="28"/>
    </w:rPr>
  </w:style>
  <w:style w:type="paragraph" w:styleId="Titre5">
    <w:name w:val="heading 5"/>
    <w:basedOn w:val="Normal"/>
    <w:next w:val="Normal"/>
    <w:link w:val="Titre5Car"/>
    <w:semiHidden/>
    <w:unhideWhenUsed/>
    <w:qFormat/>
    <w:rsid w:val="002F631D"/>
    <w:pPr>
      <w:spacing w:before="240" w:after="60"/>
      <w:outlineLvl w:val="4"/>
    </w:pPr>
    <w:rPr>
      <w:rFonts w:asciiTheme="minorHAnsi" w:eastAsiaTheme="minorEastAsia" w:hAnsiTheme="minorHAnsi" w:cstheme="minorBidi"/>
      <w:b/>
      <w:bCs/>
      <w:i/>
      <w:iCs/>
      <w:sz w:val="26"/>
      <w:szCs w:val="26"/>
    </w:rPr>
  </w:style>
  <w:style w:type="paragraph" w:styleId="Titre6">
    <w:name w:val="heading 6"/>
    <w:basedOn w:val="Normal"/>
    <w:next w:val="Normal"/>
    <w:link w:val="Titre6Car"/>
    <w:semiHidden/>
    <w:unhideWhenUsed/>
    <w:qFormat/>
    <w:rsid w:val="002F631D"/>
    <w:pPr>
      <w:spacing w:before="240" w:after="60"/>
      <w:outlineLvl w:val="5"/>
    </w:pPr>
    <w:rPr>
      <w:rFonts w:asciiTheme="minorHAnsi" w:eastAsiaTheme="minorEastAsia" w:hAnsiTheme="minorHAnsi" w:cstheme="minorBidi"/>
      <w:b/>
      <w:bCs/>
      <w:szCs w:val="22"/>
    </w:rPr>
  </w:style>
  <w:style w:type="paragraph" w:styleId="Titre7">
    <w:name w:val="heading 7"/>
    <w:basedOn w:val="Normal"/>
    <w:next w:val="Normal"/>
    <w:link w:val="Titre7Car"/>
    <w:semiHidden/>
    <w:unhideWhenUsed/>
    <w:qFormat/>
    <w:rsid w:val="002F631D"/>
    <w:pPr>
      <w:spacing w:before="240" w:after="60"/>
      <w:outlineLvl w:val="6"/>
    </w:pPr>
    <w:rPr>
      <w:rFonts w:asciiTheme="minorHAnsi" w:eastAsiaTheme="minorEastAsia" w:hAnsiTheme="minorHAnsi" w:cstheme="minorBidi"/>
    </w:rPr>
  </w:style>
  <w:style w:type="paragraph" w:styleId="Titre8">
    <w:name w:val="heading 8"/>
    <w:basedOn w:val="Normal"/>
    <w:next w:val="Normal"/>
    <w:link w:val="Titre8Car"/>
    <w:semiHidden/>
    <w:unhideWhenUsed/>
    <w:qFormat/>
    <w:rsid w:val="002F631D"/>
    <w:pPr>
      <w:spacing w:before="240" w:after="60"/>
      <w:outlineLvl w:val="7"/>
    </w:pPr>
    <w:rPr>
      <w:rFonts w:asciiTheme="minorHAnsi" w:eastAsiaTheme="minorEastAsia" w:hAnsiTheme="minorHAnsi" w:cstheme="minorBidi"/>
      <w:i/>
      <w:iCs/>
    </w:rPr>
  </w:style>
  <w:style w:type="paragraph" w:styleId="Titre9">
    <w:name w:val="heading 9"/>
    <w:basedOn w:val="Normal"/>
    <w:next w:val="Normal"/>
    <w:link w:val="Titre9Car"/>
    <w:semiHidden/>
    <w:unhideWhenUsed/>
    <w:qFormat/>
    <w:rsid w:val="002F631D"/>
    <w:pPr>
      <w:spacing w:before="240" w:after="60"/>
      <w:outlineLvl w:val="8"/>
    </w:pPr>
    <w:rPr>
      <w:rFonts w:asciiTheme="majorHAnsi" w:eastAsiaTheme="majorEastAsia" w:hAnsiTheme="majorHAnsi" w:cstheme="majorBidi"/>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F261B2"/>
    <w:rPr>
      <w:rFonts w:ascii="Times New Roman" w:eastAsiaTheme="majorEastAsia" w:cstheme="majorBidi"/>
      <w:b/>
      <w:bCs/>
      <w:kern w:val="32"/>
      <w:sz w:val="28"/>
      <w:szCs w:val="32"/>
      <w:lang w:val="en-US" w:eastAsia="en-US"/>
    </w:rPr>
  </w:style>
  <w:style w:type="paragraph" w:styleId="Titre">
    <w:name w:val="Title"/>
    <w:basedOn w:val="Normal"/>
    <w:link w:val="TitreCar"/>
    <w:qFormat/>
    <w:rsid w:val="00C07EC9"/>
    <w:pPr>
      <w:spacing w:before="240" w:after="60"/>
      <w:jc w:val="center"/>
      <w:outlineLvl w:val="0"/>
    </w:pPr>
    <w:rPr>
      <w:rFonts w:eastAsiaTheme="majorEastAsia"/>
      <w:b/>
      <w:bCs/>
      <w:kern w:val="28"/>
      <w:sz w:val="32"/>
      <w:szCs w:val="32"/>
    </w:rPr>
  </w:style>
  <w:style w:type="character" w:customStyle="1" w:styleId="TitreCar">
    <w:name w:val="Titre Car"/>
    <w:basedOn w:val="Policepardfaut"/>
    <w:link w:val="Titre"/>
    <w:rsid w:val="00C07EC9"/>
    <w:rPr>
      <w:rFonts w:ascii="Arial" w:eastAsiaTheme="majorEastAsia" w:hAnsi="Arial" w:cs="Arial"/>
      <w:b/>
      <w:bCs/>
      <w:kern w:val="28"/>
      <w:sz w:val="32"/>
      <w:szCs w:val="32"/>
      <w:lang w:val="en-US" w:eastAsia="en-US"/>
    </w:rPr>
  </w:style>
  <w:style w:type="character" w:customStyle="1" w:styleId="Titre2Car">
    <w:name w:val="Titre 2 Car"/>
    <w:basedOn w:val="Policepardfaut"/>
    <w:link w:val="Titre2"/>
    <w:semiHidden/>
    <w:rsid w:val="002F631D"/>
    <w:rPr>
      <w:rFonts w:asciiTheme="majorHAnsi" w:eastAsiaTheme="majorEastAsia" w:hAnsiTheme="majorHAnsi" w:cstheme="majorBidi"/>
      <w:b/>
      <w:bCs/>
      <w:i/>
      <w:iCs/>
      <w:sz w:val="28"/>
      <w:szCs w:val="28"/>
      <w:lang w:val="en-US" w:eastAsia="en-US"/>
    </w:rPr>
  </w:style>
  <w:style w:type="character" w:customStyle="1" w:styleId="Titre3Car">
    <w:name w:val="Titre 3 Car"/>
    <w:basedOn w:val="Policepardfaut"/>
    <w:link w:val="Titre3"/>
    <w:semiHidden/>
    <w:rsid w:val="002F631D"/>
    <w:rPr>
      <w:rFonts w:asciiTheme="majorHAnsi" w:eastAsiaTheme="majorEastAsia" w:hAnsiTheme="majorHAnsi" w:cstheme="majorBidi"/>
      <w:b/>
      <w:bCs/>
      <w:sz w:val="26"/>
      <w:szCs w:val="26"/>
      <w:lang w:val="en-US" w:eastAsia="en-US"/>
    </w:rPr>
  </w:style>
  <w:style w:type="character" w:customStyle="1" w:styleId="Titre4Car">
    <w:name w:val="Titre 4 Car"/>
    <w:basedOn w:val="Policepardfaut"/>
    <w:link w:val="Titre4"/>
    <w:semiHidden/>
    <w:rsid w:val="002F631D"/>
    <w:rPr>
      <w:rFonts w:asciiTheme="minorHAnsi" w:eastAsiaTheme="minorEastAsia" w:hAnsiTheme="minorHAnsi" w:cstheme="minorBidi"/>
      <w:b/>
      <w:bCs/>
      <w:sz w:val="28"/>
      <w:szCs w:val="28"/>
      <w:lang w:val="en-US" w:eastAsia="en-US"/>
    </w:rPr>
  </w:style>
  <w:style w:type="character" w:customStyle="1" w:styleId="Titre5Car">
    <w:name w:val="Titre 5 Car"/>
    <w:basedOn w:val="Policepardfaut"/>
    <w:link w:val="Titre5"/>
    <w:semiHidden/>
    <w:rsid w:val="002F631D"/>
    <w:rPr>
      <w:rFonts w:asciiTheme="minorHAnsi" w:eastAsiaTheme="minorEastAsia" w:hAnsiTheme="minorHAnsi" w:cstheme="minorBidi"/>
      <w:b/>
      <w:bCs/>
      <w:i/>
      <w:iCs/>
      <w:sz w:val="26"/>
      <w:szCs w:val="26"/>
      <w:lang w:val="en-US" w:eastAsia="en-US"/>
    </w:rPr>
  </w:style>
  <w:style w:type="character" w:customStyle="1" w:styleId="Titre6Car">
    <w:name w:val="Titre 6 Car"/>
    <w:basedOn w:val="Policepardfaut"/>
    <w:link w:val="Titre6"/>
    <w:semiHidden/>
    <w:rsid w:val="002F631D"/>
    <w:rPr>
      <w:rFonts w:asciiTheme="minorHAnsi" w:eastAsiaTheme="minorEastAsia" w:hAnsiTheme="minorHAnsi" w:cstheme="minorBidi"/>
      <w:b/>
      <w:bCs/>
      <w:sz w:val="22"/>
      <w:szCs w:val="22"/>
      <w:lang w:val="en-US" w:eastAsia="en-US"/>
    </w:rPr>
  </w:style>
  <w:style w:type="character" w:customStyle="1" w:styleId="Titre7Car">
    <w:name w:val="Titre 7 Car"/>
    <w:basedOn w:val="Policepardfaut"/>
    <w:link w:val="Titre7"/>
    <w:semiHidden/>
    <w:rsid w:val="002F631D"/>
    <w:rPr>
      <w:rFonts w:asciiTheme="minorHAnsi" w:eastAsiaTheme="minorEastAsia" w:hAnsiTheme="minorHAnsi" w:cstheme="minorBidi"/>
      <w:sz w:val="24"/>
      <w:szCs w:val="24"/>
      <w:lang w:val="en-US" w:eastAsia="en-US"/>
    </w:rPr>
  </w:style>
  <w:style w:type="character" w:customStyle="1" w:styleId="Titre8Car">
    <w:name w:val="Titre 8 Car"/>
    <w:basedOn w:val="Policepardfaut"/>
    <w:link w:val="Titre8"/>
    <w:semiHidden/>
    <w:rsid w:val="002F631D"/>
    <w:rPr>
      <w:rFonts w:asciiTheme="minorHAnsi" w:eastAsiaTheme="minorEastAsia" w:hAnsiTheme="minorHAnsi" w:cstheme="minorBidi"/>
      <w:i/>
      <w:iCs/>
      <w:sz w:val="24"/>
      <w:szCs w:val="24"/>
      <w:lang w:val="en-US" w:eastAsia="en-US"/>
    </w:rPr>
  </w:style>
  <w:style w:type="character" w:customStyle="1" w:styleId="Titre9Car">
    <w:name w:val="Titre 9 Car"/>
    <w:basedOn w:val="Policepardfaut"/>
    <w:link w:val="Titre9"/>
    <w:semiHidden/>
    <w:rsid w:val="002F631D"/>
    <w:rPr>
      <w:rFonts w:asciiTheme="majorHAnsi" w:eastAsiaTheme="majorEastAsia" w:hAnsiTheme="majorHAnsi" w:cstheme="majorBidi"/>
      <w:sz w:val="22"/>
      <w:szCs w:val="22"/>
      <w:lang w:val="en-US" w:eastAsia="en-US"/>
    </w:rPr>
  </w:style>
  <w:style w:type="paragraph" w:styleId="Lgende">
    <w:name w:val="caption"/>
    <w:basedOn w:val="Normal"/>
    <w:next w:val="Normal"/>
    <w:semiHidden/>
    <w:unhideWhenUsed/>
    <w:qFormat/>
    <w:rsid w:val="002F631D"/>
    <w:rPr>
      <w:b/>
      <w:bCs/>
      <w:sz w:val="20"/>
      <w:szCs w:val="20"/>
    </w:rPr>
  </w:style>
  <w:style w:type="character" w:styleId="lev">
    <w:name w:val="Strong"/>
    <w:basedOn w:val="Policepardfaut"/>
    <w:uiPriority w:val="22"/>
    <w:qFormat/>
    <w:rsid w:val="002F631D"/>
    <w:rPr>
      <w:b/>
      <w:bCs/>
    </w:rPr>
  </w:style>
  <w:style w:type="character" w:styleId="Accentuation">
    <w:name w:val="Emphasis"/>
    <w:basedOn w:val="Policepardfaut"/>
    <w:qFormat/>
    <w:rsid w:val="002F631D"/>
    <w:rPr>
      <w:i/>
      <w:iCs/>
    </w:rPr>
  </w:style>
  <w:style w:type="paragraph" w:styleId="Citationintense">
    <w:name w:val="Intense Quote"/>
    <w:basedOn w:val="Normal"/>
    <w:next w:val="Normal"/>
    <w:link w:val="CitationintenseCar"/>
    <w:uiPriority w:val="30"/>
    <w:qFormat/>
    <w:rsid w:val="00781BB4"/>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781BB4"/>
    <w:rPr>
      <w:rFonts w:hAnsi="Courier New"/>
      <w:b/>
      <w:bCs/>
      <w:i/>
      <w:iCs/>
      <w:color w:val="4F81BD" w:themeColor="accent1"/>
      <w:sz w:val="24"/>
      <w:szCs w:val="24"/>
      <w:lang w:val="en-US" w:eastAsia="en-US"/>
    </w:rPr>
  </w:style>
  <w:style w:type="paragraph" w:styleId="Notedebasdepage">
    <w:name w:val="footnote text"/>
    <w:basedOn w:val="Normal"/>
    <w:link w:val="NotedebasdepageCar"/>
    <w:uiPriority w:val="99"/>
    <w:unhideWhenUsed/>
    <w:rsid w:val="00174CFD"/>
    <w:rPr>
      <w:sz w:val="20"/>
      <w:szCs w:val="20"/>
    </w:rPr>
  </w:style>
  <w:style w:type="character" w:customStyle="1" w:styleId="NotedebasdepageCar">
    <w:name w:val="Note de bas de page Car"/>
    <w:basedOn w:val="Policepardfaut"/>
    <w:link w:val="Notedebasdepage"/>
    <w:uiPriority w:val="99"/>
    <w:rsid w:val="00174CFD"/>
    <w:rPr>
      <w:rFonts w:ascii="Times New Roman"/>
      <w:lang w:val="en-US" w:eastAsia="en-US"/>
    </w:rPr>
  </w:style>
  <w:style w:type="character" w:styleId="Appelnotedebasdep">
    <w:name w:val="footnote reference"/>
    <w:basedOn w:val="Policepardfaut"/>
    <w:uiPriority w:val="99"/>
    <w:semiHidden/>
    <w:unhideWhenUsed/>
    <w:rsid w:val="00174CFD"/>
    <w:rPr>
      <w:vertAlign w:val="superscript"/>
    </w:rPr>
  </w:style>
  <w:style w:type="paragraph" w:styleId="Paragraphedeliste">
    <w:name w:val="List Paragraph"/>
    <w:basedOn w:val="Normal"/>
    <w:uiPriority w:val="34"/>
    <w:qFormat/>
    <w:rsid w:val="001836FC"/>
    <w:pPr>
      <w:widowControl/>
      <w:autoSpaceDE/>
      <w:autoSpaceDN/>
      <w:adjustRightInd/>
      <w:ind w:left="720" w:firstLine="357"/>
      <w:contextualSpacing/>
    </w:pPr>
    <w:rPr>
      <w:rFonts w:ascii="LinePrinter" w:hAnsi="LinePrinter"/>
      <w:color w:val="000000"/>
      <w:szCs w:val="20"/>
      <w:lang w:val="fr-FR" w:eastAsia="fr-FR"/>
    </w:rPr>
  </w:style>
  <w:style w:type="paragraph" w:styleId="Textedebulles">
    <w:name w:val="Balloon Text"/>
    <w:basedOn w:val="Normal"/>
    <w:link w:val="TextedebullesCar"/>
    <w:uiPriority w:val="99"/>
    <w:semiHidden/>
    <w:unhideWhenUsed/>
    <w:rsid w:val="001836FC"/>
    <w:rPr>
      <w:rFonts w:ascii="Tahoma" w:hAnsi="Tahoma" w:cs="Tahoma"/>
      <w:sz w:val="16"/>
      <w:szCs w:val="16"/>
    </w:rPr>
  </w:style>
  <w:style w:type="character" w:customStyle="1" w:styleId="TextedebullesCar">
    <w:name w:val="Texte de bulles Car"/>
    <w:basedOn w:val="Policepardfaut"/>
    <w:link w:val="Textedebulles"/>
    <w:uiPriority w:val="99"/>
    <w:semiHidden/>
    <w:rsid w:val="001836FC"/>
    <w:rPr>
      <w:rFonts w:ascii="Tahoma" w:hAnsi="Tahoma" w:cs="Tahoma"/>
      <w:sz w:val="16"/>
      <w:szCs w:val="16"/>
      <w:lang w:val="en-US" w:eastAsia="en-US"/>
    </w:rPr>
  </w:style>
  <w:style w:type="character" w:styleId="Rfrenceintense">
    <w:name w:val="Intense Reference"/>
    <w:uiPriority w:val="32"/>
    <w:qFormat/>
    <w:rsid w:val="006D25F3"/>
    <w:rPr>
      <w:sz w:val="18"/>
    </w:rPr>
  </w:style>
  <w:style w:type="character" w:styleId="Lienhypertexte">
    <w:name w:val="Hyperlink"/>
    <w:basedOn w:val="Policepardfaut"/>
    <w:uiPriority w:val="99"/>
    <w:unhideWhenUsed/>
    <w:rsid w:val="0051372C"/>
    <w:rPr>
      <w:color w:val="0000FF" w:themeColor="hyperlink"/>
      <w:u w:val="single"/>
    </w:rPr>
  </w:style>
  <w:style w:type="character" w:styleId="Rfrenceple">
    <w:name w:val="Subtle Reference"/>
    <w:basedOn w:val="Policepardfaut"/>
    <w:uiPriority w:val="31"/>
    <w:qFormat/>
    <w:rsid w:val="006D25F3"/>
    <w:rPr>
      <w:smallCaps/>
      <w:color w:val="C0504D" w:themeColor="accent2"/>
      <w:u w:val="single"/>
    </w:rPr>
  </w:style>
  <w:style w:type="paragraph" w:styleId="Textebrut">
    <w:name w:val="Plain Text"/>
    <w:basedOn w:val="Normal"/>
    <w:link w:val="TextebrutCar"/>
    <w:uiPriority w:val="99"/>
    <w:semiHidden/>
    <w:unhideWhenUsed/>
    <w:rsid w:val="006D25F3"/>
    <w:pPr>
      <w:widowControl/>
      <w:autoSpaceDE/>
      <w:autoSpaceDN/>
      <w:adjustRightInd/>
      <w:spacing w:after="0"/>
      <w:jc w:val="left"/>
    </w:pPr>
    <w:rPr>
      <w:rFonts w:ascii="Consolas" w:eastAsiaTheme="minorHAnsi" w:hAnsi="Consolas" w:cstheme="minorBidi"/>
      <w:sz w:val="21"/>
      <w:szCs w:val="21"/>
    </w:rPr>
  </w:style>
  <w:style w:type="character" w:customStyle="1" w:styleId="TextebrutCar">
    <w:name w:val="Texte brut Car"/>
    <w:basedOn w:val="Policepardfaut"/>
    <w:link w:val="Textebrut"/>
    <w:uiPriority w:val="99"/>
    <w:semiHidden/>
    <w:rsid w:val="006D25F3"/>
    <w:rPr>
      <w:rFonts w:ascii="Consolas" w:eastAsiaTheme="minorHAnsi" w:hAnsi="Consolas" w:cstheme="minorBidi"/>
      <w:sz w:val="21"/>
      <w:szCs w:val="21"/>
      <w:lang w:eastAsia="en-US"/>
    </w:rPr>
  </w:style>
  <w:style w:type="paragraph" w:styleId="NormalWeb">
    <w:name w:val="Normal (Web)"/>
    <w:basedOn w:val="Normal"/>
    <w:uiPriority w:val="99"/>
    <w:semiHidden/>
    <w:unhideWhenUsed/>
    <w:rsid w:val="009C76DB"/>
    <w:pPr>
      <w:widowControl/>
      <w:autoSpaceDE/>
      <w:autoSpaceDN/>
      <w:adjustRightInd/>
      <w:spacing w:before="100" w:beforeAutospacing="1" w:after="100" w:afterAutospacing="1"/>
      <w:jc w:val="left"/>
    </w:pPr>
    <w:rPr>
      <w:rFonts w:ascii="Times New Roman" w:hAnsi="Times New Roman" w:cs="Times New Roman"/>
      <w:sz w:val="24"/>
      <w:lang w:eastAsia="fr-B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BE" w:eastAsia="fr-B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6499539">
      <w:bodyDiv w:val="1"/>
      <w:marLeft w:val="0"/>
      <w:marRight w:val="0"/>
      <w:marTop w:val="0"/>
      <w:marBottom w:val="0"/>
      <w:divBdr>
        <w:top w:val="none" w:sz="0" w:space="0" w:color="auto"/>
        <w:left w:val="none" w:sz="0" w:space="0" w:color="auto"/>
        <w:bottom w:val="none" w:sz="0" w:space="0" w:color="auto"/>
        <w:right w:val="none" w:sz="0" w:space="0" w:color="auto"/>
      </w:divBdr>
    </w:div>
    <w:div w:id="563949514">
      <w:bodyDiv w:val="1"/>
      <w:marLeft w:val="0"/>
      <w:marRight w:val="0"/>
      <w:marTop w:val="0"/>
      <w:marBottom w:val="0"/>
      <w:divBdr>
        <w:top w:val="none" w:sz="0" w:space="0" w:color="auto"/>
        <w:left w:val="none" w:sz="0" w:space="0" w:color="auto"/>
        <w:bottom w:val="none" w:sz="0" w:space="0" w:color="auto"/>
        <w:right w:val="none" w:sz="0" w:space="0" w:color="auto"/>
      </w:divBdr>
    </w:div>
    <w:div w:id="820315562">
      <w:bodyDiv w:val="1"/>
      <w:marLeft w:val="0"/>
      <w:marRight w:val="0"/>
      <w:marTop w:val="0"/>
      <w:marBottom w:val="0"/>
      <w:divBdr>
        <w:top w:val="none" w:sz="0" w:space="0" w:color="auto"/>
        <w:left w:val="none" w:sz="0" w:space="0" w:color="auto"/>
        <w:bottom w:val="none" w:sz="0" w:space="0" w:color="auto"/>
        <w:right w:val="none" w:sz="0" w:space="0" w:color="auto"/>
      </w:divBdr>
    </w:div>
    <w:div w:id="1172380216">
      <w:bodyDiv w:val="1"/>
      <w:marLeft w:val="0"/>
      <w:marRight w:val="0"/>
      <w:marTop w:val="0"/>
      <w:marBottom w:val="0"/>
      <w:divBdr>
        <w:top w:val="none" w:sz="0" w:space="0" w:color="auto"/>
        <w:left w:val="none" w:sz="0" w:space="0" w:color="auto"/>
        <w:bottom w:val="none" w:sz="0" w:space="0" w:color="auto"/>
        <w:right w:val="none" w:sz="0" w:space="0" w:color="auto"/>
      </w:divBdr>
    </w:div>
    <w:div w:id="1256868220">
      <w:bodyDiv w:val="1"/>
      <w:marLeft w:val="0"/>
      <w:marRight w:val="0"/>
      <w:marTop w:val="0"/>
      <w:marBottom w:val="0"/>
      <w:divBdr>
        <w:top w:val="none" w:sz="0" w:space="0" w:color="auto"/>
        <w:left w:val="none" w:sz="0" w:space="0" w:color="auto"/>
        <w:bottom w:val="none" w:sz="0" w:space="0" w:color="auto"/>
        <w:right w:val="none" w:sz="0" w:space="0" w:color="auto"/>
      </w:divBdr>
    </w:div>
    <w:div w:id="1599558779">
      <w:bodyDiv w:val="1"/>
      <w:marLeft w:val="0"/>
      <w:marRight w:val="0"/>
      <w:marTop w:val="0"/>
      <w:marBottom w:val="0"/>
      <w:divBdr>
        <w:top w:val="none" w:sz="0" w:space="0" w:color="auto"/>
        <w:left w:val="none" w:sz="0" w:space="0" w:color="auto"/>
        <w:bottom w:val="none" w:sz="0" w:space="0" w:color="auto"/>
        <w:right w:val="none" w:sz="0" w:space="0" w:color="auto"/>
      </w:divBdr>
    </w:div>
    <w:div w:id="1601181657">
      <w:bodyDiv w:val="1"/>
      <w:marLeft w:val="0"/>
      <w:marRight w:val="0"/>
      <w:marTop w:val="0"/>
      <w:marBottom w:val="0"/>
      <w:divBdr>
        <w:top w:val="none" w:sz="0" w:space="0" w:color="auto"/>
        <w:left w:val="none" w:sz="0" w:space="0" w:color="auto"/>
        <w:bottom w:val="none" w:sz="0" w:space="0" w:color="auto"/>
        <w:right w:val="none" w:sz="0" w:space="0" w:color="auto"/>
      </w:divBdr>
    </w:div>
    <w:div w:id="1649631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_rels/footnotes.xml.rels><?xml version="1.0" encoding="UTF-8" standalone="yes"?>
<Relationships xmlns="http://schemas.openxmlformats.org/package/2006/relationships"><Relationship Id="rId3" Type="http://schemas.openxmlformats.org/officeDocument/2006/relationships/hyperlink" Target="http://www.uclouvain.be/theo-cetp.html" TargetMode="External"/><Relationship Id="rId2" Type="http://schemas.openxmlformats.org/officeDocument/2006/relationships/hyperlink" Target="http://femmes-ministeres.org/?p=1949" TargetMode="External"/><Relationship Id="rId1" Type="http://schemas.openxmlformats.org/officeDocument/2006/relationships/hyperlink" Target="http://www.dieumaintenant.com/lespiedsdanslebenitier.htm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catche\Dropbox\CP%2050%20ans%20Vic%20BW%20expo\AP%20d&#233;finitif\AP%20tableaux.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catche\Dropbox\CP%2050%20ans%20Vic%20BW%20expo\AP%20d&#233;finitif\AP%20Bxl-BW.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catche\Dropbox\CP%2050%20ans%20Vic%20BW%20expo\AP%20d&#233;finitif\AP%20Bxl-BW.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B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Feuil1!$A$4</c:f>
              <c:strCache>
                <c:ptCount val="1"/>
                <c:pt idx="0">
                  <c:v>Services</c:v>
                </c:pt>
              </c:strCache>
            </c:strRef>
          </c:tx>
          <c:spPr>
            <a:solidFill>
              <a:srgbClr val="FFC000"/>
            </a:solidFill>
          </c:spPr>
          <c:invertIfNegative val="0"/>
          <c:dLbls>
            <c:showLegendKey val="0"/>
            <c:showVal val="1"/>
            <c:showCatName val="0"/>
            <c:showSerName val="0"/>
            <c:showPercent val="0"/>
            <c:showBubbleSize val="0"/>
            <c:showLeaderLines val="0"/>
          </c:dLbls>
          <c:cat>
            <c:strRef>
              <c:f>Feuil1!$B$3:$I$3</c:f>
              <c:strCache>
                <c:ptCount val="8"/>
                <c:pt idx="0">
                  <c:v>1975-79</c:v>
                </c:pt>
                <c:pt idx="1">
                  <c:v>1980-84</c:v>
                </c:pt>
                <c:pt idx="2">
                  <c:v>1985-89</c:v>
                </c:pt>
                <c:pt idx="3">
                  <c:v>1990-94</c:v>
                </c:pt>
                <c:pt idx="4">
                  <c:v>1995-99</c:v>
                </c:pt>
                <c:pt idx="5">
                  <c:v>2000-04</c:v>
                </c:pt>
                <c:pt idx="6">
                  <c:v>2005-09</c:v>
                </c:pt>
                <c:pt idx="7">
                  <c:v>2010-…</c:v>
                </c:pt>
              </c:strCache>
            </c:strRef>
          </c:cat>
          <c:val>
            <c:numRef>
              <c:f>Feuil1!$B$4:$I$4</c:f>
              <c:numCache>
                <c:formatCode>General</c:formatCode>
                <c:ptCount val="8"/>
                <c:pt idx="0">
                  <c:v>3</c:v>
                </c:pt>
                <c:pt idx="1">
                  <c:v>4</c:v>
                </c:pt>
                <c:pt idx="2">
                  <c:v>16</c:v>
                </c:pt>
                <c:pt idx="3">
                  <c:v>13</c:v>
                </c:pt>
                <c:pt idx="4">
                  <c:v>16</c:v>
                </c:pt>
                <c:pt idx="5">
                  <c:v>10</c:v>
                </c:pt>
                <c:pt idx="6" formatCode="0">
                  <c:v>8</c:v>
                </c:pt>
                <c:pt idx="7" formatCode="0">
                  <c:v>12</c:v>
                </c:pt>
              </c:numCache>
            </c:numRef>
          </c:val>
        </c:ser>
        <c:ser>
          <c:idx val="1"/>
          <c:order val="1"/>
          <c:tx>
            <c:strRef>
              <c:f>Feuil1!$A$5</c:f>
              <c:strCache>
                <c:ptCount val="1"/>
                <c:pt idx="0">
                  <c:v>Santé</c:v>
                </c:pt>
              </c:strCache>
            </c:strRef>
          </c:tx>
          <c:spPr>
            <a:solidFill>
              <a:srgbClr val="CC0099"/>
            </a:solidFill>
          </c:spPr>
          <c:invertIfNegative val="0"/>
          <c:dLbls>
            <c:showLegendKey val="0"/>
            <c:showVal val="1"/>
            <c:showCatName val="0"/>
            <c:showSerName val="0"/>
            <c:showPercent val="0"/>
            <c:showBubbleSize val="0"/>
            <c:showLeaderLines val="0"/>
          </c:dLbls>
          <c:cat>
            <c:strRef>
              <c:f>Feuil1!$B$3:$I$3</c:f>
              <c:strCache>
                <c:ptCount val="8"/>
                <c:pt idx="0">
                  <c:v>1975-79</c:v>
                </c:pt>
                <c:pt idx="1">
                  <c:v>1980-84</c:v>
                </c:pt>
                <c:pt idx="2">
                  <c:v>1985-89</c:v>
                </c:pt>
                <c:pt idx="3">
                  <c:v>1990-94</c:v>
                </c:pt>
                <c:pt idx="4">
                  <c:v>1995-99</c:v>
                </c:pt>
                <c:pt idx="5">
                  <c:v>2000-04</c:v>
                </c:pt>
                <c:pt idx="6">
                  <c:v>2005-09</c:v>
                </c:pt>
                <c:pt idx="7">
                  <c:v>2010-…</c:v>
                </c:pt>
              </c:strCache>
            </c:strRef>
          </c:cat>
          <c:val>
            <c:numRef>
              <c:f>Feuil1!$B$5:$I$5</c:f>
              <c:numCache>
                <c:formatCode>General</c:formatCode>
                <c:ptCount val="8"/>
                <c:pt idx="1">
                  <c:v>1</c:v>
                </c:pt>
                <c:pt idx="2">
                  <c:v>7</c:v>
                </c:pt>
                <c:pt idx="3">
                  <c:v>6</c:v>
                </c:pt>
                <c:pt idx="4">
                  <c:v>5</c:v>
                </c:pt>
                <c:pt idx="5">
                  <c:v>5</c:v>
                </c:pt>
                <c:pt idx="6" formatCode="0">
                  <c:v>8</c:v>
                </c:pt>
                <c:pt idx="7" formatCode="0">
                  <c:v>10</c:v>
                </c:pt>
              </c:numCache>
            </c:numRef>
          </c:val>
        </c:ser>
        <c:ser>
          <c:idx val="2"/>
          <c:order val="2"/>
          <c:tx>
            <c:strRef>
              <c:f>Feuil1!$A$6</c:f>
              <c:strCache>
                <c:ptCount val="1"/>
                <c:pt idx="0">
                  <c:v>Paroisses</c:v>
                </c:pt>
              </c:strCache>
            </c:strRef>
          </c:tx>
          <c:spPr>
            <a:solidFill>
              <a:srgbClr val="000099"/>
            </a:solidFill>
          </c:spPr>
          <c:invertIfNegative val="0"/>
          <c:dLbls>
            <c:showLegendKey val="0"/>
            <c:showVal val="1"/>
            <c:showCatName val="0"/>
            <c:showSerName val="0"/>
            <c:showPercent val="0"/>
            <c:showBubbleSize val="0"/>
            <c:showLeaderLines val="0"/>
          </c:dLbls>
          <c:cat>
            <c:strRef>
              <c:f>Feuil1!$B$3:$I$3</c:f>
              <c:strCache>
                <c:ptCount val="8"/>
                <c:pt idx="0">
                  <c:v>1975-79</c:v>
                </c:pt>
                <c:pt idx="1">
                  <c:v>1980-84</c:v>
                </c:pt>
                <c:pt idx="2">
                  <c:v>1985-89</c:v>
                </c:pt>
                <c:pt idx="3">
                  <c:v>1990-94</c:v>
                </c:pt>
                <c:pt idx="4">
                  <c:v>1995-99</c:v>
                </c:pt>
                <c:pt idx="5">
                  <c:v>2000-04</c:v>
                </c:pt>
                <c:pt idx="6">
                  <c:v>2005-09</c:v>
                </c:pt>
                <c:pt idx="7">
                  <c:v>2010-…</c:v>
                </c:pt>
              </c:strCache>
            </c:strRef>
          </c:cat>
          <c:val>
            <c:numRef>
              <c:f>Feuil1!$B$6:$I$6</c:f>
              <c:numCache>
                <c:formatCode>General</c:formatCode>
                <c:ptCount val="8"/>
                <c:pt idx="2">
                  <c:v>1</c:v>
                </c:pt>
                <c:pt idx="3">
                  <c:v>4</c:v>
                </c:pt>
                <c:pt idx="4">
                  <c:v>10</c:v>
                </c:pt>
                <c:pt idx="5">
                  <c:v>5</c:v>
                </c:pt>
                <c:pt idx="6" formatCode="0">
                  <c:v>3</c:v>
                </c:pt>
                <c:pt idx="7" formatCode="0">
                  <c:v>2</c:v>
                </c:pt>
              </c:numCache>
            </c:numRef>
          </c:val>
        </c:ser>
        <c:ser>
          <c:idx val="3"/>
          <c:order val="3"/>
          <c:tx>
            <c:strRef>
              <c:f>Feuil1!$A$7</c:f>
              <c:strCache>
                <c:ptCount val="1"/>
                <c:pt idx="0">
                  <c:v>Prison et div</c:v>
                </c:pt>
              </c:strCache>
            </c:strRef>
          </c:tx>
          <c:spPr>
            <a:solidFill>
              <a:srgbClr val="FF0000"/>
            </a:solidFill>
          </c:spPr>
          <c:invertIfNegative val="0"/>
          <c:dLbls>
            <c:showLegendKey val="0"/>
            <c:showVal val="1"/>
            <c:showCatName val="0"/>
            <c:showSerName val="0"/>
            <c:showPercent val="0"/>
            <c:showBubbleSize val="0"/>
            <c:showLeaderLines val="0"/>
          </c:dLbls>
          <c:cat>
            <c:strRef>
              <c:f>Feuil1!$B$3:$I$3</c:f>
              <c:strCache>
                <c:ptCount val="8"/>
                <c:pt idx="0">
                  <c:v>1975-79</c:v>
                </c:pt>
                <c:pt idx="1">
                  <c:v>1980-84</c:v>
                </c:pt>
                <c:pt idx="2">
                  <c:v>1985-89</c:v>
                </c:pt>
                <c:pt idx="3">
                  <c:v>1990-94</c:v>
                </c:pt>
                <c:pt idx="4">
                  <c:v>1995-99</c:v>
                </c:pt>
                <c:pt idx="5">
                  <c:v>2000-04</c:v>
                </c:pt>
                <c:pt idx="6">
                  <c:v>2005-09</c:v>
                </c:pt>
                <c:pt idx="7">
                  <c:v>2010-…</c:v>
                </c:pt>
              </c:strCache>
            </c:strRef>
          </c:cat>
          <c:val>
            <c:numRef>
              <c:f>Feuil1!$B$7:$I$7</c:f>
              <c:numCache>
                <c:formatCode>General</c:formatCode>
                <c:ptCount val="8"/>
                <c:pt idx="3">
                  <c:v>1</c:v>
                </c:pt>
                <c:pt idx="5">
                  <c:v>1</c:v>
                </c:pt>
                <c:pt idx="6" formatCode="0">
                  <c:v>2</c:v>
                </c:pt>
                <c:pt idx="7" formatCode="0">
                  <c:v>2</c:v>
                </c:pt>
              </c:numCache>
            </c:numRef>
          </c:val>
        </c:ser>
        <c:ser>
          <c:idx val="4"/>
          <c:order val="4"/>
          <c:tx>
            <c:strRef>
              <c:f>Feuil1!$A$8</c:f>
              <c:strCache>
                <c:ptCount val="1"/>
                <c:pt idx="0">
                  <c:v>Total</c:v>
                </c:pt>
              </c:strCache>
            </c:strRef>
          </c:tx>
          <c:spPr>
            <a:solidFill>
              <a:srgbClr val="00B050"/>
            </a:solidFill>
          </c:spPr>
          <c:invertIfNegative val="0"/>
          <c:dLbls>
            <c:showLegendKey val="0"/>
            <c:showVal val="1"/>
            <c:showCatName val="0"/>
            <c:showSerName val="0"/>
            <c:showPercent val="0"/>
            <c:showBubbleSize val="0"/>
            <c:showLeaderLines val="0"/>
          </c:dLbls>
          <c:cat>
            <c:strRef>
              <c:f>Feuil1!$B$3:$I$3</c:f>
              <c:strCache>
                <c:ptCount val="8"/>
                <c:pt idx="0">
                  <c:v>1975-79</c:v>
                </c:pt>
                <c:pt idx="1">
                  <c:v>1980-84</c:v>
                </c:pt>
                <c:pt idx="2">
                  <c:v>1985-89</c:v>
                </c:pt>
                <c:pt idx="3">
                  <c:v>1990-94</c:v>
                </c:pt>
                <c:pt idx="4">
                  <c:v>1995-99</c:v>
                </c:pt>
                <c:pt idx="5">
                  <c:v>2000-04</c:v>
                </c:pt>
                <c:pt idx="6">
                  <c:v>2005-09</c:v>
                </c:pt>
                <c:pt idx="7">
                  <c:v>2010-…</c:v>
                </c:pt>
              </c:strCache>
            </c:strRef>
          </c:cat>
          <c:val>
            <c:numRef>
              <c:f>Feuil1!$B$8:$I$8</c:f>
              <c:numCache>
                <c:formatCode>General</c:formatCode>
                <c:ptCount val="8"/>
                <c:pt idx="0">
                  <c:v>3</c:v>
                </c:pt>
                <c:pt idx="1">
                  <c:v>5</c:v>
                </c:pt>
                <c:pt idx="2">
                  <c:v>24</c:v>
                </c:pt>
                <c:pt idx="3">
                  <c:v>26</c:v>
                </c:pt>
                <c:pt idx="4">
                  <c:v>31</c:v>
                </c:pt>
                <c:pt idx="5">
                  <c:v>21</c:v>
                </c:pt>
                <c:pt idx="6" formatCode="0">
                  <c:v>21</c:v>
                </c:pt>
                <c:pt idx="7" formatCode="0">
                  <c:v>26</c:v>
                </c:pt>
              </c:numCache>
            </c:numRef>
          </c:val>
        </c:ser>
        <c:dLbls>
          <c:showLegendKey val="0"/>
          <c:showVal val="0"/>
          <c:showCatName val="0"/>
          <c:showSerName val="0"/>
          <c:showPercent val="0"/>
          <c:showBubbleSize val="0"/>
        </c:dLbls>
        <c:gapWidth val="150"/>
        <c:shape val="cylinder"/>
        <c:axId val="80435072"/>
        <c:axId val="80436608"/>
        <c:axId val="0"/>
      </c:bar3DChart>
      <c:catAx>
        <c:axId val="80435072"/>
        <c:scaling>
          <c:orientation val="minMax"/>
        </c:scaling>
        <c:delete val="0"/>
        <c:axPos val="b"/>
        <c:majorGridlines/>
        <c:majorTickMark val="out"/>
        <c:minorTickMark val="none"/>
        <c:tickLblPos val="nextTo"/>
        <c:txPr>
          <a:bodyPr/>
          <a:lstStyle/>
          <a:p>
            <a:pPr>
              <a:defRPr sz="1600" cap="small" baseline="10000"/>
            </a:pPr>
            <a:endParaRPr lang="fr-FR"/>
          </a:p>
        </c:txPr>
        <c:crossAx val="80436608"/>
        <c:crosses val="autoZero"/>
        <c:auto val="1"/>
        <c:lblAlgn val="ctr"/>
        <c:lblOffset val="100"/>
        <c:noMultiLvlLbl val="0"/>
      </c:catAx>
      <c:valAx>
        <c:axId val="80436608"/>
        <c:scaling>
          <c:orientation val="minMax"/>
        </c:scaling>
        <c:delete val="0"/>
        <c:axPos val="l"/>
        <c:majorGridlines>
          <c:spPr>
            <a:ln>
              <a:solidFill>
                <a:schemeClr val="bg2"/>
              </a:solidFill>
            </a:ln>
          </c:spPr>
        </c:majorGridlines>
        <c:numFmt formatCode="General" sourceLinked="1"/>
        <c:majorTickMark val="out"/>
        <c:minorTickMark val="none"/>
        <c:tickLblPos val="nextTo"/>
        <c:crossAx val="80435072"/>
        <c:crosses val="autoZero"/>
        <c:crossBetween val="between"/>
      </c:valAx>
    </c:plotArea>
    <c:legend>
      <c:legendPos val="r"/>
      <c:layout>
        <c:manualLayout>
          <c:xMode val="edge"/>
          <c:yMode val="edge"/>
          <c:x val="0.81380747414389398"/>
          <c:y val="0.34715454685811326"/>
          <c:w val="0.17742059892303555"/>
          <c:h val="0.46703544409889924"/>
        </c:manualLayout>
      </c:layout>
      <c:overlay val="0"/>
      <c:txPr>
        <a:bodyPr/>
        <a:lstStyle/>
        <a:p>
          <a:pPr>
            <a:defRPr sz="1400" baseline="0"/>
          </a:pPr>
          <a:endParaRPr lang="fr-FR"/>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BE"/>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fr-BE" sz="1200" b="1" i="0" baseline="0"/>
              <a:t>Les animateurs pastoraux au Brabant wallon</a:t>
            </a:r>
          </a:p>
        </c:rich>
      </c:tx>
      <c:overlay val="0"/>
    </c:title>
    <c:autoTitleDeleted val="0"/>
    <c:plotArea>
      <c:layout/>
      <c:barChart>
        <c:barDir val="col"/>
        <c:grouping val="stacked"/>
        <c:varyColors val="0"/>
        <c:ser>
          <c:idx val="0"/>
          <c:order val="0"/>
          <c:tx>
            <c:strRef>
              <c:f>Feuil2!$C$2</c:f>
              <c:strCache>
                <c:ptCount val="1"/>
                <c:pt idx="0">
                  <c:v>Homme</c:v>
                </c:pt>
              </c:strCache>
            </c:strRef>
          </c:tx>
          <c:spPr>
            <a:ln>
              <a:solidFill>
                <a:sysClr val="windowText" lastClr="000000"/>
              </a:solidFill>
            </a:ln>
          </c:spPr>
          <c:invertIfNegative val="0"/>
          <c:dLbls>
            <c:txPr>
              <a:bodyPr/>
              <a:lstStyle/>
              <a:p>
                <a:pPr>
                  <a:defRPr sz="1100" b="1"/>
                </a:pPr>
                <a:endParaRPr lang="fr-FR"/>
              </a:p>
            </c:txPr>
            <c:showLegendKey val="0"/>
            <c:showVal val="1"/>
            <c:showCatName val="0"/>
            <c:showSerName val="0"/>
            <c:showPercent val="0"/>
            <c:showBubbleSize val="0"/>
            <c:showLeaderLines val="0"/>
          </c:dLbls>
          <c:cat>
            <c:strRef>
              <c:f>Feuil2!$B$3:$B$7</c:f>
              <c:strCache>
                <c:ptCount val="5"/>
                <c:pt idx="0">
                  <c:v>Services</c:v>
                </c:pt>
                <c:pt idx="1">
                  <c:v>Santé</c:v>
                </c:pt>
                <c:pt idx="2">
                  <c:v>Paroisses</c:v>
                </c:pt>
                <c:pt idx="3">
                  <c:v>Prison et div</c:v>
                </c:pt>
                <c:pt idx="4">
                  <c:v>Total</c:v>
                </c:pt>
              </c:strCache>
            </c:strRef>
          </c:cat>
          <c:val>
            <c:numRef>
              <c:f>Feuil2!$C$3:$C$7</c:f>
              <c:numCache>
                <c:formatCode>General</c:formatCode>
                <c:ptCount val="5"/>
                <c:pt idx="0">
                  <c:v>3</c:v>
                </c:pt>
                <c:pt idx="1">
                  <c:v>3</c:v>
                </c:pt>
                <c:pt idx="2">
                  <c:v>1</c:v>
                </c:pt>
                <c:pt idx="4">
                  <c:v>7</c:v>
                </c:pt>
              </c:numCache>
            </c:numRef>
          </c:val>
        </c:ser>
        <c:ser>
          <c:idx val="1"/>
          <c:order val="1"/>
          <c:tx>
            <c:strRef>
              <c:f>Feuil2!$D$2</c:f>
              <c:strCache>
                <c:ptCount val="1"/>
                <c:pt idx="0">
                  <c:v>Femme</c:v>
                </c:pt>
              </c:strCache>
            </c:strRef>
          </c:tx>
          <c:spPr>
            <a:solidFill>
              <a:srgbClr val="FF33CC"/>
            </a:solidFill>
            <a:ln>
              <a:solidFill>
                <a:sysClr val="windowText" lastClr="000000"/>
              </a:solidFill>
            </a:ln>
          </c:spPr>
          <c:invertIfNegative val="0"/>
          <c:dLbls>
            <c:spPr>
              <a:ln w="9525"/>
            </c:spPr>
            <c:txPr>
              <a:bodyPr/>
              <a:lstStyle/>
              <a:p>
                <a:pPr>
                  <a:defRPr sz="1100" b="1"/>
                </a:pPr>
                <a:endParaRPr lang="fr-FR"/>
              </a:p>
            </c:txPr>
            <c:showLegendKey val="0"/>
            <c:showVal val="1"/>
            <c:showCatName val="0"/>
            <c:showSerName val="0"/>
            <c:showPercent val="0"/>
            <c:showBubbleSize val="0"/>
            <c:showLeaderLines val="0"/>
          </c:dLbls>
          <c:cat>
            <c:strRef>
              <c:f>Feuil2!$B$3:$B$7</c:f>
              <c:strCache>
                <c:ptCount val="5"/>
                <c:pt idx="0">
                  <c:v>Services</c:v>
                </c:pt>
                <c:pt idx="1">
                  <c:v>Santé</c:v>
                </c:pt>
                <c:pt idx="2">
                  <c:v>Paroisses</c:v>
                </c:pt>
                <c:pt idx="3">
                  <c:v>Prison et div</c:v>
                </c:pt>
                <c:pt idx="4">
                  <c:v>Total</c:v>
                </c:pt>
              </c:strCache>
            </c:strRef>
          </c:cat>
          <c:val>
            <c:numRef>
              <c:f>Feuil2!$D$3:$D$7</c:f>
              <c:numCache>
                <c:formatCode>General</c:formatCode>
                <c:ptCount val="5"/>
                <c:pt idx="0">
                  <c:v>23</c:v>
                </c:pt>
                <c:pt idx="1">
                  <c:v>16</c:v>
                </c:pt>
                <c:pt idx="2">
                  <c:v>10</c:v>
                </c:pt>
                <c:pt idx="3">
                  <c:v>3</c:v>
                </c:pt>
                <c:pt idx="4">
                  <c:v>52</c:v>
                </c:pt>
              </c:numCache>
            </c:numRef>
          </c:val>
        </c:ser>
        <c:dLbls>
          <c:showLegendKey val="0"/>
          <c:showVal val="1"/>
          <c:showCatName val="0"/>
          <c:showSerName val="0"/>
          <c:showPercent val="0"/>
          <c:showBubbleSize val="0"/>
        </c:dLbls>
        <c:gapWidth val="95"/>
        <c:overlap val="100"/>
        <c:axId val="80458496"/>
        <c:axId val="80460032"/>
      </c:barChart>
      <c:catAx>
        <c:axId val="80458496"/>
        <c:scaling>
          <c:orientation val="minMax"/>
        </c:scaling>
        <c:delete val="0"/>
        <c:axPos val="b"/>
        <c:majorTickMark val="none"/>
        <c:minorTickMark val="none"/>
        <c:tickLblPos val="nextTo"/>
        <c:crossAx val="80460032"/>
        <c:crosses val="autoZero"/>
        <c:auto val="1"/>
        <c:lblAlgn val="ctr"/>
        <c:lblOffset val="100"/>
        <c:noMultiLvlLbl val="0"/>
      </c:catAx>
      <c:valAx>
        <c:axId val="80460032"/>
        <c:scaling>
          <c:orientation val="minMax"/>
        </c:scaling>
        <c:delete val="1"/>
        <c:axPos val="l"/>
        <c:numFmt formatCode="General" sourceLinked="1"/>
        <c:majorTickMark val="none"/>
        <c:minorTickMark val="none"/>
        <c:tickLblPos val="none"/>
        <c:crossAx val="80458496"/>
        <c:crosses val="autoZero"/>
        <c:crossBetween val="between"/>
      </c:valAx>
    </c:plotArea>
    <c:legend>
      <c:legendPos val="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BE"/>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fr-BE" sz="1200" b="1" i="0" baseline="0"/>
              <a:t>Les animateurs pastoraux francophones à Bruxelles</a:t>
            </a:r>
          </a:p>
        </c:rich>
      </c:tx>
      <c:overlay val="0"/>
    </c:title>
    <c:autoTitleDeleted val="0"/>
    <c:plotArea>
      <c:layout/>
      <c:barChart>
        <c:barDir val="col"/>
        <c:grouping val="stacked"/>
        <c:varyColors val="0"/>
        <c:ser>
          <c:idx val="0"/>
          <c:order val="0"/>
          <c:tx>
            <c:strRef>
              <c:f>Feuil2!$J$2</c:f>
              <c:strCache>
                <c:ptCount val="1"/>
                <c:pt idx="0">
                  <c:v>Homme</c:v>
                </c:pt>
              </c:strCache>
            </c:strRef>
          </c:tx>
          <c:spPr>
            <a:ln>
              <a:solidFill>
                <a:sysClr val="windowText" lastClr="000000"/>
              </a:solidFill>
            </a:ln>
          </c:spPr>
          <c:invertIfNegative val="0"/>
          <c:dLbls>
            <c:txPr>
              <a:bodyPr/>
              <a:lstStyle/>
              <a:p>
                <a:pPr>
                  <a:defRPr sz="1050" b="1"/>
                </a:pPr>
                <a:endParaRPr lang="fr-FR"/>
              </a:p>
            </c:txPr>
            <c:showLegendKey val="0"/>
            <c:showVal val="1"/>
            <c:showCatName val="0"/>
            <c:showSerName val="0"/>
            <c:showPercent val="0"/>
            <c:showBubbleSize val="0"/>
            <c:showLeaderLines val="0"/>
          </c:dLbls>
          <c:cat>
            <c:strRef>
              <c:f>Feuil2!$I$3:$I$7</c:f>
              <c:strCache>
                <c:ptCount val="5"/>
                <c:pt idx="0">
                  <c:v>Services</c:v>
                </c:pt>
                <c:pt idx="1">
                  <c:v>Santé</c:v>
                </c:pt>
                <c:pt idx="2">
                  <c:v>Paroisses</c:v>
                </c:pt>
                <c:pt idx="3">
                  <c:v>Prison</c:v>
                </c:pt>
                <c:pt idx="4">
                  <c:v>Total</c:v>
                </c:pt>
              </c:strCache>
            </c:strRef>
          </c:cat>
          <c:val>
            <c:numRef>
              <c:f>Feuil2!$J$3:$J$7</c:f>
              <c:numCache>
                <c:formatCode>General</c:formatCode>
                <c:ptCount val="5"/>
                <c:pt idx="0">
                  <c:v>4</c:v>
                </c:pt>
                <c:pt idx="1">
                  <c:v>2</c:v>
                </c:pt>
                <c:pt idx="2">
                  <c:v>3</c:v>
                </c:pt>
                <c:pt idx="4">
                  <c:v>9</c:v>
                </c:pt>
              </c:numCache>
            </c:numRef>
          </c:val>
        </c:ser>
        <c:ser>
          <c:idx val="1"/>
          <c:order val="1"/>
          <c:tx>
            <c:strRef>
              <c:f>Feuil2!$K$2</c:f>
              <c:strCache>
                <c:ptCount val="1"/>
                <c:pt idx="0">
                  <c:v>Femme</c:v>
                </c:pt>
              </c:strCache>
            </c:strRef>
          </c:tx>
          <c:spPr>
            <a:solidFill>
              <a:srgbClr val="FF33CC"/>
            </a:solidFill>
            <a:ln>
              <a:solidFill>
                <a:sysClr val="windowText" lastClr="000000"/>
              </a:solidFill>
            </a:ln>
          </c:spPr>
          <c:invertIfNegative val="0"/>
          <c:dLbls>
            <c:txPr>
              <a:bodyPr/>
              <a:lstStyle/>
              <a:p>
                <a:pPr>
                  <a:defRPr sz="1050" b="1"/>
                </a:pPr>
                <a:endParaRPr lang="fr-FR"/>
              </a:p>
            </c:txPr>
            <c:showLegendKey val="0"/>
            <c:showVal val="1"/>
            <c:showCatName val="0"/>
            <c:showSerName val="0"/>
            <c:showPercent val="0"/>
            <c:showBubbleSize val="0"/>
            <c:showLeaderLines val="0"/>
          </c:dLbls>
          <c:cat>
            <c:strRef>
              <c:f>Feuil2!$I$3:$I$7</c:f>
              <c:strCache>
                <c:ptCount val="5"/>
                <c:pt idx="0">
                  <c:v>Services</c:v>
                </c:pt>
                <c:pt idx="1">
                  <c:v>Santé</c:v>
                </c:pt>
                <c:pt idx="2">
                  <c:v>Paroisses</c:v>
                </c:pt>
                <c:pt idx="3">
                  <c:v>Prison</c:v>
                </c:pt>
                <c:pt idx="4">
                  <c:v>Total</c:v>
                </c:pt>
              </c:strCache>
            </c:strRef>
          </c:cat>
          <c:val>
            <c:numRef>
              <c:f>Feuil2!$K$3:$K$7</c:f>
              <c:numCache>
                <c:formatCode>General</c:formatCode>
                <c:ptCount val="5"/>
                <c:pt idx="0">
                  <c:v>7</c:v>
                </c:pt>
                <c:pt idx="1">
                  <c:v>21</c:v>
                </c:pt>
                <c:pt idx="2">
                  <c:v>20</c:v>
                </c:pt>
                <c:pt idx="3">
                  <c:v>1</c:v>
                </c:pt>
                <c:pt idx="4">
                  <c:v>49</c:v>
                </c:pt>
              </c:numCache>
            </c:numRef>
          </c:val>
        </c:ser>
        <c:dLbls>
          <c:showLegendKey val="0"/>
          <c:showVal val="1"/>
          <c:showCatName val="0"/>
          <c:showSerName val="0"/>
          <c:showPercent val="0"/>
          <c:showBubbleSize val="0"/>
        </c:dLbls>
        <c:gapWidth val="95"/>
        <c:overlap val="100"/>
        <c:axId val="81412864"/>
        <c:axId val="81414400"/>
      </c:barChart>
      <c:catAx>
        <c:axId val="81412864"/>
        <c:scaling>
          <c:orientation val="minMax"/>
        </c:scaling>
        <c:delete val="0"/>
        <c:axPos val="b"/>
        <c:majorTickMark val="none"/>
        <c:minorTickMark val="none"/>
        <c:tickLblPos val="nextTo"/>
        <c:crossAx val="81414400"/>
        <c:crosses val="autoZero"/>
        <c:auto val="1"/>
        <c:lblAlgn val="ctr"/>
        <c:lblOffset val="100"/>
        <c:noMultiLvlLbl val="0"/>
      </c:catAx>
      <c:valAx>
        <c:axId val="81414400"/>
        <c:scaling>
          <c:orientation val="minMax"/>
        </c:scaling>
        <c:delete val="1"/>
        <c:axPos val="l"/>
        <c:numFmt formatCode="General" sourceLinked="1"/>
        <c:majorTickMark val="out"/>
        <c:minorTickMark val="none"/>
        <c:tickLblPos val="none"/>
        <c:crossAx val="81412864"/>
        <c:crosses val="autoZero"/>
        <c:crossBetween val="between"/>
      </c:valAx>
    </c:plotArea>
    <c:legend>
      <c:legendPos val="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1942</TotalTime>
  <Pages>1</Pages>
  <Words>3820</Words>
  <Characters>20556</Characters>
  <Application>Microsoft Office Word</Application>
  <DocSecurity>0</DocSecurity>
  <Lines>348</Lines>
  <Paragraphs>108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24268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catche</dc:creator>
  <cp:lastModifiedBy>Catherine Chevalier</cp:lastModifiedBy>
  <cp:revision>43</cp:revision>
  <cp:lastPrinted>2014-06-25T15:43:00Z</cp:lastPrinted>
  <dcterms:created xsi:type="dcterms:W3CDTF">2014-06-20T09:01:00Z</dcterms:created>
  <dcterms:modified xsi:type="dcterms:W3CDTF">2018-09-28T10:58:00Z</dcterms:modified>
</cp:coreProperties>
</file>