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4ED" w:rsidRPr="00A520C7" w:rsidRDefault="003234ED" w:rsidP="003234ED">
      <w:pPr>
        <w:jc w:val="center"/>
        <w:rPr>
          <w:rFonts w:ascii="Verdana" w:hAnsi="Verdana" w:cs="Times New Roman"/>
          <w:b/>
          <w:sz w:val="20"/>
          <w:lang w:val="en-GB"/>
        </w:rPr>
      </w:pPr>
      <w:r w:rsidRPr="00A520C7">
        <w:rPr>
          <w:rFonts w:ascii="Verdana" w:hAnsi="Verdana" w:cs="Times New Roman"/>
          <w:b/>
          <w:sz w:val="20"/>
          <w:lang w:val="en-GB"/>
        </w:rPr>
        <w:t>Counteractive effect of transcranial direct current stimulation</w:t>
      </w:r>
    </w:p>
    <w:p w:rsidR="003234ED" w:rsidRPr="00156E67" w:rsidRDefault="003234ED" w:rsidP="003234ED">
      <w:pPr>
        <w:jc w:val="center"/>
        <w:rPr>
          <w:rFonts w:ascii="Verdana" w:hAnsi="Verdana" w:cs="Times New Roman"/>
          <w:b/>
          <w:sz w:val="20"/>
        </w:rPr>
      </w:pPr>
      <w:r w:rsidRPr="00156E67">
        <w:rPr>
          <w:rFonts w:ascii="Verdana" w:hAnsi="Verdana" w:cs="Times New Roman"/>
          <w:b/>
          <w:sz w:val="20"/>
        </w:rPr>
        <w:t xml:space="preserve">on spatial attention biases </w:t>
      </w:r>
    </w:p>
    <w:p w:rsidR="003234ED" w:rsidRDefault="003234ED"/>
    <w:p w:rsidR="003234ED" w:rsidRPr="00E57D2E" w:rsidRDefault="003234ED" w:rsidP="003234ED">
      <w:pPr>
        <w:jc w:val="center"/>
        <w:rPr>
          <w:rFonts w:ascii="Verdana" w:hAnsi="Verdana" w:cs="Times New Roman"/>
          <w:sz w:val="20"/>
          <w:vertAlign w:val="superscript"/>
        </w:rPr>
      </w:pPr>
      <w:bookmarkStart w:id="0" w:name="_GoBack"/>
      <w:r w:rsidRPr="00A02B49">
        <w:rPr>
          <w:rFonts w:ascii="Verdana" w:hAnsi="Verdana" w:cs="Times New Roman"/>
          <w:sz w:val="20"/>
          <w:u w:val="single"/>
        </w:rPr>
        <w:t>Laurie Geers</w:t>
      </w:r>
      <w:bookmarkEnd w:id="0"/>
      <w:r w:rsidRPr="00E57D2E">
        <w:rPr>
          <w:rFonts w:ascii="Verdana" w:hAnsi="Verdana" w:cs="Times New Roman"/>
          <w:sz w:val="20"/>
        </w:rPr>
        <w:t xml:space="preserve"> </w:t>
      </w:r>
      <w:r w:rsidRPr="00E57D2E">
        <w:rPr>
          <w:rFonts w:ascii="Verdana" w:hAnsi="Verdana" w:cs="Times New Roman"/>
          <w:sz w:val="20"/>
          <w:vertAlign w:val="superscript"/>
        </w:rPr>
        <w:t>1,2</w:t>
      </w:r>
      <w:r w:rsidRPr="00E57D2E">
        <w:rPr>
          <w:rFonts w:ascii="Verdana" w:hAnsi="Verdana" w:cs="Times New Roman"/>
          <w:sz w:val="20"/>
        </w:rPr>
        <w:t xml:space="preserve">, Valérie Dormal </w:t>
      </w:r>
      <w:r w:rsidRPr="00E57D2E">
        <w:rPr>
          <w:rFonts w:ascii="Verdana" w:hAnsi="Verdana" w:cs="Times New Roman"/>
          <w:sz w:val="20"/>
          <w:vertAlign w:val="superscript"/>
        </w:rPr>
        <w:t>1,2</w:t>
      </w:r>
      <w:r w:rsidRPr="00E57D2E">
        <w:rPr>
          <w:rFonts w:ascii="Verdana" w:hAnsi="Verdana" w:cs="Times New Roman"/>
          <w:sz w:val="20"/>
        </w:rPr>
        <w:t xml:space="preserve">, </w:t>
      </w:r>
      <w:r w:rsidRPr="003234ED">
        <w:rPr>
          <w:rFonts w:ascii="Verdana" w:hAnsi="Verdana"/>
          <w:sz w:val="20"/>
        </w:rPr>
        <w:t>Yves Vandermeeren</w:t>
      </w:r>
      <w:r>
        <w:rPr>
          <w:rFonts w:ascii="Verdana" w:hAnsi="Verdana"/>
          <w:sz w:val="20"/>
        </w:rPr>
        <w:t xml:space="preserve"> </w:t>
      </w:r>
      <w:r w:rsidR="00DC219C">
        <w:rPr>
          <w:rFonts w:ascii="Verdana" w:hAnsi="Verdana"/>
          <w:sz w:val="20"/>
          <w:vertAlign w:val="superscript"/>
        </w:rPr>
        <w:t>2,3</w:t>
      </w:r>
      <w:r w:rsidRPr="003234ED">
        <w:rPr>
          <w:rFonts w:ascii="Verdana" w:hAnsi="Verdana"/>
          <w:sz w:val="20"/>
        </w:rPr>
        <w:t xml:space="preserve">, </w:t>
      </w:r>
      <w:r w:rsidRPr="00E57D2E">
        <w:rPr>
          <w:rFonts w:ascii="Verdana" w:hAnsi="Verdana" w:cs="Times New Roman"/>
          <w:sz w:val="20"/>
        </w:rPr>
        <w:t xml:space="preserve">Nicolas Masson </w:t>
      </w:r>
      <w:r w:rsidRPr="00E57D2E">
        <w:rPr>
          <w:rFonts w:ascii="Verdana" w:hAnsi="Verdana" w:cs="Times New Roman"/>
          <w:sz w:val="20"/>
          <w:vertAlign w:val="superscript"/>
        </w:rPr>
        <w:t>1,2</w:t>
      </w:r>
      <w:r w:rsidRPr="00E57D2E">
        <w:rPr>
          <w:rFonts w:ascii="Verdana" w:hAnsi="Verdana" w:cs="Times New Roman"/>
          <w:sz w:val="20"/>
        </w:rPr>
        <w:t xml:space="preserve">, Michael Andres </w:t>
      </w:r>
      <w:r w:rsidRPr="00E57D2E">
        <w:rPr>
          <w:rFonts w:ascii="Verdana" w:hAnsi="Verdana" w:cs="Times New Roman"/>
          <w:sz w:val="20"/>
          <w:vertAlign w:val="superscript"/>
        </w:rPr>
        <w:t>1,2</w:t>
      </w:r>
    </w:p>
    <w:p w:rsidR="003234ED" w:rsidRPr="008E022F" w:rsidRDefault="003234ED" w:rsidP="003234ED">
      <w:pPr>
        <w:jc w:val="center"/>
        <w:rPr>
          <w:rFonts w:ascii="Verdana" w:hAnsi="Verdana" w:cs="Times New Roman"/>
          <w:sz w:val="20"/>
          <w:szCs w:val="20"/>
        </w:rPr>
      </w:pPr>
    </w:p>
    <w:p w:rsidR="003234ED" w:rsidRPr="008E022F" w:rsidRDefault="003234ED" w:rsidP="008E022F">
      <w:pPr>
        <w:jc w:val="both"/>
        <w:rPr>
          <w:rFonts w:ascii="Verdana" w:hAnsi="Verdana" w:cs="Times New Roman"/>
          <w:sz w:val="20"/>
          <w:szCs w:val="20"/>
        </w:rPr>
      </w:pPr>
      <w:r w:rsidRPr="008E022F">
        <w:rPr>
          <w:rFonts w:ascii="Verdana" w:hAnsi="Verdana" w:cs="Times New Roman"/>
          <w:sz w:val="20"/>
          <w:szCs w:val="20"/>
          <w:vertAlign w:val="superscript"/>
        </w:rPr>
        <w:t>1</w:t>
      </w:r>
      <w:r w:rsidRPr="008E022F">
        <w:rPr>
          <w:rFonts w:ascii="Verdana" w:hAnsi="Verdana" w:cs="Times New Roman"/>
          <w:sz w:val="20"/>
          <w:szCs w:val="20"/>
        </w:rPr>
        <w:t xml:space="preserve"> Psychological Science Research Institute, Université catholique de Louvain, Louvain-la-Neuve, Belgium</w:t>
      </w:r>
    </w:p>
    <w:p w:rsidR="003234ED" w:rsidRPr="008E022F" w:rsidRDefault="003234ED" w:rsidP="008E022F">
      <w:pPr>
        <w:jc w:val="both"/>
        <w:rPr>
          <w:rFonts w:ascii="Verdana" w:hAnsi="Verdana" w:cs="Times New Roman"/>
          <w:sz w:val="20"/>
          <w:szCs w:val="20"/>
        </w:rPr>
      </w:pPr>
      <w:r w:rsidRPr="008E022F">
        <w:rPr>
          <w:rFonts w:ascii="Verdana" w:hAnsi="Verdana" w:cs="Times New Roman"/>
          <w:sz w:val="20"/>
          <w:szCs w:val="20"/>
          <w:vertAlign w:val="superscript"/>
        </w:rPr>
        <w:t>2</w:t>
      </w:r>
      <w:r w:rsidRPr="008E022F">
        <w:rPr>
          <w:rFonts w:ascii="Verdana" w:hAnsi="Verdana" w:cs="Times New Roman"/>
          <w:sz w:val="20"/>
          <w:szCs w:val="20"/>
        </w:rPr>
        <w:t xml:space="preserve"> Institute of Neuroscience, Université catholique de Louvain, Brussels, Belgium</w:t>
      </w:r>
    </w:p>
    <w:p w:rsidR="008E022F" w:rsidRPr="00DC219C" w:rsidRDefault="008E022F" w:rsidP="00DC219C">
      <w:pPr>
        <w:jc w:val="both"/>
        <w:rPr>
          <w:rFonts w:ascii="Verdana" w:hAnsi="Verdana"/>
          <w:sz w:val="20"/>
          <w:szCs w:val="20"/>
          <w:lang w:val="en-GB"/>
        </w:rPr>
      </w:pPr>
      <w:r w:rsidRPr="00A02B49">
        <w:rPr>
          <w:rFonts w:ascii="Verdana" w:hAnsi="Verdana"/>
          <w:sz w:val="20"/>
          <w:szCs w:val="20"/>
          <w:vertAlign w:val="superscript"/>
          <w:lang w:val="en-GB"/>
        </w:rPr>
        <w:t xml:space="preserve">3 </w:t>
      </w:r>
      <w:r w:rsidRPr="00DC219C">
        <w:rPr>
          <w:rFonts w:ascii="Verdana" w:hAnsi="Verdana"/>
          <w:sz w:val="20"/>
          <w:szCs w:val="20"/>
          <w:lang w:val="en-GB"/>
        </w:rPr>
        <w:t>CHU Dinant Godinne UCL, Belgium</w:t>
      </w:r>
    </w:p>
    <w:p w:rsidR="003234ED" w:rsidRDefault="003234ED"/>
    <w:p w:rsidR="003234ED" w:rsidRDefault="003234ED" w:rsidP="008E022F">
      <w:pPr>
        <w:spacing w:after="0" w:line="360" w:lineRule="auto"/>
        <w:jc w:val="both"/>
        <w:rPr>
          <w:rFonts w:ascii="Verdana" w:hAnsi="Verdana" w:cs="Times New Roman"/>
          <w:sz w:val="20"/>
          <w:szCs w:val="20"/>
          <w:lang w:val="en-GB"/>
        </w:rPr>
      </w:pPr>
      <w:r w:rsidRPr="003234ED">
        <w:rPr>
          <w:rFonts w:ascii="Verdana" w:hAnsi="Verdana" w:cs="Times New Roman"/>
          <w:sz w:val="20"/>
          <w:szCs w:val="20"/>
          <w:lang w:val="en-GB"/>
        </w:rPr>
        <w:t>Transcranial direct current stimulation (tDCS) has the potential to alter neuronal activity and modify behaviour. The enhancement of activity in one hemisphere relative to the other is assumed to benefit to the rehabilitation of hemineglect, a disorder of spatial attention consecutive to a unilateral lesion</w:t>
      </w:r>
      <w:r w:rsidR="00C841AC">
        <w:rPr>
          <w:rFonts w:ascii="Verdana" w:hAnsi="Verdana" w:cs="Times New Roman"/>
          <w:sz w:val="20"/>
          <w:szCs w:val="20"/>
          <w:lang w:val="en-GB"/>
        </w:rPr>
        <w:t xml:space="preserve"> [1, 2</w:t>
      </w:r>
      <w:r>
        <w:rPr>
          <w:rFonts w:ascii="Verdana" w:hAnsi="Verdana" w:cs="Times New Roman"/>
          <w:sz w:val="20"/>
          <w:szCs w:val="20"/>
          <w:lang w:val="en-GB"/>
        </w:rPr>
        <w:t>]</w:t>
      </w:r>
      <w:r w:rsidRPr="003234ED">
        <w:rPr>
          <w:rFonts w:ascii="Verdana" w:hAnsi="Verdana" w:cs="Times New Roman"/>
          <w:sz w:val="20"/>
          <w:szCs w:val="20"/>
          <w:lang w:val="en-GB"/>
        </w:rPr>
        <w:t>. Previous studies</w:t>
      </w:r>
      <w:r w:rsidR="00C841AC">
        <w:rPr>
          <w:rFonts w:ascii="Verdana" w:hAnsi="Verdana" w:cs="Times New Roman"/>
          <w:sz w:val="20"/>
          <w:szCs w:val="20"/>
          <w:lang w:val="en-GB"/>
        </w:rPr>
        <w:t xml:space="preserve"> on neglect patients</w:t>
      </w:r>
      <w:r w:rsidRPr="003234ED">
        <w:rPr>
          <w:rFonts w:ascii="Verdana" w:hAnsi="Verdana" w:cs="Times New Roman"/>
          <w:sz w:val="20"/>
          <w:szCs w:val="20"/>
          <w:lang w:val="en-GB"/>
        </w:rPr>
        <w:t xml:space="preserve"> showed that </w:t>
      </w:r>
      <w:r w:rsidRPr="003234ED">
        <w:rPr>
          <w:rStyle w:val="cont16white-space-wrap"/>
          <w:rFonts w:ascii="Verdana" w:hAnsi="Verdana"/>
          <w:sz w:val="20"/>
          <w:szCs w:val="20"/>
          <w:lang w:val="en-GB"/>
        </w:rPr>
        <w:t>anodal tDCS over the left or right posterior parietal cortex (PPC) reorient attention toward the left hemifield</w:t>
      </w:r>
      <w:r w:rsidR="00C841AC">
        <w:rPr>
          <w:rStyle w:val="cont16white-space-wrap"/>
          <w:rFonts w:ascii="Verdana" w:hAnsi="Verdana"/>
          <w:sz w:val="20"/>
          <w:szCs w:val="20"/>
          <w:lang w:val="en-GB"/>
        </w:rPr>
        <w:t xml:space="preserve"> [3</w:t>
      </w:r>
      <w:r w:rsidR="001A2D61">
        <w:rPr>
          <w:rStyle w:val="cont16white-space-wrap"/>
          <w:rFonts w:ascii="Verdana" w:hAnsi="Verdana"/>
          <w:sz w:val="20"/>
          <w:szCs w:val="20"/>
          <w:lang w:val="en-GB"/>
        </w:rPr>
        <w:t>, 4</w:t>
      </w:r>
      <w:r w:rsidR="002360D7">
        <w:rPr>
          <w:rStyle w:val="cont16white-space-wrap"/>
          <w:rFonts w:ascii="Verdana" w:hAnsi="Verdana"/>
          <w:sz w:val="20"/>
          <w:szCs w:val="20"/>
          <w:lang w:val="en-GB"/>
        </w:rPr>
        <w:t>, 5</w:t>
      </w:r>
      <w:r>
        <w:rPr>
          <w:rStyle w:val="cont16white-space-wrap"/>
          <w:rFonts w:ascii="Verdana" w:hAnsi="Verdana"/>
          <w:sz w:val="20"/>
          <w:szCs w:val="20"/>
          <w:lang w:val="en-GB"/>
        </w:rPr>
        <w:t>]</w:t>
      </w:r>
      <w:r w:rsidR="001A2D61">
        <w:rPr>
          <w:rStyle w:val="cont16white-space-wrap"/>
          <w:rFonts w:ascii="Verdana" w:hAnsi="Verdana"/>
          <w:sz w:val="20"/>
          <w:szCs w:val="20"/>
          <w:lang w:val="en-GB"/>
        </w:rPr>
        <w:t>.</w:t>
      </w:r>
      <w:r w:rsidR="00C841AC">
        <w:rPr>
          <w:rStyle w:val="cont16white-space-wrap"/>
          <w:rFonts w:ascii="Verdana" w:hAnsi="Verdana"/>
          <w:sz w:val="20"/>
          <w:szCs w:val="20"/>
          <w:lang w:val="en-GB"/>
        </w:rPr>
        <w:t xml:space="preserve"> </w:t>
      </w:r>
      <w:r w:rsidRPr="003234ED">
        <w:rPr>
          <w:rFonts w:ascii="Verdana" w:hAnsi="Verdana" w:cs="Times New Roman"/>
          <w:sz w:val="20"/>
          <w:szCs w:val="20"/>
          <w:lang w:val="en-GB"/>
        </w:rPr>
        <w:t xml:space="preserve">However, this mechanism of action has been mainly studied in visuospatial </w:t>
      </w:r>
      <w:r w:rsidR="002360D7" w:rsidRPr="003234ED">
        <w:rPr>
          <w:rFonts w:ascii="Verdana" w:hAnsi="Verdana" w:cs="Times New Roman"/>
          <w:sz w:val="20"/>
          <w:szCs w:val="20"/>
          <w:lang w:val="en-GB"/>
        </w:rPr>
        <w:t>tasks</w:t>
      </w:r>
      <w:r w:rsidR="002360D7">
        <w:rPr>
          <w:rFonts w:ascii="Verdana" w:hAnsi="Verdana" w:cs="Times New Roman"/>
          <w:sz w:val="20"/>
          <w:szCs w:val="20"/>
          <w:lang w:val="en-GB"/>
        </w:rPr>
        <w:t>, while</w:t>
      </w:r>
      <w:r w:rsidR="00DC219C">
        <w:rPr>
          <w:rFonts w:ascii="Verdana" w:hAnsi="Verdana" w:cs="Times New Roman"/>
          <w:sz w:val="20"/>
          <w:szCs w:val="20"/>
          <w:lang w:val="en-GB"/>
        </w:rPr>
        <w:t xml:space="preserve"> visuomotor and</w:t>
      </w:r>
      <w:r w:rsidRPr="003234ED">
        <w:rPr>
          <w:rFonts w:ascii="Verdana" w:hAnsi="Verdana" w:cs="Times New Roman"/>
          <w:sz w:val="20"/>
          <w:szCs w:val="20"/>
          <w:lang w:val="en-GB"/>
        </w:rPr>
        <w:t xml:space="preserve"> representational aspects have received little consideration so far. In the present study, we investigated how tDCS modulates spatial </w:t>
      </w:r>
      <w:r w:rsidRPr="002360D7">
        <w:rPr>
          <w:rFonts w:ascii="Verdana" w:hAnsi="Verdana" w:cs="Times New Roman"/>
          <w:sz w:val="20"/>
          <w:szCs w:val="20"/>
          <w:lang w:val="en-GB"/>
        </w:rPr>
        <w:t xml:space="preserve">attention during </w:t>
      </w:r>
      <w:r w:rsidR="00DC219C">
        <w:rPr>
          <w:rFonts w:ascii="Verdana" w:hAnsi="Verdana" w:cs="Times New Roman"/>
          <w:sz w:val="20"/>
          <w:szCs w:val="20"/>
          <w:lang w:val="en-GB"/>
        </w:rPr>
        <w:t>visuomotor behaviour</w:t>
      </w:r>
      <w:r w:rsidRPr="002360D7">
        <w:rPr>
          <w:rFonts w:ascii="Verdana" w:hAnsi="Verdana" w:cs="Times New Roman"/>
          <w:sz w:val="20"/>
          <w:szCs w:val="20"/>
          <w:lang w:val="en-GB"/>
        </w:rPr>
        <w:t xml:space="preserve"> and </w:t>
      </w:r>
      <w:r w:rsidRPr="003234ED">
        <w:rPr>
          <w:rFonts w:ascii="Verdana" w:hAnsi="Verdana" w:cs="Times New Roman"/>
          <w:sz w:val="20"/>
          <w:szCs w:val="20"/>
          <w:lang w:val="en-GB"/>
        </w:rPr>
        <w:t xml:space="preserve">visual imagery in healthy humans. The </w:t>
      </w:r>
      <w:r w:rsidR="00DC219C">
        <w:rPr>
          <w:rFonts w:ascii="Verdana" w:hAnsi="Verdana" w:cs="Times New Roman"/>
          <w:sz w:val="20"/>
          <w:szCs w:val="20"/>
          <w:lang w:val="en-GB"/>
        </w:rPr>
        <w:t>visuomotor</w:t>
      </w:r>
      <w:r w:rsidRPr="003234ED">
        <w:rPr>
          <w:rFonts w:ascii="Verdana" w:hAnsi="Verdana" w:cs="Times New Roman"/>
          <w:sz w:val="20"/>
          <w:szCs w:val="20"/>
          <w:lang w:val="en-GB"/>
        </w:rPr>
        <w:t xml:space="preserve"> task required participants to cross out a maximum of targets randomly distributed over a digital tablet within thirty seconds. </w:t>
      </w:r>
      <w:r w:rsidR="002360D7">
        <w:rPr>
          <w:rFonts w:ascii="Verdana" w:hAnsi="Verdana" w:cs="Times New Roman"/>
          <w:sz w:val="20"/>
          <w:szCs w:val="20"/>
          <w:lang w:val="en-GB"/>
        </w:rPr>
        <w:t xml:space="preserve">The digital tablet </w:t>
      </w:r>
      <w:r w:rsidR="00DC219C">
        <w:rPr>
          <w:rFonts w:ascii="Verdana" w:hAnsi="Verdana" w:cs="Times New Roman"/>
          <w:sz w:val="20"/>
          <w:szCs w:val="20"/>
          <w:lang w:val="en-GB"/>
        </w:rPr>
        <w:t xml:space="preserve">allowed us </w:t>
      </w:r>
      <w:r w:rsidR="002360D7">
        <w:rPr>
          <w:rFonts w:ascii="Verdana" w:hAnsi="Verdana" w:cs="Times New Roman"/>
          <w:sz w:val="20"/>
          <w:szCs w:val="20"/>
          <w:lang w:val="en-GB"/>
        </w:rPr>
        <w:t xml:space="preserve">to track </w:t>
      </w:r>
      <w:r w:rsidR="00DC219C">
        <w:rPr>
          <w:rFonts w:ascii="Verdana" w:hAnsi="Verdana" w:cs="Times New Roman"/>
          <w:sz w:val="20"/>
          <w:szCs w:val="20"/>
          <w:lang w:val="en-GB"/>
        </w:rPr>
        <w:t xml:space="preserve">the </w:t>
      </w:r>
      <w:r w:rsidR="002360D7">
        <w:rPr>
          <w:rFonts w:ascii="Verdana" w:hAnsi="Verdana" w:cs="Times New Roman"/>
          <w:sz w:val="20"/>
          <w:szCs w:val="20"/>
          <w:lang w:val="en-GB"/>
        </w:rPr>
        <w:t>participant</w:t>
      </w:r>
      <w:r w:rsidR="00DC219C">
        <w:rPr>
          <w:rFonts w:ascii="Verdana" w:hAnsi="Verdana" w:cs="Times New Roman"/>
          <w:sz w:val="20"/>
          <w:szCs w:val="20"/>
          <w:lang w:val="en-GB"/>
        </w:rPr>
        <w:t>'s</w:t>
      </w:r>
      <w:r w:rsidR="002360D7">
        <w:rPr>
          <w:rFonts w:ascii="Verdana" w:hAnsi="Verdana" w:cs="Times New Roman"/>
          <w:sz w:val="20"/>
          <w:szCs w:val="20"/>
          <w:lang w:val="en-GB"/>
        </w:rPr>
        <w:t xml:space="preserve"> performance </w:t>
      </w:r>
      <w:r w:rsidR="00DC219C">
        <w:rPr>
          <w:rFonts w:ascii="Verdana" w:hAnsi="Verdana" w:cs="Times New Roman"/>
          <w:sz w:val="20"/>
          <w:szCs w:val="20"/>
          <w:lang w:val="en-GB"/>
        </w:rPr>
        <w:t xml:space="preserve">over </w:t>
      </w:r>
      <w:r w:rsidR="002360D7">
        <w:rPr>
          <w:rFonts w:ascii="Verdana" w:hAnsi="Verdana" w:cs="Times New Roman"/>
          <w:sz w:val="20"/>
          <w:szCs w:val="20"/>
          <w:lang w:val="en-GB"/>
        </w:rPr>
        <w:t xml:space="preserve">time and compute </w:t>
      </w:r>
      <w:r w:rsidR="00DC219C">
        <w:rPr>
          <w:rFonts w:ascii="Verdana" w:hAnsi="Verdana" w:cs="Times New Roman"/>
          <w:sz w:val="20"/>
          <w:szCs w:val="20"/>
          <w:lang w:val="en-GB"/>
        </w:rPr>
        <w:t xml:space="preserve">the </w:t>
      </w:r>
      <w:r w:rsidR="002360D7">
        <w:rPr>
          <w:rFonts w:ascii="Verdana" w:hAnsi="Verdana" w:cs="Times New Roman"/>
          <w:sz w:val="20"/>
          <w:szCs w:val="20"/>
          <w:lang w:val="en-GB"/>
        </w:rPr>
        <w:t xml:space="preserve">centre of gravidity of the crossed targets. </w:t>
      </w:r>
      <w:r w:rsidRPr="003234ED">
        <w:rPr>
          <w:rFonts w:ascii="Verdana" w:hAnsi="Verdana" w:cs="Times New Roman"/>
          <w:sz w:val="20"/>
          <w:szCs w:val="20"/>
          <w:lang w:val="en-GB"/>
        </w:rPr>
        <w:t>The visual imagery task required participants to mentally compare the similarity of two previously seen geometrical shapes that could differ either on their left or right side. The anode was positioned over the left or right parietal cortex and the cathode was positioned over the controlateral frontal cortex. In the sham condition, the centre of gravity of the crossed targets revealed a leftward bias in half of the participants and a rightward bias in the other half. In the active condition, the attention of participants was shifted in the direction opposite to their natural bias in the sham condition, irrespective to the stimulated hemisphere. No effect was observed in the visual imagery task, possibly because this task relied on allocentric rather than egocentric spatial coordinates. The present findings demonstrate that activating the attention network through tDCS counteracts natural biases in visual search. Because the left-to-right or right-to-left current direction did not matter, we suggest that the net effect of tDCS is to re-balance activity within the whole network, which makes it an optimal technique to restore the full range of attention after a unilateral lesion.</w:t>
      </w:r>
    </w:p>
    <w:p w:rsidR="00F11443" w:rsidRDefault="00F11443" w:rsidP="008E022F">
      <w:pPr>
        <w:spacing w:after="0" w:line="360" w:lineRule="auto"/>
        <w:jc w:val="both"/>
        <w:rPr>
          <w:rFonts w:ascii="Verdana" w:hAnsi="Verdana" w:cs="Times New Roman"/>
          <w:sz w:val="20"/>
          <w:szCs w:val="20"/>
          <w:lang w:val="en-GB"/>
        </w:rPr>
      </w:pPr>
    </w:p>
    <w:p w:rsidR="00F11443" w:rsidRPr="002360D7" w:rsidRDefault="002360D7" w:rsidP="008E022F">
      <w:pPr>
        <w:spacing w:after="0" w:line="360" w:lineRule="auto"/>
        <w:jc w:val="both"/>
        <w:rPr>
          <w:rFonts w:ascii="Verdana" w:hAnsi="Verdana" w:cs="Times New Roman"/>
          <w:b/>
          <w:sz w:val="20"/>
          <w:szCs w:val="20"/>
          <w:lang w:val="en-GB"/>
        </w:rPr>
      </w:pPr>
      <w:r w:rsidRPr="002360D7">
        <w:rPr>
          <w:rFonts w:ascii="Verdana" w:hAnsi="Verdana" w:cs="Times New Roman"/>
          <w:b/>
          <w:sz w:val="20"/>
          <w:szCs w:val="20"/>
          <w:lang w:val="en-GB"/>
        </w:rPr>
        <w:t xml:space="preserve">Summary </w:t>
      </w:r>
    </w:p>
    <w:p w:rsidR="00F11443" w:rsidRDefault="00F11443" w:rsidP="008E022F">
      <w:pPr>
        <w:spacing w:after="0" w:line="360" w:lineRule="auto"/>
        <w:jc w:val="both"/>
        <w:rPr>
          <w:rFonts w:ascii="Verdana" w:hAnsi="Verdana" w:cs="Times New Roman"/>
          <w:sz w:val="20"/>
          <w:szCs w:val="20"/>
          <w:lang w:val="en-GB"/>
        </w:rPr>
      </w:pPr>
    </w:p>
    <w:p w:rsidR="003753C8" w:rsidRDefault="002360D7" w:rsidP="008E022F">
      <w:pPr>
        <w:spacing w:after="0" w:line="360" w:lineRule="auto"/>
        <w:jc w:val="both"/>
        <w:rPr>
          <w:rFonts w:ascii="Verdana" w:hAnsi="Verdana" w:cs="Times New Roman"/>
          <w:sz w:val="20"/>
          <w:szCs w:val="20"/>
          <w:lang w:val="en-GB"/>
        </w:rPr>
      </w:pPr>
      <w:r>
        <w:rPr>
          <w:rFonts w:ascii="Verdana" w:hAnsi="Verdana" w:cs="Times New Roman"/>
          <w:sz w:val="20"/>
          <w:szCs w:val="20"/>
          <w:lang w:val="en-GB"/>
        </w:rPr>
        <w:t xml:space="preserve">Neglect is a disorder </w:t>
      </w:r>
      <w:r w:rsidR="008E022F">
        <w:rPr>
          <w:rFonts w:ascii="Verdana" w:hAnsi="Verdana" w:cs="Times New Roman"/>
          <w:sz w:val="20"/>
          <w:szCs w:val="20"/>
          <w:lang w:val="en-GB"/>
        </w:rPr>
        <w:t>t</w:t>
      </w:r>
      <w:r w:rsidR="007E13ED">
        <w:rPr>
          <w:rFonts w:ascii="Verdana" w:hAnsi="Verdana" w:cs="Times New Roman"/>
          <w:sz w:val="20"/>
          <w:szCs w:val="20"/>
          <w:lang w:val="en-GB"/>
        </w:rPr>
        <w:t xml:space="preserve">hat prevents patients to detect the presence of an object in the visual field opposite to the </w:t>
      </w:r>
      <w:r w:rsidR="00646755">
        <w:rPr>
          <w:rFonts w:ascii="Verdana" w:hAnsi="Verdana" w:cs="Times New Roman"/>
          <w:sz w:val="20"/>
          <w:szCs w:val="20"/>
          <w:lang w:val="en-GB"/>
        </w:rPr>
        <w:t>hemisphere</w:t>
      </w:r>
      <w:r w:rsidR="008E022F" w:rsidRPr="008E022F">
        <w:rPr>
          <w:rFonts w:ascii="Verdana" w:hAnsi="Verdana" w:cs="Times New Roman"/>
          <w:sz w:val="20"/>
          <w:szCs w:val="20"/>
          <w:lang w:val="en-GB"/>
        </w:rPr>
        <w:t xml:space="preserve"> </w:t>
      </w:r>
      <w:r w:rsidR="008E022F">
        <w:rPr>
          <w:rFonts w:ascii="Verdana" w:hAnsi="Verdana" w:cs="Times New Roman"/>
          <w:sz w:val="20"/>
          <w:szCs w:val="20"/>
          <w:lang w:val="en-GB"/>
        </w:rPr>
        <w:t>affected by a lesion</w:t>
      </w:r>
      <w:r w:rsidR="007E13ED">
        <w:rPr>
          <w:rFonts w:ascii="Verdana" w:hAnsi="Verdana" w:cs="Times New Roman"/>
          <w:sz w:val="20"/>
          <w:szCs w:val="20"/>
          <w:lang w:val="en-GB"/>
        </w:rPr>
        <w:t xml:space="preserve">. Transcranial </w:t>
      </w:r>
      <w:r w:rsidR="009B4B26">
        <w:rPr>
          <w:rFonts w:ascii="Verdana" w:hAnsi="Verdana" w:cs="Times New Roman"/>
          <w:sz w:val="20"/>
          <w:szCs w:val="20"/>
          <w:lang w:val="en-GB"/>
        </w:rPr>
        <w:t xml:space="preserve">electric </w:t>
      </w:r>
      <w:r w:rsidR="007E13ED">
        <w:rPr>
          <w:rFonts w:ascii="Verdana" w:hAnsi="Verdana" w:cs="Times New Roman"/>
          <w:sz w:val="20"/>
          <w:szCs w:val="20"/>
          <w:lang w:val="en-GB"/>
        </w:rPr>
        <w:t>stimulation</w:t>
      </w:r>
      <w:r w:rsidR="00524FA4">
        <w:rPr>
          <w:rFonts w:ascii="Verdana" w:hAnsi="Verdana" w:cs="Times New Roman"/>
          <w:sz w:val="20"/>
          <w:szCs w:val="20"/>
          <w:lang w:val="en-GB"/>
        </w:rPr>
        <w:t xml:space="preserve"> </w:t>
      </w:r>
      <w:r w:rsidR="003816BD">
        <w:rPr>
          <w:rFonts w:ascii="Verdana" w:hAnsi="Verdana" w:cs="Times New Roman"/>
          <w:sz w:val="20"/>
          <w:szCs w:val="20"/>
          <w:lang w:val="en-GB"/>
        </w:rPr>
        <w:t>is used to enhance</w:t>
      </w:r>
      <w:r w:rsidR="007E13ED">
        <w:rPr>
          <w:rFonts w:ascii="Verdana" w:hAnsi="Verdana" w:cs="Times New Roman"/>
          <w:sz w:val="20"/>
          <w:szCs w:val="20"/>
          <w:lang w:val="en-GB"/>
        </w:rPr>
        <w:t xml:space="preserve"> activity </w:t>
      </w:r>
      <w:r w:rsidR="003816BD">
        <w:rPr>
          <w:rFonts w:ascii="Verdana" w:hAnsi="Verdana" w:cs="Times New Roman"/>
          <w:sz w:val="20"/>
          <w:szCs w:val="20"/>
          <w:lang w:val="en-GB"/>
        </w:rPr>
        <w:t xml:space="preserve">in </w:t>
      </w:r>
      <w:r w:rsidR="007E13ED">
        <w:rPr>
          <w:rFonts w:ascii="Verdana" w:hAnsi="Verdana" w:cs="Times New Roman"/>
          <w:sz w:val="20"/>
          <w:szCs w:val="20"/>
          <w:lang w:val="en-GB"/>
        </w:rPr>
        <w:t xml:space="preserve">the damaged hemisphere </w:t>
      </w:r>
      <w:r w:rsidR="003816BD">
        <w:rPr>
          <w:rFonts w:ascii="Verdana" w:hAnsi="Verdana" w:cs="Times New Roman"/>
          <w:sz w:val="20"/>
          <w:szCs w:val="20"/>
          <w:lang w:val="en-GB"/>
        </w:rPr>
        <w:t>and</w:t>
      </w:r>
      <w:r w:rsidR="00520EE1">
        <w:rPr>
          <w:rFonts w:ascii="Verdana" w:hAnsi="Verdana" w:cs="Times New Roman"/>
          <w:sz w:val="20"/>
          <w:szCs w:val="20"/>
          <w:lang w:val="en-GB"/>
        </w:rPr>
        <w:t xml:space="preserve"> </w:t>
      </w:r>
      <w:r w:rsidR="003816BD">
        <w:rPr>
          <w:rFonts w:ascii="Verdana" w:hAnsi="Verdana" w:cs="Times New Roman"/>
          <w:sz w:val="20"/>
          <w:szCs w:val="20"/>
          <w:lang w:val="en-GB"/>
        </w:rPr>
        <w:t xml:space="preserve">restore </w:t>
      </w:r>
      <w:r w:rsidR="00DC219C">
        <w:rPr>
          <w:rFonts w:ascii="Verdana" w:hAnsi="Verdana" w:cs="Times New Roman"/>
          <w:sz w:val="20"/>
          <w:szCs w:val="20"/>
          <w:lang w:val="en-GB"/>
        </w:rPr>
        <w:t>the full range of attention</w:t>
      </w:r>
      <w:r w:rsidR="007E13ED">
        <w:rPr>
          <w:rFonts w:ascii="Verdana" w:hAnsi="Verdana" w:cs="Times New Roman"/>
          <w:sz w:val="20"/>
          <w:szCs w:val="20"/>
          <w:lang w:val="en-GB"/>
        </w:rPr>
        <w:t xml:space="preserve">. Our study </w:t>
      </w:r>
      <w:r w:rsidR="003816BD">
        <w:rPr>
          <w:rFonts w:ascii="Verdana" w:hAnsi="Verdana" w:cs="Times New Roman"/>
          <w:sz w:val="20"/>
          <w:szCs w:val="20"/>
          <w:lang w:val="en-GB"/>
        </w:rPr>
        <w:t>investigates the benefit</w:t>
      </w:r>
      <w:r w:rsidR="00524FA4">
        <w:rPr>
          <w:rFonts w:ascii="Verdana" w:hAnsi="Verdana" w:cs="Times New Roman"/>
          <w:sz w:val="20"/>
          <w:szCs w:val="20"/>
          <w:lang w:val="en-GB"/>
        </w:rPr>
        <w:t xml:space="preserve"> of </w:t>
      </w:r>
      <w:r w:rsidR="00DC219C">
        <w:rPr>
          <w:rFonts w:ascii="Verdana" w:hAnsi="Verdana" w:cs="Times New Roman"/>
          <w:sz w:val="20"/>
          <w:szCs w:val="20"/>
          <w:lang w:val="en-GB"/>
        </w:rPr>
        <w:t>this technique</w:t>
      </w:r>
      <w:r w:rsidR="003816BD">
        <w:rPr>
          <w:rFonts w:ascii="Verdana" w:hAnsi="Verdana" w:cs="Times New Roman"/>
          <w:sz w:val="20"/>
          <w:szCs w:val="20"/>
          <w:lang w:val="en-GB"/>
        </w:rPr>
        <w:t xml:space="preserve"> for</w:t>
      </w:r>
      <w:r w:rsidR="003753C8">
        <w:rPr>
          <w:rFonts w:ascii="Verdana" w:hAnsi="Verdana" w:cs="Times New Roman"/>
          <w:sz w:val="20"/>
          <w:szCs w:val="20"/>
          <w:lang w:val="en-GB"/>
        </w:rPr>
        <w:t xml:space="preserve"> visuomotor coordination and visual imagery</w:t>
      </w:r>
      <w:r w:rsidR="003816BD">
        <w:rPr>
          <w:rFonts w:ascii="Verdana" w:hAnsi="Verdana" w:cs="Times New Roman"/>
          <w:sz w:val="20"/>
          <w:szCs w:val="20"/>
          <w:lang w:val="en-GB"/>
        </w:rPr>
        <w:t>, two skills that are important</w:t>
      </w:r>
      <w:r w:rsidR="00DC219C">
        <w:rPr>
          <w:rFonts w:ascii="Verdana" w:hAnsi="Verdana" w:cs="Times New Roman"/>
          <w:sz w:val="20"/>
          <w:szCs w:val="20"/>
          <w:lang w:val="en-GB"/>
        </w:rPr>
        <w:t xml:space="preserve"> to recover autonomy</w:t>
      </w:r>
      <w:r w:rsidR="003816BD">
        <w:rPr>
          <w:rFonts w:ascii="Verdana" w:hAnsi="Verdana" w:cs="Times New Roman"/>
          <w:sz w:val="20"/>
          <w:szCs w:val="20"/>
          <w:lang w:val="en-GB"/>
        </w:rPr>
        <w:t xml:space="preserve"> </w:t>
      </w:r>
      <w:r w:rsidR="00524FA4">
        <w:rPr>
          <w:rFonts w:ascii="Verdana" w:hAnsi="Verdana" w:cs="Times New Roman"/>
          <w:sz w:val="20"/>
          <w:szCs w:val="20"/>
          <w:lang w:val="en-GB"/>
        </w:rPr>
        <w:t>in everyday life</w:t>
      </w:r>
      <w:r w:rsidR="003753C8">
        <w:rPr>
          <w:rFonts w:ascii="Verdana" w:hAnsi="Verdana" w:cs="Times New Roman"/>
          <w:sz w:val="20"/>
          <w:szCs w:val="20"/>
          <w:lang w:val="en-GB"/>
        </w:rPr>
        <w:t xml:space="preserve">. </w:t>
      </w:r>
      <w:r w:rsidR="003816BD">
        <w:rPr>
          <w:rFonts w:ascii="Verdana" w:hAnsi="Verdana" w:cs="Times New Roman"/>
          <w:sz w:val="20"/>
          <w:szCs w:val="20"/>
          <w:lang w:val="en-GB"/>
        </w:rPr>
        <w:t xml:space="preserve">The data of healthy participants showed that </w:t>
      </w:r>
      <w:r w:rsidR="00524FA4">
        <w:rPr>
          <w:rFonts w:ascii="Verdana" w:hAnsi="Verdana" w:cs="Times New Roman"/>
          <w:sz w:val="20"/>
          <w:szCs w:val="20"/>
          <w:lang w:val="en-GB"/>
        </w:rPr>
        <w:t>transcranial</w:t>
      </w:r>
      <w:r w:rsidR="00DC219C">
        <w:rPr>
          <w:rFonts w:ascii="Verdana" w:hAnsi="Verdana" w:cs="Times New Roman"/>
          <w:sz w:val="20"/>
          <w:szCs w:val="20"/>
          <w:lang w:val="en-GB"/>
        </w:rPr>
        <w:t xml:space="preserve"> electric stimulation</w:t>
      </w:r>
      <w:r w:rsidR="003816BD">
        <w:rPr>
          <w:rFonts w:ascii="Verdana" w:hAnsi="Verdana" w:cs="Times New Roman"/>
          <w:sz w:val="20"/>
          <w:szCs w:val="20"/>
          <w:lang w:val="en-GB"/>
        </w:rPr>
        <w:t xml:space="preserve"> contributes to cancel out spatial biases in a visuomotor task</w:t>
      </w:r>
      <w:r w:rsidR="00646755">
        <w:rPr>
          <w:rFonts w:ascii="Verdana" w:hAnsi="Verdana" w:cs="Times New Roman"/>
          <w:sz w:val="20"/>
          <w:szCs w:val="20"/>
          <w:lang w:val="en-GB"/>
        </w:rPr>
        <w:t>.</w:t>
      </w:r>
      <w:r w:rsidR="003816BD">
        <w:rPr>
          <w:rFonts w:ascii="Verdana" w:hAnsi="Verdana" w:cs="Times New Roman"/>
          <w:sz w:val="20"/>
          <w:szCs w:val="20"/>
          <w:lang w:val="en-GB"/>
        </w:rPr>
        <w:t xml:space="preserve"> This finding opens perspective</w:t>
      </w:r>
      <w:r w:rsidR="00524FA4">
        <w:rPr>
          <w:rFonts w:ascii="Verdana" w:hAnsi="Verdana" w:cs="Times New Roman"/>
          <w:sz w:val="20"/>
          <w:szCs w:val="20"/>
          <w:lang w:val="en-GB"/>
        </w:rPr>
        <w:t>s</w:t>
      </w:r>
      <w:r w:rsidR="003816BD">
        <w:rPr>
          <w:rFonts w:ascii="Verdana" w:hAnsi="Verdana" w:cs="Times New Roman"/>
          <w:sz w:val="20"/>
          <w:szCs w:val="20"/>
          <w:lang w:val="en-GB"/>
        </w:rPr>
        <w:t xml:space="preserve"> for the neurorehabilitation of stroke patients.</w:t>
      </w:r>
    </w:p>
    <w:p w:rsidR="003753C8" w:rsidRDefault="003753C8" w:rsidP="00F11443">
      <w:pPr>
        <w:spacing w:after="0" w:line="276" w:lineRule="auto"/>
        <w:jc w:val="both"/>
        <w:rPr>
          <w:rFonts w:ascii="Verdana" w:hAnsi="Verdana" w:cs="Times New Roman"/>
          <w:sz w:val="20"/>
          <w:szCs w:val="20"/>
          <w:lang w:val="en-GB"/>
        </w:rPr>
      </w:pPr>
    </w:p>
    <w:p w:rsidR="00F11443" w:rsidRDefault="00F11443" w:rsidP="00F11443">
      <w:pPr>
        <w:spacing w:after="0" w:line="276" w:lineRule="auto"/>
        <w:jc w:val="both"/>
        <w:rPr>
          <w:rFonts w:ascii="Verdana" w:hAnsi="Verdana" w:cs="Times New Roman"/>
          <w:b/>
          <w:sz w:val="20"/>
          <w:szCs w:val="20"/>
          <w:lang w:val="en-GB"/>
        </w:rPr>
      </w:pPr>
      <w:r w:rsidRPr="00F11443">
        <w:rPr>
          <w:rFonts w:ascii="Verdana" w:hAnsi="Verdana" w:cs="Times New Roman"/>
          <w:b/>
          <w:sz w:val="20"/>
          <w:szCs w:val="20"/>
          <w:lang w:val="en-GB"/>
        </w:rPr>
        <w:t>References</w:t>
      </w:r>
    </w:p>
    <w:p w:rsidR="00F11443" w:rsidRPr="00F11443" w:rsidRDefault="00F11443" w:rsidP="00F11443">
      <w:pPr>
        <w:spacing w:after="0" w:line="276" w:lineRule="auto"/>
        <w:jc w:val="both"/>
        <w:rPr>
          <w:rFonts w:ascii="Verdana" w:hAnsi="Verdana" w:cs="Times New Roman"/>
          <w:b/>
          <w:sz w:val="20"/>
          <w:szCs w:val="20"/>
          <w:lang w:val="en-GB"/>
        </w:rPr>
      </w:pPr>
    </w:p>
    <w:p w:rsidR="00C841AC" w:rsidRPr="008E022F" w:rsidRDefault="00C841AC" w:rsidP="001A2D61">
      <w:pPr>
        <w:spacing w:after="120" w:line="360" w:lineRule="auto"/>
        <w:ind w:left="450" w:hanging="450"/>
        <w:jc w:val="both"/>
        <w:rPr>
          <w:rFonts w:ascii="Verdana" w:hAnsi="Verdana"/>
          <w:sz w:val="20"/>
          <w:szCs w:val="20"/>
          <w:lang w:val="en-GB"/>
        </w:rPr>
      </w:pPr>
      <w:r w:rsidRPr="008E022F">
        <w:rPr>
          <w:rFonts w:ascii="Verdana" w:hAnsi="Verdana"/>
          <w:sz w:val="20"/>
          <w:szCs w:val="20"/>
          <w:lang w:val="en-GB"/>
        </w:rPr>
        <w:t xml:space="preserve">[1] Halligan, P. W., Fink, G. R., Marshall, J. C., &amp; Vallar, G. (2003). Spatial cognition: Evidence from visual neglect. </w:t>
      </w:r>
      <w:r w:rsidRPr="008E022F">
        <w:rPr>
          <w:rFonts w:ascii="Verdana" w:hAnsi="Verdana"/>
          <w:i/>
          <w:sz w:val="20"/>
          <w:szCs w:val="20"/>
          <w:lang w:val="en-GB"/>
        </w:rPr>
        <w:t>Trends in Cognitive Science, 7(3),</w:t>
      </w:r>
      <w:r w:rsidRPr="008E022F">
        <w:rPr>
          <w:rFonts w:ascii="Verdana" w:hAnsi="Verdana"/>
          <w:sz w:val="20"/>
          <w:szCs w:val="20"/>
          <w:lang w:val="en-GB"/>
        </w:rPr>
        <w:t xml:space="preserve"> 125–133.</w:t>
      </w:r>
    </w:p>
    <w:p w:rsidR="00C841AC" w:rsidRPr="008E022F" w:rsidRDefault="00C841AC" w:rsidP="001A2D61">
      <w:pPr>
        <w:spacing w:after="0" w:line="360" w:lineRule="auto"/>
        <w:ind w:left="450" w:hanging="450"/>
        <w:jc w:val="both"/>
        <w:rPr>
          <w:rFonts w:ascii="Verdana" w:hAnsi="Verdana"/>
          <w:sz w:val="20"/>
          <w:szCs w:val="20"/>
          <w:lang w:val="en-GB"/>
        </w:rPr>
      </w:pPr>
      <w:r w:rsidRPr="008E022F">
        <w:rPr>
          <w:rFonts w:ascii="Verdana" w:hAnsi="Verdana"/>
          <w:sz w:val="20"/>
          <w:szCs w:val="20"/>
          <w:lang w:val="en-GB"/>
        </w:rPr>
        <w:t xml:space="preserve">[2] Kinsbourne, M. (1970). The cerebral basis of lateral asymmetries in attention. </w:t>
      </w:r>
      <w:r w:rsidRPr="008E022F">
        <w:rPr>
          <w:rFonts w:ascii="Verdana" w:hAnsi="Verdana"/>
          <w:i/>
          <w:sz w:val="20"/>
          <w:szCs w:val="20"/>
          <w:lang w:val="en-GB"/>
        </w:rPr>
        <w:t>Acta Psychologica, 33,</w:t>
      </w:r>
      <w:r w:rsidRPr="008E022F">
        <w:rPr>
          <w:rFonts w:ascii="Verdana" w:hAnsi="Verdana"/>
          <w:sz w:val="20"/>
          <w:szCs w:val="20"/>
          <w:lang w:val="en-GB"/>
        </w:rPr>
        <w:t xml:space="preserve"> 193–201</w:t>
      </w:r>
    </w:p>
    <w:p w:rsidR="00F11443" w:rsidRPr="008E022F" w:rsidRDefault="001A2D61" w:rsidP="001A2D61">
      <w:pPr>
        <w:spacing w:line="360" w:lineRule="auto"/>
        <w:ind w:left="450" w:hanging="450"/>
        <w:jc w:val="both"/>
        <w:rPr>
          <w:rFonts w:ascii="Verdana" w:hAnsi="Verdana" w:cs="Arial"/>
          <w:color w:val="222222"/>
          <w:sz w:val="20"/>
          <w:szCs w:val="20"/>
          <w:shd w:val="clear" w:color="auto" w:fill="FFFFFF"/>
          <w:lang w:val="en-US"/>
        </w:rPr>
      </w:pPr>
      <w:r w:rsidRPr="008E022F">
        <w:rPr>
          <w:rFonts w:ascii="Verdana" w:hAnsi="Verdana" w:cs="Arial"/>
          <w:color w:val="222222"/>
          <w:sz w:val="20"/>
          <w:szCs w:val="20"/>
          <w:shd w:val="clear" w:color="auto" w:fill="FFFFFF"/>
          <w:lang w:val="en-US"/>
        </w:rPr>
        <w:t>[3</w:t>
      </w:r>
      <w:r w:rsidR="00F11443" w:rsidRPr="008E022F">
        <w:rPr>
          <w:rFonts w:ascii="Verdana" w:hAnsi="Verdana" w:cs="Arial"/>
          <w:color w:val="222222"/>
          <w:sz w:val="20"/>
          <w:szCs w:val="20"/>
          <w:shd w:val="clear" w:color="auto" w:fill="FFFFFF"/>
          <w:lang w:val="en-US"/>
        </w:rPr>
        <w:t>] Ko, M. H., Han, S. H., Park, S. H., Seo, J. H., &amp; Kim, Y. H. (2008). Improvement of visual scanning after DC brain polarization of parietal cortex in stroke patients with spatial neglect. </w:t>
      </w:r>
      <w:r w:rsidR="00F11443" w:rsidRPr="008E022F">
        <w:rPr>
          <w:rFonts w:ascii="Verdana" w:hAnsi="Verdana" w:cs="Arial"/>
          <w:i/>
          <w:iCs/>
          <w:color w:val="222222"/>
          <w:sz w:val="20"/>
          <w:szCs w:val="20"/>
          <w:shd w:val="clear" w:color="auto" w:fill="FFFFFF"/>
          <w:lang w:val="en-US"/>
        </w:rPr>
        <w:t>Neuroscience letters</w:t>
      </w:r>
      <w:r w:rsidR="00F11443" w:rsidRPr="008E022F">
        <w:rPr>
          <w:rFonts w:ascii="Verdana" w:hAnsi="Verdana" w:cs="Arial"/>
          <w:color w:val="222222"/>
          <w:sz w:val="20"/>
          <w:szCs w:val="20"/>
          <w:shd w:val="clear" w:color="auto" w:fill="FFFFFF"/>
          <w:lang w:val="en-US"/>
        </w:rPr>
        <w:t>, </w:t>
      </w:r>
      <w:r w:rsidR="00F11443" w:rsidRPr="008E022F">
        <w:rPr>
          <w:rFonts w:ascii="Verdana" w:hAnsi="Verdana" w:cs="Arial"/>
          <w:i/>
          <w:iCs/>
          <w:color w:val="222222"/>
          <w:sz w:val="20"/>
          <w:szCs w:val="20"/>
          <w:shd w:val="clear" w:color="auto" w:fill="FFFFFF"/>
          <w:lang w:val="en-US"/>
        </w:rPr>
        <w:t>448</w:t>
      </w:r>
      <w:r w:rsidR="00F11443" w:rsidRPr="008E022F">
        <w:rPr>
          <w:rFonts w:ascii="Verdana" w:hAnsi="Verdana" w:cs="Arial"/>
          <w:color w:val="222222"/>
          <w:sz w:val="20"/>
          <w:szCs w:val="20"/>
          <w:shd w:val="clear" w:color="auto" w:fill="FFFFFF"/>
          <w:lang w:val="en-US"/>
        </w:rPr>
        <w:t>(2), 171-174.</w:t>
      </w:r>
    </w:p>
    <w:p w:rsidR="001A2D61" w:rsidRPr="008E022F" w:rsidRDefault="001A2D61" w:rsidP="001A2D61">
      <w:pPr>
        <w:spacing w:line="360" w:lineRule="auto"/>
        <w:ind w:left="450" w:hanging="450"/>
        <w:jc w:val="both"/>
        <w:rPr>
          <w:rFonts w:ascii="Verdana" w:hAnsi="Verdana" w:cs="Arial"/>
          <w:color w:val="222222"/>
          <w:sz w:val="20"/>
          <w:szCs w:val="20"/>
          <w:shd w:val="clear" w:color="auto" w:fill="FFFFFF"/>
          <w:lang w:val="en-US"/>
        </w:rPr>
      </w:pPr>
      <w:r w:rsidRPr="008E022F">
        <w:rPr>
          <w:rFonts w:ascii="Verdana" w:hAnsi="Verdana" w:cs="Arial"/>
          <w:color w:val="222222"/>
          <w:sz w:val="20"/>
          <w:szCs w:val="20"/>
          <w:shd w:val="clear" w:color="auto" w:fill="FFFFFF"/>
          <w:lang w:val="en-US"/>
        </w:rPr>
        <w:t>[4] Sparing, R., Thimm, M., Hesse, M. D., Küst, J., Karbe, H., &amp; Fink, G. R. (2009). Bidirectional alterations of interhemispheric parietal balance by non-invasive cortical stimulation. </w:t>
      </w:r>
      <w:r w:rsidRPr="008E022F">
        <w:rPr>
          <w:rFonts w:ascii="Verdana" w:hAnsi="Verdana" w:cs="Arial"/>
          <w:i/>
          <w:iCs/>
          <w:color w:val="222222"/>
          <w:sz w:val="20"/>
          <w:szCs w:val="20"/>
          <w:shd w:val="clear" w:color="auto" w:fill="FFFFFF"/>
          <w:lang w:val="en-US"/>
        </w:rPr>
        <w:t>Brain</w:t>
      </w:r>
      <w:r w:rsidRPr="008E022F">
        <w:rPr>
          <w:rFonts w:ascii="Verdana" w:hAnsi="Verdana" w:cs="Arial"/>
          <w:color w:val="222222"/>
          <w:sz w:val="20"/>
          <w:szCs w:val="20"/>
          <w:shd w:val="clear" w:color="auto" w:fill="FFFFFF"/>
          <w:lang w:val="en-US"/>
        </w:rPr>
        <w:t>, </w:t>
      </w:r>
      <w:r w:rsidRPr="008E022F">
        <w:rPr>
          <w:rFonts w:ascii="Verdana" w:hAnsi="Verdana" w:cs="Arial"/>
          <w:i/>
          <w:iCs/>
          <w:color w:val="222222"/>
          <w:sz w:val="20"/>
          <w:szCs w:val="20"/>
          <w:shd w:val="clear" w:color="auto" w:fill="FFFFFF"/>
          <w:lang w:val="en-US"/>
        </w:rPr>
        <w:t>132</w:t>
      </w:r>
      <w:r w:rsidRPr="008E022F">
        <w:rPr>
          <w:rFonts w:ascii="Verdana" w:hAnsi="Verdana" w:cs="Arial"/>
          <w:color w:val="222222"/>
          <w:sz w:val="20"/>
          <w:szCs w:val="20"/>
          <w:shd w:val="clear" w:color="auto" w:fill="FFFFFF"/>
          <w:lang w:val="en-US"/>
        </w:rPr>
        <w:t>(11), 3011-3020.</w:t>
      </w:r>
    </w:p>
    <w:p w:rsidR="001A2D61" w:rsidRPr="008E022F" w:rsidRDefault="001A2D61" w:rsidP="001A2D61">
      <w:pPr>
        <w:spacing w:line="360" w:lineRule="auto"/>
        <w:ind w:left="450" w:hanging="450"/>
        <w:jc w:val="both"/>
        <w:rPr>
          <w:rFonts w:ascii="Verdana" w:hAnsi="Verdana" w:cs="Arial"/>
          <w:color w:val="222222"/>
          <w:sz w:val="20"/>
          <w:szCs w:val="20"/>
          <w:shd w:val="clear" w:color="auto" w:fill="FFFFFF"/>
          <w:lang w:val="en-US"/>
        </w:rPr>
      </w:pPr>
      <w:r w:rsidRPr="008E022F">
        <w:rPr>
          <w:rFonts w:ascii="Verdana" w:hAnsi="Verdana" w:cs="Arial"/>
          <w:color w:val="222222"/>
          <w:sz w:val="20"/>
          <w:szCs w:val="20"/>
          <w:shd w:val="clear" w:color="auto" w:fill="FFFFFF"/>
          <w:lang w:val="en-US"/>
        </w:rPr>
        <w:t>[5] Sunwoo, H., Kim, Y. H., Chang, W. H., Noh, S., Kim, E. J., &amp; Ko, M. H. (2013). Effects of dual transcranial direct current stimulation on post-stroke unilateral visuospatial neglect. </w:t>
      </w:r>
      <w:r w:rsidRPr="008E022F">
        <w:rPr>
          <w:rFonts w:ascii="Verdana" w:hAnsi="Verdana" w:cs="Arial"/>
          <w:i/>
          <w:iCs/>
          <w:color w:val="222222"/>
          <w:sz w:val="20"/>
          <w:szCs w:val="20"/>
          <w:shd w:val="clear" w:color="auto" w:fill="FFFFFF"/>
          <w:lang w:val="en-US"/>
        </w:rPr>
        <w:t>Neuroscience letters</w:t>
      </w:r>
      <w:r w:rsidRPr="008E022F">
        <w:rPr>
          <w:rFonts w:ascii="Verdana" w:hAnsi="Verdana" w:cs="Arial"/>
          <w:color w:val="222222"/>
          <w:sz w:val="20"/>
          <w:szCs w:val="20"/>
          <w:shd w:val="clear" w:color="auto" w:fill="FFFFFF"/>
          <w:lang w:val="en-US"/>
        </w:rPr>
        <w:t>, </w:t>
      </w:r>
      <w:r w:rsidRPr="008E022F">
        <w:rPr>
          <w:rFonts w:ascii="Verdana" w:hAnsi="Verdana" w:cs="Arial"/>
          <w:i/>
          <w:iCs/>
          <w:color w:val="222222"/>
          <w:sz w:val="20"/>
          <w:szCs w:val="20"/>
          <w:shd w:val="clear" w:color="auto" w:fill="FFFFFF"/>
          <w:lang w:val="en-US"/>
        </w:rPr>
        <w:t>554</w:t>
      </w:r>
      <w:r w:rsidRPr="008E022F">
        <w:rPr>
          <w:rFonts w:ascii="Verdana" w:hAnsi="Verdana" w:cs="Arial"/>
          <w:color w:val="222222"/>
          <w:sz w:val="20"/>
          <w:szCs w:val="20"/>
          <w:shd w:val="clear" w:color="auto" w:fill="FFFFFF"/>
          <w:lang w:val="en-US"/>
        </w:rPr>
        <w:t>, 94-98.</w:t>
      </w:r>
    </w:p>
    <w:p w:rsidR="008E022F" w:rsidRDefault="008E022F" w:rsidP="001A2D61">
      <w:pPr>
        <w:spacing w:line="360" w:lineRule="auto"/>
        <w:ind w:left="450" w:hanging="450"/>
        <w:jc w:val="both"/>
        <w:rPr>
          <w:rFonts w:ascii="Verdana" w:hAnsi="Verdana" w:cs="Arial"/>
          <w:color w:val="222222"/>
          <w:sz w:val="20"/>
          <w:szCs w:val="20"/>
          <w:shd w:val="clear" w:color="auto" w:fill="FFFFFF"/>
          <w:lang w:val="en-US"/>
        </w:rPr>
      </w:pPr>
    </w:p>
    <w:p w:rsidR="001A2D61" w:rsidRPr="00F11443" w:rsidRDefault="001A2D61" w:rsidP="001A2D61">
      <w:pPr>
        <w:spacing w:line="360" w:lineRule="auto"/>
        <w:ind w:left="450" w:hanging="450"/>
        <w:jc w:val="both"/>
        <w:rPr>
          <w:rFonts w:ascii="Verdana" w:hAnsi="Verdana" w:cs="Arial"/>
          <w:color w:val="222222"/>
          <w:sz w:val="20"/>
          <w:szCs w:val="20"/>
          <w:shd w:val="clear" w:color="auto" w:fill="FFFFFF"/>
          <w:lang w:val="en-US"/>
        </w:rPr>
      </w:pPr>
    </w:p>
    <w:p w:rsidR="001A2D61" w:rsidRDefault="001A2D61" w:rsidP="001A2D61">
      <w:pPr>
        <w:spacing w:line="360" w:lineRule="auto"/>
        <w:ind w:left="450" w:hanging="450"/>
        <w:jc w:val="both"/>
        <w:rPr>
          <w:rFonts w:ascii="Verdana" w:hAnsi="Verdana" w:cs="Arial"/>
          <w:color w:val="222222"/>
          <w:sz w:val="20"/>
          <w:szCs w:val="20"/>
          <w:shd w:val="clear" w:color="auto" w:fill="FFFFFF"/>
          <w:lang w:val="en-US"/>
        </w:rPr>
      </w:pPr>
    </w:p>
    <w:p w:rsidR="001A2D61" w:rsidRPr="00F11443" w:rsidRDefault="001A2D61" w:rsidP="001A2D61">
      <w:pPr>
        <w:spacing w:line="360" w:lineRule="auto"/>
        <w:ind w:left="450" w:hanging="450"/>
        <w:jc w:val="both"/>
        <w:rPr>
          <w:rFonts w:ascii="Verdana" w:hAnsi="Verdana" w:cs="Arial"/>
          <w:color w:val="222222"/>
          <w:sz w:val="20"/>
          <w:szCs w:val="20"/>
          <w:shd w:val="clear" w:color="auto" w:fill="FFFFFF"/>
          <w:lang w:val="en-US"/>
        </w:rPr>
      </w:pPr>
    </w:p>
    <w:p w:rsidR="00F11443" w:rsidRPr="00EF66DD" w:rsidRDefault="00F11443" w:rsidP="00F11443">
      <w:pPr>
        <w:spacing w:line="480" w:lineRule="auto"/>
        <w:ind w:left="720" w:hanging="720"/>
        <w:jc w:val="both"/>
        <w:rPr>
          <w:rFonts w:ascii="Verdana" w:hAnsi="Verdana" w:cs="Arial"/>
          <w:color w:val="222222"/>
          <w:sz w:val="20"/>
          <w:szCs w:val="20"/>
          <w:shd w:val="clear" w:color="auto" w:fill="FFFFFF"/>
          <w:lang w:val="en-US"/>
        </w:rPr>
      </w:pPr>
    </w:p>
    <w:p w:rsidR="00F11443" w:rsidRPr="003234ED" w:rsidRDefault="00F11443" w:rsidP="003234ED">
      <w:pPr>
        <w:spacing w:after="0" w:line="480" w:lineRule="auto"/>
        <w:jc w:val="both"/>
        <w:rPr>
          <w:rFonts w:ascii="Verdana" w:hAnsi="Verdana" w:cs="Times New Roman"/>
          <w:sz w:val="20"/>
          <w:szCs w:val="20"/>
          <w:lang w:val="en-GB"/>
        </w:rPr>
      </w:pPr>
    </w:p>
    <w:p w:rsidR="003234ED" w:rsidRPr="003234ED" w:rsidRDefault="003234ED">
      <w:pPr>
        <w:rPr>
          <w:lang w:val="en-GB"/>
        </w:rPr>
      </w:pPr>
    </w:p>
    <w:sectPr w:rsidR="003234ED" w:rsidRPr="003234ED" w:rsidSect="00910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oNotTrackMoves/>
  <w:defaultTabStop w:val="708"/>
  <w:hyphenationZone w:val="425"/>
  <w:characterSpacingControl w:val="doNotCompress"/>
  <w:compat>
    <w:compatSetting w:name="compatibilityMode" w:uri="http://schemas.microsoft.com/office/word" w:val="12"/>
  </w:compat>
  <w:rsids>
    <w:rsidRoot w:val="003234ED"/>
    <w:rsid w:val="001A2D61"/>
    <w:rsid w:val="002360D7"/>
    <w:rsid w:val="003234ED"/>
    <w:rsid w:val="003753C8"/>
    <w:rsid w:val="003816BD"/>
    <w:rsid w:val="003A5E33"/>
    <w:rsid w:val="00520EE1"/>
    <w:rsid w:val="00524FA4"/>
    <w:rsid w:val="00646755"/>
    <w:rsid w:val="007E13ED"/>
    <w:rsid w:val="008E022F"/>
    <w:rsid w:val="009109C2"/>
    <w:rsid w:val="009B4B26"/>
    <w:rsid w:val="00A02B49"/>
    <w:rsid w:val="00C841AC"/>
    <w:rsid w:val="00DC219C"/>
    <w:rsid w:val="00DD7316"/>
    <w:rsid w:val="00F11443"/>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D458A-261D-4BB4-AC51-CFB624D2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9C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rsid w:val="003234ED"/>
    <w:pPr>
      <w:spacing w:line="240" w:lineRule="auto"/>
    </w:pPr>
    <w:rPr>
      <w:sz w:val="20"/>
      <w:szCs w:val="20"/>
    </w:rPr>
  </w:style>
  <w:style w:type="character" w:customStyle="1" w:styleId="CommentaireCar">
    <w:name w:val="Commentaire Car"/>
    <w:basedOn w:val="Policepardfaut"/>
    <w:link w:val="Commentaire"/>
    <w:uiPriority w:val="99"/>
    <w:semiHidden/>
    <w:rsid w:val="003234ED"/>
    <w:rPr>
      <w:sz w:val="20"/>
      <w:szCs w:val="20"/>
    </w:rPr>
  </w:style>
  <w:style w:type="character" w:styleId="Marquedecommentaire">
    <w:name w:val="annotation reference"/>
    <w:basedOn w:val="Policepardfaut"/>
    <w:uiPriority w:val="99"/>
    <w:semiHidden/>
    <w:unhideWhenUsed/>
    <w:rsid w:val="003234ED"/>
    <w:rPr>
      <w:sz w:val="16"/>
      <w:szCs w:val="16"/>
    </w:rPr>
  </w:style>
  <w:style w:type="paragraph" w:styleId="Textedebulles">
    <w:name w:val="Balloon Text"/>
    <w:basedOn w:val="Normal"/>
    <w:link w:val="TextedebullesCar"/>
    <w:uiPriority w:val="99"/>
    <w:semiHidden/>
    <w:unhideWhenUsed/>
    <w:rsid w:val="003234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234ED"/>
    <w:rPr>
      <w:rFonts w:ascii="Segoe UI" w:hAnsi="Segoe UI" w:cs="Segoe UI"/>
      <w:sz w:val="18"/>
      <w:szCs w:val="18"/>
    </w:rPr>
  </w:style>
  <w:style w:type="character" w:customStyle="1" w:styleId="cont16white-space-wrap">
    <w:name w:val="cont16 white-space-wrap"/>
    <w:basedOn w:val="Policepardfaut"/>
    <w:rsid w:val="003234ED"/>
  </w:style>
  <w:style w:type="paragraph" w:styleId="Objetducommentaire">
    <w:name w:val="annotation subject"/>
    <w:basedOn w:val="Commentaire"/>
    <w:next w:val="Commentaire"/>
    <w:link w:val="ObjetducommentaireCar"/>
    <w:uiPriority w:val="99"/>
    <w:semiHidden/>
    <w:unhideWhenUsed/>
    <w:rsid w:val="00DC219C"/>
    <w:rPr>
      <w:b/>
      <w:bCs/>
    </w:rPr>
  </w:style>
  <w:style w:type="character" w:customStyle="1" w:styleId="ObjetducommentaireCar">
    <w:name w:val="Objet du commentaire Car"/>
    <w:basedOn w:val="CommentaireCar"/>
    <w:link w:val="Objetducommentaire"/>
    <w:uiPriority w:val="99"/>
    <w:semiHidden/>
    <w:rsid w:val="00DC21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991471">
      <w:bodyDiv w:val="1"/>
      <w:marLeft w:val="0"/>
      <w:marRight w:val="0"/>
      <w:marTop w:val="0"/>
      <w:marBottom w:val="0"/>
      <w:divBdr>
        <w:top w:val="none" w:sz="0" w:space="0" w:color="auto"/>
        <w:left w:val="none" w:sz="0" w:space="0" w:color="auto"/>
        <w:bottom w:val="none" w:sz="0" w:space="0" w:color="auto"/>
        <w:right w:val="none" w:sz="0" w:space="0" w:color="auto"/>
      </w:divBdr>
    </w:div>
    <w:div w:id="14546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667</Words>
  <Characters>3670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Geers</dc:creator>
  <cp:keywords/>
  <dc:description/>
  <cp:lastModifiedBy>Laurie Geers</cp:lastModifiedBy>
  <cp:revision>4</cp:revision>
  <dcterms:created xsi:type="dcterms:W3CDTF">2018-08-16T15:15:00Z</dcterms:created>
  <dcterms:modified xsi:type="dcterms:W3CDTF">2018-08-22T09:12:00Z</dcterms:modified>
</cp:coreProperties>
</file>