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BC31C" w14:textId="77777777" w:rsidR="00E95962" w:rsidRPr="00182797" w:rsidRDefault="00E95962" w:rsidP="00E95962">
      <w:pPr>
        <w:jc w:val="center"/>
        <w:rPr>
          <w:b/>
          <w:sz w:val="28"/>
          <w:szCs w:val="28"/>
        </w:rPr>
      </w:pPr>
    </w:p>
    <w:p w14:paraId="1AE8BF93" w14:textId="77777777" w:rsidR="00E95962" w:rsidRPr="00182797" w:rsidRDefault="00E95962" w:rsidP="00E95962">
      <w:pPr>
        <w:jc w:val="center"/>
        <w:rPr>
          <w:b/>
          <w:sz w:val="28"/>
          <w:szCs w:val="28"/>
        </w:rPr>
      </w:pPr>
      <w:r w:rsidRPr="00182797">
        <w:rPr>
          <w:b/>
          <w:sz w:val="28"/>
          <w:szCs w:val="28"/>
        </w:rPr>
        <w:t xml:space="preserve">Crowdsourced Adaptive Comparative Judgment: A </w:t>
      </w:r>
      <w:r>
        <w:rPr>
          <w:b/>
          <w:sz w:val="28"/>
          <w:szCs w:val="28"/>
        </w:rPr>
        <w:t>C</w:t>
      </w:r>
      <w:r w:rsidRPr="00182797">
        <w:rPr>
          <w:b/>
          <w:sz w:val="28"/>
          <w:szCs w:val="28"/>
        </w:rPr>
        <w:t xml:space="preserve">ommunity-based </w:t>
      </w:r>
      <w:r>
        <w:rPr>
          <w:b/>
          <w:sz w:val="28"/>
          <w:szCs w:val="28"/>
        </w:rPr>
        <w:t>Solution for Proficiency R</w:t>
      </w:r>
      <w:r w:rsidRPr="00182797">
        <w:rPr>
          <w:b/>
          <w:sz w:val="28"/>
          <w:szCs w:val="28"/>
        </w:rPr>
        <w:t>ating</w:t>
      </w:r>
    </w:p>
    <w:p w14:paraId="6E0A18EE" w14:textId="77777777" w:rsidR="00E95962" w:rsidRDefault="00E95962" w:rsidP="00E95962">
      <w:pPr>
        <w:rPr>
          <w:sz w:val="28"/>
          <w:szCs w:val="28"/>
        </w:rPr>
      </w:pPr>
    </w:p>
    <w:p w14:paraId="146B5AF3" w14:textId="77777777" w:rsidR="00E95962" w:rsidRDefault="00E95962" w:rsidP="00510396">
      <w:pPr>
        <w:spacing w:line="480" w:lineRule="auto"/>
        <w:rPr>
          <w:sz w:val="28"/>
          <w:szCs w:val="28"/>
        </w:rPr>
      </w:pPr>
    </w:p>
    <w:p w14:paraId="758CD2BF" w14:textId="77777777" w:rsidR="00E95962" w:rsidRPr="00337762" w:rsidRDefault="00E95962" w:rsidP="00510396">
      <w:pPr>
        <w:spacing w:line="480" w:lineRule="auto"/>
        <w:jc w:val="center"/>
        <w:rPr>
          <w:szCs w:val="28"/>
        </w:rPr>
      </w:pPr>
      <w:r w:rsidRPr="00337762">
        <w:rPr>
          <w:szCs w:val="28"/>
        </w:rPr>
        <w:t>Magali Paquot</w:t>
      </w:r>
      <w:r w:rsidRPr="00337762">
        <w:rPr>
          <w:szCs w:val="28"/>
          <w:vertAlign w:val="superscript"/>
        </w:rPr>
        <w:t>1,2</w:t>
      </w:r>
      <w:r w:rsidRPr="00337762">
        <w:rPr>
          <w:szCs w:val="28"/>
        </w:rPr>
        <w:t>, Rachel Rubin</w:t>
      </w:r>
      <w:r w:rsidRPr="00337762">
        <w:rPr>
          <w:szCs w:val="28"/>
          <w:vertAlign w:val="superscript"/>
        </w:rPr>
        <w:t>2,3</w:t>
      </w:r>
      <w:r w:rsidRPr="00337762">
        <w:rPr>
          <w:szCs w:val="28"/>
        </w:rPr>
        <w:t>, and Nathan Vandeweerd</w:t>
      </w:r>
      <w:r w:rsidRPr="00337762">
        <w:rPr>
          <w:szCs w:val="28"/>
          <w:vertAlign w:val="superscript"/>
        </w:rPr>
        <w:t>2,3</w:t>
      </w:r>
    </w:p>
    <w:p w14:paraId="367DEB9D" w14:textId="77777777" w:rsidR="00E95962" w:rsidRPr="00337762" w:rsidRDefault="00E95962" w:rsidP="00510396">
      <w:pPr>
        <w:spacing w:line="480" w:lineRule="auto"/>
        <w:jc w:val="center"/>
        <w:rPr>
          <w:szCs w:val="28"/>
        </w:rPr>
      </w:pPr>
    </w:p>
    <w:p w14:paraId="17C4B430" w14:textId="77777777" w:rsidR="00E95962" w:rsidRPr="00400376" w:rsidRDefault="00E95962" w:rsidP="00510396">
      <w:pPr>
        <w:spacing w:line="480" w:lineRule="auto"/>
        <w:jc w:val="center"/>
        <w:rPr>
          <w:szCs w:val="28"/>
          <w:lang w:val="fr-BE"/>
        </w:rPr>
      </w:pPr>
      <w:r w:rsidRPr="00400376">
        <w:rPr>
          <w:szCs w:val="28"/>
          <w:vertAlign w:val="superscript"/>
          <w:lang w:val="fr-BE"/>
        </w:rPr>
        <w:t>1</w:t>
      </w:r>
      <w:r w:rsidRPr="00400376">
        <w:rPr>
          <w:szCs w:val="28"/>
          <w:lang w:val="fr-BE"/>
        </w:rPr>
        <w:t xml:space="preserve"> FNRS</w:t>
      </w:r>
    </w:p>
    <w:p w14:paraId="70415A38" w14:textId="77777777" w:rsidR="00E95962" w:rsidRPr="00337762" w:rsidRDefault="00E95962" w:rsidP="00510396">
      <w:pPr>
        <w:spacing w:line="480" w:lineRule="auto"/>
        <w:jc w:val="center"/>
        <w:rPr>
          <w:szCs w:val="28"/>
          <w:lang w:val="fr-BE"/>
        </w:rPr>
      </w:pPr>
      <w:r w:rsidRPr="00337762">
        <w:rPr>
          <w:szCs w:val="28"/>
          <w:vertAlign w:val="superscript"/>
          <w:lang w:val="fr-BE"/>
        </w:rPr>
        <w:t>2</w:t>
      </w:r>
      <w:r w:rsidRPr="00337762">
        <w:rPr>
          <w:szCs w:val="28"/>
          <w:lang w:val="fr-BE"/>
        </w:rPr>
        <w:t xml:space="preserve"> Centre for English Corpus Linguistics, Institut Langage et Communication, UCLouvain</w:t>
      </w:r>
    </w:p>
    <w:p w14:paraId="162F0CCF" w14:textId="77777777" w:rsidR="00E95962" w:rsidRPr="00BA2F6E" w:rsidRDefault="00E95962" w:rsidP="00510396">
      <w:pPr>
        <w:spacing w:line="480" w:lineRule="auto"/>
        <w:jc w:val="center"/>
        <w:rPr>
          <w:szCs w:val="28"/>
        </w:rPr>
      </w:pPr>
      <w:r w:rsidRPr="00BA2F6E">
        <w:rPr>
          <w:szCs w:val="28"/>
          <w:vertAlign w:val="superscript"/>
        </w:rPr>
        <w:t>3</w:t>
      </w:r>
      <w:r w:rsidRPr="00BA2F6E">
        <w:rPr>
          <w:szCs w:val="28"/>
        </w:rPr>
        <w:t xml:space="preserve"> Vrije Universiteit Brussel</w:t>
      </w:r>
    </w:p>
    <w:p w14:paraId="1327B6E2" w14:textId="0C8A015F" w:rsidR="00E95962" w:rsidRPr="00BA2F6E" w:rsidRDefault="00E95962" w:rsidP="00510396">
      <w:pPr>
        <w:spacing w:line="480" w:lineRule="auto"/>
        <w:rPr>
          <w:szCs w:val="28"/>
        </w:rPr>
      </w:pPr>
    </w:p>
    <w:p w14:paraId="25635934" w14:textId="76E9FB64" w:rsidR="0049071D" w:rsidRPr="0049071D" w:rsidRDefault="0049071D" w:rsidP="00510396">
      <w:pPr>
        <w:spacing w:line="480" w:lineRule="auto"/>
        <w:jc w:val="center"/>
        <w:rPr>
          <w:b/>
          <w:szCs w:val="28"/>
        </w:rPr>
      </w:pPr>
      <w:r w:rsidRPr="0049071D">
        <w:rPr>
          <w:b/>
          <w:szCs w:val="28"/>
        </w:rPr>
        <w:t>Abstract</w:t>
      </w:r>
    </w:p>
    <w:p w14:paraId="0BF6FD3B" w14:textId="10F73372" w:rsidR="00E95962" w:rsidRPr="0049071D" w:rsidRDefault="0049071D" w:rsidP="00510396">
      <w:pPr>
        <w:spacing w:line="480" w:lineRule="auto"/>
        <w:rPr>
          <w:szCs w:val="28"/>
        </w:rPr>
      </w:pPr>
      <w:r w:rsidRPr="0049071D">
        <w:rPr>
          <w:szCs w:val="28"/>
        </w:rPr>
        <w:t xml:space="preserve">The main objective of this Method Showcase Article is to show how the technique of adaptive comparative judgement, coupled with a crowdsourcing approach can offer practical solutions to the reliability issues as well as the time and cost difficulties associated with a text-based approach to proficiency assessment in L2 research. We showcase this method by reporting on the methodological framework implemented in the </w:t>
      </w:r>
      <w:r>
        <w:rPr>
          <w:szCs w:val="28"/>
        </w:rPr>
        <w:t xml:space="preserve">CLAP </w:t>
      </w:r>
      <w:r w:rsidRPr="0049071D">
        <w:rPr>
          <w:szCs w:val="28"/>
        </w:rPr>
        <w:t>project and presenting the results of a first study that demonstrate that a crowd is able to assess learner texts with high reliability.  No effect of language skills or language assessment experience was found on the assessment task, but there seems to be a difference in the decisions made by judges who received formal language assessment training and those who did not. Put together, however, the scores generated by the crowdsourced task exhibit a strong correlation with the rubric-based scores released with the learner corpus used.</w:t>
      </w:r>
    </w:p>
    <w:p w14:paraId="1D5D824C" w14:textId="368EF146" w:rsidR="00E95962" w:rsidRPr="00510396" w:rsidRDefault="00510396" w:rsidP="00510396">
      <w:pPr>
        <w:spacing w:line="480" w:lineRule="auto"/>
        <w:jc w:val="center"/>
        <w:rPr>
          <w:b/>
          <w:szCs w:val="28"/>
        </w:rPr>
      </w:pPr>
      <w:r w:rsidRPr="00510396">
        <w:rPr>
          <w:b/>
          <w:szCs w:val="28"/>
        </w:rPr>
        <w:t>Keywords</w:t>
      </w:r>
    </w:p>
    <w:p w14:paraId="24CAD283" w14:textId="460EE901" w:rsidR="00510396" w:rsidRPr="0049071D" w:rsidRDefault="00510396" w:rsidP="00510396">
      <w:pPr>
        <w:spacing w:line="480" w:lineRule="auto"/>
        <w:jc w:val="center"/>
        <w:rPr>
          <w:szCs w:val="28"/>
        </w:rPr>
      </w:pPr>
      <w:r>
        <w:rPr>
          <w:szCs w:val="28"/>
        </w:rPr>
        <w:t xml:space="preserve">Learner corpus, </w:t>
      </w:r>
      <w:r w:rsidR="00BC269C">
        <w:rPr>
          <w:szCs w:val="28"/>
        </w:rPr>
        <w:t>language assessment, proficiency</w:t>
      </w:r>
      <w:r>
        <w:rPr>
          <w:szCs w:val="28"/>
        </w:rPr>
        <w:t xml:space="preserve">, </w:t>
      </w:r>
      <w:r w:rsidR="00BC269C">
        <w:rPr>
          <w:szCs w:val="28"/>
        </w:rPr>
        <w:t xml:space="preserve">adaptive comparative judgment, </w:t>
      </w:r>
      <w:r>
        <w:rPr>
          <w:szCs w:val="28"/>
        </w:rPr>
        <w:t>crowdsourcing</w:t>
      </w:r>
    </w:p>
    <w:p w14:paraId="275C6A7D" w14:textId="77777777" w:rsidR="00E95962" w:rsidRPr="00BA2F6E" w:rsidRDefault="00E95962" w:rsidP="00510396">
      <w:pPr>
        <w:spacing w:line="480" w:lineRule="auto"/>
        <w:jc w:val="center"/>
        <w:rPr>
          <w:b/>
          <w:szCs w:val="28"/>
        </w:rPr>
      </w:pPr>
      <w:r w:rsidRPr="00BA2F6E">
        <w:rPr>
          <w:b/>
          <w:szCs w:val="28"/>
        </w:rPr>
        <w:t>Author note</w:t>
      </w:r>
    </w:p>
    <w:p w14:paraId="59D5AE15" w14:textId="77777777" w:rsidR="00E95962" w:rsidRPr="00BA2F6E" w:rsidRDefault="00E95962" w:rsidP="00510396">
      <w:pPr>
        <w:spacing w:line="480" w:lineRule="auto"/>
        <w:rPr>
          <w:szCs w:val="28"/>
        </w:rPr>
      </w:pPr>
      <w:r w:rsidRPr="00BA2F6E">
        <w:rPr>
          <w:szCs w:val="28"/>
        </w:rPr>
        <w:lastRenderedPageBreak/>
        <w:t xml:space="preserve">Magali Paquot </w:t>
      </w:r>
      <w:r w:rsidRPr="00BA2F6E">
        <w:rPr>
          <w:szCs w:val="28"/>
        </w:rPr>
        <w:tab/>
        <w:t>https://orcid.org/0000-0001-5687-5074</w:t>
      </w:r>
    </w:p>
    <w:p w14:paraId="758435C4" w14:textId="7141F7F7" w:rsidR="00E95962" w:rsidRPr="00BA2F6E" w:rsidRDefault="00E95962" w:rsidP="00510396">
      <w:pPr>
        <w:spacing w:line="480" w:lineRule="auto"/>
        <w:rPr>
          <w:szCs w:val="28"/>
        </w:rPr>
      </w:pPr>
      <w:r w:rsidRPr="00BA2F6E">
        <w:rPr>
          <w:szCs w:val="28"/>
        </w:rPr>
        <w:t>Rachel Rubin</w:t>
      </w:r>
      <w:r w:rsidRPr="00BA2F6E">
        <w:rPr>
          <w:szCs w:val="28"/>
        </w:rPr>
        <w:tab/>
      </w:r>
      <w:r w:rsidRPr="00BA2F6E">
        <w:rPr>
          <w:szCs w:val="28"/>
        </w:rPr>
        <w:tab/>
      </w:r>
      <w:hyperlink r:id="rId10" w:history="1">
        <w:r w:rsidR="00510396" w:rsidRPr="00BA2F6E">
          <w:rPr>
            <w:rStyle w:val="Lienhypertexte"/>
            <w:szCs w:val="28"/>
          </w:rPr>
          <w:t>https://orcid.org/0000-0001-5071-8908</w:t>
        </w:r>
      </w:hyperlink>
    </w:p>
    <w:p w14:paraId="1290AE7C" w14:textId="085C4DBC" w:rsidR="00510396" w:rsidRPr="00510396" w:rsidRDefault="00510396" w:rsidP="00510396">
      <w:pPr>
        <w:spacing w:line="480" w:lineRule="auto"/>
        <w:rPr>
          <w:szCs w:val="28"/>
        </w:rPr>
      </w:pPr>
      <w:r w:rsidRPr="00510396">
        <w:rPr>
          <w:szCs w:val="28"/>
        </w:rPr>
        <w:t>Nathan Vandeweerd</w:t>
      </w:r>
      <w:r w:rsidRPr="00510396">
        <w:rPr>
          <w:szCs w:val="28"/>
        </w:rPr>
        <w:tab/>
        <w:t>https://orcid.org/0000-0002-6498-9474</w:t>
      </w:r>
    </w:p>
    <w:p w14:paraId="6C0F8DBF" w14:textId="77777777" w:rsidR="00E95962" w:rsidRPr="00337762" w:rsidRDefault="00E95962" w:rsidP="00510396">
      <w:pPr>
        <w:spacing w:line="480" w:lineRule="auto"/>
        <w:rPr>
          <w:szCs w:val="28"/>
        </w:rPr>
      </w:pPr>
      <w:r w:rsidRPr="00337762">
        <w:rPr>
          <w:szCs w:val="28"/>
        </w:rPr>
        <w:t>We have no known conflict of interest to disclose.</w:t>
      </w:r>
    </w:p>
    <w:p w14:paraId="2AA70793" w14:textId="195BE96B" w:rsidR="00E95962" w:rsidRPr="00BA2F6E" w:rsidRDefault="00E95962" w:rsidP="00510396">
      <w:pPr>
        <w:spacing w:line="480" w:lineRule="auto"/>
        <w:rPr>
          <w:rStyle w:val="Lienhypertexte"/>
          <w:szCs w:val="28"/>
        </w:rPr>
      </w:pPr>
      <w:r w:rsidRPr="00337762">
        <w:rPr>
          <w:szCs w:val="28"/>
        </w:rPr>
        <w:t xml:space="preserve">Correspondence concerning this article should be addressed to Magali Paquot. </w:t>
      </w:r>
      <w:r w:rsidRPr="00400376">
        <w:rPr>
          <w:szCs w:val="28"/>
          <w:lang w:val="fr-BE"/>
        </w:rPr>
        <w:t xml:space="preserve">UCLouvain. </w:t>
      </w:r>
      <w:r w:rsidRPr="00337762">
        <w:rPr>
          <w:szCs w:val="28"/>
          <w:lang w:val="fr-BE"/>
        </w:rPr>
        <w:t>SSH/ILC. Collège Erasme. Place Blaise Pascal 1, bte L3.03.33</w:t>
      </w:r>
      <w:r>
        <w:rPr>
          <w:szCs w:val="28"/>
          <w:lang w:val="fr-BE"/>
        </w:rPr>
        <w:t xml:space="preserve">. </w:t>
      </w:r>
      <w:r w:rsidRPr="00BA2F6E">
        <w:rPr>
          <w:szCs w:val="28"/>
        </w:rPr>
        <w:t xml:space="preserve">1348 Louvain-la-Neuve. Email: </w:t>
      </w:r>
      <w:hyperlink r:id="rId11" w:history="1">
        <w:r w:rsidRPr="00BA2F6E">
          <w:rPr>
            <w:rStyle w:val="Lienhypertexte"/>
            <w:szCs w:val="28"/>
          </w:rPr>
          <w:t>magali.paquot@uclouvain.be</w:t>
        </w:r>
      </w:hyperlink>
    </w:p>
    <w:p w14:paraId="761669F6" w14:textId="04509188" w:rsidR="00510396" w:rsidRPr="00BA2F6E" w:rsidRDefault="00510396" w:rsidP="00510396">
      <w:pPr>
        <w:spacing w:line="480" w:lineRule="auto"/>
        <w:rPr>
          <w:szCs w:val="28"/>
        </w:rPr>
      </w:pPr>
    </w:p>
    <w:p w14:paraId="4887AA0A" w14:textId="77777777" w:rsidR="00510396" w:rsidRPr="00510396" w:rsidRDefault="00510396" w:rsidP="00510396">
      <w:pPr>
        <w:spacing w:line="480" w:lineRule="auto"/>
        <w:jc w:val="center"/>
        <w:rPr>
          <w:b/>
          <w:szCs w:val="28"/>
        </w:rPr>
      </w:pPr>
      <w:r w:rsidRPr="00510396">
        <w:rPr>
          <w:b/>
          <w:szCs w:val="28"/>
        </w:rPr>
        <w:t>Acknowledgment</w:t>
      </w:r>
    </w:p>
    <w:p w14:paraId="21EBC0AF" w14:textId="2B343B40" w:rsidR="00510396" w:rsidRPr="00BA2F6E" w:rsidRDefault="00BC59A9" w:rsidP="00510396">
      <w:pPr>
        <w:spacing w:line="480" w:lineRule="auto"/>
        <w:rPr>
          <w:szCs w:val="28"/>
        </w:rPr>
      </w:pPr>
      <w:r>
        <w:rPr>
          <w:szCs w:val="28"/>
        </w:rPr>
        <w:t xml:space="preserve">The CLAP project </w:t>
      </w:r>
      <w:r w:rsidR="000B5972">
        <w:rPr>
          <w:szCs w:val="28"/>
        </w:rPr>
        <w:t>was developed</w:t>
      </w:r>
      <w:r>
        <w:rPr>
          <w:szCs w:val="28"/>
        </w:rPr>
        <w:t xml:space="preserve"> </w:t>
      </w:r>
      <w:r w:rsidR="003E16B1">
        <w:rPr>
          <w:szCs w:val="28"/>
        </w:rPr>
        <w:t xml:space="preserve">within the framework of the </w:t>
      </w:r>
      <w:r>
        <w:rPr>
          <w:szCs w:val="28"/>
        </w:rPr>
        <w:t>“Lexicogrammatical complexity across mode”</w:t>
      </w:r>
      <w:r w:rsidR="003E16B1">
        <w:rPr>
          <w:szCs w:val="28"/>
        </w:rPr>
        <w:t xml:space="preserve"> T.0086.18 FNRS project</w:t>
      </w:r>
      <w:r>
        <w:rPr>
          <w:szCs w:val="28"/>
        </w:rPr>
        <w:t xml:space="preserve">. </w:t>
      </w:r>
      <w:r w:rsidR="00BC269C">
        <w:rPr>
          <w:szCs w:val="28"/>
        </w:rPr>
        <w:t xml:space="preserve">We thank Alex König (then at </w:t>
      </w:r>
      <w:r>
        <w:rPr>
          <w:szCs w:val="28"/>
        </w:rPr>
        <w:t xml:space="preserve">EURAC, Bolzano, Italy) for his technical help at the start of the project. We are grateful to our colleagues at UCLouvain for taking part in the pilot study, and to all national and international colleagues who contributed to CLAP and/or provided feedback on the project. </w:t>
      </w:r>
      <w:r w:rsidR="00510396" w:rsidRPr="00510396">
        <w:rPr>
          <w:szCs w:val="28"/>
        </w:rPr>
        <w:t xml:space="preserve">We also thank the reviewers for their very constructive and insightful comments. </w:t>
      </w:r>
      <w:r w:rsidR="00510396" w:rsidRPr="00BA2F6E">
        <w:rPr>
          <w:szCs w:val="28"/>
        </w:rPr>
        <w:t>The usual disclaimers apply.</w:t>
      </w:r>
    </w:p>
    <w:p w14:paraId="64DA4ECB" w14:textId="77777777" w:rsidR="00E95962" w:rsidRPr="00BA2F6E" w:rsidRDefault="00E95962" w:rsidP="00E95962">
      <w:pPr>
        <w:rPr>
          <w:sz w:val="20"/>
        </w:rPr>
      </w:pPr>
    </w:p>
    <w:p w14:paraId="2208FF60" w14:textId="77777777" w:rsidR="00E95962" w:rsidRDefault="00E95962">
      <w:r>
        <w:br w:type="page"/>
      </w:r>
    </w:p>
    <w:p w14:paraId="6A3CA59D" w14:textId="01F4A921" w:rsidR="00364A79" w:rsidRDefault="00EB7938">
      <w:pPr>
        <w:spacing w:line="480" w:lineRule="auto"/>
        <w:jc w:val="center"/>
      </w:pPr>
      <w:r>
        <w:lastRenderedPageBreak/>
        <w:t>Crowdsourced Adaptive Comparative Judgment: A community-based solution for proficiency rating</w:t>
      </w:r>
    </w:p>
    <w:p w14:paraId="33AA6535" w14:textId="77777777" w:rsidR="00364A79" w:rsidRDefault="00364A79">
      <w:pPr>
        <w:spacing w:line="480" w:lineRule="auto"/>
      </w:pPr>
    </w:p>
    <w:p w14:paraId="26CA6C3E" w14:textId="5CD88A59" w:rsidR="0046421D" w:rsidRDefault="00753844">
      <w:pPr>
        <w:spacing w:line="480" w:lineRule="auto"/>
        <w:ind w:firstLine="720"/>
      </w:pPr>
      <w:r>
        <w:t>P</w:t>
      </w:r>
      <w:r w:rsidR="00EB7938">
        <w:t xml:space="preserve">roficiency is </w:t>
      </w:r>
      <w:r>
        <w:t>an essential construct</w:t>
      </w:r>
      <w:r w:rsidR="00EB7938">
        <w:t xml:space="preserve"> in Second Language Research</w:t>
      </w:r>
      <w:r>
        <w:t xml:space="preserve">: accurate and reliable proficiency assessment measures are a prerequisite for any study that seeks to provide </w:t>
      </w:r>
      <w:r w:rsidR="00D63CC4">
        <w:t xml:space="preserve">meaningful </w:t>
      </w:r>
      <w:r>
        <w:t>developmental</w:t>
      </w:r>
      <w:r w:rsidR="00602A49">
        <w:t xml:space="preserve"> </w:t>
      </w:r>
      <w:r>
        <w:t xml:space="preserve">interpretations </w:t>
      </w:r>
      <w:r w:rsidR="00D63CC4">
        <w:t>of research results</w:t>
      </w:r>
      <w:r>
        <w:t xml:space="preserve"> (Norris &amp; Ortega, 2003; Pallotti, 2009; Leclercq &amp; Edmonds, 2014)</w:t>
      </w:r>
      <w:r w:rsidR="00212137">
        <w:t xml:space="preserve">. </w:t>
      </w:r>
      <w:r w:rsidR="0046421D">
        <w:t>Many definitions of the notion of language proficiency have been pr</w:t>
      </w:r>
      <w:r w:rsidR="007609A5">
        <w:t>oposed and discussed</w:t>
      </w:r>
      <w:r w:rsidR="0046421D">
        <w:t>, with the most comprehensive definition by Hulstijn (2011: 242) beginning as follows:</w:t>
      </w:r>
    </w:p>
    <w:p w14:paraId="65C37B87" w14:textId="19295A25" w:rsidR="0046421D" w:rsidRDefault="0046421D" w:rsidP="00602A49">
      <w:pPr>
        <w:spacing w:line="480" w:lineRule="auto"/>
        <w:ind w:left="720"/>
      </w:pPr>
      <w:r w:rsidRPr="00602A49">
        <w:rPr>
          <w:i/>
        </w:rPr>
        <w:t>Language proficiency</w:t>
      </w:r>
      <w:r w:rsidRPr="0046421D">
        <w:t xml:space="preserve"> (LP) is the extent to which an individual possesses the linguistic cognition</w:t>
      </w:r>
      <w:r>
        <w:t xml:space="preserve"> </w:t>
      </w:r>
      <w:r w:rsidRPr="0046421D">
        <w:t>necessary to function in a given communicative situation, in a given modality (listening, speaking,</w:t>
      </w:r>
      <w:r>
        <w:t xml:space="preserve"> </w:t>
      </w:r>
      <w:r w:rsidRPr="0046421D">
        <w:t>reading, or writing). Linguistic cognition is the combination of the representation of linguistic information (knowledge of form-meaning mappings) and the ease with which linguistic information can</w:t>
      </w:r>
      <w:r>
        <w:t xml:space="preserve"> </w:t>
      </w:r>
      <w:r w:rsidRPr="0046421D">
        <w:t>be processed (skill). Form-meaning mappings pertain to both the literal and pragmatic meanings</w:t>
      </w:r>
      <w:r>
        <w:t xml:space="preserve"> </w:t>
      </w:r>
      <w:r w:rsidRPr="0046421D">
        <w:t>of forms (in decontextualized and socially-situated language use, respectively).</w:t>
      </w:r>
    </w:p>
    <w:p w14:paraId="2AF96EAF" w14:textId="7FAB7798" w:rsidR="00364A79" w:rsidRDefault="00602A49" w:rsidP="00602A49">
      <w:pPr>
        <w:spacing w:line="480" w:lineRule="auto"/>
      </w:pPr>
      <w:r>
        <w:t>Despite of the importance of the construct to L2 research</w:t>
      </w:r>
      <w:r w:rsidR="0046421D">
        <w:t>, the</w:t>
      </w:r>
      <w:r w:rsidR="00EB7938">
        <w:t xml:space="preserve"> measurement</w:t>
      </w:r>
      <w:r w:rsidR="0046421D">
        <w:t xml:space="preserve"> of proficiency</w:t>
      </w:r>
      <w:r w:rsidR="00EB7938">
        <w:t xml:space="preserve"> has not always received the attention it deserves, and practices of proficiency level assignment have been the subject of continued criticism (e.g. Hulstijn, Alderson, &amp; Schroonen, 2010). In Learner Corpus Research, more particularly, Carlsen’s (2012) review of some of the most commonly used methods of proficiency-level assignments of texts showed that many learner corpora still rely on variables such as ‘institutional status’ or ‘year of study’ as a proxy for proficiency, despite the fact that these external criteria are largely regarded as unreliable (Thomas, 1994).</w:t>
      </w:r>
    </w:p>
    <w:p w14:paraId="3E17ED8A" w14:textId="481819BC" w:rsidR="00364A79" w:rsidRDefault="00EB7938">
      <w:pPr>
        <w:spacing w:line="480" w:lineRule="auto"/>
        <w:ind w:firstLine="720"/>
      </w:pPr>
      <w:r>
        <w:lastRenderedPageBreak/>
        <w:t>One way to address these criticisms is to adopt a systematic a posteriori text-based approach to proficiency</w:t>
      </w:r>
      <w:r w:rsidR="00602A49">
        <w:t xml:space="preserve"> as was done, for example, in the compilation of the </w:t>
      </w:r>
      <w:r>
        <w:t>AndreSpråksKorpus (ASK)</w:t>
      </w:r>
      <w:r w:rsidR="00946332">
        <w:t xml:space="preserve">, a </w:t>
      </w:r>
      <w:r>
        <w:t>learner corpus of Norwegian as a second language</w:t>
      </w:r>
      <w:r w:rsidR="00946332">
        <w:t>.</w:t>
      </w:r>
      <w:r>
        <w:t xml:space="preserve"> </w:t>
      </w:r>
      <w:r w:rsidR="0054081E">
        <w:t xml:space="preserve">The ASK compilers made use of several methods grounded in the professional field of language assessment to obtain reliable scoring of essays collected from two standardized </w:t>
      </w:r>
      <w:r w:rsidR="00602A49">
        <w:t>language proficiency tests</w:t>
      </w:r>
      <w:r w:rsidR="0054081E">
        <w:t xml:space="preserve">. These included the development of a manual with recommended procedures for linking learner texts to the Common European Framework of Reference for Languages (CEFR, Council of Europe, 2001) scales, the development of benchmark texts illustrating typical texts at the different levels, and careful rater training. </w:t>
      </w:r>
      <w:r>
        <w:t xml:space="preserve">The ASK texts were rated by a minimum of five trained raters (200 texts out of 1,222 were even rated by 10 raters). Estimates of rater severity and rater reliability were also used to ensure consistency among raters, to provide feedback to the raters and to evaluate the rating procedure (see Carlsen, 2012 for more details). While this approach is undoubtedly exemplary, the drawback is “the time and costs required” (ibid.: 179). In practice, learner corpus compilers often do not have the necessary resources to have all learner texts that they collect rated by a (large) group of trained raters. </w:t>
      </w:r>
    </w:p>
    <w:p w14:paraId="3700A94A" w14:textId="4F6707A3" w:rsidR="00364A79" w:rsidRDefault="00EB7938">
      <w:pPr>
        <w:spacing w:line="480" w:lineRule="auto"/>
        <w:ind w:firstLine="720"/>
      </w:pPr>
      <w:r>
        <w:t xml:space="preserve">While some learner corpora improve on the current state of the art by including text-based proficiency scores, these scores are typically the result of judgments made by only one or two raters (e.g. the ETS Corpus of Non-Native Written English (Blanchard, Tetreault, Higgins, Cahill, &amp; Chodorow, 2014), the MERLIN corpus (Bärenfänger, 2013)). </w:t>
      </w:r>
      <w:r w:rsidR="00111015">
        <w:t xml:space="preserve">In addition, </w:t>
      </w:r>
      <w:r w:rsidR="009F1B1B">
        <w:t xml:space="preserve">even when measures of </w:t>
      </w:r>
      <w:r w:rsidR="00111015" w:rsidRPr="00111015">
        <w:t>inter-rater reliability</w:t>
      </w:r>
      <w:r w:rsidR="009F1B1B">
        <w:t xml:space="preserve"> are reported for </w:t>
      </w:r>
      <w:r w:rsidR="00111015" w:rsidRPr="00111015">
        <w:t>rubric-based (or analytical) proficiency assessment of learner corpora</w:t>
      </w:r>
      <w:r w:rsidR="009F1B1B">
        <w:t>, agreement is often below acceptable levels of reliability</w:t>
      </w:r>
      <w:r w:rsidR="00111015" w:rsidRPr="00111015">
        <w:t xml:space="preserve"> (e.g. absolute agreement indices seem to range from 55% in Paquot (2018) to 64.9% in Díez-Bedmar (2012)). </w:t>
      </w:r>
      <w:r w:rsidR="00466ECB" w:rsidRPr="00466ECB">
        <w:t xml:space="preserve">There may be a variety of reasons to explain these unsatisfactory results, including poor quality control procedures such as the insufficient rater </w:t>
      </w:r>
      <w:r w:rsidR="00466ECB" w:rsidRPr="00466ECB">
        <w:lastRenderedPageBreak/>
        <w:t>training or the lack of use of benchmark writing samples (issues which may be impacted by limited time or funding)</w:t>
      </w:r>
      <w:r w:rsidR="00466ECB">
        <w:t>.</w:t>
      </w:r>
      <w:r w:rsidR="00111015">
        <w:t xml:space="preserve"> </w:t>
      </w:r>
      <w:r w:rsidR="00792763">
        <w:t>Nevertheless, the current status quo represents</w:t>
      </w:r>
      <w:r>
        <w:t xml:space="preserve"> a </w:t>
      </w:r>
      <w:r w:rsidR="003D7D02">
        <w:t>challenge</w:t>
      </w:r>
      <w:r>
        <w:t xml:space="preserve"> for all of us who are interested in using learner production data</w:t>
      </w:r>
      <w:r w:rsidR="00111015">
        <w:t>.</w:t>
      </w:r>
    </w:p>
    <w:p w14:paraId="2F6B53C6" w14:textId="0F8933BB" w:rsidR="00364A79" w:rsidRDefault="00EB7938">
      <w:pPr>
        <w:spacing w:line="480" w:lineRule="auto"/>
        <w:ind w:firstLine="720"/>
      </w:pPr>
      <w:r>
        <w:t xml:space="preserve">Rubric-based assessment comes with other issues that have been extensively documented in the literature (e.g. Weigle, 2002). Among other things, concerns surrounding its reliability and validity often stem from the challenges associated with the development and use of assessment grids (Pollitt &amp; Murray, 1996; Rezaei &amp; Lovorn, 2010). As for validity, </w:t>
      </w:r>
      <w:r w:rsidR="00B64CCE">
        <w:t xml:space="preserve">i.e. “the degree to which evidence and theory support the interpretations of test scores for proposed uses of tests” (AERA – APA – NCME, 2014, p. 11), </w:t>
      </w:r>
      <w:r>
        <w:t xml:space="preserve">assessment grids often: (i) require raters to evaluate criteria that the rater does not attribute to the targeted competence, (ii) conflate multiple dimensions of a competence into a single dimension, and (iii) apply equal weights to dimensions of a competence that raters would perhaps weight differently (van Daal, Lesterhuis, Coertjens, Donche, &amp; De Maeyer, 2019). </w:t>
      </w:r>
      <w:r w:rsidR="008F72B4">
        <w:t>When it comes to reliability, i.e. “consistency of the scores across instances of the testing procedure” (AERA – APA – NCME, 2014, pp 33),</w:t>
      </w:r>
      <w:r w:rsidR="00AC636A">
        <w:t xml:space="preserve"> </w:t>
      </w:r>
      <w:r w:rsidR="008F72B4">
        <w:t>p</w:t>
      </w:r>
      <w:r>
        <w:t>revious language assessment studies have also reported a lack of consistency among raters in terms of the target construct</w:t>
      </w:r>
      <w:r w:rsidR="009F1B1B">
        <w:t xml:space="preserve">. They </w:t>
      </w:r>
      <w:r>
        <w:t xml:space="preserve">have </w:t>
      </w:r>
      <w:r w:rsidR="009F1B1B">
        <w:t xml:space="preserve">also </w:t>
      </w:r>
      <w:r>
        <w:t xml:space="preserve">suggested that </w:t>
      </w:r>
      <w:r w:rsidR="00223B91">
        <w:t>“</w:t>
      </w:r>
      <w:r>
        <w:t>judges of</w:t>
      </w:r>
      <w:r w:rsidRPr="0026046A">
        <w:t>ten make relative judgments</w:t>
      </w:r>
      <w:r w:rsidR="00223B91" w:rsidRPr="0026046A">
        <w:t>”</w:t>
      </w:r>
      <w:r w:rsidRPr="0026046A">
        <w:t xml:space="preserve"> according to their own internal conception of the construct (van Daal et al., 2019: 60), which together can lead to a decrease in inter-rater reliability</w:t>
      </w:r>
      <w:r w:rsidR="00223B91" w:rsidRPr="0026046A">
        <w:t>, i.e.</w:t>
      </w:r>
      <w:r w:rsidR="0026046A" w:rsidRPr="0026046A">
        <w:t xml:space="preserve"> “the level of consistency with which two or more judges rate the work or performance of test takers” (ibid., pp. 220)</w:t>
      </w:r>
      <w:r w:rsidRPr="0026046A">
        <w:t>.</w:t>
      </w:r>
    </w:p>
    <w:p w14:paraId="3C6F3B97" w14:textId="3F9E58BD" w:rsidR="00C378D6" w:rsidRDefault="00EB7938">
      <w:pPr>
        <w:spacing w:line="480" w:lineRule="auto"/>
        <w:ind w:firstLine="720"/>
      </w:pPr>
      <w:r>
        <w:t xml:space="preserve">For all the reasons mentioned above, rubric scoring does not appear as a viable solution for the </w:t>
      </w:r>
      <w:r w:rsidR="009F1B1B">
        <w:t xml:space="preserve">(often </w:t>
      </w:r>
      <w:r>
        <w:t>large scale</w:t>
      </w:r>
      <w:r w:rsidR="009F1B1B">
        <w:t>)</w:t>
      </w:r>
      <w:r>
        <w:t xml:space="preserve"> proficiency rating of learner corpora. One method that is increasingly used for text assessment purposes for its arguably increased inter-rater reliability, construct validity and time/cost efficiency is comparative judgment (CJ; Pollitt, 2012a). The method of CJ is based on Thurstone's (1927) ‘Law of Comparative Judgment’, which asserts </w:t>
      </w:r>
      <w:r>
        <w:lastRenderedPageBreak/>
        <w:t xml:space="preserve">that "a person perceiving some phenomenon will assign to it some instantaneous ‘value’ [...], and that when we ask them to chose the ‘better’ of two such phenomena it is these values that are compared" (Pollitt, 2012b: 159). This has been restated as the assumption that people are able to compare two performances more easily and reliably than to assign a score to an individual performance (Lesterhuis, Verhavert, Coertjens, Donche, &amp; De Maeyer, 2017). The CJ approach involves the consensus of a panel of judges who are asked to compare two performances of any kind (be </w:t>
      </w:r>
      <w:r w:rsidR="002765BE">
        <w:t xml:space="preserve">they </w:t>
      </w:r>
      <w:r>
        <w:t xml:space="preserve">dance performances, design portfolios, or, as in the present study, written learner productions) and to simply decide which of them is better. From many such pairwise comparisons, a scaled distribution of performances is then produced by means of a Bradley-Terry-Luce (BTL; Bradley &amp; Terry, 1952; Luce, 1959) model, a type of logistic model that predicts the likelihood of one performance in a paired comparison outperforming the other (Pollitt, 2012a). Because this method requires a substantial number of comparisons to produce a reliable scale of (learner) performances, the implementation of an iterative and adaptive pairing algorithm has been proposed as a solution to increase efficiency of the CJ method, in an extension of CJ known as Adaptive Comparative Judgment (ACJ; Pollitt, 2012a, 2012b). Under the ACJ framework, performances are paired adaptively according to their intermediate ability estimates (i.e. intermediate assessments of performance quality that are recomputed at each comparison and used to pair performances with similar scoring), reducing the overall amount of comparisons required to achieve a reliable scale of performance abilities. </w:t>
      </w:r>
      <w:r w:rsidR="00C378D6" w:rsidRPr="00C378D6">
        <w:t xml:space="preserve">Another major </w:t>
      </w:r>
      <w:r w:rsidR="00C378D6">
        <w:t xml:space="preserve">benefit of the approach is </w:t>
      </w:r>
      <w:r w:rsidR="00C378D6" w:rsidRPr="00C378D6">
        <w:t>that since judges only have to choose the best text, severity or leniency cannot influence the final scores (Bramley, 2007; Whitehouse &amp; Pollitt, 2012).</w:t>
      </w:r>
    </w:p>
    <w:p w14:paraId="4379AF3E" w14:textId="24B12F45" w:rsidR="00364A79" w:rsidRDefault="00EB7938">
      <w:pPr>
        <w:spacing w:line="480" w:lineRule="auto"/>
        <w:ind w:firstLine="720"/>
      </w:pPr>
      <w:r>
        <w:t xml:space="preserve">A second critical assumption underpinning CJ is its reliance on holistic judgment: Judges do not receive criteria to guide their judgment process, but at best a general description regarding the (writing) competence to be assessed. Holistic scoring encourages judges to </w:t>
      </w:r>
      <w:r>
        <w:lastRenderedPageBreak/>
        <w:t xml:space="preserve">focus on the text more than on the criteria listed in the rating scale, thus favouring holistic judgment of quality instead of a fragmented view of writing (Pollitt, 2012a). The combination of holistic scoring and a comparative method has been increasingly applauded for “making reliable the assessment of skills that are currently problematic” (Pollitt, 2012a: 292). This includes the assessment of writing quality, a multidimensional and complex construct for which CJ/ACJ tasks have already been reported to produce reliable and valid results (e.g. Lesterhuis et al., 2017; Lesterhuis, van Daal, Van Gasse, Coertjens, Donche, &amp; De Maeyer, 2018; van Daal et al., 2019). </w:t>
      </w:r>
    </w:p>
    <w:p w14:paraId="2E44AEF9" w14:textId="77777777" w:rsidR="00364A79" w:rsidRDefault="00EB7938">
      <w:pPr>
        <w:spacing w:line="480" w:lineRule="auto"/>
        <w:ind w:firstLine="720"/>
      </w:pPr>
      <w:r>
        <w:t xml:space="preserve">The time/cost efficiency associated with CJ/ACJ is typically attributed to the speed with which each comparison can be executed and the minimal training required for holistic CJ assessment. This is very different from rubric scoring where more robust outcomes are associated with previous experience and training (Weigle, 1994, 1998; Cummins, 1990; Rezaei &amp; Lovorn, 2010; Rezaei &amp; Barkaoui, 2020). By contrast, no prior experience is compulsory to complete a CJ task and judges do not necessarily need to familiarise themselves with detailed or multidimensional assessment criteria (Jones &amp; Wheadon, 2015). In a meta-analysis on the reliability of comparative judgment, Verhavert, Bouwer, Donche and Maeyer (2019) reported that in the body of CJ studies they reviewed, expertise did not seem to limit the level of reliability that could be achieved. First, no difference in reliability was found between experts and peers (typically fellow students who had performed the task under assessment themselves or had experience with the task in a previous phase of their studies or fellow researchers), which Verhavert et al. (2019: 557) explained by the fact that experts and peers alike are familiar with the type of texts being assessed and know what to look for in a CJ task. Second, novices (defined as judges with no domain-specific expertise, no experience in assessment, and who did not receive specific training) could reach as high levels of reliability as experts and peers. The only difference was that assessment tasks with </w:t>
      </w:r>
      <w:r>
        <w:lastRenderedPageBreak/>
        <w:t xml:space="preserve">novices needed more comparisons per text and texts per judge for an equal probability of reaching an asymptote in the reliability, i.e. the point where adding more comparisons will not induce a significant increase in reliability (ibid: 555).  </w:t>
      </w:r>
    </w:p>
    <w:p w14:paraId="1BF94AF2" w14:textId="740CC494" w:rsidR="00364A79" w:rsidRDefault="00EB7938">
      <w:pPr>
        <w:spacing w:line="480" w:lineRule="auto"/>
        <w:ind w:firstLine="720"/>
      </w:pPr>
      <w:r>
        <w:t>The main aim of this Methods Showcase Article is to demonstrate how the technique of adaptive comparative judgement, coupled with a crowdsourcing approach to recruit judges, can offer practical solutions to the reliability issues as well as the time and cost difficulties associated with a text-based approach to proficiency assessment in learner corpus research, and L2 research more generally. Crowdsourcing refers to the practice of soliciting contributions from a large group of people or the general public rather than from traditional employees or suppliers. While crowdsourcing was first used by linguists for its speed and cost benefits for annotation and translation (Snow, O’Connor, Jurafsky, &amp; Ng, 2008; Callison</w:t>
      </w:r>
      <w:r w:rsidR="00BA2F6E">
        <w:t>-</w:t>
      </w:r>
      <w:r>
        <w:t xml:space="preserve">Burch, 2009; Hsueh, Melville, &amp; Sindhwani, 2009), Munro, Bethard, Kuperman, Lai, Melnick, Potts, Schnoebelen, and Tily (2010) demonstrated with a series of experiments that, “in a range of linguistic disciplines from semantics to psycholinguistics it enables systematic, large-scale judgment studies that are more affordable and convenient than expensive, time-consuming lab-based studies” (p. 129). </w:t>
      </w:r>
    </w:p>
    <w:p w14:paraId="45BCDA24" w14:textId="2667F9CA" w:rsidR="00364A79" w:rsidRDefault="00EB7938">
      <w:pPr>
        <w:spacing w:line="480" w:lineRule="auto"/>
        <w:ind w:firstLine="720"/>
      </w:pPr>
      <w:r>
        <w:t xml:space="preserve">We showcase this method by reporting on the methodological framework implemented in the </w:t>
      </w:r>
      <w:r w:rsidR="001F0CAA">
        <w:t>Crowdsourcing Language Assessment Project (CLAP)</w:t>
      </w:r>
      <w:r>
        <w:t xml:space="preserve"> and presenting the results of a first study that sought to address the following research questions:</w:t>
      </w:r>
    </w:p>
    <w:p w14:paraId="790961B4" w14:textId="77777777" w:rsidR="00364A79" w:rsidRDefault="00EB7938">
      <w:pPr>
        <w:pBdr>
          <w:top w:val="nil"/>
          <w:left w:val="nil"/>
          <w:bottom w:val="nil"/>
          <w:right w:val="nil"/>
          <w:between w:val="nil"/>
        </w:pBdr>
        <w:spacing w:line="480" w:lineRule="auto"/>
        <w:ind w:left="720"/>
        <w:rPr>
          <w:color w:val="000000"/>
        </w:rPr>
      </w:pPr>
      <w:r>
        <w:rPr>
          <w:color w:val="000000"/>
        </w:rPr>
        <w:t>RQ1</w:t>
      </w:r>
      <w:r>
        <w:rPr>
          <w:color w:val="000000"/>
        </w:rPr>
        <w:tab/>
        <w:t>Can a crowd of people be used to assess learner texts reliably in an ACJ task?</w:t>
      </w:r>
    </w:p>
    <w:p w14:paraId="77F6334B" w14:textId="77777777" w:rsidR="00364A79" w:rsidRDefault="00EB7938">
      <w:pPr>
        <w:pBdr>
          <w:top w:val="nil"/>
          <w:left w:val="nil"/>
          <w:bottom w:val="nil"/>
          <w:right w:val="nil"/>
          <w:between w:val="nil"/>
        </w:pBdr>
        <w:spacing w:line="480" w:lineRule="auto"/>
        <w:ind w:left="1416" w:hanging="696"/>
        <w:rPr>
          <w:color w:val="000000"/>
        </w:rPr>
      </w:pPr>
      <w:r>
        <w:rPr>
          <w:color w:val="000000"/>
        </w:rPr>
        <w:t>RQ2</w:t>
      </w:r>
      <w:r>
        <w:rPr>
          <w:color w:val="000000"/>
        </w:rPr>
        <w:tab/>
        <w:t>To what extent do the scores generated by a crowdsourced ACJ task compare with the scores generated by other text-centred methods that are more frequently used in learner corpus compilation?</w:t>
      </w:r>
    </w:p>
    <w:p w14:paraId="3B1ABCA8" w14:textId="77777777" w:rsidR="00364A79" w:rsidRDefault="00EB7938">
      <w:pPr>
        <w:pBdr>
          <w:top w:val="nil"/>
          <w:left w:val="nil"/>
          <w:bottom w:val="nil"/>
          <w:right w:val="nil"/>
          <w:between w:val="nil"/>
        </w:pBdr>
        <w:spacing w:line="480" w:lineRule="auto"/>
        <w:ind w:left="1416" w:hanging="696"/>
        <w:rPr>
          <w:color w:val="000000"/>
        </w:rPr>
      </w:pPr>
      <w:r>
        <w:rPr>
          <w:color w:val="000000"/>
        </w:rPr>
        <w:t>RQ3</w:t>
      </w:r>
      <w:r>
        <w:rPr>
          <w:color w:val="000000"/>
        </w:rPr>
        <w:tab/>
        <w:t>What is the impact of different language skills, training and expertise on a crowdsourced ACJ task?</w:t>
      </w:r>
    </w:p>
    <w:p w14:paraId="0BC44EFA" w14:textId="77777777" w:rsidR="00364A79" w:rsidRDefault="00364A79">
      <w:pPr>
        <w:pBdr>
          <w:top w:val="nil"/>
          <w:left w:val="nil"/>
          <w:bottom w:val="nil"/>
          <w:right w:val="nil"/>
          <w:between w:val="nil"/>
        </w:pBdr>
        <w:spacing w:line="480" w:lineRule="auto"/>
      </w:pPr>
    </w:p>
    <w:p w14:paraId="05168D6A" w14:textId="21C7ECA2" w:rsidR="00364A79" w:rsidRDefault="00EB7938">
      <w:pPr>
        <w:pBdr>
          <w:top w:val="nil"/>
          <w:left w:val="nil"/>
          <w:bottom w:val="nil"/>
          <w:right w:val="nil"/>
          <w:between w:val="nil"/>
        </w:pBdr>
        <w:spacing w:line="480" w:lineRule="auto"/>
      </w:pPr>
      <w:r>
        <w:t>To ensure that all readers can replicate the experiment and/or try it out on a new dataset, we use OSF (</w:t>
      </w:r>
      <w:r w:rsidR="00BA2F6E" w:rsidRPr="00BA2F6E">
        <w:t>https://osf.io/89vm4/</w:t>
      </w:r>
      <w:r>
        <w:t>) to provide access to all material except the learner texts that are distributed commercially.</w:t>
      </w:r>
    </w:p>
    <w:p w14:paraId="080DC76A" w14:textId="77777777" w:rsidR="00364A79" w:rsidRDefault="00EB7938">
      <w:pPr>
        <w:pStyle w:val="Titre2"/>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Method</w:t>
      </w:r>
    </w:p>
    <w:p w14:paraId="13A7F092" w14:textId="77777777" w:rsidR="00364A79" w:rsidRDefault="00364A79"/>
    <w:p w14:paraId="2CC4DA52" w14:textId="4C28B8DF" w:rsidR="00364A79" w:rsidRDefault="00EB7938" w:rsidP="009C460D">
      <w:pPr>
        <w:spacing w:line="480" w:lineRule="auto"/>
      </w:pPr>
      <w:r>
        <w:t>This section presents the methodology used to collect and analyse judges’ decisions on an ACJ task. We follow the step-by-step approach to ACJ presented in Lesterhuis et al. (2017: 121-123) and first define the competence and task (i.e. the learner texts used).</w:t>
      </w:r>
      <w:r>
        <w:rPr>
          <w:vertAlign w:val="superscript"/>
        </w:rPr>
        <w:t>1</w:t>
      </w:r>
      <w:r>
        <w:t xml:space="preserve"> We then present a detailed and comprehensive overview of the online platform we selected to run the experiment</w:t>
      </w:r>
      <w:r w:rsidR="00BE6636">
        <w:t xml:space="preserve"> and</w:t>
      </w:r>
      <w:r w:rsidR="00202273">
        <w:t xml:space="preserve"> </w:t>
      </w:r>
      <w:r>
        <w:t xml:space="preserve">the procedure </w:t>
      </w:r>
      <w:r w:rsidR="00BE6636">
        <w:t xml:space="preserve">used to collect crowdsourced assessments. Finally, we </w:t>
      </w:r>
      <w:r w:rsidR="0039572F">
        <w:t>discuss</w:t>
      </w:r>
      <w:r>
        <w:t xml:space="preserve"> the </w:t>
      </w:r>
      <w:r w:rsidR="009C460D">
        <w:t>calculations used to model the pairwise comparison data and evaluate the final rank ordering as well as the statistics used to answer our research questions</w:t>
      </w:r>
      <w:r>
        <w:t xml:space="preserve"> </w:t>
      </w:r>
      <w:r w:rsidR="0039572F">
        <w:t xml:space="preserve">in detail </w:t>
      </w:r>
      <w:r w:rsidR="009C460D">
        <w:t xml:space="preserve">with a view </w:t>
      </w:r>
      <w:r>
        <w:t>to provid</w:t>
      </w:r>
      <w:r w:rsidR="00695A35">
        <w:t>ing</w:t>
      </w:r>
      <w:r>
        <w:t xml:space="preserve"> replicable guidance.</w:t>
      </w:r>
    </w:p>
    <w:p w14:paraId="16F847FE" w14:textId="77777777" w:rsidR="00364A79" w:rsidRDefault="00364A79">
      <w:pPr>
        <w:spacing w:line="480" w:lineRule="auto"/>
        <w:ind w:firstLine="720"/>
      </w:pPr>
    </w:p>
    <w:p w14:paraId="4DEEAAB2" w14:textId="77777777" w:rsidR="00364A79" w:rsidRDefault="00EB7938">
      <w:pPr>
        <w:pStyle w:val="Titre3"/>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Definition of the competence and task</w:t>
      </w:r>
    </w:p>
    <w:p w14:paraId="58175D2F" w14:textId="77777777" w:rsidR="00364A79" w:rsidRDefault="00364A79"/>
    <w:p w14:paraId="135EAAD8" w14:textId="2D806B6C" w:rsidR="00364A79" w:rsidRDefault="00EB7938">
      <w:pPr>
        <w:spacing w:line="480" w:lineRule="auto"/>
      </w:pPr>
      <w:r>
        <w:t xml:space="preserve">The underlying construct that is being assessed in a comparative judgement task is entirely dependent </w:t>
      </w:r>
      <w:r w:rsidR="00CA4033">
        <w:t xml:space="preserve">on </w:t>
      </w:r>
      <w:r>
        <w:t>(or even defined by) the assessment criteria provided for the judges and the shared background/experiences of the judges. In this experiment, we opted for an approach where the description of the competence</w:t>
      </w:r>
      <w:r w:rsidR="001421A6">
        <w:t xml:space="preserve"> (i.e. </w:t>
      </w:r>
      <w:r w:rsidR="00FB7D94">
        <w:t>what constitutes L2 proficiency)</w:t>
      </w:r>
      <w:r>
        <w:t xml:space="preserve"> is minimal: we only asked judges to decide which text between two is written by a more advanced speaker. </w:t>
      </w:r>
      <w:r w:rsidR="007F0615">
        <w:t xml:space="preserve">We opted for the word ‘speaker’ as a </w:t>
      </w:r>
      <w:r w:rsidR="009F1B1B">
        <w:t>lay t</w:t>
      </w:r>
      <w:r w:rsidR="007F0615">
        <w:t xml:space="preserve">erm that refers to someone who is able to speak a particular language. </w:t>
      </w:r>
      <w:r w:rsidR="0086282C" w:rsidRPr="0086282C">
        <w:t xml:space="preserve"> </w:t>
      </w:r>
      <w:r w:rsidR="0086282C">
        <w:t xml:space="preserve">Unlike in some other CJ studies, no detailed description of the competence was provided. </w:t>
      </w:r>
      <w:r w:rsidR="0077723C">
        <w:t>W</w:t>
      </w:r>
      <w:r w:rsidR="0086282C">
        <w:t xml:space="preserve">e wanted to explore the potential of CJ to its full extent </w:t>
      </w:r>
      <w:r w:rsidR="0077723C">
        <w:t xml:space="preserve">(so that the construct of proficiency be entirely constructed on the experiences of our panel of judges </w:t>
      </w:r>
      <w:r w:rsidR="0077723C">
        <w:lastRenderedPageBreak/>
        <w:t xml:space="preserve">or crowd) </w:t>
      </w:r>
      <w:r w:rsidR="0086282C">
        <w:t>and avoid guiding the attention of judges to specific predefined criteria</w:t>
      </w:r>
      <w:r w:rsidR="0077723C">
        <w:t xml:space="preserve"> (so that the judgment</w:t>
      </w:r>
      <w:r w:rsidR="0078277E">
        <w:t>s</w:t>
      </w:r>
      <w:r w:rsidR="0077723C">
        <w:t xml:space="preserve"> remain holistic)</w:t>
      </w:r>
      <w:r w:rsidR="0086282C">
        <w:t xml:space="preserve">. </w:t>
      </w:r>
    </w:p>
    <w:p w14:paraId="31CCE0FC" w14:textId="69150F5D" w:rsidR="00364A79" w:rsidRDefault="00EB7938">
      <w:pPr>
        <w:spacing w:line="480" w:lineRule="auto"/>
        <w:ind w:firstLine="708"/>
      </w:pPr>
      <w:r>
        <w:t xml:space="preserve">The learner texts come from the ETS Corpus of Non-Native Written English, which consists of 12,100 TOEFL essays from EFL learners with 11 language backgrounds that were sampled from eight retired TOEFL independent prompts (Blanchard et al., 2014). We selected 50 essays to be entered into the </w:t>
      </w:r>
      <w:r w:rsidR="001F0CAA">
        <w:t>CLAP</w:t>
      </w:r>
      <w:r>
        <w:t xml:space="preserve"> platform for comparative judgement (length in number of words: min = 71, 1</w:t>
      </w:r>
      <w:r>
        <w:rPr>
          <w:vertAlign w:val="superscript"/>
        </w:rPr>
        <w:t>st</w:t>
      </w:r>
      <w:r>
        <w:t xml:space="preserve"> qu = 222.5, median = 272, 3</w:t>
      </w:r>
      <w:r>
        <w:rPr>
          <w:vertAlign w:val="superscript"/>
        </w:rPr>
        <w:t>rd</w:t>
      </w:r>
      <w:r>
        <w:t xml:space="preserve"> qu = 300.5, max = 421). All of these essays were written by learners whose L1 is French and were written in response to the same prompt:</w:t>
      </w:r>
    </w:p>
    <w:p w14:paraId="1BDFE616" w14:textId="77777777" w:rsidR="00364A79" w:rsidRDefault="00EB7938">
      <w:pPr>
        <w:spacing w:line="480" w:lineRule="auto"/>
        <w:ind w:left="708"/>
      </w:pPr>
      <w:r>
        <w:t>“Do you agree or disagree with the following statement? Successful people try new things and take risks rather than only doing what they already know how to do well. Use reasons and examples to support your answer.”</w:t>
      </w:r>
    </w:p>
    <w:p w14:paraId="778A98DB" w14:textId="1D98A652" w:rsidR="00364A79" w:rsidRDefault="00EB7938" w:rsidP="00854F56">
      <w:pPr>
        <w:spacing w:line="480" w:lineRule="auto"/>
      </w:pPr>
      <w:r>
        <w:t xml:space="preserve">Each text comes with a measure of academic English proficiency (low, medium, high). The score levels represent the full range of proficiency (from beginners to advanced learners). They were calculated by combining individual 5-point scale scores given by two human raters </w:t>
      </w:r>
      <w:r w:rsidR="00854F56">
        <w:t xml:space="preserve">and a third one in case of disagreement </w:t>
      </w:r>
      <w:r>
        <w:t>(according to criteria described in the rubric available at https://www.ets.org/s/toefl/pdf/toefl_writing_rubrics.pdf) and then by collapsing this combined score into a 3-point scale</w:t>
      </w:r>
      <w:r w:rsidR="00854F56">
        <w:t xml:space="preserve"> </w:t>
      </w:r>
      <w:r>
        <w:t>(see Blanchard, Tetreault, Higgins, Cahill, &amp; Chodorow, 2013</w:t>
      </w:r>
      <w:r w:rsidR="00854F56">
        <w:t xml:space="preserve">: 68 </w:t>
      </w:r>
      <w:r>
        <w:t>for more details about the essay scores). Table 1 shows the number of texts per proficiency level</w:t>
      </w:r>
      <w:r w:rsidR="00854F56">
        <w:t xml:space="preserve"> (with their corresponding score on the </w:t>
      </w:r>
      <w:r w:rsidR="009F1B1B">
        <w:t>5</w:t>
      </w:r>
      <w:r w:rsidR="00854F56">
        <w:t>-point scale)</w:t>
      </w:r>
      <w:r>
        <w:t xml:space="preserve"> and the average number of words per text by level.</w:t>
      </w:r>
    </w:p>
    <w:p w14:paraId="1B16F29C" w14:textId="77777777" w:rsidR="00364A79" w:rsidRDefault="00364A79">
      <w:pPr>
        <w:spacing w:line="480" w:lineRule="auto"/>
      </w:pPr>
    </w:p>
    <w:p w14:paraId="17FA87D9" w14:textId="77777777" w:rsidR="007C12D8" w:rsidRDefault="007C12D8">
      <w:pPr>
        <w:spacing w:line="480" w:lineRule="auto"/>
        <w:rPr>
          <w:b/>
        </w:rPr>
      </w:pPr>
    </w:p>
    <w:p w14:paraId="3CD78F97" w14:textId="51D29DBF" w:rsidR="006721E2" w:rsidRPr="006721E2" w:rsidRDefault="006721E2">
      <w:pPr>
        <w:spacing w:line="480" w:lineRule="auto"/>
        <w:rPr>
          <w:b/>
        </w:rPr>
      </w:pPr>
      <w:r w:rsidRPr="006721E2">
        <w:rPr>
          <w:b/>
        </w:rPr>
        <w:t>Table 1</w:t>
      </w:r>
    </w:p>
    <w:p w14:paraId="5A66179F" w14:textId="38A2D864" w:rsidR="00364A79" w:rsidRPr="006721E2" w:rsidRDefault="006721E2">
      <w:pPr>
        <w:spacing w:line="480" w:lineRule="auto"/>
        <w:rPr>
          <w:i/>
        </w:rPr>
      </w:pPr>
      <w:r>
        <w:rPr>
          <w:i/>
        </w:rPr>
        <w:t>Learner T</w:t>
      </w:r>
      <w:r w:rsidR="00EB7938" w:rsidRPr="006721E2">
        <w:rPr>
          <w:i/>
        </w:rPr>
        <w:t>ex</w:t>
      </w:r>
      <w:r>
        <w:rPr>
          <w:i/>
        </w:rPr>
        <w:t>ts U</w:t>
      </w:r>
      <w:r w:rsidR="00EB7938" w:rsidRPr="006721E2">
        <w:rPr>
          <w:i/>
        </w:rPr>
        <w:t>sed in the A</w:t>
      </w:r>
      <w:r>
        <w:rPr>
          <w:i/>
        </w:rPr>
        <w:t>CJ T</w:t>
      </w:r>
      <w:r w:rsidR="00EB7938" w:rsidRPr="006721E2">
        <w:rPr>
          <w:i/>
        </w:rPr>
        <w:t>ask</w:t>
      </w:r>
    </w:p>
    <w:tbl>
      <w:tblPr>
        <w:tblStyle w:val="a"/>
        <w:tblW w:w="9062" w:type="dxa"/>
        <w:jc w:val="center"/>
        <w:tblInd w:w="0" w:type="dxa"/>
        <w:tblBorders>
          <w:top w:val="single" w:sz="4" w:space="0" w:color="auto"/>
          <w:bottom w:val="single" w:sz="4" w:space="0" w:color="auto"/>
        </w:tblBorders>
        <w:tblLayout w:type="fixed"/>
        <w:tblLook w:val="0600" w:firstRow="0" w:lastRow="0" w:firstColumn="0" w:lastColumn="0" w:noHBand="1" w:noVBand="1"/>
      </w:tblPr>
      <w:tblGrid>
        <w:gridCol w:w="2252"/>
        <w:gridCol w:w="2155"/>
        <w:gridCol w:w="2383"/>
        <w:gridCol w:w="2272"/>
      </w:tblGrid>
      <w:tr w:rsidR="00364A79" w14:paraId="00110274" w14:textId="77777777" w:rsidTr="006721E2">
        <w:trPr>
          <w:jc w:val="center"/>
        </w:trPr>
        <w:tc>
          <w:tcPr>
            <w:tcW w:w="2252" w:type="dxa"/>
            <w:tcBorders>
              <w:top w:val="single" w:sz="4" w:space="0" w:color="auto"/>
              <w:bottom w:val="single" w:sz="4" w:space="0" w:color="auto"/>
            </w:tcBorders>
          </w:tcPr>
          <w:p w14:paraId="19A51D82" w14:textId="77777777" w:rsidR="00364A79" w:rsidRDefault="00EB7938" w:rsidP="006721E2">
            <w:pPr>
              <w:spacing w:before="120" w:line="480" w:lineRule="auto"/>
              <w:jc w:val="center"/>
            </w:pPr>
            <w:r>
              <w:lastRenderedPageBreak/>
              <w:t>Proficiency level</w:t>
            </w:r>
          </w:p>
        </w:tc>
        <w:tc>
          <w:tcPr>
            <w:tcW w:w="2155" w:type="dxa"/>
            <w:tcBorders>
              <w:top w:val="single" w:sz="4" w:space="0" w:color="auto"/>
              <w:bottom w:val="single" w:sz="4" w:space="0" w:color="auto"/>
            </w:tcBorders>
          </w:tcPr>
          <w:p w14:paraId="6E69C988" w14:textId="19C4A9CA" w:rsidR="00364A79" w:rsidRDefault="00EB7938" w:rsidP="006721E2">
            <w:pPr>
              <w:spacing w:before="120" w:line="480" w:lineRule="auto"/>
              <w:jc w:val="center"/>
            </w:pPr>
            <w:r>
              <w:t>Low</w:t>
            </w:r>
            <w:r w:rsidR="00854F56">
              <w:t xml:space="preserve"> [1 –  2]</w:t>
            </w:r>
          </w:p>
        </w:tc>
        <w:tc>
          <w:tcPr>
            <w:tcW w:w="2383" w:type="dxa"/>
            <w:tcBorders>
              <w:top w:val="single" w:sz="4" w:space="0" w:color="auto"/>
              <w:bottom w:val="single" w:sz="4" w:space="0" w:color="auto"/>
            </w:tcBorders>
          </w:tcPr>
          <w:p w14:paraId="6B656748" w14:textId="5E56B714" w:rsidR="00364A79" w:rsidRDefault="00EB7938" w:rsidP="006721E2">
            <w:pPr>
              <w:spacing w:before="120" w:line="480" w:lineRule="auto"/>
              <w:jc w:val="center"/>
            </w:pPr>
            <w:r>
              <w:t>Medium</w:t>
            </w:r>
            <w:r w:rsidR="00854F56">
              <w:t xml:space="preserve"> [2.5 – 3.5]</w:t>
            </w:r>
          </w:p>
        </w:tc>
        <w:tc>
          <w:tcPr>
            <w:tcW w:w="2272" w:type="dxa"/>
            <w:tcBorders>
              <w:top w:val="single" w:sz="4" w:space="0" w:color="auto"/>
              <w:bottom w:val="single" w:sz="4" w:space="0" w:color="auto"/>
            </w:tcBorders>
          </w:tcPr>
          <w:p w14:paraId="2C381F2E" w14:textId="4EAEA7AF" w:rsidR="00364A79" w:rsidRDefault="00EB7938" w:rsidP="006721E2">
            <w:pPr>
              <w:spacing w:before="120" w:line="480" w:lineRule="auto"/>
              <w:jc w:val="center"/>
            </w:pPr>
            <w:r>
              <w:t>High</w:t>
            </w:r>
            <w:r w:rsidR="00854F56">
              <w:t xml:space="preserve"> [4 – 5 ]</w:t>
            </w:r>
          </w:p>
        </w:tc>
      </w:tr>
      <w:tr w:rsidR="00364A79" w14:paraId="0FEE5B85" w14:textId="77777777" w:rsidTr="006721E2">
        <w:trPr>
          <w:jc w:val="center"/>
        </w:trPr>
        <w:tc>
          <w:tcPr>
            <w:tcW w:w="2252" w:type="dxa"/>
            <w:tcBorders>
              <w:top w:val="single" w:sz="4" w:space="0" w:color="auto"/>
            </w:tcBorders>
          </w:tcPr>
          <w:p w14:paraId="2797CE58" w14:textId="77777777" w:rsidR="00364A79" w:rsidRDefault="00EB7938" w:rsidP="006721E2">
            <w:pPr>
              <w:spacing w:before="120" w:line="480" w:lineRule="auto"/>
            </w:pPr>
            <w:r>
              <w:t>Number of texts</w:t>
            </w:r>
          </w:p>
        </w:tc>
        <w:tc>
          <w:tcPr>
            <w:tcW w:w="2155" w:type="dxa"/>
            <w:tcBorders>
              <w:top w:val="single" w:sz="4" w:space="0" w:color="auto"/>
            </w:tcBorders>
          </w:tcPr>
          <w:p w14:paraId="05D3D446" w14:textId="77777777" w:rsidR="00364A79" w:rsidRDefault="00EB7938" w:rsidP="006721E2">
            <w:pPr>
              <w:spacing w:before="120" w:line="480" w:lineRule="auto"/>
              <w:jc w:val="center"/>
            </w:pPr>
            <w:r>
              <w:t>12</w:t>
            </w:r>
          </w:p>
        </w:tc>
        <w:tc>
          <w:tcPr>
            <w:tcW w:w="2383" w:type="dxa"/>
            <w:tcBorders>
              <w:top w:val="single" w:sz="4" w:space="0" w:color="auto"/>
            </w:tcBorders>
          </w:tcPr>
          <w:p w14:paraId="2A833B6D" w14:textId="77777777" w:rsidR="00364A79" w:rsidRDefault="00EB7938" w:rsidP="006721E2">
            <w:pPr>
              <w:spacing w:before="120" w:line="480" w:lineRule="auto"/>
              <w:jc w:val="center"/>
            </w:pPr>
            <w:r>
              <w:t>19</w:t>
            </w:r>
          </w:p>
        </w:tc>
        <w:tc>
          <w:tcPr>
            <w:tcW w:w="2272" w:type="dxa"/>
            <w:tcBorders>
              <w:top w:val="single" w:sz="4" w:space="0" w:color="auto"/>
            </w:tcBorders>
          </w:tcPr>
          <w:p w14:paraId="078B8EB5" w14:textId="77777777" w:rsidR="00364A79" w:rsidRDefault="00EB7938" w:rsidP="006721E2">
            <w:pPr>
              <w:spacing w:before="120" w:line="480" w:lineRule="auto"/>
              <w:jc w:val="center"/>
            </w:pPr>
            <w:r>
              <w:t>19</w:t>
            </w:r>
          </w:p>
        </w:tc>
      </w:tr>
      <w:tr w:rsidR="00364A79" w14:paraId="725AE0BF" w14:textId="77777777" w:rsidTr="006721E2">
        <w:trPr>
          <w:jc w:val="center"/>
        </w:trPr>
        <w:tc>
          <w:tcPr>
            <w:tcW w:w="2252" w:type="dxa"/>
          </w:tcPr>
          <w:p w14:paraId="4639C5C6" w14:textId="77777777" w:rsidR="00364A79" w:rsidRDefault="00EB7938" w:rsidP="006721E2">
            <w:pPr>
              <w:spacing w:before="120" w:line="480" w:lineRule="auto"/>
            </w:pPr>
            <w:r>
              <w:t>Number of words (median (IQR))</w:t>
            </w:r>
          </w:p>
        </w:tc>
        <w:tc>
          <w:tcPr>
            <w:tcW w:w="2155" w:type="dxa"/>
          </w:tcPr>
          <w:p w14:paraId="31650935" w14:textId="77777777" w:rsidR="00364A79" w:rsidRDefault="00EB7938" w:rsidP="006721E2">
            <w:pPr>
              <w:spacing w:before="120" w:line="480" w:lineRule="auto"/>
              <w:jc w:val="center"/>
            </w:pPr>
            <w:r>
              <w:t>148.5 (73.25)</w:t>
            </w:r>
          </w:p>
        </w:tc>
        <w:tc>
          <w:tcPr>
            <w:tcW w:w="2383" w:type="dxa"/>
          </w:tcPr>
          <w:p w14:paraId="0C1F0CA6" w14:textId="77777777" w:rsidR="00364A79" w:rsidRDefault="00EB7938" w:rsidP="006721E2">
            <w:pPr>
              <w:spacing w:before="120" w:line="480" w:lineRule="auto"/>
              <w:jc w:val="center"/>
            </w:pPr>
            <w:r>
              <w:t>270 (51.50)</w:t>
            </w:r>
          </w:p>
        </w:tc>
        <w:tc>
          <w:tcPr>
            <w:tcW w:w="2272" w:type="dxa"/>
          </w:tcPr>
          <w:p w14:paraId="1E350058" w14:textId="77777777" w:rsidR="00364A79" w:rsidRDefault="00EB7938" w:rsidP="006721E2">
            <w:pPr>
              <w:spacing w:before="120" w:line="480" w:lineRule="auto"/>
              <w:jc w:val="center"/>
            </w:pPr>
            <w:r>
              <w:t>292 (27.50)</w:t>
            </w:r>
          </w:p>
        </w:tc>
      </w:tr>
    </w:tbl>
    <w:p w14:paraId="236CE2BE" w14:textId="77777777" w:rsidR="00364A79" w:rsidRDefault="00364A79">
      <w:pPr>
        <w:spacing w:line="480" w:lineRule="auto"/>
      </w:pPr>
    </w:p>
    <w:p w14:paraId="23436778" w14:textId="106F1467" w:rsidR="00364A79" w:rsidRDefault="00EB7938">
      <w:pPr>
        <w:spacing w:line="480" w:lineRule="auto"/>
      </w:pPr>
      <w:r>
        <w:t>The ETS Corpus of Non-Native Written English is distributed by the Linguistic Data Consortium (</w:t>
      </w:r>
      <w:hyperlink r:id="rId12" w:history="1">
        <w:r w:rsidR="00DE4556" w:rsidRPr="00544C22">
          <w:rPr>
            <w:rStyle w:val="Lienhypertexte"/>
          </w:rPr>
          <w:t>https://catalog.ldc.upenn.edu/LDC2014T06</w:t>
        </w:r>
      </w:hyperlink>
      <w:r>
        <w:t>).</w:t>
      </w:r>
    </w:p>
    <w:p w14:paraId="0F9676B7" w14:textId="77777777" w:rsidR="00DE4556" w:rsidRDefault="00DE4556">
      <w:pPr>
        <w:spacing w:line="480" w:lineRule="auto"/>
      </w:pPr>
    </w:p>
    <w:p w14:paraId="6BE53544" w14:textId="77777777" w:rsidR="00364A79" w:rsidRDefault="00EB7938">
      <w:pPr>
        <w:pStyle w:val="Titre3"/>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Choice of an ACJ tool</w:t>
      </w:r>
    </w:p>
    <w:p w14:paraId="5C3B7564" w14:textId="0D56B062" w:rsidR="00364A79" w:rsidRDefault="00EB7938">
      <w:pPr>
        <w:spacing w:line="480" w:lineRule="auto"/>
        <w:rPr>
          <w:highlight w:val="yellow"/>
        </w:rPr>
      </w:pPr>
      <w:r>
        <w:t>We used ComPAIR, i.e. an open source comparative judgment tool designed for in-class peer-review activities (Potter, Englund, Charbonneau, MacLean, Newell, &amp; Roll, 2017),</w:t>
      </w:r>
      <w:r>
        <w:rPr>
          <w:vertAlign w:val="superscript"/>
        </w:rPr>
        <w:t>2</w:t>
      </w:r>
      <w:r>
        <w:t xml:space="preserve"> in the </w:t>
      </w:r>
      <w:r w:rsidR="001F0CAA">
        <w:t>CLAP</w:t>
      </w:r>
      <w:r>
        <w:t xml:space="preserve"> project (see Figure 1). The tool was selected over several similar CJ tools on the market because it is both freely available (contributing to our goal of cost efficiency) and allows for adaptive text pairing. The platform was hosted locally on a university server, which allows for oversight over user traffic and data storage as well as for the complete customization of the platform interface; the latter feature was important to the current project as this allowed for the adaptation of the peer-review tool for crowdsourcing purposes. ComPAIR automatically selects text pairs to be compared according to one of two options: (a) adaptive (this option tracks dynamic scores for each text and pairs similarly-scored texts) and (b) random (pairs are selected based on chance alone). </w:t>
      </w:r>
      <w:r w:rsidR="00D153A0">
        <w:t>T</w:t>
      </w:r>
      <w:r>
        <w:t>raditional approaches to ACJ pair texts adaptively according to intermediate ability estimates produced by iterative BTL models after each judgment round (following a set number of 'Swiss tournament' style rounds)</w:t>
      </w:r>
      <w:r>
        <w:rPr>
          <w:vertAlign w:val="superscript"/>
        </w:rPr>
        <w:t>3</w:t>
      </w:r>
      <w:r>
        <w:t xml:space="preserve"> by means of pairing algorithms that balance randomness and ability (Bramley, 2015)</w:t>
      </w:r>
      <w:r w:rsidR="00D153A0">
        <w:t xml:space="preserve">. </w:t>
      </w:r>
      <w:r>
        <w:t xml:space="preserve"> ComPAIR</w:t>
      </w:r>
      <w:r w:rsidR="00D153A0">
        <w:t>, by contrast,</w:t>
      </w:r>
      <w:r>
        <w:t xml:space="preserve"> makes use of </w:t>
      </w:r>
      <w:r w:rsidR="00F549BD">
        <w:t xml:space="preserve">the </w:t>
      </w:r>
      <w:r>
        <w:t>Elo scoring system</w:t>
      </w:r>
      <w:r w:rsidR="00FE7E68">
        <w:t xml:space="preserve"> (Elo, 1978)</w:t>
      </w:r>
      <w:r w:rsidR="00D153A0">
        <w:t xml:space="preserve">, a system that was originally developed to estimate the relative strength of a player in zero-sum games such as </w:t>
      </w:r>
      <w:r w:rsidR="00D153A0">
        <w:lastRenderedPageBreak/>
        <w:t>chess,</w:t>
      </w:r>
      <w:r>
        <w:t xml:space="preserve"> for both the pairing and ranking of texts. In such a scoring system, all texts begin with an equal score and a certain amount of points are taken from the losing text and awarded to the winning text,</w:t>
      </w:r>
      <w:r w:rsidR="009B75FE">
        <w:t xml:space="preserve"> with</w:t>
      </w:r>
      <w:r>
        <w:t xml:space="preserve"> the specific amount </w:t>
      </w:r>
      <w:r w:rsidR="009B75FE">
        <w:t xml:space="preserve">of points taken </w:t>
      </w:r>
      <w:r>
        <w:t xml:space="preserve">dependent on the respective scores of the two competing texts (i.e. a low-score text will take more points from the defeat of a high-score text than in the reverse scenario). The use of Elo scores as opposed to the output of iterative BTL models allows for adaptive pairing already from the second comparison round (though the limited data in the first few rounds equates to the 'Swiss tournament' pairing method in effect). Texts are thus paired by ComPAIR according to: (i) the number of times the text has already been compared and (ii) similarity in Elo scores. The tool allows for the </w:t>
      </w:r>
      <w:r w:rsidR="00AC1567">
        <w:t xml:space="preserve">same texts to be compared </w:t>
      </w:r>
      <w:r>
        <w:t xml:space="preserve">multiple times. We opted for the adaptive pairing algorithm and also made a number of adjustments to the online tool: </w:t>
      </w:r>
    </w:p>
    <w:p w14:paraId="7013676D" w14:textId="77777777" w:rsidR="00364A79" w:rsidRDefault="00EB7938">
      <w:pPr>
        <w:numPr>
          <w:ilvl w:val="0"/>
          <w:numId w:val="2"/>
        </w:numPr>
        <w:pBdr>
          <w:top w:val="nil"/>
          <w:left w:val="nil"/>
          <w:bottom w:val="nil"/>
          <w:right w:val="nil"/>
          <w:between w:val="nil"/>
        </w:pBdr>
        <w:spacing w:line="480" w:lineRule="auto"/>
        <w:rPr>
          <w:color w:val="000000"/>
        </w:rPr>
      </w:pPr>
      <w:r>
        <w:rPr>
          <w:color w:val="000000"/>
        </w:rPr>
        <w:t>The ComPAIR platform user interface is designed for classroom peer-review projects, so we modified the template somewhat to strip away peer-review features (e.g. menus for different class assignments, feedback boxes on comparison page, etc.), in addition to simplifying the workflow of the platform to better suit the crowdsourcing approach (e.g. we bypassed one page in the flow from the homepage to the comparison page, and we simplified most pages to reduce any possible confusion for the users).</w:t>
      </w:r>
    </w:p>
    <w:p w14:paraId="3373A23B" w14:textId="1C548E20" w:rsidR="00364A79" w:rsidRPr="00E95962" w:rsidRDefault="00EB7938" w:rsidP="00E95962">
      <w:pPr>
        <w:numPr>
          <w:ilvl w:val="0"/>
          <w:numId w:val="2"/>
        </w:numPr>
        <w:pBdr>
          <w:top w:val="nil"/>
          <w:left w:val="nil"/>
          <w:bottom w:val="nil"/>
          <w:right w:val="nil"/>
          <w:between w:val="nil"/>
        </w:pBdr>
        <w:spacing w:line="480" w:lineRule="auto"/>
        <w:rPr>
          <w:color w:val="000000"/>
        </w:rPr>
      </w:pPr>
      <w:r>
        <w:rPr>
          <w:color w:val="000000"/>
        </w:rPr>
        <w:t xml:space="preserve">We made use of Google Forms and Google Apps scripts to automate </w:t>
      </w:r>
      <w:r w:rsidR="001F0CAA">
        <w:rPr>
          <w:color w:val="000000"/>
        </w:rPr>
        <w:t>CLAP</w:t>
      </w:r>
      <w:r>
        <w:rPr>
          <w:color w:val="000000"/>
        </w:rPr>
        <w:t xml:space="preserve"> registration and collect metadata from participants. On submission of a Google registration form, users are assigned and emailed their </w:t>
      </w:r>
      <w:r w:rsidR="001F0CAA">
        <w:rPr>
          <w:color w:val="000000"/>
        </w:rPr>
        <w:t xml:space="preserve">CLAP </w:t>
      </w:r>
      <w:r>
        <w:rPr>
          <w:color w:val="000000"/>
        </w:rPr>
        <w:t xml:space="preserve">username and password. </w:t>
      </w:r>
      <w:r w:rsidRPr="00E95962">
        <w:rPr>
          <w:color w:val="000000"/>
        </w:rPr>
        <w:t xml:space="preserve">The Google form is embedded in the </w:t>
      </w:r>
      <w:r w:rsidR="001F0CAA" w:rsidRPr="00E95962">
        <w:rPr>
          <w:color w:val="000000"/>
        </w:rPr>
        <w:t>CLAP</w:t>
      </w:r>
      <w:r w:rsidRPr="00E95962">
        <w:rPr>
          <w:color w:val="000000"/>
        </w:rPr>
        <w:t xml:space="preserve"> homepage (</w:t>
      </w:r>
      <w:r w:rsidR="00E95962" w:rsidRPr="00E95962">
        <w:rPr>
          <w:color w:val="000000"/>
        </w:rPr>
        <w:t>http://clap.uclouvain.be</w:t>
      </w:r>
      <w:r w:rsidRPr="00E95962">
        <w:rPr>
          <w:color w:val="000000"/>
        </w:rPr>
        <w:t>).</w:t>
      </w:r>
    </w:p>
    <w:p w14:paraId="76237EFB" w14:textId="079CB8DC" w:rsidR="00364A79" w:rsidRDefault="00EB7938">
      <w:pPr>
        <w:numPr>
          <w:ilvl w:val="0"/>
          <w:numId w:val="2"/>
        </w:numPr>
        <w:pBdr>
          <w:top w:val="nil"/>
          <w:left w:val="nil"/>
          <w:bottom w:val="nil"/>
          <w:right w:val="nil"/>
          <w:between w:val="nil"/>
        </w:pBdr>
        <w:spacing w:line="480" w:lineRule="auto"/>
        <w:rPr>
          <w:color w:val="000000"/>
        </w:rPr>
      </w:pPr>
      <w:r>
        <w:rPr>
          <w:color w:val="000000"/>
        </w:rPr>
        <w:t xml:space="preserve">The username and password combinations that are assigned in the Google </w:t>
      </w:r>
      <w:r>
        <w:t>F</w:t>
      </w:r>
      <w:r>
        <w:rPr>
          <w:color w:val="000000"/>
        </w:rPr>
        <w:t>orm/</w:t>
      </w:r>
      <w:r>
        <w:t>S</w:t>
      </w:r>
      <w:r>
        <w:rPr>
          <w:color w:val="000000"/>
        </w:rPr>
        <w:t xml:space="preserve">heet are imported into the </w:t>
      </w:r>
      <w:r w:rsidR="001F0CAA">
        <w:rPr>
          <w:color w:val="000000"/>
        </w:rPr>
        <w:t>CLAP</w:t>
      </w:r>
      <w:r>
        <w:rPr>
          <w:color w:val="000000"/>
        </w:rPr>
        <w:t xml:space="preserve"> database before the project launch so users are able to access the platform immediately upon receiving the registration email.</w:t>
      </w:r>
    </w:p>
    <w:p w14:paraId="4ACB6350" w14:textId="69768BA9" w:rsidR="00364A79" w:rsidRDefault="00EB7938">
      <w:pPr>
        <w:spacing w:line="480" w:lineRule="auto"/>
      </w:pPr>
      <w:r>
        <w:lastRenderedPageBreak/>
        <w:t>The ComPAIR code can be downloaded from https://ubc.github.io/compair</w:t>
      </w:r>
      <w:r w:rsidR="00BF3AB1">
        <w:t>.</w:t>
      </w:r>
      <w:r>
        <w:t xml:space="preserve"> The OSF project page includes a folder with the files that have been adapted for CLAP together with a readme file that gives an overview of the adaptations made and the steps one would need to follow to reproduce the </w:t>
      </w:r>
      <w:r w:rsidR="001F0CAA">
        <w:t>CLAP</w:t>
      </w:r>
      <w:r>
        <w:t xml:space="preserve"> platform.</w:t>
      </w:r>
    </w:p>
    <w:p w14:paraId="7685CCC2" w14:textId="77777777" w:rsidR="008B7FB5" w:rsidRDefault="008B7FB5" w:rsidP="008B7FB5">
      <w:pPr>
        <w:spacing w:line="480" w:lineRule="auto"/>
        <w:rPr>
          <w:b/>
        </w:rPr>
      </w:pPr>
    </w:p>
    <w:p w14:paraId="299F0EED" w14:textId="397000E8" w:rsidR="008B7FB5" w:rsidRPr="008B7FB5" w:rsidRDefault="008B7FB5" w:rsidP="008B7FB5">
      <w:pPr>
        <w:spacing w:line="480" w:lineRule="auto"/>
        <w:rPr>
          <w:b/>
        </w:rPr>
      </w:pPr>
      <w:r w:rsidRPr="008B7FB5">
        <w:rPr>
          <w:b/>
        </w:rPr>
        <w:t>Figure 1</w:t>
      </w:r>
    </w:p>
    <w:p w14:paraId="0B1601B7" w14:textId="4272A29A" w:rsidR="008B7FB5" w:rsidRPr="008B7FB5" w:rsidRDefault="008B7FB5" w:rsidP="008B7FB5">
      <w:pPr>
        <w:spacing w:line="480" w:lineRule="auto"/>
        <w:rPr>
          <w:i/>
        </w:rPr>
      </w:pPr>
      <w:r w:rsidRPr="008B7FB5">
        <w:rPr>
          <w:i/>
        </w:rPr>
        <w:t xml:space="preserve">A </w:t>
      </w:r>
      <w:r>
        <w:rPr>
          <w:i/>
        </w:rPr>
        <w:t>Comparative Judgment Task with a Modified V</w:t>
      </w:r>
      <w:r w:rsidRPr="008B7FB5">
        <w:rPr>
          <w:i/>
        </w:rPr>
        <w:t>ersion of ComPAIR (Potter et al., 2017)</w:t>
      </w:r>
    </w:p>
    <w:p w14:paraId="77ADBEEA" w14:textId="4E66702D" w:rsidR="00364A79" w:rsidRDefault="00EB7938">
      <w:pPr>
        <w:spacing w:line="480" w:lineRule="auto"/>
      </w:pPr>
      <w:r>
        <w:rPr>
          <w:noProof/>
          <w:lang w:val="fr-BE" w:eastAsia="fr-BE"/>
        </w:rPr>
        <w:drawing>
          <wp:inline distT="0" distB="0" distL="0" distR="0" wp14:anchorId="45DA609A" wp14:editId="65B8D859">
            <wp:extent cx="5760720" cy="615188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760720" cy="6151880"/>
                    </a:xfrm>
                    <a:prstGeom prst="rect">
                      <a:avLst/>
                    </a:prstGeom>
                    <a:ln/>
                  </pic:spPr>
                </pic:pic>
              </a:graphicData>
            </a:graphic>
          </wp:inline>
        </w:drawing>
      </w:r>
    </w:p>
    <w:p w14:paraId="4AEA5EE4" w14:textId="7C0911F9" w:rsidR="008B7FB5" w:rsidRDefault="008B7FB5">
      <w:pPr>
        <w:spacing w:line="480" w:lineRule="auto"/>
      </w:pPr>
    </w:p>
    <w:p w14:paraId="4A55EB45" w14:textId="52C25F76" w:rsidR="00364A79" w:rsidRDefault="00632B01">
      <w:pPr>
        <w:pStyle w:val="Titre3"/>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Selection of judges: c</w:t>
      </w:r>
      <w:r w:rsidR="00EB7938">
        <w:rPr>
          <w:rFonts w:ascii="Times New Roman" w:eastAsia="Times New Roman" w:hAnsi="Times New Roman" w:cs="Times New Roman"/>
          <w:b/>
          <w:color w:val="000000"/>
        </w:rPr>
        <w:t>rowdsourcing an ACJ task</w:t>
      </w:r>
    </w:p>
    <w:p w14:paraId="2690357B" w14:textId="32D21810" w:rsidR="0039572F" w:rsidRDefault="00EB7938" w:rsidP="00561EC9">
      <w:pPr>
        <w:spacing w:line="480" w:lineRule="auto"/>
      </w:pPr>
      <w:r>
        <w:t xml:space="preserve">We solicited comparisons between May and August 2020 via a number of professional mailing lists (most notably the mailing lists of the </w:t>
      </w:r>
      <w:r w:rsidR="001F0CAA">
        <w:t>Learner Corpus Association</w:t>
      </w:r>
      <w:r w:rsidR="00EC2CA0" w:rsidRPr="00EC2CA0">
        <w:rPr>
          <w:vertAlign w:val="superscript"/>
        </w:rPr>
        <w:t>4</w:t>
      </w:r>
      <w:r w:rsidR="001F0CAA">
        <w:t xml:space="preserve"> and the European Network for Combining Language Learning with Crowdsourcing Techniques (enetCollect</w:t>
      </w:r>
      <w:r w:rsidR="00EC2CA0" w:rsidRPr="00EC2CA0">
        <w:rPr>
          <w:vertAlign w:val="superscript"/>
        </w:rPr>
        <w:t>5</w:t>
      </w:r>
      <w:r w:rsidR="001F0CAA">
        <w:t>)</w:t>
      </w:r>
      <w:r>
        <w:t xml:space="preserve"> and personal contacts. </w:t>
      </w:r>
      <w:r w:rsidR="00466ECB">
        <w:t>Diverging somewhat from typical crowdsourcing approaches, we did not try to recruit the general public (i.e. novices)</w:t>
      </w:r>
      <w:r w:rsidR="00912C16">
        <w:t xml:space="preserve">. Instead, we tried </w:t>
      </w:r>
      <w:r w:rsidR="0039572F">
        <w:t>to delimit the target crowd in such a way that it would mostly include language ‘aficionados’ and/or</w:t>
      </w:r>
      <w:r w:rsidR="00912C16">
        <w:t xml:space="preserve"> language</w:t>
      </w:r>
      <w:r w:rsidR="0039572F">
        <w:t xml:space="preserve"> specialists of all kinds, i.e. university professors, researchers, language teachers, MA and PhD students specializing in languages, language pedagogy, linguistics, etc.</w:t>
      </w:r>
      <w:r w:rsidR="00561EC9">
        <w:t xml:space="preserve"> The rationale behind this focus on fellow students and colleagues </w:t>
      </w:r>
      <w:r w:rsidR="000222EC">
        <w:t xml:space="preserve">(referred to as ‘peers’ in the remaining of this article) </w:t>
      </w:r>
      <w:r w:rsidR="00561EC9">
        <w:t xml:space="preserve">was </w:t>
      </w:r>
      <w:r w:rsidR="00561EC9" w:rsidRPr="00561EC9">
        <w:t xml:space="preserve">that </w:t>
      </w:r>
      <w:r w:rsidR="00912C16">
        <w:t>people who had task-specific experience (because they had performed the task under assessment themselves, for example)</w:t>
      </w:r>
      <w:r w:rsidR="00912C16" w:rsidRPr="00561EC9">
        <w:t xml:space="preserve"> </w:t>
      </w:r>
      <w:r w:rsidR="00561EC9">
        <w:t>have been found to</w:t>
      </w:r>
      <w:r w:rsidR="00561EC9" w:rsidRPr="00561EC9">
        <w:t xml:space="preserve"> reach results that are as reliable and as</w:t>
      </w:r>
      <w:r w:rsidR="00561EC9">
        <w:t xml:space="preserve"> </w:t>
      </w:r>
      <w:r w:rsidR="00561EC9" w:rsidRPr="00561EC9">
        <w:t>valid as those of experts in CJ</w:t>
      </w:r>
      <w:r w:rsidR="00561EC9">
        <w:t xml:space="preserve"> (Verhavert et al., 2019). </w:t>
      </w:r>
      <w:r w:rsidR="00912C16">
        <w:t>Note that this approach also did not rule out that experts (here defined as professionals in foreign language assessment) contribute to the task.</w:t>
      </w:r>
    </w:p>
    <w:p w14:paraId="5D2F930D" w14:textId="55AAB865" w:rsidR="00364A79" w:rsidRDefault="0078277E" w:rsidP="00AC1567">
      <w:pPr>
        <w:spacing w:line="480" w:lineRule="auto"/>
        <w:ind w:firstLine="720"/>
      </w:pPr>
      <w:r>
        <w:t>J</w:t>
      </w:r>
      <w:r w:rsidR="00EB7938">
        <w:t>udges were</w:t>
      </w:r>
      <w:r w:rsidR="0077723C">
        <w:t xml:space="preserve"> only</w:t>
      </w:r>
      <w:r w:rsidR="00EB7938">
        <w:t xml:space="preserve"> asked to choose between two texts “which text is written by a more advanced speaker” (Figure 1). </w:t>
      </w:r>
      <w:r>
        <w:t>As explained above, t</w:t>
      </w:r>
      <w:r w:rsidR="0077723C">
        <w:t xml:space="preserve">his was done to </w:t>
      </w:r>
      <w:r>
        <w:t xml:space="preserve">make sure that the construct of proficiency be entirely constructed on the experiences of our crowd, as well as to ensure that </w:t>
      </w:r>
      <w:r w:rsidR="0077723C">
        <w:t>the judgment</w:t>
      </w:r>
      <w:r>
        <w:t>s</w:t>
      </w:r>
      <w:r w:rsidR="0077723C">
        <w:t xml:space="preserve"> </w:t>
      </w:r>
      <w:r>
        <w:t xml:space="preserve">remain </w:t>
      </w:r>
      <w:r w:rsidR="0077723C">
        <w:t>holistic</w:t>
      </w:r>
      <w:r>
        <w:t xml:space="preserve">. Another practical but important reason is that </w:t>
      </w:r>
      <w:r w:rsidR="0077723C">
        <w:t xml:space="preserve"> </w:t>
      </w:r>
      <w:r w:rsidR="008172AE">
        <w:t xml:space="preserve"> crowdsourcing task design guidelines recommend that tasks should be kept short, simple and intuitive, use compact guidelines and do not assume the same understanding of the terminology (Sabou et al., 2014; Demartini, 2015).</w:t>
      </w:r>
    </w:p>
    <w:p w14:paraId="05294386" w14:textId="01DDF843" w:rsidR="00364A79" w:rsidRDefault="00EB7938">
      <w:pPr>
        <w:spacing w:line="480" w:lineRule="auto"/>
        <w:ind w:firstLine="720"/>
      </w:pPr>
      <w:r>
        <w:t xml:space="preserve">Unlike in traditional crowdsourcing tasks, and to answer research question 3, we asked judges to fill in a short questionnaire about their L1 and educational background, proficiency </w:t>
      </w:r>
      <w:r>
        <w:lastRenderedPageBreak/>
        <w:t>in English and previous experience and training evaluating learner writing. Forty-three judges participated in the experiment. Among them, nine judges were native-speakers of English; the remaining judges were speakers of a variety of languages including Chinese, Dutch, French, German, Lithuanian, Portuguese, Russian and Polish. As shown in Table 2, all judges except one hold a university degree. The large majority of the judges self-assess their English proficiency at the C level on the Common European Framework of Reference for La</w:t>
      </w:r>
      <w:r w:rsidR="00BA2F6E">
        <w:t>nguages (Council of Europe, 2001</w:t>
      </w:r>
      <w:r>
        <w:t>) (Table 3). Judges come with varying experience in rating learner writing, with 17 of them (39.5%) assessing learner writing on a regular basis as language examiners, language teachers or content teachers (Table 4) and 13 others (30%) never assessing learner texts. Table 5, however, shows that more than 50% of the judges received training in the evaluation of writing, mostly as part of their teaching training.</w:t>
      </w:r>
    </w:p>
    <w:p w14:paraId="399CB438" w14:textId="77777777" w:rsidR="007C12D8" w:rsidRDefault="007C12D8">
      <w:pPr>
        <w:spacing w:line="480" w:lineRule="auto"/>
        <w:rPr>
          <w:b/>
        </w:rPr>
      </w:pPr>
    </w:p>
    <w:p w14:paraId="59BFC23A" w14:textId="1BD79C87" w:rsidR="006721E2" w:rsidRPr="006721E2" w:rsidRDefault="006721E2">
      <w:pPr>
        <w:spacing w:line="480" w:lineRule="auto"/>
        <w:rPr>
          <w:b/>
        </w:rPr>
      </w:pPr>
      <w:r w:rsidRPr="006721E2">
        <w:rPr>
          <w:b/>
        </w:rPr>
        <w:t>Table 2</w:t>
      </w:r>
    </w:p>
    <w:p w14:paraId="1B103171" w14:textId="1E39F5B3" w:rsidR="00364A79" w:rsidRPr="006721E2" w:rsidRDefault="006721E2">
      <w:pPr>
        <w:spacing w:line="480" w:lineRule="auto"/>
        <w:rPr>
          <w:i/>
        </w:rPr>
      </w:pPr>
      <w:r>
        <w:rPr>
          <w:i/>
        </w:rPr>
        <w:t>Highest Level of Education C</w:t>
      </w:r>
      <w:r w:rsidR="00EB7938" w:rsidRPr="006721E2">
        <w:rPr>
          <w:i/>
        </w:rPr>
        <w:t>ompleted</w:t>
      </w:r>
    </w:p>
    <w:tbl>
      <w:tblPr>
        <w:tblStyle w:val="a0"/>
        <w:tblW w:w="9061" w:type="dxa"/>
        <w:tblInd w:w="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1811"/>
        <w:gridCol w:w="1812"/>
        <w:gridCol w:w="1812"/>
        <w:gridCol w:w="1813"/>
        <w:gridCol w:w="1813"/>
      </w:tblGrid>
      <w:tr w:rsidR="00364A79" w14:paraId="4945B8D7" w14:textId="77777777" w:rsidTr="00FA4885">
        <w:tc>
          <w:tcPr>
            <w:tcW w:w="1811" w:type="dxa"/>
          </w:tcPr>
          <w:p w14:paraId="574573A5" w14:textId="77777777" w:rsidR="00364A79" w:rsidRDefault="00EB7938" w:rsidP="00FA4885">
            <w:pPr>
              <w:spacing w:before="120" w:line="480" w:lineRule="auto"/>
              <w:jc w:val="center"/>
            </w:pPr>
            <w:r>
              <w:t>Education</w:t>
            </w:r>
          </w:p>
        </w:tc>
        <w:tc>
          <w:tcPr>
            <w:tcW w:w="1812" w:type="dxa"/>
          </w:tcPr>
          <w:p w14:paraId="1E72789B" w14:textId="77777777" w:rsidR="00364A79" w:rsidRDefault="00EB7938" w:rsidP="00FA4885">
            <w:pPr>
              <w:spacing w:before="120" w:line="480" w:lineRule="auto"/>
              <w:jc w:val="center"/>
            </w:pPr>
            <w:r>
              <w:t>Secondary</w:t>
            </w:r>
          </w:p>
        </w:tc>
        <w:tc>
          <w:tcPr>
            <w:tcW w:w="1812" w:type="dxa"/>
          </w:tcPr>
          <w:p w14:paraId="288988DC" w14:textId="77777777" w:rsidR="00364A79" w:rsidRDefault="00EB7938" w:rsidP="00FA4885">
            <w:pPr>
              <w:spacing w:before="120" w:line="480" w:lineRule="auto"/>
              <w:jc w:val="center"/>
            </w:pPr>
            <w:r>
              <w:t>Bachelor</w:t>
            </w:r>
          </w:p>
        </w:tc>
        <w:tc>
          <w:tcPr>
            <w:tcW w:w="1813" w:type="dxa"/>
          </w:tcPr>
          <w:p w14:paraId="3F541C64" w14:textId="77777777" w:rsidR="00364A79" w:rsidRDefault="00EB7938" w:rsidP="00FA4885">
            <w:pPr>
              <w:spacing w:before="120" w:line="480" w:lineRule="auto"/>
              <w:jc w:val="center"/>
            </w:pPr>
            <w:r>
              <w:t>Master</w:t>
            </w:r>
          </w:p>
        </w:tc>
        <w:tc>
          <w:tcPr>
            <w:tcW w:w="1813" w:type="dxa"/>
          </w:tcPr>
          <w:p w14:paraId="18D1F236" w14:textId="77777777" w:rsidR="00364A79" w:rsidRDefault="00EB7938" w:rsidP="00FA4885">
            <w:pPr>
              <w:spacing w:before="120" w:line="480" w:lineRule="auto"/>
              <w:jc w:val="center"/>
            </w:pPr>
            <w:r>
              <w:t>Doctorate</w:t>
            </w:r>
          </w:p>
        </w:tc>
      </w:tr>
      <w:tr w:rsidR="00364A79" w14:paraId="12D79319" w14:textId="77777777" w:rsidTr="00FA4885">
        <w:tc>
          <w:tcPr>
            <w:tcW w:w="1811" w:type="dxa"/>
          </w:tcPr>
          <w:p w14:paraId="12D0E4ED" w14:textId="77777777" w:rsidR="00364A79" w:rsidRDefault="00EB7938" w:rsidP="00FA4885">
            <w:pPr>
              <w:spacing w:before="120" w:line="480" w:lineRule="auto"/>
            </w:pPr>
            <w:r>
              <w:t>Judges</w:t>
            </w:r>
          </w:p>
        </w:tc>
        <w:tc>
          <w:tcPr>
            <w:tcW w:w="1812" w:type="dxa"/>
          </w:tcPr>
          <w:p w14:paraId="72EB233F" w14:textId="77777777" w:rsidR="00364A79" w:rsidRDefault="00EB7938" w:rsidP="00FA4885">
            <w:pPr>
              <w:spacing w:before="120" w:line="480" w:lineRule="auto"/>
              <w:jc w:val="center"/>
            </w:pPr>
            <w:r>
              <w:t>1</w:t>
            </w:r>
          </w:p>
        </w:tc>
        <w:tc>
          <w:tcPr>
            <w:tcW w:w="1812" w:type="dxa"/>
          </w:tcPr>
          <w:p w14:paraId="41B42F35" w14:textId="77777777" w:rsidR="00364A79" w:rsidRDefault="00EB7938" w:rsidP="00FA4885">
            <w:pPr>
              <w:spacing w:before="120" w:line="480" w:lineRule="auto"/>
              <w:jc w:val="center"/>
            </w:pPr>
            <w:r>
              <w:t>10</w:t>
            </w:r>
          </w:p>
        </w:tc>
        <w:tc>
          <w:tcPr>
            <w:tcW w:w="1813" w:type="dxa"/>
          </w:tcPr>
          <w:p w14:paraId="3883DFE4" w14:textId="77777777" w:rsidR="00364A79" w:rsidRDefault="00EB7938" w:rsidP="00FA4885">
            <w:pPr>
              <w:spacing w:before="120" w:line="480" w:lineRule="auto"/>
              <w:jc w:val="center"/>
            </w:pPr>
            <w:r>
              <w:t>15</w:t>
            </w:r>
          </w:p>
        </w:tc>
        <w:tc>
          <w:tcPr>
            <w:tcW w:w="1813" w:type="dxa"/>
          </w:tcPr>
          <w:p w14:paraId="36310D4A" w14:textId="77777777" w:rsidR="00364A79" w:rsidRDefault="00EB7938" w:rsidP="00FA4885">
            <w:pPr>
              <w:spacing w:before="120" w:line="480" w:lineRule="auto"/>
              <w:jc w:val="center"/>
            </w:pPr>
            <w:r>
              <w:t>17</w:t>
            </w:r>
          </w:p>
        </w:tc>
      </w:tr>
    </w:tbl>
    <w:p w14:paraId="7332D6EF" w14:textId="0ECC6080" w:rsidR="00364A79" w:rsidRDefault="00364A79">
      <w:pPr>
        <w:spacing w:line="480" w:lineRule="auto"/>
      </w:pPr>
    </w:p>
    <w:p w14:paraId="2331AF46" w14:textId="77777777" w:rsidR="00FA4885" w:rsidRDefault="00FA4885">
      <w:pPr>
        <w:spacing w:line="480" w:lineRule="auto"/>
      </w:pPr>
    </w:p>
    <w:p w14:paraId="50A4726A" w14:textId="77777777" w:rsidR="00FA4885" w:rsidRPr="00FA4885" w:rsidRDefault="00EB7938">
      <w:pPr>
        <w:spacing w:line="480" w:lineRule="auto"/>
        <w:rPr>
          <w:b/>
        </w:rPr>
      </w:pPr>
      <w:r w:rsidRPr="00FA4885">
        <w:rPr>
          <w:b/>
        </w:rPr>
        <w:t>Table 3</w:t>
      </w:r>
    </w:p>
    <w:p w14:paraId="006C7927" w14:textId="60FB98C2" w:rsidR="00364A79" w:rsidRPr="00FA4885" w:rsidRDefault="00EB7938">
      <w:pPr>
        <w:spacing w:line="480" w:lineRule="auto"/>
        <w:rPr>
          <w:i/>
        </w:rPr>
      </w:pPr>
      <w:r w:rsidRPr="00FA4885">
        <w:rPr>
          <w:i/>
        </w:rPr>
        <w:t xml:space="preserve">Self-assessed </w:t>
      </w:r>
      <w:r w:rsidR="00FA4885">
        <w:rPr>
          <w:i/>
        </w:rPr>
        <w:t>P</w:t>
      </w:r>
      <w:r w:rsidRPr="00FA4885">
        <w:rPr>
          <w:i/>
        </w:rPr>
        <w:t>roficiency</w:t>
      </w:r>
    </w:p>
    <w:tbl>
      <w:tblPr>
        <w:tblStyle w:val="a1"/>
        <w:tblW w:w="8206" w:type="dxa"/>
        <w:tblInd w:w="0" w:type="dxa"/>
        <w:tblBorders>
          <w:top w:val="single" w:sz="4" w:space="0" w:color="auto"/>
          <w:bottom w:val="single" w:sz="4" w:space="0" w:color="auto"/>
          <w:insideH w:val="single" w:sz="4" w:space="0" w:color="auto"/>
        </w:tblBorders>
        <w:tblLayout w:type="fixed"/>
        <w:tblLook w:val="0400" w:firstRow="0" w:lastRow="0" w:firstColumn="0" w:lastColumn="0" w:noHBand="0" w:noVBand="1"/>
      </w:tblPr>
      <w:tblGrid>
        <w:gridCol w:w="2769"/>
        <w:gridCol w:w="1812"/>
        <w:gridCol w:w="1812"/>
        <w:gridCol w:w="1813"/>
      </w:tblGrid>
      <w:tr w:rsidR="00364A79" w14:paraId="52B95272" w14:textId="77777777" w:rsidTr="00FA4885">
        <w:tc>
          <w:tcPr>
            <w:tcW w:w="2769" w:type="dxa"/>
          </w:tcPr>
          <w:p w14:paraId="5C70770D" w14:textId="77777777" w:rsidR="00364A79" w:rsidRDefault="00EB7938" w:rsidP="00FA4885">
            <w:pPr>
              <w:spacing w:before="120" w:line="480" w:lineRule="auto"/>
              <w:jc w:val="center"/>
            </w:pPr>
            <w:r>
              <w:t>Self-assessed proficiency</w:t>
            </w:r>
          </w:p>
        </w:tc>
        <w:tc>
          <w:tcPr>
            <w:tcW w:w="1812" w:type="dxa"/>
          </w:tcPr>
          <w:p w14:paraId="61941C2B" w14:textId="77777777" w:rsidR="00364A79" w:rsidRDefault="00EB7938" w:rsidP="00FA4885">
            <w:pPr>
              <w:spacing w:before="120" w:line="480" w:lineRule="auto"/>
              <w:jc w:val="center"/>
            </w:pPr>
            <w:r>
              <w:t>B2</w:t>
            </w:r>
          </w:p>
        </w:tc>
        <w:tc>
          <w:tcPr>
            <w:tcW w:w="1812" w:type="dxa"/>
          </w:tcPr>
          <w:p w14:paraId="0A0978E3" w14:textId="77777777" w:rsidR="00364A79" w:rsidRDefault="00EB7938" w:rsidP="00FA4885">
            <w:pPr>
              <w:spacing w:before="120" w:line="480" w:lineRule="auto"/>
              <w:jc w:val="center"/>
            </w:pPr>
            <w:r>
              <w:t>C1</w:t>
            </w:r>
          </w:p>
        </w:tc>
        <w:tc>
          <w:tcPr>
            <w:tcW w:w="1813" w:type="dxa"/>
          </w:tcPr>
          <w:p w14:paraId="286F5915" w14:textId="77777777" w:rsidR="00364A79" w:rsidRDefault="00EB7938" w:rsidP="00FA4885">
            <w:pPr>
              <w:spacing w:before="120" w:line="480" w:lineRule="auto"/>
              <w:jc w:val="center"/>
            </w:pPr>
            <w:r>
              <w:t>C2</w:t>
            </w:r>
          </w:p>
        </w:tc>
      </w:tr>
      <w:tr w:rsidR="00364A79" w14:paraId="4BBE39A0" w14:textId="77777777" w:rsidTr="00FA4885">
        <w:tc>
          <w:tcPr>
            <w:tcW w:w="2769" w:type="dxa"/>
          </w:tcPr>
          <w:p w14:paraId="2A9CB4C2" w14:textId="77777777" w:rsidR="00364A79" w:rsidRDefault="00EB7938" w:rsidP="00FA4885">
            <w:pPr>
              <w:spacing w:before="120" w:line="480" w:lineRule="auto"/>
            </w:pPr>
            <w:r>
              <w:t>Judges</w:t>
            </w:r>
          </w:p>
        </w:tc>
        <w:tc>
          <w:tcPr>
            <w:tcW w:w="1812" w:type="dxa"/>
          </w:tcPr>
          <w:p w14:paraId="58CF4C0B" w14:textId="77777777" w:rsidR="00364A79" w:rsidRDefault="00EB7938" w:rsidP="00FA4885">
            <w:pPr>
              <w:spacing w:before="120" w:line="480" w:lineRule="auto"/>
              <w:jc w:val="center"/>
            </w:pPr>
            <w:r>
              <w:t>2</w:t>
            </w:r>
          </w:p>
        </w:tc>
        <w:tc>
          <w:tcPr>
            <w:tcW w:w="1812" w:type="dxa"/>
          </w:tcPr>
          <w:p w14:paraId="23A52C79" w14:textId="77777777" w:rsidR="00364A79" w:rsidRDefault="00EB7938" w:rsidP="00FA4885">
            <w:pPr>
              <w:spacing w:before="120" w:line="480" w:lineRule="auto"/>
              <w:jc w:val="center"/>
            </w:pPr>
            <w:r>
              <w:t>10 (23%)</w:t>
            </w:r>
          </w:p>
        </w:tc>
        <w:tc>
          <w:tcPr>
            <w:tcW w:w="1813" w:type="dxa"/>
          </w:tcPr>
          <w:p w14:paraId="12A7D5B5" w14:textId="77777777" w:rsidR="00364A79" w:rsidRDefault="00EB7938" w:rsidP="00FA4885">
            <w:pPr>
              <w:spacing w:before="120" w:line="480" w:lineRule="auto"/>
              <w:jc w:val="center"/>
            </w:pPr>
            <w:r>
              <w:t>31 (72%)</w:t>
            </w:r>
          </w:p>
        </w:tc>
      </w:tr>
    </w:tbl>
    <w:p w14:paraId="5BB583CB" w14:textId="77777777" w:rsidR="00364A79" w:rsidRDefault="00364A79">
      <w:pPr>
        <w:spacing w:line="480" w:lineRule="auto"/>
      </w:pPr>
    </w:p>
    <w:p w14:paraId="5C7E8296" w14:textId="77777777" w:rsidR="007C12D8" w:rsidRDefault="007C12D8">
      <w:pPr>
        <w:spacing w:line="480" w:lineRule="auto"/>
        <w:rPr>
          <w:b/>
        </w:rPr>
      </w:pPr>
    </w:p>
    <w:p w14:paraId="58CFB56C" w14:textId="3546141E" w:rsidR="00FA4885" w:rsidRPr="00FA4885" w:rsidRDefault="00FA4885">
      <w:pPr>
        <w:spacing w:line="480" w:lineRule="auto"/>
        <w:rPr>
          <w:b/>
        </w:rPr>
      </w:pPr>
      <w:r w:rsidRPr="00FA4885">
        <w:rPr>
          <w:b/>
        </w:rPr>
        <w:lastRenderedPageBreak/>
        <w:t>Table 4</w:t>
      </w:r>
    </w:p>
    <w:p w14:paraId="5D8DE653" w14:textId="0D248456" w:rsidR="00364A79" w:rsidRPr="00FA4885" w:rsidRDefault="00FA4885">
      <w:pPr>
        <w:spacing w:line="480" w:lineRule="auto"/>
        <w:rPr>
          <w:i/>
        </w:rPr>
      </w:pPr>
      <w:r>
        <w:rPr>
          <w:i/>
        </w:rPr>
        <w:t>Experience Rating Learner W</w:t>
      </w:r>
      <w:r w:rsidR="00EB7938" w:rsidRPr="00FA4885">
        <w:rPr>
          <w:i/>
        </w:rPr>
        <w:t>riting</w:t>
      </w:r>
    </w:p>
    <w:tbl>
      <w:tblPr>
        <w:tblStyle w:val="a2"/>
        <w:tblW w:w="8174" w:type="dxa"/>
        <w:tblInd w:w="0" w:type="dxa"/>
        <w:tblBorders>
          <w:top w:val="single" w:sz="4" w:space="0" w:color="auto"/>
          <w:bottom w:val="single" w:sz="4" w:space="0" w:color="auto"/>
        </w:tblBorders>
        <w:tblLayout w:type="fixed"/>
        <w:tblLook w:val="0400" w:firstRow="0" w:lastRow="0" w:firstColumn="0" w:lastColumn="0" w:noHBand="0" w:noVBand="1"/>
      </w:tblPr>
      <w:tblGrid>
        <w:gridCol w:w="2649"/>
        <w:gridCol w:w="1236"/>
        <w:gridCol w:w="887"/>
        <w:gridCol w:w="1589"/>
        <w:gridCol w:w="1813"/>
      </w:tblGrid>
      <w:tr w:rsidR="00364A79" w14:paraId="345F1DFA" w14:textId="77777777" w:rsidTr="00FA4885">
        <w:tc>
          <w:tcPr>
            <w:tcW w:w="2649" w:type="dxa"/>
            <w:tcBorders>
              <w:top w:val="single" w:sz="4" w:space="0" w:color="auto"/>
              <w:bottom w:val="single" w:sz="4" w:space="0" w:color="auto"/>
            </w:tcBorders>
          </w:tcPr>
          <w:p w14:paraId="27C9E75A" w14:textId="77777777" w:rsidR="00364A79" w:rsidRDefault="00364A79">
            <w:pPr>
              <w:spacing w:line="480" w:lineRule="auto"/>
            </w:pPr>
          </w:p>
        </w:tc>
        <w:tc>
          <w:tcPr>
            <w:tcW w:w="1236" w:type="dxa"/>
            <w:tcBorders>
              <w:top w:val="single" w:sz="4" w:space="0" w:color="auto"/>
              <w:bottom w:val="single" w:sz="4" w:space="0" w:color="auto"/>
            </w:tcBorders>
          </w:tcPr>
          <w:p w14:paraId="07BD4270" w14:textId="77777777" w:rsidR="00364A79" w:rsidRDefault="00EB7938" w:rsidP="00FA4885">
            <w:pPr>
              <w:spacing w:line="480" w:lineRule="auto"/>
              <w:jc w:val="center"/>
            </w:pPr>
            <w:r>
              <w:t>Never</w:t>
            </w:r>
          </w:p>
        </w:tc>
        <w:tc>
          <w:tcPr>
            <w:tcW w:w="887" w:type="dxa"/>
            <w:tcBorders>
              <w:top w:val="single" w:sz="4" w:space="0" w:color="auto"/>
              <w:bottom w:val="single" w:sz="4" w:space="0" w:color="auto"/>
            </w:tcBorders>
          </w:tcPr>
          <w:p w14:paraId="02AA74E5" w14:textId="77777777" w:rsidR="00364A79" w:rsidRDefault="00EB7938" w:rsidP="00FA4885">
            <w:pPr>
              <w:spacing w:line="480" w:lineRule="auto"/>
              <w:jc w:val="center"/>
            </w:pPr>
            <w:r>
              <w:t>Rarely</w:t>
            </w:r>
          </w:p>
        </w:tc>
        <w:tc>
          <w:tcPr>
            <w:tcW w:w="1589" w:type="dxa"/>
            <w:tcBorders>
              <w:top w:val="single" w:sz="4" w:space="0" w:color="auto"/>
              <w:bottom w:val="single" w:sz="4" w:space="0" w:color="auto"/>
            </w:tcBorders>
          </w:tcPr>
          <w:p w14:paraId="60531D20" w14:textId="77777777" w:rsidR="00364A79" w:rsidRDefault="00EB7938" w:rsidP="00FA4885">
            <w:pPr>
              <w:spacing w:line="480" w:lineRule="auto"/>
              <w:jc w:val="center"/>
            </w:pPr>
            <w:r>
              <w:t>Occasionally</w:t>
            </w:r>
          </w:p>
        </w:tc>
        <w:tc>
          <w:tcPr>
            <w:tcW w:w="1813" w:type="dxa"/>
            <w:tcBorders>
              <w:top w:val="single" w:sz="4" w:space="0" w:color="auto"/>
              <w:bottom w:val="single" w:sz="4" w:space="0" w:color="auto"/>
            </w:tcBorders>
          </w:tcPr>
          <w:p w14:paraId="6F914DB5" w14:textId="77777777" w:rsidR="00364A79" w:rsidRDefault="00EB7938" w:rsidP="00FA4885">
            <w:pPr>
              <w:spacing w:line="480" w:lineRule="auto"/>
              <w:jc w:val="center"/>
            </w:pPr>
            <w:r>
              <w:t>Frequently</w:t>
            </w:r>
          </w:p>
        </w:tc>
      </w:tr>
      <w:tr w:rsidR="00364A79" w14:paraId="7630A22B" w14:textId="77777777" w:rsidTr="00FA4885">
        <w:tc>
          <w:tcPr>
            <w:tcW w:w="2649" w:type="dxa"/>
            <w:tcBorders>
              <w:top w:val="single" w:sz="4" w:space="0" w:color="auto"/>
            </w:tcBorders>
          </w:tcPr>
          <w:p w14:paraId="400DD829" w14:textId="77777777" w:rsidR="00364A79" w:rsidRDefault="00EB7938">
            <w:pPr>
              <w:spacing w:line="480" w:lineRule="auto"/>
            </w:pPr>
            <w:r>
              <w:t>As a language examiner</w:t>
            </w:r>
          </w:p>
        </w:tc>
        <w:tc>
          <w:tcPr>
            <w:tcW w:w="1236" w:type="dxa"/>
            <w:tcBorders>
              <w:top w:val="single" w:sz="4" w:space="0" w:color="auto"/>
            </w:tcBorders>
          </w:tcPr>
          <w:p w14:paraId="6E2A7CA7" w14:textId="77777777" w:rsidR="00364A79" w:rsidRDefault="00EB7938" w:rsidP="00FA4885">
            <w:pPr>
              <w:spacing w:line="480" w:lineRule="auto"/>
              <w:jc w:val="center"/>
            </w:pPr>
            <w:r>
              <w:t>29 (67%)</w:t>
            </w:r>
          </w:p>
        </w:tc>
        <w:tc>
          <w:tcPr>
            <w:tcW w:w="887" w:type="dxa"/>
            <w:tcBorders>
              <w:top w:val="single" w:sz="4" w:space="0" w:color="auto"/>
            </w:tcBorders>
          </w:tcPr>
          <w:p w14:paraId="6EFCF1C0" w14:textId="77777777" w:rsidR="00364A79" w:rsidRDefault="00EB7938" w:rsidP="00FA4885">
            <w:pPr>
              <w:spacing w:line="480" w:lineRule="auto"/>
              <w:jc w:val="center"/>
            </w:pPr>
            <w:r>
              <w:t>3</w:t>
            </w:r>
          </w:p>
        </w:tc>
        <w:tc>
          <w:tcPr>
            <w:tcW w:w="1589" w:type="dxa"/>
            <w:tcBorders>
              <w:top w:val="single" w:sz="4" w:space="0" w:color="auto"/>
            </w:tcBorders>
          </w:tcPr>
          <w:p w14:paraId="78D33FEB" w14:textId="77777777" w:rsidR="00364A79" w:rsidRDefault="00EB7938" w:rsidP="00FA4885">
            <w:pPr>
              <w:spacing w:line="480" w:lineRule="auto"/>
              <w:jc w:val="center"/>
            </w:pPr>
            <w:r>
              <w:t>3</w:t>
            </w:r>
          </w:p>
        </w:tc>
        <w:tc>
          <w:tcPr>
            <w:tcW w:w="1813" w:type="dxa"/>
            <w:tcBorders>
              <w:top w:val="single" w:sz="4" w:space="0" w:color="auto"/>
            </w:tcBorders>
          </w:tcPr>
          <w:p w14:paraId="5B480D3C" w14:textId="77777777" w:rsidR="00364A79" w:rsidRDefault="00EB7938" w:rsidP="00FA4885">
            <w:pPr>
              <w:spacing w:line="480" w:lineRule="auto"/>
              <w:jc w:val="center"/>
            </w:pPr>
            <w:r>
              <w:t>8 (19%)</w:t>
            </w:r>
          </w:p>
        </w:tc>
      </w:tr>
      <w:tr w:rsidR="00364A79" w14:paraId="35BF1C2E" w14:textId="77777777" w:rsidTr="00FA4885">
        <w:tc>
          <w:tcPr>
            <w:tcW w:w="2649" w:type="dxa"/>
          </w:tcPr>
          <w:p w14:paraId="42CA30A0" w14:textId="77777777" w:rsidR="00364A79" w:rsidRDefault="00EB7938">
            <w:pPr>
              <w:spacing w:line="480" w:lineRule="auto"/>
            </w:pPr>
            <w:r>
              <w:t>As a language teacher</w:t>
            </w:r>
          </w:p>
        </w:tc>
        <w:tc>
          <w:tcPr>
            <w:tcW w:w="1236" w:type="dxa"/>
          </w:tcPr>
          <w:p w14:paraId="61B83E45" w14:textId="77777777" w:rsidR="00364A79" w:rsidRDefault="00EB7938" w:rsidP="00FA4885">
            <w:pPr>
              <w:spacing w:line="480" w:lineRule="auto"/>
              <w:jc w:val="center"/>
            </w:pPr>
            <w:r>
              <w:t>17 (40%)</w:t>
            </w:r>
          </w:p>
        </w:tc>
        <w:tc>
          <w:tcPr>
            <w:tcW w:w="887" w:type="dxa"/>
          </w:tcPr>
          <w:p w14:paraId="7439B63A" w14:textId="77777777" w:rsidR="00364A79" w:rsidRDefault="00EB7938" w:rsidP="00FA4885">
            <w:pPr>
              <w:spacing w:line="480" w:lineRule="auto"/>
              <w:jc w:val="center"/>
            </w:pPr>
            <w:r>
              <w:t>6</w:t>
            </w:r>
          </w:p>
        </w:tc>
        <w:tc>
          <w:tcPr>
            <w:tcW w:w="1589" w:type="dxa"/>
          </w:tcPr>
          <w:p w14:paraId="6510D51D" w14:textId="77777777" w:rsidR="00364A79" w:rsidRDefault="00EB7938" w:rsidP="00FA4885">
            <w:pPr>
              <w:spacing w:line="480" w:lineRule="auto"/>
              <w:jc w:val="center"/>
            </w:pPr>
            <w:r>
              <w:t>7</w:t>
            </w:r>
          </w:p>
        </w:tc>
        <w:tc>
          <w:tcPr>
            <w:tcW w:w="1813" w:type="dxa"/>
          </w:tcPr>
          <w:p w14:paraId="51CCB817" w14:textId="77777777" w:rsidR="00364A79" w:rsidRDefault="00EB7938" w:rsidP="00FA4885">
            <w:pPr>
              <w:spacing w:line="480" w:lineRule="auto"/>
              <w:jc w:val="center"/>
            </w:pPr>
            <w:r>
              <w:t>13 (30%)</w:t>
            </w:r>
          </w:p>
        </w:tc>
      </w:tr>
      <w:tr w:rsidR="00364A79" w14:paraId="73CC8114" w14:textId="77777777" w:rsidTr="00FA4885">
        <w:tc>
          <w:tcPr>
            <w:tcW w:w="2649" w:type="dxa"/>
          </w:tcPr>
          <w:p w14:paraId="7FA8D1AC" w14:textId="77777777" w:rsidR="00364A79" w:rsidRDefault="00EB7938">
            <w:pPr>
              <w:spacing w:line="480" w:lineRule="auto"/>
            </w:pPr>
            <w:r>
              <w:t xml:space="preserve">As a content teacher </w:t>
            </w:r>
          </w:p>
        </w:tc>
        <w:tc>
          <w:tcPr>
            <w:tcW w:w="1236" w:type="dxa"/>
          </w:tcPr>
          <w:p w14:paraId="0A809FD6" w14:textId="77777777" w:rsidR="00364A79" w:rsidRDefault="00EB7938" w:rsidP="00FA4885">
            <w:pPr>
              <w:spacing w:line="480" w:lineRule="auto"/>
              <w:jc w:val="center"/>
            </w:pPr>
            <w:r>
              <w:t>21 (49%)</w:t>
            </w:r>
          </w:p>
        </w:tc>
        <w:tc>
          <w:tcPr>
            <w:tcW w:w="887" w:type="dxa"/>
          </w:tcPr>
          <w:p w14:paraId="03807B09" w14:textId="77777777" w:rsidR="00364A79" w:rsidRDefault="00EB7938" w:rsidP="00FA4885">
            <w:pPr>
              <w:spacing w:line="480" w:lineRule="auto"/>
              <w:jc w:val="center"/>
            </w:pPr>
            <w:r>
              <w:t>5</w:t>
            </w:r>
          </w:p>
        </w:tc>
        <w:tc>
          <w:tcPr>
            <w:tcW w:w="1589" w:type="dxa"/>
          </w:tcPr>
          <w:p w14:paraId="72FCB4C6" w14:textId="77777777" w:rsidR="00364A79" w:rsidRDefault="00EB7938" w:rsidP="00FA4885">
            <w:pPr>
              <w:spacing w:line="480" w:lineRule="auto"/>
              <w:jc w:val="center"/>
            </w:pPr>
            <w:r>
              <w:t>6</w:t>
            </w:r>
          </w:p>
        </w:tc>
        <w:tc>
          <w:tcPr>
            <w:tcW w:w="1813" w:type="dxa"/>
          </w:tcPr>
          <w:p w14:paraId="63B00C16" w14:textId="77777777" w:rsidR="00364A79" w:rsidRDefault="00EB7938" w:rsidP="00FA4885">
            <w:pPr>
              <w:spacing w:line="480" w:lineRule="auto"/>
              <w:jc w:val="center"/>
            </w:pPr>
            <w:r>
              <w:t>11 (26%)</w:t>
            </w:r>
          </w:p>
        </w:tc>
      </w:tr>
      <w:tr w:rsidR="00364A79" w14:paraId="61AF1848" w14:textId="77777777" w:rsidTr="00FA4885">
        <w:tc>
          <w:tcPr>
            <w:tcW w:w="2649" w:type="dxa"/>
          </w:tcPr>
          <w:p w14:paraId="0780DB59" w14:textId="77777777" w:rsidR="00364A79" w:rsidRDefault="00EB7938">
            <w:pPr>
              <w:spacing w:line="480" w:lineRule="auto"/>
            </w:pPr>
            <w:r>
              <w:t>Any of the above</w:t>
            </w:r>
          </w:p>
        </w:tc>
        <w:tc>
          <w:tcPr>
            <w:tcW w:w="1236" w:type="dxa"/>
          </w:tcPr>
          <w:p w14:paraId="756B9B34" w14:textId="77777777" w:rsidR="00364A79" w:rsidRDefault="00EB7938" w:rsidP="00FA4885">
            <w:pPr>
              <w:spacing w:line="480" w:lineRule="auto"/>
              <w:jc w:val="center"/>
            </w:pPr>
            <w:r>
              <w:t>13 (30%)</w:t>
            </w:r>
          </w:p>
        </w:tc>
        <w:tc>
          <w:tcPr>
            <w:tcW w:w="887" w:type="dxa"/>
          </w:tcPr>
          <w:p w14:paraId="3C2E0ABC" w14:textId="77777777" w:rsidR="00364A79" w:rsidRDefault="00364A79" w:rsidP="00FA4885">
            <w:pPr>
              <w:spacing w:line="480" w:lineRule="auto"/>
              <w:jc w:val="center"/>
            </w:pPr>
          </w:p>
        </w:tc>
        <w:tc>
          <w:tcPr>
            <w:tcW w:w="1589" w:type="dxa"/>
          </w:tcPr>
          <w:p w14:paraId="4D5E970D" w14:textId="77777777" w:rsidR="00364A79" w:rsidRDefault="00364A79" w:rsidP="00FA4885">
            <w:pPr>
              <w:spacing w:line="480" w:lineRule="auto"/>
              <w:jc w:val="center"/>
            </w:pPr>
          </w:p>
        </w:tc>
        <w:tc>
          <w:tcPr>
            <w:tcW w:w="1813" w:type="dxa"/>
          </w:tcPr>
          <w:p w14:paraId="40D5B5E0" w14:textId="6C36AB42" w:rsidR="00364A79" w:rsidRDefault="00EB7938" w:rsidP="00FA4885">
            <w:pPr>
              <w:spacing w:line="480" w:lineRule="auto"/>
              <w:jc w:val="center"/>
            </w:pPr>
            <w:r>
              <w:t>17 (39</w:t>
            </w:r>
            <w:r w:rsidR="00FD614C">
              <w:t>.</w:t>
            </w:r>
            <w:r>
              <w:t>5%)</w:t>
            </w:r>
          </w:p>
        </w:tc>
      </w:tr>
    </w:tbl>
    <w:p w14:paraId="15436E0E" w14:textId="77777777" w:rsidR="00364A79" w:rsidRDefault="00364A79">
      <w:pPr>
        <w:spacing w:line="480" w:lineRule="auto"/>
      </w:pPr>
    </w:p>
    <w:p w14:paraId="21945CD4" w14:textId="77777777" w:rsidR="00FA4885" w:rsidRPr="00FA4885" w:rsidRDefault="00FA4885">
      <w:pPr>
        <w:spacing w:line="480" w:lineRule="auto"/>
        <w:rPr>
          <w:b/>
        </w:rPr>
      </w:pPr>
      <w:r w:rsidRPr="00FA4885">
        <w:rPr>
          <w:b/>
        </w:rPr>
        <w:t>Table 5</w:t>
      </w:r>
    </w:p>
    <w:p w14:paraId="56E1D824" w14:textId="5123581A" w:rsidR="00364A79" w:rsidRPr="00FA4885" w:rsidRDefault="00FA4885">
      <w:pPr>
        <w:spacing w:line="480" w:lineRule="auto"/>
        <w:rPr>
          <w:i/>
        </w:rPr>
      </w:pPr>
      <w:r>
        <w:rPr>
          <w:i/>
        </w:rPr>
        <w:t>Training R</w:t>
      </w:r>
      <w:r w:rsidR="00EB7938" w:rsidRPr="00FA4885">
        <w:rPr>
          <w:i/>
        </w:rPr>
        <w:t xml:space="preserve">eceived in the </w:t>
      </w:r>
      <w:r>
        <w:rPr>
          <w:i/>
        </w:rPr>
        <w:t>Evaluation of Learner W</w:t>
      </w:r>
      <w:r w:rsidR="00EB7938" w:rsidRPr="00FA4885">
        <w:rPr>
          <w:i/>
        </w:rPr>
        <w:t>riting</w:t>
      </w:r>
    </w:p>
    <w:tbl>
      <w:tblPr>
        <w:tblStyle w:val="a3"/>
        <w:tblW w:w="9062" w:type="dxa"/>
        <w:tblInd w:w="0" w:type="dxa"/>
        <w:tblBorders>
          <w:top w:val="single" w:sz="4" w:space="0" w:color="auto"/>
          <w:bottom w:val="single" w:sz="4" w:space="0" w:color="auto"/>
        </w:tblBorders>
        <w:tblLayout w:type="fixed"/>
        <w:tblLook w:val="0400" w:firstRow="0" w:lastRow="0" w:firstColumn="0" w:lastColumn="0" w:noHBand="0" w:noVBand="1"/>
      </w:tblPr>
      <w:tblGrid>
        <w:gridCol w:w="3020"/>
        <w:gridCol w:w="3021"/>
        <w:gridCol w:w="3021"/>
      </w:tblGrid>
      <w:tr w:rsidR="00364A79" w14:paraId="72DE6087" w14:textId="77777777" w:rsidTr="00FA4885">
        <w:tc>
          <w:tcPr>
            <w:tcW w:w="3020" w:type="dxa"/>
            <w:tcBorders>
              <w:top w:val="single" w:sz="4" w:space="0" w:color="auto"/>
              <w:bottom w:val="single" w:sz="4" w:space="0" w:color="auto"/>
            </w:tcBorders>
          </w:tcPr>
          <w:p w14:paraId="312DBABD" w14:textId="77777777" w:rsidR="00364A79" w:rsidRDefault="00364A79" w:rsidP="00FA4885">
            <w:pPr>
              <w:spacing w:before="120" w:line="480" w:lineRule="auto"/>
            </w:pPr>
          </w:p>
        </w:tc>
        <w:tc>
          <w:tcPr>
            <w:tcW w:w="3021" w:type="dxa"/>
            <w:tcBorders>
              <w:top w:val="single" w:sz="4" w:space="0" w:color="auto"/>
              <w:bottom w:val="single" w:sz="4" w:space="0" w:color="auto"/>
            </w:tcBorders>
          </w:tcPr>
          <w:p w14:paraId="4261C073" w14:textId="77777777" w:rsidR="00364A79" w:rsidRDefault="00EB7938" w:rsidP="00FA4885">
            <w:pPr>
              <w:spacing w:before="120" w:line="480" w:lineRule="auto"/>
              <w:jc w:val="center"/>
            </w:pPr>
            <w:r>
              <w:t>Yes</w:t>
            </w:r>
          </w:p>
        </w:tc>
        <w:tc>
          <w:tcPr>
            <w:tcW w:w="3021" w:type="dxa"/>
            <w:tcBorders>
              <w:top w:val="single" w:sz="4" w:space="0" w:color="auto"/>
              <w:bottom w:val="single" w:sz="4" w:space="0" w:color="auto"/>
            </w:tcBorders>
          </w:tcPr>
          <w:p w14:paraId="3B20C2CF" w14:textId="77777777" w:rsidR="00364A79" w:rsidRDefault="00EB7938" w:rsidP="00FA4885">
            <w:pPr>
              <w:spacing w:before="120" w:line="480" w:lineRule="auto"/>
              <w:jc w:val="center"/>
            </w:pPr>
            <w:r>
              <w:t>No</w:t>
            </w:r>
          </w:p>
        </w:tc>
      </w:tr>
      <w:tr w:rsidR="00364A79" w14:paraId="674EFA8A" w14:textId="77777777" w:rsidTr="00FA4885">
        <w:tc>
          <w:tcPr>
            <w:tcW w:w="3020" w:type="dxa"/>
            <w:tcBorders>
              <w:top w:val="single" w:sz="4" w:space="0" w:color="auto"/>
              <w:bottom w:val="single" w:sz="4" w:space="0" w:color="auto"/>
            </w:tcBorders>
          </w:tcPr>
          <w:p w14:paraId="582A195F" w14:textId="77777777" w:rsidR="00364A79" w:rsidRDefault="00364A79" w:rsidP="00FA4885">
            <w:pPr>
              <w:spacing w:before="120" w:line="480" w:lineRule="auto"/>
            </w:pPr>
          </w:p>
        </w:tc>
        <w:tc>
          <w:tcPr>
            <w:tcW w:w="3021" w:type="dxa"/>
            <w:tcBorders>
              <w:top w:val="single" w:sz="4" w:space="0" w:color="auto"/>
              <w:bottom w:val="single" w:sz="4" w:space="0" w:color="auto"/>
            </w:tcBorders>
          </w:tcPr>
          <w:p w14:paraId="621C34F1" w14:textId="77777777" w:rsidR="00364A79" w:rsidRDefault="00EB7938" w:rsidP="00FA4885">
            <w:pPr>
              <w:spacing w:before="120" w:line="480" w:lineRule="auto"/>
              <w:jc w:val="center"/>
            </w:pPr>
            <w:r>
              <w:t>23 (53%)</w:t>
            </w:r>
          </w:p>
        </w:tc>
        <w:tc>
          <w:tcPr>
            <w:tcW w:w="3021" w:type="dxa"/>
            <w:tcBorders>
              <w:top w:val="single" w:sz="4" w:space="0" w:color="auto"/>
              <w:bottom w:val="single" w:sz="4" w:space="0" w:color="auto"/>
            </w:tcBorders>
          </w:tcPr>
          <w:p w14:paraId="6F27DCD0" w14:textId="77777777" w:rsidR="00364A79" w:rsidRDefault="00EB7938" w:rsidP="00FA4885">
            <w:pPr>
              <w:spacing w:before="120" w:line="480" w:lineRule="auto"/>
              <w:jc w:val="center"/>
            </w:pPr>
            <w:r>
              <w:t>20 (47%)</w:t>
            </w:r>
          </w:p>
        </w:tc>
      </w:tr>
      <w:tr w:rsidR="00364A79" w14:paraId="6F3AC801" w14:textId="77777777" w:rsidTr="00FA4885">
        <w:tc>
          <w:tcPr>
            <w:tcW w:w="3020" w:type="dxa"/>
            <w:tcBorders>
              <w:top w:val="single" w:sz="4" w:space="0" w:color="auto"/>
            </w:tcBorders>
          </w:tcPr>
          <w:p w14:paraId="5BEE7E63" w14:textId="77777777" w:rsidR="00364A79" w:rsidRPr="00376AE0" w:rsidRDefault="00EB7938" w:rsidP="00FA4885">
            <w:pPr>
              <w:spacing w:before="120" w:line="480" w:lineRule="auto"/>
            </w:pPr>
            <w:r w:rsidRPr="00376AE0">
              <w:t>Teacher training</w:t>
            </w:r>
          </w:p>
        </w:tc>
        <w:tc>
          <w:tcPr>
            <w:tcW w:w="3021" w:type="dxa"/>
            <w:tcBorders>
              <w:top w:val="single" w:sz="4" w:space="0" w:color="auto"/>
            </w:tcBorders>
          </w:tcPr>
          <w:p w14:paraId="67737846" w14:textId="77777777" w:rsidR="00364A79" w:rsidRPr="00376AE0" w:rsidRDefault="00EB7938" w:rsidP="00FA4885">
            <w:pPr>
              <w:spacing w:before="120" w:line="480" w:lineRule="auto"/>
              <w:jc w:val="center"/>
            </w:pPr>
            <w:r w:rsidRPr="00376AE0">
              <w:t>20</w:t>
            </w:r>
          </w:p>
        </w:tc>
        <w:tc>
          <w:tcPr>
            <w:tcW w:w="3021" w:type="dxa"/>
            <w:tcBorders>
              <w:top w:val="single" w:sz="4" w:space="0" w:color="auto"/>
            </w:tcBorders>
          </w:tcPr>
          <w:p w14:paraId="53DA0D3D" w14:textId="77777777" w:rsidR="00364A79" w:rsidRPr="00376AE0" w:rsidRDefault="00EB7938" w:rsidP="00FA4885">
            <w:pPr>
              <w:spacing w:before="120" w:line="480" w:lineRule="auto"/>
              <w:jc w:val="center"/>
            </w:pPr>
            <w:r w:rsidRPr="00376AE0">
              <w:t>23</w:t>
            </w:r>
          </w:p>
        </w:tc>
      </w:tr>
      <w:tr w:rsidR="00364A79" w14:paraId="3DCA185A" w14:textId="77777777" w:rsidTr="00FA4885">
        <w:tc>
          <w:tcPr>
            <w:tcW w:w="3020" w:type="dxa"/>
          </w:tcPr>
          <w:p w14:paraId="3D17CF51" w14:textId="77777777" w:rsidR="00364A79" w:rsidRPr="00376AE0" w:rsidRDefault="00EB7938" w:rsidP="00FA4885">
            <w:pPr>
              <w:spacing w:before="120" w:line="480" w:lineRule="auto"/>
            </w:pPr>
            <w:r w:rsidRPr="00376AE0">
              <w:t>Language center</w:t>
            </w:r>
          </w:p>
        </w:tc>
        <w:tc>
          <w:tcPr>
            <w:tcW w:w="3021" w:type="dxa"/>
          </w:tcPr>
          <w:p w14:paraId="55792121" w14:textId="77777777" w:rsidR="00364A79" w:rsidRPr="00376AE0" w:rsidRDefault="00EB7938" w:rsidP="00FA4885">
            <w:pPr>
              <w:spacing w:before="120" w:line="480" w:lineRule="auto"/>
              <w:jc w:val="center"/>
            </w:pPr>
            <w:r w:rsidRPr="00376AE0">
              <w:t>6</w:t>
            </w:r>
          </w:p>
        </w:tc>
        <w:tc>
          <w:tcPr>
            <w:tcW w:w="3021" w:type="dxa"/>
          </w:tcPr>
          <w:p w14:paraId="22F8CC80" w14:textId="77777777" w:rsidR="00364A79" w:rsidRPr="00376AE0" w:rsidRDefault="00EB7938" w:rsidP="00FA4885">
            <w:pPr>
              <w:spacing w:before="120" w:line="480" w:lineRule="auto"/>
              <w:jc w:val="center"/>
            </w:pPr>
            <w:r w:rsidRPr="00376AE0">
              <w:t>37</w:t>
            </w:r>
          </w:p>
        </w:tc>
      </w:tr>
      <w:tr w:rsidR="00364A79" w14:paraId="20D45FB0" w14:textId="77777777" w:rsidTr="00FA4885">
        <w:tc>
          <w:tcPr>
            <w:tcW w:w="3020" w:type="dxa"/>
          </w:tcPr>
          <w:p w14:paraId="0D1503F9" w14:textId="77777777" w:rsidR="00364A79" w:rsidRPr="00376AE0" w:rsidRDefault="00EB7938" w:rsidP="00FA4885">
            <w:pPr>
              <w:spacing w:before="120" w:line="480" w:lineRule="auto"/>
            </w:pPr>
            <w:r w:rsidRPr="00376AE0">
              <w:t>Proficiency exams</w:t>
            </w:r>
          </w:p>
        </w:tc>
        <w:tc>
          <w:tcPr>
            <w:tcW w:w="3021" w:type="dxa"/>
          </w:tcPr>
          <w:p w14:paraId="7A4621AC" w14:textId="77777777" w:rsidR="00364A79" w:rsidRPr="00376AE0" w:rsidRDefault="00EB7938" w:rsidP="00FA4885">
            <w:pPr>
              <w:spacing w:before="120" w:line="480" w:lineRule="auto"/>
              <w:jc w:val="center"/>
            </w:pPr>
            <w:r w:rsidRPr="00376AE0">
              <w:t>9</w:t>
            </w:r>
          </w:p>
        </w:tc>
        <w:tc>
          <w:tcPr>
            <w:tcW w:w="3021" w:type="dxa"/>
          </w:tcPr>
          <w:p w14:paraId="6F86C8DB" w14:textId="77777777" w:rsidR="00364A79" w:rsidRPr="00376AE0" w:rsidRDefault="00EB7938" w:rsidP="00FA4885">
            <w:pPr>
              <w:spacing w:before="120" w:line="480" w:lineRule="auto"/>
              <w:jc w:val="center"/>
            </w:pPr>
            <w:r w:rsidRPr="00376AE0">
              <w:t>34</w:t>
            </w:r>
          </w:p>
        </w:tc>
      </w:tr>
    </w:tbl>
    <w:p w14:paraId="6BB657BC" w14:textId="350AA561" w:rsidR="00364A79" w:rsidRDefault="00364A79" w:rsidP="00DE4556">
      <w:pPr>
        <w:tabs>
          <w:tab w:val="left" w:pos="3768"/>
        </w:tabs>
        <w:spacing w:line="480" w:lineRule="auto"/>
      </w:pPr>
    </w:p>
    <w:p w14:paraId="4D50B7B0" w14:textId="77777777" w:rsidR="00364A79" w:rsidRDefault="00EB7938">
      <w:pPr>
        <w:pStyle w:val="Titre3"/>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Preparation of the assessment and assessment process</w:t>
      </w:r>
    </w:p>
    <w:p w14:paraId="2CA3C676" w14:textId="56C26C23" w:rsidR="00364A79" w:rsidRDefault="00EB7938">
      <w:pPr>
        <w:spacing w:line="480" w:lineRule="auto"/>
      </w:pPr>
      <w:r>
        <w:t>Several decisions need to be made and parameters set when preparing an ACJ task, which will influence the resulting rank order. They relate to the number of comparisons judges will need to make, how often a text will need to be compared, and how the task will be introduced to the judges (Lesterhuis et al., 2017: 122). Given that, unlike in other ACJ studies, we were crowdsourcing the judgments, we decided not to set a minimum threshold for the number of comparisons judges would need to make</w:t>
      </w:r>
      <w:r w:rsidR="00AC1567">
        <w:t xml:space="preserve"> so that potential judges would not be discouraged from participating</w:t>
      </w:r>
      <w:r>
        <w:t xml:space="preserve">. For the same reason, we opted against setting a maximum number of </w:t>
      </w:r>
      <w:r>
        <w:lastRenderedPageBreak/>
        <w:t xml:space="preserve">comparisons that a text would need to enter as we could not estimate this number based on the current state of the art (no other study reported a reliability level for a crowd of judges). To make sure the task would remain quick enough for a crowdsourced task, we also decided not to provide any details about the competence being assessed (see above) or any form of training. Every judge received a pair of texts and was asked to select the one written by the </w:t>
      </w:r>
      <w:r w:rsidR="00C622B8">
        <w:t xml:space="preserve">more </w:t>
      </w:r>
      <w:r>
        <w:t>advanced speaker. After choosing a text, the judge received a new pair to compare and so forth. The tool implemented in the current project offers an option that makes it possible to provide comments but we disabled that feature. In the whole judgement task, 318 comparisons were made, which represents 26% of all possible comparisons (</w:t>
      </w:r>
      <w:r w:rsidR="00F30048">
        <w:t>318</w:t>
      </w:r>
      <w:r>
        <w:t xml:space="preserve">/1225). Each essay was assessed by 20 judges on average (min = 16, max = 22), involved in 20 rounds on average (min = 16, max = 22), and was compared to 15 other essays on average (min = 10, max = 22). </w:t>
      </w:r>
      <w:r w:rsidR="008D63BE">
        <w:t>Each judge made 10 comparisons on average (min = 1, max = 33), with nine judges contributing between one to three comparisons.</w:t>
      </w:r>
    </w:p>
    <w:p w14:paraId="22016972" w14:textId="77777777" w:rsidR="00364A79" w:rsidRDefault="00364A79"/>
    <w:p w14:paraId="2B370651" w14:textId="77777777" w:rsidR="00364A79" w:rsidRDefault="00EB7938">
      <w:pPr>
        <w:pStyle w:val="Titre3"/>
        <w:spacing w:line="480" w:lineRule="auto"/>
        <w:rPr>
          <w:rFonts w:ascii="Times New Roman" w:eastAsia="Times New Roman" w:hAnsi="Times New Roman" w:cs="Times New Roman"/>
          <w:b/>
          <w:color w:val="000000"/>
        </w:rPr>
      </w:pPr>
      <w:r>
        <w:rPr>
          <w:rFonts w:ascii="Times New Roman" w:eastAsia="Times New Roman" w:hAnsi="Times New Roman" w:cs="Times New Roman"/>
          <w:b/>
          <w:color w:val="000000"/>
        </w:rPr>
        <w:t>Calculations and statistical evaluation</w:t>
      </w:r>
    </w:p>
    <w:p w14:paraId="305D813F" w14:textId="72C4113E" w:rsidR="00364A79" w:rsidRDefault="00EB7938">
      <w:pPr>
        <w:spacing w:line="480" w:lineRule="auto"/>
      </w:pPr>
      <w:r>
        <w:t>With each judgment made on the CJ platform, the outcome of each comparison is updated in the platform's database along with the ability scores for each text. When enough texts have been compared, all comparisons made over the course of the project can be extracted from the database in CSV format (including ID numbers for both texts in each comparison, the winner of the comparison, the comparison round, and the ID number for the user who made the comparison, among others</w:t>
      </w:r>
      <w:r w:rsidR="00D411FA">
        <w:t xml:space="preserve">; see Table </w:t>
      </w:r>
      <w:r w:rsidR="00335960">
        <w:t>6)</w:t>
      </w:r>
      <w:r>
        <w:t xml:space="preserve"> for further computation of CJ models and associated rank order and fit statistics (in this case using R). </w:t>
      </w:r>
      <w:r w:rsidR="004434B8">
        <w:t xml:space="preserve">Note that the </w:t>
      </w:r>
      <w:r w:rsidR="00DB066F">
        <w:t xml:space="preserve">ComPAIR </w:t>
      </w:r>
      <w:r w:rsidR="004434B8">
        <w:t xml:space="preserve">output also provides elo scores for all texts; we decided not to use them </w:t>
      </w:r>
      <w:r w:rsidR="00DB066F">
        <w:t>because they do not come with Rasch statistics (see below). Instead, f</w:t>
      </w:r>
      <w:r>
        <w:t xml:space="preserve">ollowing the approach described in Pollitt (2012a), the pairwise comparison data generated with the ComPAIR platform were modeled according to an extended Bradley-Terry-Luce (BTL) model (Bradley &amp; Terry, 1952; Luce, 1959) using the </w:t>
      </w:r>
      <w:r>
        <w:rPr>
          <w:i/>
        </w:rPr>
        <w:lastRenderedPageBreak/>
        <w:t>btm</w:t>
      </w:r>
      <w:r>
        <w:t xml:space="preserve"> function from the R-package </w:t>
      </w:r>
      <w:r>
        <w:rPr>
          <w:i/>
        </w:rPr>
        <w:t>sirt</w:t>
      </w:r>
      <w:r>
        <w:t xml:space="preserve"> (version 3.9-4, Robitzsch, 2020), from which Rasch measures were computed. To generate the BTL model using the </w:t>
      </w:r>
      <w:r>
        <w:rPr>
          <w:i/>
        </w:rPr>
        <w:t xml:space="preserve">sirt </w:t>
      </w:r>
      <w:r>
        <w:t xml:space="preserve">package, the ID numbers for both texts in each comparison, a binary value for the winning text (0/1), and the ID number for the judge were provided as arguments to the </w:t>
      </w:r>
      <w:r>
        <w:rPr>
          <w:i/>
        </w:rPr>
        <w:t>btm</w:t>
      </w:r>
      <w:r>
        <w:t xml:space="preserve"> function from the CSV output extracted from the CJ platform's database. The BTL object generated by the </w:t>
      </w:r>
      <w:r>
        <w:rPr>
          <w:i/>
        </w:rPr>
        <w:t>btm</w:t>
      </w:r>
      <w:r>
        <w:t xml:space="preserve"> function stores values for ability estimates, Rasch fit statistics for texts and judges, and reliability measures, in addition to estimated probabilities and residuals for each comparison from which the fit statistics can also be manually computed</w:t>
      </w:r>
      <w:r w:rsidR="00BB7567">
        <w:t xml:space="preserve"> (see Appendix </w:t>
      </w:r>
      <w:r w:rsidR="007B10B4">
        <w:t>S</w:t>
      </w:r>
      <w:r w:rsidR="00BB7567">
        <w:t xml:space="preserve">1, Appendix </w:t>
      </w:r>
      <w:r w:rsidR="007B10B4">
        <w:t>S</w:t>
      </w:r>
      <w:r w:rsidR="00BB7567">
        <w:t xml:space="preserve">2, and Appendix </w:t>
      </w:r>
      <w:r w:rsidR="007B10B4">
        <w:t>S</w:t>
      </w:r>
      <w:r w:rsidR="00BB7567">
        <w:t>3)</w:t>
      </w:r>
      <w:r>
        <w:t>.</w:t>
      </w:r>
      <w:r w:rsidR="008560A4">
        <w:t xml:space="preserve"> </w:t>
      </w:r>
      <w:r w:rsidR="009C3127">
        <w:t xml:space="preserve">As shown in Appendix </w:t>
      </w:r>
      <w:r w:rsidR="007B10B4">
        <w:t>S</w:t>
      </w:r>
      <w:r w:rsidR="009C3127">
        <w:t>1, t</w:t>
      </w:r>
      <w:r w:rsidR="008560A4">
        <w:t>he final</w:t>
      </w:r>
      <w:r w:rsidR="009C3127">
        <w:t xml:space="preserve"> text</w:t>
      </w:r>
      <w:r w:rsidR="008560A4">
        <w:t xml:space="preserve"> rank ordering is computed on the basis of </w:t>
      </w:r>
      <w:r w:rsidR="008560A4" w:rsidRPr="009C3127">
        <w:rPr>
          <w:i/>
        </w:rPr>
        <w:t xml:space="preserve">sirt </w:t>
      </w:r>
      <w:r w:rsidR="008560A4">
        <w:t>measures</w:t>
      </w:r>
      <w:r w:rsidR="009C3127">
        <w:t xml:space="preserve"> for individual texts</w:t>
      </w:r>
      <w:r w:rsidR="008560A4">
        <w:t>.</w:t>
      </w:r>
    </w:p>
    <w:p w14:paraId="66D67972" w14:textId="77777777" w:rsidR="00376AE0" w:rsidRDefault="00376AE0">
      <w:pPr>
        <w:spacing w:line="480" w:lineRule="auto"/>
      </w:pPr>
    </w:p>
    <w:p w14:paraId="736FF624" w14:textId="37985487" w:rsidR="00FA4885" w:rsidRPr="00FA4885" w:rsidRDefault="00FA4885" w:rsidP="00FA4885">
      <w:pPr>
        <w:spacing w:line="480" w:lineRule="auto"/>
        <w:rPr>
          <w:b/>
        </w:rPr>
      </w:pPr>
      <w:r w:rsidRPr="00FA4885">
        <w:rPr>
          <w:b/>
        </w:rPr>
        <w:t>Table 6</w:t>
      </w:r>
    </w:p>
    <w:p w14:paraId="4A656BB1" w14:textId="166D31AE" w:rsidR="00FA4885" w:rsidRPr="00FA4885" w:rsidRDefault="00FA4885" w:rsidP="00FA4885">
      <w:pPr>
        <w:spacing w:line="480" w:lineRule="auto"/>
        <w:rPr>
          <w:i/>
        </w:rPr>
      </w:pPr>
      <w:r>
        <w:rPr>
          <w:i/>
        </w:rPr>
        <w:t>ComPair O</w:t>
      </w:r>
      <w:r w:rsidRPr="00FA4885">
        <w:rPr>
          <w:i/>
        </w:rPr>
        <w:t>utput</w:t>
      </w:r>
    </w:p>
    <w:tbl>
      <w:tblPr>
        <w:tblStyle w:val="Grilledutableau"/>
        <w:tblW w:w="963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418"/>
        <w:gridCol w:w="1390"/>
        <w:gridCol w:w="1020"/>
        <w:gridCol w:w="1275"/>
        <w:gridCol w:w="1276"/>
        <w:gridCol w:w="2268"/>
      </w:tblGrid>
      <w:tr w:rsidR="00FA4885" w:rsidRPr="00D411FA" w14:paraId="6C8BF1E1" w14:textId="77777777" w:rsidTr="00FA4885">
        <w:trPr>
          <w:trHeight w:val="288"/>
        </w:trPr>
        <w:tc>
          <w:tcPr>
            <w:tcW w:w="992" w:type="dxa"/>
            <w:tcBorders>
              <w:top w:val="single" w:sz="4" w:space="0" w:color="auto"/>
              <w:bottom w:val="single" w:sz="4" w:space="0" w:color="auto"/>
            </w:tcBorders>
            <w:noWrap/>
            <w:hideMark/>
          </w:tcPr>
          <w:p w14:paraId="57A11319" w14:textId="77777777" w:rsidR="00FA4885" w:rsidRPr="00D411FA" w:rsidRDefault="00FA4885" w:rsidP="00FA4885">
            <w:pPr>
              <w:jc w:val="right"/>
              <w:rPr>
                <w:b/>
                <w:bCs/>
              </w:rPr>
            </w:pPr>
            <w:r w:rsidRPr="00D411FA">
              <w:rPr>
                <w:b/>
                <w:bCs/>
              </w:rPr>
              <w:t>user_id</w:t>
            </w:r>
          </w:p>
        </w:tc>
        <w:tc>
          <w:tcPr>
            <w:tcW w:w="1418" w:type="dxa"/>
            <w:tcBorders>
              <w:top w:val="single" w:sz="4" w:space="0" w:color="auto"/>
              <w:bottom w:val="single" w:sz="4" w:space="0" w:color="auto"/>
            </w:tcBorders>
            <w:noWrap/>
            <w:hideMark/>
          </w:tcPr>
          <w:p w14:paraId="596680BE" w14:textId="77777777" w:rsidR="00FA4885" w:rsidRPr="00D411FA" w:rsidRDefault="00FA4885" w:rsidP="00FA4885">
            <w:pPr>
              <w:jc w:val="right"/>
              <w:rPr>
                <w:b/>
                <w:bCs/>
              </w:rPr>
            </w:pPr>
            <w:r w:rsidRPr="00D411FA">
              <w:rPr>
                <w:b/>
                <w:bCs/>
              </w:rPr>
              <w:t>answer1_id</w:t>
            </w:r>
          </w:p>
        </w:tc>
        <w:tc>
          <w:tcPr>
            <w:tcW w:w="1390" w:type="dxa"/>
            <w:tcBorders>
              <w:top w:val="single" w:sz="4" w:space="0" w:color="auto"/>
              <w:bottom w:val="single" w:sz="4" w:space="0" w:color="auto"/>
            </w:tcBorders>
            <w:noWrap/>
            <w:hideMark/>
          </w:tcPr>
          <w:p w14:paraId="4C65F0FC" w14:textId="77777777" w:rsidR="00FA4885" w:rsidRPr="00D411FA" w:rsidRDefault="00FA4885" w:rsidP="00FA4885">
            <w:pPr>
              <w:jc w:val="right"/>
              <w:rPr>
                <w:b/>
                <w:bCs/>
              </w:rPr>
            </w:pPr>
            <w:r w:rsidRPr="00D411FA">
              <w:rPr>
                <w:b/>
                <w:bCs/>
              </w:rPr>
              <w:t>answer2_id</w:t>
            </w:r>
          </w:p>
        </w:tc>
        <w:tc>
          <w:tcPr>
            <w:tcW w:w="1020" w:type="dxa"/>
            <w:tcBorders>
              <w:top w:val="single" w:sz="4" w:space="0" w:color="auto"/>
              <w:bottom w:val="single" w:sz="4" w:space="0" w:color="auto"/>
            </w:tcBorders>
            <w:noWrap/>
            <w:hideMark/>
          </w:tcPr>
          <w:p w14:paraId="7DDAC5F7" w14:textId="77777777" w:rsidR="00FA4885" w:rsidRPr="00D411FA" w:rsidRDefault="00FA4885" w:rsidP="00FA4885">
            <w:pPr>
              <w:jc w:val="right"/>
              <w:rPr>
                <w:b/>
                <w:bCs/>
              </w:rPr>
            </w:pPr>
            <w:r w:rsidRPr="00D411FA">
              <w:rPr>
                <w:b/>
                <w:bCs/>
              </w:rPr>
              <w:t>winner</w:t>
            </w:r>
          </w:p>
        </w:tc>
        <w:tc>
          <w:tcPr>
            <w:tcW w:w="1275" w:type="dxa"/>
            <w:tcBorders>
              <w:top w:val="single" w:sz="4" w:space="0" w:color="auto"/>
              <w:bottom w:val="single" w:sz="4" w:space="0" w:color="auto"/>
            </w:tcBorders>
            <w:noWrap/>
            <w:hideMark/>
          </w:tcPr>
          <w:p w14:paraId="4CE98D71" w14:textId="77777777" w:rsidR="00FA4885" w:rsidRPr="00D411FA" w:rsidRDefault="00FA4885" w:rsidP="00FA4885">
            <w:pPr>
              <w:jc w:val="right"/>
              <w:rPr>
                <w:b/>
                <w:bCs/>
              </w:rPr>
            </w:pPr>
            <w:r w:rsidRPr="00D411FA">
              <w:rPr>
                <w:b/>
                <w:bCs/>
              </w:rPr>
              <w:t>round_</w:t>
            </w:r>
            <w:r w:rsidRPr="00D411FA">
              <w:rPr>
                <w:b/>
                <w:bCs/>
              </w:rPr>
              <w:br/>
              <w:t>compared</w:t>
            </w:r>
          </w:p>
        </w:tc>
        <w:tc>
          <w:tcPr>
            <w:tcW w:w="1276" w:type="dxa"/>
            <w:tcBorders>
              <w:top w:val="single" w:sz="4" w:space="0" w:color="auto"/>
              <w:bottom w:val="single" w:sz="4" w:space="0" w:color="auto"/>
            </w:tcBorders>
            <w:noWrap/>
            <w:hideMark/>
          </w:tcPr>
          <w:p w14:paraId="36E3F381" w14:textId="77777777" w:rsidR="00FA4885" w:rsidRPr="00D411FA" w:rsidRDefault="00FA4885" w:rsidP="00FA4885">
            <w:pPr>
              <w:jc w:val="right"/>
              <w:rPr>
                <w:b/>
                <w:bCs/>
              </w:rPr>
            </w:pPr>
            <w:r w:rsidRPr="00D411FA">
              <w:rPr>
                <w:b/>
                <w:bCs/>
              </w:rPr>
              <w:t>completed</w:t>
            </w:r>
          </w:p>
        </w:tc>
        <w:tc>
          <w:tcPr>
            <w:tcW w:w="2268" w:type="dxa"/>
            <w:tcBorders>
              <w:top w:val="single" w:sz="4" w:space="0" w:color="auto"/>
              <w:bottom w:val="single" w:sz="4" w:space="0" w:color="auto"/>
            </w:tcBorders>
            <w:noWrap/>
            <w:hideMark/>
          </w:tcPr>
          <w:p w14:paraId="62017254" w14:textId="77777777" w:rsidR="00FA4885" w:rsidRPr="00D411FA" w:rsidRDefault="00FA4885" w:rsidP="00FA4885">
            <w:pPr>
              <w:jc w:val="right"/>
              <w:rPr>
                <w:b/>
                <w:bCs/>
              </w:rPr>
            </w:pPr>
            <w:r w:rsidRPr="00D411FA">
              <w:rPr>
                <w:b/>
                <w:bCs/>
              </w:rPr>
              <w:t>pairing_algorithm</w:t>
            </w:r>
          </w:p>
        </w:tc>
      </w:tr>
      <w:tr w:rsidR="00FA4885" w:rsidRPr="00D411FA" w14:paraId="160BEF53" w14:textId="77777777" w:rsidTr="00FA4885">
        <w:trPr>
          <w:trHeight w:val="288"/>
        </w:trPr>
        <w:tc>
          <w:tcPr>
            <w:tcW w:w="992" w:type="dxa"/>
            <w:tcBorders>
              <w:top w:val="single" w:sz="4" w:space="0" w:color="auto"/>
            </w:tcBorders>
            <w:noWrap/>
            <w:hideMark/>
          </w:tcPr>
          <w:p w14:paraId="431B0EFE" w14:textId="77777777" w:rsidR="00FA4885" w:rsidRPr="00D411FA" w:rsidRDefault="00FA4885" w:rsidP="001F0CAA">
            <w:r w:rsidRPr="00D411FA">
              <w:t>3061</w:t>
            </w:r>
          </w:p>
        </w:tc>
        <w:tc>
          <w:tcPr>
            <w:tcW w:w="1418" w:type="dxa"/>
            <w:tcBorders>
              <w:top w:val="single" w:sz="4" w:space="0" w:color="auto"/>
            </w:tcBorders>
            <w:noWrap/>
            <w:hideMark/>
          </w:tcPr>
          <w:p w14:paraId="001AF70D" w14:textId="77777777" w:rsidR="00FA4885" w:rsidRPr="00D411FA" w:rsidRDefault="00FA4885" w:rsidP="00FA4885">
            <w:pPr>
              <w:jc w:val="center"/>
            </w:pPr>
            <w:r w:rsidRPr="00D411FA">
              <w:t>413</w:t>
            </w:r>
          </w:p>
        </w:tc>
        <w:tc>
          <w:tcPr>
            <w:tcW w:w="1390" w:type="dxa"/>
            <w:tcBorders>
              <w:top w:val="single" w:sz="4" w:space="0" w:color="auto"/>
            </w:tcBorders>
            <w:noWrap/>
            <w:hideMark/>
          </w:tcPr>
          <w:p w14:paraId="258459DB" w14:textId="77777777" w:rsidR="00FA4885" w:rsidRPr="00D411FA" w:rsidRDefault="00FA4885" w:rsidP="00FA4885">
            <w:pPr>
              <w:jc w:val="center"/>
            </w:pPr>
            <w:r w:rsidRPr="00D411FA">
              <w:t>437</w:t>
            </w:r>
          </w:p>
        </w:tc>
        <w:tc>
          <w:tcPr>
            <w:tcW w:w="1020" w:type="dxa"/>
            <w:tcBorders>
              <w:top w:val="single" w:sz="4" w:space="0" w:color="auto"/>
            </w:tcBorders>
            <w:noWrap/>
            <w:hideMark/>
          </w:tcPr>
          <w:p w14:paraId="6177FFDF" w14:textId="77777777" w:rsidR="00FA4885" w:rsidRPr="00D411FA" w:rsidRDefault="00FA4885" w:rsidP="00FA4885">
            <w:pPr>
              <w:jc w:val="center"/>
            </w:pPr>
            <w:r w:rsidRPr="00D411FA">
              <w:t>answer2</w:t>
            </w:r>
          </w:p>
        </w:tc>
        <w:tc>
          <w:tcPr>
            <w:tcW w:w="1275" w:type="dxa"/>
            <w:tcBorders>
              <w:top w:val="single" w:sz="4" w:space="0" w:color="auto"/>
            </w:tcBorders>
            <w:noWrap/>
            <w:hideMark/>
          </w:tcPr>
          <w:p w14:paraId="53A00A04" w14:textId="77777777" w:rsidR="00FA4885" w:rsidRPr="00D411FA" w:rsidRDefault="00FA4885" w:rsidP="00FA4885">
            <w:pPr>
              <w:jc w:val="center"/>
            </w:pPr>
            <w:r w:rsidRPr="00D411FA">
              <w:t>5</w:t>
            </w:r>
          </w:p>
        </w:tc>
        <w:tc>
          <w:tcPr>
            <w:tcW w:w="1276" w:type="dxa"/>
            <w:tcBorders>
              <w:top w:val="single" w:sz="4" w:space="0" w:color="auto"/>
            </w:tcBorders>
            <w:noWrap/>
            <w:hideMark/>
          </w:tcPr>
          <w:p w14:paraId="3DAD2CE5" w14:textId="77777777" w:rsidR="00FA4885" w:rsidRPr="00D411FA" w:rsidRDefault="00FA4885" w:rsidP="00FA4885">
            <w:pPr>
              <w:jc w:val="center"/>
            </w:pPr>
            <w:r w:rsidRPr="00D411FA">
              <w:t>1</w:t>
            </w:r>
          </w:p>
        </w:tc>
        <w:tc>
          <w:tcPr>
            <w:tcW w:w="2268" w:type="dxa"/>
            <w:tcBorders>
              <w:top w:val="single" w:sz="4" w:space="0" w:color="auto"/>
            </w:tcBorders>
            <w:noWrap/>
            <w:hideMark/>
          </w:tcPr>
          <w:p w14:paraId="37A0272E" w14:textId="77777777" w:rsidR="00FA4885" w:rsidRPr="00D411FA" w:rsidRDefault="00FA4885" w:rsidP="00FA4885">
            <w:pPr>
              <w:jc w:val="center"/>
            </w:pPr>
            <w:r w:rsidRPr="00D411FA">
              <w:t>adaptive_min_delta</w:t>
            </w:r>
          </w:p>
        </w:tc>
      </w:tr>
      <w:tr w:rsidR="00FA4885" w:rsidRPr="00D411FA" w14:paraId="65869721" w14:textId="77777777" w:rsidTr="00FA4885">
        <w:trPr>
          <w:trHeight w:val="288"/>
        </w:trPr>
        <w:tc>
          <w:tcPr>
            <w:tcW w:w="992" w:type="dxa"/>
            <w:noWrap/>
            <w:hideMark/>
          </w:tcPr>
          <w:p w14:paraId="1CFCDF2A" w14:textId="77777777" w:rsidR="00FA4885" w:rsidRPr="00D411FA" w:rsidRDefault="00FA4885" w:rsidP="001F0CAA">
            <w:r w:rsidRPr="00D411FA">
              <w:t>3067</w:t>
            </w:r>
          </w:p>
        </w:tc>
        <w:tc>
          <w:tcPr>
            <w:tcW w:w="1418" w:type="dxa"/>
            <w:noWrap/>
            <w:hideMark/>
          </w:tcPr>
          <w:p w14:paraId="2C0A12F8" w14:textId="77777777" w:rsidR="00FA4885" w:rsidRPr="00D411FA" w:rsidRDefault="00FA4885" w:rsidP="00FA4885">
            <w:pPr>
              <w:jc w:val="center"/>
            </w:pPr>
            <w:r w:rsidRPr="00D411FA">
              <w:t>402</w:t>
            </w:r>
          </w:p>
        </w:tc>
        <w:tc>
          <w:tcPr>
            <w:tcW w:w="1390" w:type="dxa"/>
            <w:noWrap/>
            <w:hideMark/>
          </w:tcPr>
          <w:p w14:paraId="19867D3A" w14:textId="77777777" w:rsidR="00FA4885" w:rsidRPr="00D411FA" w:rsidRDefault="00FA4885" w:rsidP="00FA4885">
            <w:pPr>
              <w:jc w:val="center"/>
            </w:pPr>
            <w:r w:rsidRPr="00D411FA">
              <w:t>436</w:t>
            </w:r>
          </w:p>
        </w:tc>
        <w:tc>
          <w:tcPr>
            <w:tcW w:w="1020" w:type="dxa"/>
            <w:noWrap/>
            <w:hideMark/>
          </w:tcPr>
          <w:p w14:paraId="577ED856" w14:textId="77777777" w:rsidR="00FA4885" w:rsidRPr="00D411FA" w:rsidRDefault="00FA4885" w:rsidP="00FA4885">
            <w:pPr>
              <w:jc w:val="center"/>
            </w:pPr>
            <w:r w:rsidRPr="00D411FA">
              <w:t>answer1</w:t>
            </w:r>
          </w:p>
        </w:tc>
        <w:tc>
          <w:tcPr>
            <w:tcW w:w="1275" w:type="dxa"/>
            <w:noWrap/>
            <w:hideMark/>
          </w:tcPr>
          <w:p w14:paraId="383E32E9" w14:textId="77777777" w:rsidR="00FA4885" w:rsidRPr="00D411FA" w:rsidRDefault="00FA4885" w:rsidP="00FA4885">
            <w:pPr>
              <w:jc w:val="center"/>
            </w:pPr>
            <w:r w:rsidRPr="00D411FA">
              <w:t>5</w:t>
            </w:r>
          </w:p>
        </w:tc>
        <w:tc>
          <w:tcPr>
            <w:tcW w:w="1276" w:type="dxa"/>
            <w:noWrap/>
            <w:hideMark/>
          </w:tcPr>
          <w:p w14:paraId="4533DC0D" w14:textId="77777777" w:rsidR="00FA4885" w:rsidRPr="00D411FA" w:rsidRDefault="00FA4885" w:rsidP="00FA4885">
            <w:pPr>
              <w:jc w:val="center"/>
            </w:pPr>
            <w:r w:rsidRPr="00D411FA">
              <w:t>1</w:t>
            </w:r>
          </w:p>
        </w:tc>
        <w:tc>
          <w:tcPr>
            <w:tcW w:w="2268" w:type="dxa"/>
            <w:noWrap/>
            <w:hideMark/>
          </w:tcPr>
          <w:p w14:paraId="718DBC88" w14:textId="77777777" w:rsidR="00FA4885" w:rsidRPr="00D411FA" w:rsidRDefault="00FA4885" w:rsidP="00FA4885">
            <w:pPr>
              <w:jc w:val="center"/>
            </w:pPr>
            <w:r w:rsidRPr="00D411FA">
              <w:t>adaptive_min_delta</w:t>
            </w:r>
          </w:p>
        </w:tc>
      </w:tr>
      <w:tr w:rsidR="00FA4885" w:rsidRPr="00D411FA" w14:paraId="1C20AF95" w14:textId="77777777" w:rsidTr="00FA4885">
        <w:trPr>
          <w:trHeight w:val="288"/>
        </w:trPr>
        <w:tc>
          <w:tcPr>
            <w:tcW w:w="992" w:type="dxa"/>
            <w:noWrap/>
            <w:hideMark/>
          </w:tcPr>
          <w:p w14:paraId="53A1D107" w14:textId="77777777" w:rsidR="00FA4885" w:rsidRPr="00D411FA" w:rsidRDefault="00FA4885" w:rsidP="001F0CAA">
            <w:r w:rsidRPr="00D411FA">
              <w:t>3067</w:t>
            </w:r>
          </w:p>
        </w:tc>
        <w:tc>
          <w:tcPr>
            <w:tcW w:w="1418" w:type="dxa"/>
            <w:noWrap/>
            <w:hideMark/>
          </w:tcPr>
          <w:p w14:paraId="01DCECDD" w14:textId="77777777" w:rsidR="00FA4885" w:rsidRPr="00D411FA" w:rsidRDefault="00FA4885" w:rsidP="00FA4885">
            <w:pPr>
              <w:jc w:val="center"/>
            </w:pPr>
            <w:r w:rsidRPr="00D411FA">
              <w:t>406</w:t>
            </w:r>
          </w:p>
        </w:tc>
        <w:tc>
          <w:tcPr>
            <w:tcW w:w="1390" w:type="dxa"/>
            <w:noWrap/>
            <w:hideMark/>
          </w:tcPr>
          <w:p w14:paraId="13777C4E" w14:textId="77777777" w:rsidR="00FA4885" w:rsidRPr="00D411FA" w:rsidRDefault="00FA4885" w:rsidP="00FA4885">
            <w:pPr>
              <w:jc w:val="center"/>
            </w:pPr>
            <w:r w:rsidRPr="00D411FA">
              <w:t>411</w:t>
            </w:r>
          </w:p>
        </w:tc>
        <w:tc>
          <w:tcPr>
            <w:tcW w:w="1020" w:type="dxa"/>
            <w:noWrap/>
            <w:hideMark/>
          </w:tcPr>
          <w:p w14:paraId="69E881A5" w14:textId="77777777" w:rsidR="00FA4885" w:rsidRPr="00D411FA" w:rsidRDefault="00FA4885" w:rsidP="00FA4885">
            <w:pPr>
              <w:jc w:val="center"/>
            </w:pPr>
            <w:r w:rsidRPr="00D411FA">
              <w:t>answer2</w:t>
            </w:r>
          </w:p>
        </w:tc>
        <w:tc>
          <w:tcPr>
            <w:tcW w:w="1275" w:type="dxa"/>
            <w:noWrap/>
            <w:hideMark/>
          </w:tcPr>
          <w:p w14:paraId="17C28876" w14:textId="77777777" w:rsidR="00FA4885" w:rsidRPr="00D411FA" w:rsidRDefault="00FA4885" w:rsidP="00FA4885">
            <w:pPr>
              <w:jc w:val="center"/>
            </w:pPr>
            <w:r w:rsidRPr="00D411FA">
              <w:t>5</w:t>
            </w:r>
          </w:p>
        </w:tc>
        <w:tc>
          <w:tcPr>
            <w:tcW w:w="1276" w:type="dxa"/>
            <w:noWrap/>
            <w:hideMark/>
          </w:tcPr>
          <w:p w14:paraId="1CF9D177" w14:textId="77777777" w:rsidR="00FA4885" w:rsidRPr="00D411FA" w:rsidRDefault="00FA4885" w:rsidP="00FA4885">
            <w:pPr>
              <w:jc w:val="center"/>
            </w:pPr>
            <w:r w:rsidRPr="00D411FA">
              <w:t>1</w:t>
            </w:r>
          </w:p>
        </w:tc>
        <w:tc>
          <w:tcPr>
            <w:tcW w:w="2268" w:type="dxa"/>
            <w:noWrap/>
            <w:hideMark/>
          </w:tcPr>
          <w:p w14:paraId="36E5775B" w14:textId="77777777" w:rsidR="00FA4885" w:rsidRPr="00D411FA" w:rsidRDefault="00FA4885" w:rsidP="00FA4885">
            <w:pPr>
              <w:jc w:val="center"/>
            </w:pPr>
            <w:r w:rsidRPr="00D411FA">
              <w:t>adaptive_min_delta</w:t>
            </w:r>
          </w:p>
        </w:tc>
      </w:tr>
      <w:tr w:rsidR="00FA4885" w:rsidRPr="00D411FA" w14:paraId="0B09B403" w14:textId="77777777" w:rsidTr="00FA4885">
        <w:trPr>
          <w:trHeight w:val="288"/>
        </w:trPr>
        <w:tc>
          <w:tcPr>
            <w:tcW w:w="992" w:type="dxa"/>
            <w:noWrap/>
            <w:hideMark/>
          </w:tcPr>
          <w:p w14:paraId="755BD498" w14:textId="77777777" w:rsidR="00FA4885" w:rsidRPr="00D411FA" w:rsidRDefault="00FA4885" w:rsidP="001F0CAA">
            <w:r w:rsidRPr="00D411FA">
              <w:t>3067</w:t>
            </w:r>
          </w:p>
        </w:tc>
        <w:tc>
          <w:tcPr>
            <w:tcW w:w="1418" w:type="dxa"/>
            <w:noWrap/>
            <w:hideMark/>
          </w:tcPr>
          <w:p w14:paraId="5EF7BC95" w14:textId="77777777" w:rsidR="00FA4885" w:rsidRPr="00D411FA" w:rsidRDefault="00FA4885" w:rsidP="00FA4885">
            <w:pPr>
              <w:jc w:val="center"/>
            </w:pPr>
            <w:r w:rsidRPr="00D411FA">
              <w:t>409</w:t>
            </w:r>
          </w:p>
        </w:tc>
        <w:tc>
          <w:tcPr>
            <w:tcW w:w="1390" w:type="dxa"/>
            <w:noWrap/>
            <w:hideMark/>
          </w:tcPr>
          <w:p w14:paraId="610A9996" w14:textId="77777777" w:rsidR="00FA4885" w:rsidRPr="00D411FA" w:rsidRDefault="00FA4885" w:rsidP="00FA4885">
            <w:pPr>
              <w:jc w:val="center"/>
            </w:pPr>
            <w:r w:rsidRPr="00D411FA">
              <w:t>432</w:t>
            </w:r>
          </w:p>
        </w:tc>
        <w:tc>
          <w:tcPr>
            <w:tcW w:w="1020" w:type="dxa"/>
            <w:noWrap/>
            <w:hideMark/>
          </w:tcPr>
          <w:p w14:paraId="6EB2FA30" w14:textId="77777777" w:rsidR="00FA4885" w:rsidRPr="00D411FA" w:rsidRDefault="00FA4885" w:rsidP="00FA4885">
            <w:pPr>
              <w:jc w:val="center"/>
            </w:pPr>
            <w:r w:rsidRPr="00D411FA">
              <w:t>answer1</w:t>
            </w:r>
          </w:p>
        </w:tc>
        <w:tc>
          <w:tcPr>
            <w:tcW w:w="1275" w:type="dxa"/>
            <w:noWrap/>
            <w:hideMark/>
          </w:tcPr>
          <w:p w14:paraId="6334F673" w14:textId="77777777" w:rsidR="00FA4885" w:rsidRPr="00D411FA" w:rsidRDefault="00FA4885" w:rsidP="00FA4885">
            <w:pPr>
              <w:jc w:val="center"/>
            </w:pPr>
            <w:r w:rsidRPr="00D411FA">
              <w:t>5</w:t>
            </w:r>
          </w:p>
        </w:tc>
        <w:tc>
          <w:tcPr>
            <w:tcW w:w="1276" w:type="dxa"/>
            <w:noWrap/>
            <w:hideMark/>
          </w:tcPr>
          <w:p w14:paraId="01DF9317" w14:textId="77777777" w:rsidR="00FA4885" w:rsidRPr="00D411FA" w:rsidRDefault="00FA4885" w:rsidP="00FA4885">
            <w:pPr>
              <w:jc w:val="center"/>
            </w:pPr>
            <w:r w:rsidRPr="00D411FA">
              <w:t>1</w:t>
            </w:r>
          </w:p>
        </w:tc>
        <w:tc>
          <w:tcPr>
            <w:tcW w:w="2268" w:type="dxa"/>
            <w:noWrap/>
            <w:hideMark/>
          </w:tcPr>
          <w:p w14:paraId="791A8FC0" w14:textId="77777777" w:rsidR="00FA4885" w:rsidRPr="00D411FA" w:rsidRDefault="00FA4885" w:rsidP="00FA4885">
            <w:pPr>
              <w:jc w:val="center"/>
            </w:pPr>
            <w:r w:rsidRPr="00D411FA">
              <w:t>adaptive_min_delta</w:t>
            </w:r>
          </w:p>
        </w:tc>
      </w:tr>
      <w:tr w:rsidR="00FA4885" w:rsidRPr="00D411FA" w14:paraId="4DE7605F" w14:textId="77777777" w:rsidTr="00FA4885">
        <w:trPr>
          <w:trHeight w:val="288"/>
        </w:trPr>
        <w:tc>
          <w:tcPr>
            <w:tcW w:w="992" w:type="dxa"/>
            <w:noWrap/>
            <w:hideMark/>
          </w:tcPr>
          <w:p w14:paraId="055A13F8" w14:textId="77777777" w:rsidR="00FA4885" w:rsidRPr="00D411FA" w:rsidRDefault="00FA4885" w:rsidP="001F0CAA">
            <w:r w:rsidRPr="00D411FA">
              <w:t>3067</w:t>
            </w:r>
          </w:p>
        </w:tc>
        <w:tc>
          <w:tcPr>
            <w:tcW w:w="1418" w:type="dxa"/>
            <w:noWrap/>
            <w:hideMark/>
          </w:tcPr>
          <w:p w14:paraId="6BBCC76A" w14:textId="77777777" w:rsidR="00FA4885" w:rsidRPr="00D411FA" w:rsidRDefault="00FA4885" w:rsidP="00FA4885">
            <w:pPr>
              <w:jc w:val="center"/>
            </w:pPr>
            <w:r w:rsidRPr="00D411FA">
              <w:t>421</w:t>
            </w:r>
          </w:p>
        </w:tc>
        <w:tc>
          <w:tcPr>
            <w:tcW w:w="1390" w:type="dxa"/>
            <w:noWrap/>
            <w:hideMark/>
          </w:tcPr>
          <w:p w14:paraId="443B21CC" w14:textId="77777777" w:rsidR="00FA4885" w:rsidRPr="00D411FA" w:rsidRDefault="00FA4885" w:rsidP="00FA4885">
            <w:pPr>
              <w:jc w:val="center"/>
            </w:pPr>
            <w:r w:rsidRPr="00D411FA">
              <w:t>418</w:t>
            </w:r>
          </w:p>
        </w:tc>
        <w:tc>
          <w:tcPr>
            <w:tcW w:w="1020" w:type="dxa"/>
            <w:noWrap/>
            <w:hideMark/>
          </w:tcPr>
          <w:p w14:paraId="2B8C655A" w14:textId="77777777" w:rsidR="00FA4885" w:rsidRPr="00D411FA" w:rsidRDefault="00FA4885" w:rsidP="00FA4885">
            <w:pPr>
              <w:jc w:val="center"/>
            </w:pPr>
            <w:r w:rsidRPr="00D411FA">
              <w:t>answer1</w:t>
            </w:r>
          </w:p>
        </w:tc>
        <w:tc>
          <w:tcPr>
            <w:tcW w:w="1275" w:type="dxa"/>
            <w:noWrap/>
            <w:hideMark/>
          </w:tcPr>
          <w:p w14:paraId="44190A28" w14:textId="77777777" w:rsidR="00FA4885" w:rsidRPr="00D411FA" w:rsidRDefault="00FA4885" w:rsidP="00FA4885">
            <w:pPr>
              <w:jc w:val="center"/>
            </w:pPr>
            <w:r w:rsidRPr="00D411FA">
              <w:t>5</w:t>
            </w:r>
          </w:p>
        </w:tc>
        <w:tc>
          <w:tcPr>
            <w:tcW w:w="1276" w:type="dxa"/>
            <w:noWrap/>
            <w:hideMark/>
          </w:tcPr>
          <w:p w14:paraId="0FA77FEB" w14:textId="77777777" w:rsidR="00FA4885" w:rsidRPr="00D411FA" w:rsidRDefault="00FA4885" w:rsidP="00FA4885">
            <w:pPr>
              <w:jc w:val="center"/>
            </w:pPr>
            <w:r w:rsidRPr="00D411FA">
              <w:t>1</w:t>
            </w:r>
          </w:p>
        </w:tc>
        <w:tc>
          <w:tcPr>
            <w:tcW w:w="2268" w:type="dxa"/>
            <w:noWrap/>
            <w:hideMark/>
          </w:tcPr>
          <w:p w14:paraId="27E3169E" w14:textId="77777777" w:rsidR="00FA4885" w:rsidRPr="00D411FA" w:rsidRDefault="00FA4885" w:rsidP="00FA4885">
            <w:pPr>
              <w:jc w:val="center"/>
            </w:pPr>
            <w:r w:rsidRPr="00D411FA">
              <w:t>adaptive_min_delta</w:t>
            </w:r>
          </w:p>
        </w:tc>
      </w:tr>
      <w:tr w:rsidR="00FA4885" w:rsidRPr="00D411FA" w14:paraId="0138A190" w14:textId="77777777" w:rsidTr="00FA4885">
        <w:trPr>
          <w:trHeight w:val="288"/>
        </w:trPr>
        <w:tc>
          <w:tcPr>
            <w:tcW w:w="992" w:type="dxa"/>
            <w:noWrap/>
            <w:hideMark/>
          </w:tcPr>
          <w:p w14:paraId="1829B091" w14:textId="77777777" w:rsidR="00FA4885" w:rsidRPr="00D411FA" w:rsidRDefault="00FA4885" w:rsidP="001F0CAA">
            <w:r w:rsidRPr="00D411FA">
              <w:t>3061</w:t>
            </w:r>
          </w:p>
        </w:tc>
        <w:tc>
          <w:tcPr>
            <w:tcW w:w="1418" w:type="dxa"/>
            <w:noWrap/>
            <w:hideMark/>
          </w:tcPr>
          <w:p w14:paraId="12675A09" w14:textId="77777777" w:rsidR="00FA4885" w:rsidRPr="00D411FA" w:rsidRDefault="00FA4885" w:rsidP="00FA4885">
            <w:pPr>
              <w:jc w:val="center"/>
            </w:pPr>
            <w:r w:rsidRPr="00D411FA">
              <w:t>417</w:t>
            </w:r>
          </w:p>
        </w:tc>
        <w:tc>
          <w:tcPr>
            <w:tcW w:w="1390" w:type="dxa"/>
            <w:noWrap/>
            <w:hideMark/>
          </w:tcPr>
          <w:p w14:paraId="21F5B6F4" w14:textId="77777777" w:rsidR="00FA4885" w:rsidRPr="00D411FA" w:rsidRDefault="00FA4885" w:rsidP="00FA4885">
            <w:pPr>
              <w:jc w:val="center"/>
            </w:pPr>
            <w:r w:rsidRPr="00D411FA">
              <w:t>422</w:t>
            </w:r>
          </w:p>
        </w:tc>
        <w:tc>
          <w:tcPr>
            <w:tcW w:w="1020" w:type="dxa"/>
            <w:noWrap/>
            <w:hideMark/>
          </w:tcPr>
          <w:p w14:paraId="6A788482" w14:textId="77777777" w:rsidR="00FA4885" w:rsidRPr="00D411FA" w:rsidRDefault="00FA4885" w:rsidP="00FA4885">
            <w:pPr>
              <w:jc w:val="center"/>
            </w:pPr>
            <w:r w:rsidRPr="00D411FA">
              <w:t>answer1</w:t>
            </w:r>
          </w:p>
        </w:tc>
        <w:tc>
          <w:tcPr>
            <w:tcW w:w="1275" w:type="dxa"/>
            <w:noWrap/>
            <w:hideMark/>
          </w:tcPr>
          <w:p w14:paraId="2C804F36" w14:textId="77777777" w:rsidR="00FA4885" w:rsidRPr="00D411FA" w:rsidRDefault="00FA4885" w:rsidP="00FA4885">
            <w:pPr>
              <w:jc w:val="center"/>
            </w:pPr>
            <w:r w:rsidRPr="00D411FA">
              <w:t>5</w:t>
            </w:r>
          </w:p>
        </w:tc>
        <w:tc>
          <w:tcPr>
            <w:tcW w:w="1276" w:type="dxa"/>
            <w:noWrap/>
            <w:hideMark/>
          </w:tcPr>
          <w:p w14:paraId="516B983E" w14:textId="77777777" w:rsidR="00FA4885" w:rsidRPr="00D411FA" w:rsidRDefault="00FA4885" w:rsidP="00FA4885">
            <w:pPr>
              <w:jc w:val="center"/>
            </w:pPr>
            <w:r w:rsidRPr="00D411FA">
              <w:t>1</w:t>
            </w:r>
          </w:p>
        </w:tc>
        <w:tc>
          <w:tcPr>
            <w:tcW w:w="2268" w:type="dxa"/>
            <w:noWrap/>
            <w:hideMark/>
          </w:tcPr>
          <w:p w14:paraId="27BC6342" w14:textId="77777777" w:rsidR="00FA4885" w:rsidRPr="00D411FA" w:rsidRDefault="00FA4885" w:rsidP="00FA4885">
            <w:pPr>
              <w:jc w:val="center"/>
            </w:pPr>
            <w:r w:rsidRPr="00D411FA">
              <w:t>adaptive_min_delta</w:t>
            </w:r>
          </w:p>
        </w:tc>
      </w:tr>
      <w:tr w:rsidR="00FA4885" w:rsidRPr="00D411FA" w14:paraId="301F4B51" w14:textId="77777777" w:rsidTr="00FA4885">
        <w:trPr>
          <w:trHeight w:val="288"/>
        </w:trPr>
        <w:tc>
          <w:tcPr>
            <w:tcW w:w="992" w:type="dxa"/>
            <w:noWrap/>
            <w:hideMark/>
          </w:tcPr>
          <w:p w14:paraId="71178412" w14:textId="77777777" w:rsidR="00FA4885" w:rsidRPr="00D411FA" w:rsidRDefault="00FA4885" w:rsidP="001F0CAA">
            <w:r w:rsidRPr="00D411FA">
              <w:t>3067</w:t>
            </w:r>
          </w:p>
        </w:tc>
        <w:tc>
          <w:tcPr>
            <w:tcW w:w="1418" w:type="dxa"/>
            <w:noWrap/>
            <w:hideMark/>
          </w:tcPr>
          <w:p w14:paraId="2E32931D" w14:textId="77777777" w:rsidR="00FA4885" w:rsidRPr="00D411FA" w:rsidRDefault="00FA4885" w:rsidP="00FA4885">
            <w:pPr>
              <w:jc w:val="center"/>
            </w:pPr>
            <w:r w:rsidRPr="00D411FA">
              <w:t>423</w:t>
            </w:r>
          </w:p>
        </w:tc>
        <w:tc>
          <w:tcPr>
            <w:tcW w:w="1390" w:type="dxa"/>
            <w:noWrap/>
            <w:hideMark/>
          </w:tcPr>
          <w:p w14:paraId="65427AA7" w14:textId="77777777" w:rsidR="00FA4885" w:rsidRPr="00D411FA" w:rsidRDefault="00FA4885" w:rsidP="00FA4885">
            <w:pPr>
              <w:jc w:val="center"/>
            </w:pPr>
            <w:r w:rsidRPr="00D411FA">
              <w:t>427</w:t>
            </w:r>
          </w:p>
        </w:tc>
        <w:tc>
          <w:tcPr>
            <w:tcW w:w="1020" w:type="dxa"/>
            <w:noWrap/>
            <w:hideMark/>
          </w:tcPr>
          <w:p w14:paraId="42683E92" w14:textId="77777777" w:rsidR="00FA4885" w:rsidRPr="00D411FA" w:rsidRDefault="00FA4885" w:rsidP="00FA4885">
            <w:pPr>
              <w:jc w:val="center"/>
            </w:pPr>
            <w:r w:rsidRPr="00D411FA">
              <w:t>answer2</w:t>
            </w:r>
          </w:p>
        </w:tc>
        <w:tc>
          <w:tcPr>
            <w:tcW w:w="1275" w:type="dxa"/>
            <w:noWrap/>
            <w:hideMark/>
          </w:tcPr>
          <w:p w14:paraId="34354214" w14:textId="77777777" w:rsidR="00FA4885" w:rsidRPr="00D411FA" w:rsidRDefault="00FA4885" w:rsidP="00FA4885">
            <w:pPr>
              <w:jc w:val="center"/>
            </w:pPr>
            <w:r w:rsidRPr="00D411FA">
              <w:t>5</w:t>
            </w:r>
          </w:p>
        </w:tc>
        <w:tc>
          <w:tcPr>
            <w:tcW w:w="1276" w:type="dxa"/>
            <w:noWrap/>
            <w:hideMark/>
          </w:tcPr>
          <w:p w14:paraId="7A34C756" w14:textId="77777777" w:rsidR="00FA4885" w:rsidRPr="00D411FA" w:rsidRDefault="00FA4885" w:rsidP="00FA4885">
            <w:pPr>
              <w:jc w:val="center"/>
            </w:pPr>
            <w:r w:rsidRPr="00D411FA">
              <w:t>1</w:t>
            </w:r>
          </w:p>
        </w:tc>
        <w:tc>
          <w:tcPr>
            <w:tcW w:w="2268" w:type="dxa"/>
            <w:noWrap/>
            <w:hideMark/>
          </w:tcPr>
          <w:p w14:paraId="55D038C9" w14:textId="77777777" w:rsidR="00FA4885" w:rsidRPr="00D411FA" w:rsidRDefault="00FA4885" w:rsidP="00FA4885">
            <w:pPr>
              <w:jc w:val="center"/>
            </w:pPr>
            <w:r w:rsidRPr="00D411FA">
              <w:t>adaptive_min_delta</w:t>
            </w:r>
          </w:p>
        </w:tc>
      </w:tr>
      <w:tr w:rsidR="00FA4885" w:rsidRPr="00D411FA" w14:paraId="1322DACF" w14:textId="77777777" w:rsidTr="00FA4885">
        <w:trPr>
          <w:trHeight w:val="288"/>
        </w:trPr>
        <w:tc>
          <w:tcPr>
            <w:tcW w:w="992" w:type="dxa"/>
            <w:noWrap/>
            <w:hideMark/>
          </w:tcPr>
          <w:p w14:paraId="7CE6D9B2" w14:textId="77777777" w:rsidR="00FA4885" w:rsidRPr="00D411FA" w:rsidRDefault="00FA4885" w:rsidP="001F0CAA">
            <w:r w:rsidRPr="00D411FA">
              <w:t>3067</w:t>
            </w:r>
          </w:p>
        </w:tc>
        <w:tc>
          <w:tcPr>
            <w:tcW w:w="1418" w:type="dxa"/>
            <w:noWrap/>
            <w:hideMark/>
          </w:tcPr>
          <w:p w14:paraId="3F3A80E5" w14:textId="77777777" w:rsidR="00FA4885" w:rsidRPr="00D411FA" w:rsidRDefault="00FA4885" w:rsidP="00FA4885">
            <w:pPr>
              <w:jc w:val="center"/>
            </w:pPr>
            <w:r w:rsidRPr="00D411FA">
              <w:t>399</w:t>
            </w:r>
          </w:p>
        </w:tc>
        <w:tc>
          <w:tcPr>
            <w:tcW w:w="1390" w:type="dxa"/>
            <w:noWrap/>
            <w:hideMark/>
          </w:tcPr>
          <w:p w14:paraId="426F9527" w14:textId="77777777" w:rsidR="00FA4885" w:rsidRPr="00D411FA" w:rsidRDefault="00FA4885" w:rsidP="00FA4885">
            <w:pPr>
              <w:jc w:val="center"/>
            </w:pPr>
            <w:r w:rsidRPr="00D411FA">
              <w:t>405</w:t>
            </w:r>
          </w:p>
        </w:tc>
        <w:tc>
          <w:tcPr>
            <w:tcW w:w="1020" w:type="dxa"/>
            <w:noWrap/>
            <w:hideMark/>
          </w:tcPr>
          <w:p w14:paraId="4DB9C957" w14:textId="77777777" w:rsidR="00FA4885" w:rsidRPr="00D411FA" w:rsidRDefault="00FA4885" w:rsidP="00FA4885">
            <w:pPr>
              <w:jc w:val="center"/>
            </w:pPr>
            <w:r w:rsidRPr="00D411FA">
              <w:t>answer2</w:t>
            </w:r>
          </w:p>
        </w:tc>
        <w:tc>
          <w:tcPr>
            <w:tcW w:w="1275" w:type="dxa"/>
            <w:noWrap/>
            <w:hideMark/>
          </w:tcPr>
          <w:p w14:paraId="6B6DF614" w14:textId="77777777" w:rsidR="00FA4885" w:rsidRPr="00D411FA" w:rsidRDefault="00FA4885" w:rsidP="00FA4885">
            <w:pPr>
              <w:jc w:val="center"/>
            </w:pPr>
            <w:r w:rsidRPr="00D411FA">
              <w:t>5</w:t>
            </w:r>
          </w:p>
        </w:tc>
        <w:tc>
          <w:tcPr>
            <w:tcW w:w="1276" w:type="dxa"/>
            <w:noWrap/>
            <w:hideMark/>
          </w:tcPr>
          <w:p w14:paraId="7486578C" w14:textId="77777777" w:rsidR="00FA4885" w:rsidRPr="00D411FA" w:rsidRDefault="00FA4885" w:rsidP="00FA4885">
            <w:pPr>
              <w:jc w:val="center"/>
            </w:pPr>
            <w:r w:rsidRPr="00D411FA">
              <w:t>1</w:t>
            </w:r>
          </w:p>
        </w:tc>
        <w:tc>
          <w:tcPr>
            <w:tcW w:w="2268" w:type="dxa"/>
            <w:noWrap/>
            <w:hideMark/>
          </w:tcPr>
          <w:p w14:paraId="60D9807B" w14:textId="77777777" w:rsidR="00FA4885" w:rsidRPr="00D411FA" w:rsidRDefault="00FA4885" w:rsidP="00FA4885">
            <w:pPr>
              <w:jc w:val="center"/>
            </w:pPr>
            <w:r w:rsidRPr="00D411FA">
              <w:t>adaptive_min_delta</w:t>
            </w:r>
          </w:p>
        </w:tc>
      </w:tr>
      <w:tr w:rsidR="00FA4885" w:rsidRPr="00D411FA" w14:paraId="27C9BC8E" w14:textId="77777777" w:rsidTr="00FA4885">
        <w:trPr>
          <w:trHeight w:val="288"/>
        </w:trPr>
        <w:tc>
          <w:tcPr>
            <w:tcW w:w="992" w:type="dxa"/>
            <w:noWrap/>
            <w:hideMark/>
          </w:tcPr>
          <w:p w14:paraId="5F45D968" w14:textId="77777777" w:rsidR="00FA4885" w:rsidRPr="00D411FA" w:rsidRDefault="00FA4885" w:rsidP="001F0CAA">
            <w:r w:rsidRPr="00D411FA">
              <w:t>3067</w:t>
            </w:r>
          </w:p>
        </w:tc>
        <w:tc>
          <w:tcPr>
            <w:tcW w:w="1418" w:type="dxa"/>
            <w:noWrap/>
            <w:hideMark/>
          </w:tcPr>
          <w:p w14:paraId="15B247B2" w14:textId="77777777" w:rsidR="00FA4885" w:rsidRPr="00D411FA" w:rsidRDefault="00FA4885" w:rsidP="00FA4885">
            <w:pPr>
              <w:jc w:val="center"/>
            </w:pPr>
            <w:r w:rsidRPr="00D411FA">
              <w:t>410</w:t>
            </w:r>
          </w:p>
        </w:tc>
        <w:tc>
          <w:tcPr>
            <w:tcW w:w="1390" w:type="dxa"/>
            <w:noWrap/>
            <w:hideMark/>
          </w:tcPr>
          <w:p w14:paraId="73753421" w14:textId="77777777" w:rsidR="00FA4885" w:rsidRPr="00D411FA" w:rsidRDefault="00FA4885" w:rsidP="00FA4885">
            <w:pPr>
              <w:jc w:val="center"/>
            </w:pPr>
            <w:r w:rsidRPr="00D411FA">
              <w:t>430</w:t>
            </w:r>
          </w:p>
        </w:tc>
        <w:tc>
          <w:tcPr>
            <w:tcW w:w="1020" w:type="dxa"/>
            <w:noWrap/>
            <w:hideMark/>
          </w:tcPr>
          <w:p w14:paraId="725DC63A" w14:textId="77777777" w:rsidR="00FA4885" w:rsidRPr="00D411FA" w:rsidRDefault="00FA4885" w:rsidP="00FA4885">
            <w:pPr>
              <w:jc w:val="center"/>
            </w:pPr>
            <w:r w:rsidRPr="00D411FA">
              <w:t>NULL</w:t>
            </w:r>
          </w:p>
        </w:tc>
        <w:tc>
          <w:tcPr>
            <w:tcW w:w="1275" w:type="dxa"/>
            <w:noWrap/>
            <w:hideMark/>
          </w:tcPr>
          <w:p w14:paraId="128AA32C" w14:textId="77777777" w:rsidR="00FA4885" w:rsidRPr="00D411FA" w:rsidRDefault="00FA4885" w:rsidP="00FA4885">
            <w:pPr>
              <w:jc w:val="center"/>
            </w:pPr>
            <w:r w:rsidRPr="00D411FA">
              <w:t>5</w:t>
            </w:r>
          </w:p>
        </w:tc>
        <w:tc>
          <w:tcPr>
            <w:tcW w:w="1276" w:type="dxa"/>
            <w:noWrap/>
            <w:hideMark/>
          </w:tcPr>
          <w:p w14:paraId="6BA28B73" w14:textId="77777777" w:rsidR="00FA4885" w:rsidRPr="00D411FA" w:rsidRDefault="00FA4885" w:rsidP="00FA4885">
            <w:pPr>
              <w:jc w:val="center"/>
            </w:pPr>
            <w:r w:rsidRPr="00D411FA">
              <w:t>0</w:t>
            </w:r>
          </w:p>
        </w:tc>
        <w:tc>
          <w:tcPr>
            <w:tcW w:w="2268" w:type="dxa"/>
            <w:noWrap/>
            <w:hideMark/>
          </w:tcPr>
          <w:p w14:paraId="55CCAB05" w14:textId="77777777" w:rsidR="00FA4885" w:rsidRPr="00D411FA" w:rsidRDefault="00FA4885" w:rsidP="00FA4885">
            <w:pPr>
              <w:jc w:val="center"/>
            </w:pPr>
            <w:r w:rsidRPr="00D411FA">
              <w:t>adaptive_min_delta</w:t>
            </w:r>
          </w:p>
        </w:tc>
      </w:tr>
      <w:tr w:rsidR="00FA4885" w:rsidRPr="00D411FA" w14:paraId="1343DE64" w14:textId="77777777" w:rsidTr="00FA4885">
        <w:trPr>
          <w:trHeight w:val="288"/>
        </w:trPr>
        <w:tc>
          <w:tcPr>
            <w:tcW w:w="992" w:type="dxa"/>
            <w:noWrap/>
            <w:hideMark/>
          </w:tcPr>
          <w:p w14:paraId="74301317" w14:textId="77777777" w:rsidR="00FA4885" w:rsidRPr="00D411FA" w:rsidRDefault="00FA4885" w:rsidP="001F0CAA">
            <w:r w:rsidRPr="00D411FA">
              <w:t>3061</w:t>
            </w:r>
          </w:p>
        </w:tc>
        <w:tc>
          <w:tcPr>
            <w:tcW w:w="1418" w:type="dxa"/>
            <w:noWrap/>
            <w:hideMark/>
          </w:tcPr>
          <w:p w14:paraId="7359616C" w14:textId="77777777" w:rsidR="00FA4885" w:rsidRPr="00D411FA" w:rsidRDefault="00FA4885" w:rsidP="00FA4885">
            <w:pPr>
              <w:jc w:val="center"/>
            </w:pPr>
            <w:r w:rsidRPr="00D411FA">
              <w:t>403</w:t>
            </w:r>
          </w:p>
        </w:tc>
        <w:tc>
          <w:tcPr>
            <w:tcW w:w="1390" w:type="dxa"/>
            <w:noWrap/>
            <w:hideMark/>
          </w:tcPr>
          <w:p w14:paraId="46FB7295" w14:textId="77777777" w:rsidR="00FA4885" w:rsidRPr="00D411FA" w:rsidRDefault="00FA4885" w:rsidP="00FA4885">
            <w:pPr>
              <w:jc w:val="center"/>
            </w:pPr>
            <w:r w:rsidRPr="00D411FA">
              <w:t>445</w:t>
            </w:r>
          </w:p>
        </w:tc>
        <w:tc>
          <w:tcPr>
            <w:tcW w:w="1020" w:type="dxa"/>
            <w:noWrap/>
            <w:hideMark/>
          </w:tcPr>
          <w:p w14:paraId="37678BD5" w14:textId="77777777" w:rsidR="00FA4885" w:rsidRPr="00D411FA" w:rsidRDefault="00FA4885" w:rsidP="00FA4885">
            <w:pPr>
              <w:jc w:val="center"/>
            </w:pPr>
            <w:r w:rsidRPr="00D411FA">
              <w:t>answer1</w:t>
            </w:r>
          </w:p>
        </w:tc>
        <w:tc>
          <w:tcPr>
            <w:tcW w:w="1275" w:type="dxa"/>
            <w:noWrap/>
            <w:hideMark/>
          </w:tcPr>
          <w:p w14:paraId="1A6C2BB8" w14:textId="77777777" w:rsidR="00FA4885" w:rsidRPr="00D411FA" w:rsidRDefault="00FA4885" w:rsidP="00FA4885">
            <w:pPr>
              <w:jc w:val="center"/>
            </w:pPr>
            <w:r w:rsidRPr="00D411FA">
              <w:t>5</w:t>
            </w:r>
          </w:p>
        </w:tc>
        <w:tc>
          <w:tcPr>
            <w:tcW w:w="1276" w:type="dxa"/>
            <w:noWrap/>
            <w:hideMark/>
          </w:tcPr>
          <w:p w14:paraId="42D5F44E" w14:textId="77777777" w:rsidR="00FA4885" w:rsidRPr="00D411FA" w:rsidRDefault="00FA4885" w:rsidP="00FA4885">
            <w:pPr>
              <w:jc w:val="center"/>
            </w:pPr>
            <w:r w:rsidRPr="00D411FA">
              <w:t>1</w:t>
            </w:r>
          </w:p>
        </w:tc>
        <w:tc>
          <w:tcPr>
            <w:tcW w:w="2268" w:type="dxa"/>
            <w:noWrap/>
            <w:hideMark/>
          </w:tcPr>
          <w:p w14:paraId="250A3299" w14:textId="77777777" w:rsidR="00FA4885" w:rsidRPr="00D411FA" w:rsidRDefault="00FA4885" w:rsidP="00FA4885">
            <w:pPr>
              <w:jc w:val="center"/>
            </w:pPr>
            <w:r w:rsidRPr="00D411FA">
              <w:t>adaptive_min_delta</w:t>
            </w:r>
          </w:p>
        </w:tc>
      </w:tr>
    </w:tbl>
    <w:p w14:paraId="57FAC506" w14:textId="77777777" w:rsidR="00FA4885" w:rsidRDefault="00DB066F" w:rsidP="00FA4885">
      <w:pPr>
        <w:spacing w:line="480" w:lineRule="auto"/>
      </w:pPr>
      <w:r>
        <w:br/>
      </w:r>
    </w:p>
    <w:p w14:paraId="0E34233C" w14:textId="04374911" w:rsidR="00364A79" w:rsidRDefault="00EB7938" w:rsidP="00FA4885">
      <w:pPr>
        <w:spacing w:line="480" w:lineRule="auto"/>
        <w:ind w:firstLine="720"/>
      </w:pPr>
      <w:r>
        <w:t xml:space="preserve">The reliability of the crowdsourced ACJ task (RQ1) was evaluated with a Scale Separation Reliability (SSR) measure, which is an indication of the stability of the rank orders, that is, the internal consistency of the results of an assessment (Pollitt, 2012a; Verhavert et al., 2019). This can also be interpreted as an indicator of how well the scale </w:t>
      </w:r>
      <w:r>
        <w:lastRenderedPageBreak/>
        <w:t xml:space="preserve">separates the representations (here, learner texts): a high SSR indicates minimal measurement error, which suggests that the position of the texts on the scale is quite fixed (Lesterhuis et al., 2017: 127). Verhavert, De Maeyer, Donche, &amp; Coertjens (2018) also recently demonstrated that SSR can be seen as an estimation of interrater reliability (i.e. it informs on the reproducibility of the results across groups of judges with equivalent background characteristics). </w:t>
      </w:r>
    </w:p>
    <w:p w14:paraId="01386402" w14:textId="18AC0465" w:rsidR="00364A79" w:rsidRDefault="00EB7938">
      <w:pPr>
        <w:spacing w:line="480" w:lineRule="auto"/>
        <w:ind w:firstLine="720"/>
      </w:pPr>
      <w:r>
        <w:t xml:space="preserve">Fit statistics from Rasch analysis were also computed for each judge and learner text (Pollitt, 2012a). </w:t>
      </w:r>
      <w:r w:rsidR="009E165B">
        <w:t xml:space="preserve">In the context of CJ, </w:t>
      </w:r>
      <w:r>
        <w:t xml:space="preserve">fit statistics are indicators of the fit of individual judges and/or individual texts to the Bradley-Terry-Luce model predicting the outcome of the comparisons. </w:t>
      </w:r>
      <w:r w:rsidR="009E165B">
        <w:t xml:space="preserve">Fit statistics are of two types: infit and outfit. In this study, we only examined infit scores as they are less prone to occasional mistake and are therefore often preferred in the ACJ literature (Lesterhuis et al., 2017: 128).  </w:t>
      </w:r>
      <w:r>
        <w:t>These quality control measures are computed as the sum of standardized squared residuals (i.e. the difference between predicted and observed comparison outcomes) weighted by the sum of the information (i.e. the product of the probability of a comparison outcome and its reverse outcome) of all judgments made by a judge or all judgments made on a text</w:t>
      </w:r>
      <w:r w:rsidR="00B62DB8">
        <w:t xml:space="preserve"> (Pollit, 2012b: 164)</w:t>
      </w:r>
      <w:r>
        <w:t xml:space="preserve">. Infit scores for judges serve to provide an estimate of how much judges deviate from the group consensus: a large infit for a judge means that “they consistently judge away from the consensus” (Lesterhuis et al., 2017: 128). </w:t>
      </w:r>
      <w:r w:rsidR="00FB33B4">
        <w:t xml:space="preserve">Note that infit scores for judges who contributed few comparisons (see above) may not be stable and will need to be evaluated with caution. </w:t>
      </w:r>
      <w:r>
        <w:t>On the other hand, infit scores for texts provide an estimate of how ambiguous a learner text is for the group: a large infit for a text indicates that it leads to more judgments that are inconsistent. An infit score that is greater than the mean plus two standard deviations is considered large or significant (Pollitt, 2012a).</w:t>
      </w:r>
    </w:p>
    <w:p w14:paraId="6B613E79" w14:textId="686343AC" w:rsidR="00364A79" w:rsidRDefault="00633106">
      <w:pPr>
        <w:spacing w:line="480" w:lineRule="auto"/>
        <w:ind w:firstLine="720"/>
      </w:pPr>
      <w:r>
        <w:t xml:space="preserve">All statistical analyses were performed with R (R Core Team, 2019). </w:t>
      </w:r>
      <w:r w:rsidR="00EB7938">
        <w:t xml:space="preserve">RQ2 focuses on the </w:t>
      </w:r>
      <w:r w:rsidR="00B723AC">
        <w:t xml:space="preserve">relationship </w:t>
      </w:r>
      <w:r w:rsidR="00EB7938">
        <w:t xml:space="preserve">between the final ACJ ranking and proficiency levels as commonly used in </w:t>
      </w:r>
      <w:r w:rsidR="00EB7938">
        <w:lastRenderedPageBreak/>
        <w:t>L2 research. It was addressed by means of linear regression modelling (</w:t>
      </w:r>
      <w:r w:rsidR="00EB7938">
        <w:rPr>
          <w:i/>
        </w:rPr>
        <w:t>lm</w:t>
      </w:r>
      <w:r w:rsidR="00EB7938">
        <w:t xml:space="preserve"> function) with ‘rank order’ as dependent variable and ‘proficiency level’ as independent variable. Given our a priori hypothesis that rank order would increase with proficiency level, we ordered the factor levels from low to high and defined orthogonal contrasts for sequential-differences testing. The </w:t>
      </w:r>
      <w:r w:rsidR="00EB7938">
        <w:rPr>
          <w:i/>
        </w:rPr>
        <w:t xml:space="preserve">effects </w:t>
      </w:r>
      <w:r w:rsidR="00EB7938">
        <w:t xml:space="preserve">package </w:t>
      </w:r>
      <w:r w:rsidR="00BC0F07">
        <w:t xml:space="preserve">(Fox &amp; Hong, 2009) </w:t>
      </w:r>
      <w:r w:rsidR="00EB7938">
        <w:t xml:space="preserve">was used to explore the effect of the independent variable visually and </w:t>
      </w:r>
      <w:r w:rsidR="000F0327">
        <w:rPr>
          <w:lang w:val="en-US"/>
        </w:rPr>
        <w:t xml:space="preserve">the </w:t>
      </w:r>
      <w:r w:rsidR="000F0327">
        <w:rPr>
          <w:i/>
          <w:iCs/>
          <w:lang w:val="en-US"/>
        </w:rPr>
        <w:t>emmeans</w:t>
      </w:r>
      <w:r w:rsidR="003C57C3">
        <w:rPr>
          <w:i/>
          <w:iCs/>
          <w:lang w:val="en-US"/>
        </w:rPr>
        <w:t xml:space="preserve"> </w:t>
      </w:r>
      <w:r w:rsidR="003C57C3">
        <w:rPr>
          <w:lang w:val="en-US"/>
        </w:rPr>
        <w:t>(</w:t>
      </w:r>
      <w:r w:rsidR="00EE78A1">
        <w:rPr>
          <w:lang w:val="en-US"/>
        </w:rPr>
        <w:t>Lenth, 2021)</w:t>
      </w:r>
      <w:r w:rsidR="000F0327">
        <w:rPr>
          <w:i/>
          <w:iCs/>
          <w:lang w:val="en-US"/>
        </w:rPr>
        <w:t xml:space="preserve"> </w:t>
      </w:r>
      <w:r w:rsidR="000F0327">
        <w:rPr>
          <w:lang w:val="en-US"/>
        </w:rPr>
        <w:t xml:space="preserve">package was used to calculate the confidence intervals for </w:t>
      </w:r>
      <w:r w:rsidR="00E0028C">
        <w:rPr>
          <w:lang w:val="en-US"/>
        </w:rPr>
        <w:t>model estimates</w:t>
      </w:r>
      <w:r w:rsidR="003C57C3">
        <w:rPr>
          <w:lang w:val="en-US"/>
        </w:rPr>
        <w:t>. Model diagnostics were checked using the</w:t>
      </w:r>
      <w:r w:rsidR="00EB7938">
        <w:t xml:space="preserve"> </w:t>
      </w:r>
      <w:r w:rsidR="004B0243">
        <w:rPr>
          <w:i/>
        </w:rPr>
        <w:t>gv</w:t>
      </w:r>
      <w:r w:rsidR="00EB7938">
        <w:rPr>
          <w:i/>
        </w:rPr>
        <w:t>lma</w:t>
      </w:r>
      <w:r w:rsidR="00EB7938">
        <w:t xml:space="preserve"> </w:t>
      </w:r>
      <w:r w:rsidR="000B4757">
        <w:t>package</w:t>
      </w:r>
      <w:r w:rsidR="00587CDA">
        <w:t xml:space="preserve"> </w:t>
      </w:r>
      <w:r w:rsidR="000B4757">
        <w:t>(Pena &amp; Slate, 2019)</w:t>
      </w:r>
      <w:r w:rsidR="00EB7938">
        <w:t>.</w:t>
      </w:r>
    </w:p>
    <w:p w14:paraId="0CA68612" w14:textId="7FD1E565" w:rsidR="00364A79" w:rsidRDefault="00EB7938">
      <w:pPr>
        <w:spacing w:line="480" w:lineRule="auto"/>
        <w:ind w:firstLine="720"/>
      </w:pPr>
      <w:r>
        <w:t xml:space="preserve">To answer RQ3, we used </w:t>
      </w:r>
      <w:r w:rsidR="00F835A1">
        <w:t>Mann-Withney-</w:t>
      </w:r>
      <w:r>
        <w:t>Wilcoxon tests to compare infit scores for individual judges across groups (</w:t>
      </w:r>
      <w:r w:rsidR="00DE4556">
        <w:t xml:space="preserve">are there significant differences between </w:t>
      </w:r>
      <w:r>
        <w:t xml:space="preserve">judges with lower or higher proficiency, with or without rating experience, with or without training received in the evaluation of learner writing) and examine whether specific groups of judges would interpret writing quality differently from the others. </w:t>
      </w:r>
    </w:p>
    <w:p w14:paraId="494868D6" w14:textId="458ABF3D" w:rsidR="00F835A1" w:rsidRDefault="00F835A1">
      <w:pPr>
        <w:spacing w:line="480" w:lineRule="auto"/>
        <w:ind w:firstLine="720"/>
      </w:pPr>
      <w:r>
        <w:t>For all statistical tests, the alpha level was set to 0.05.</w:t>
      </w:r>
    </w:p>
    <w:p w14:paraId="6B7224F2" w14:textId="39A37627" w:rsidR="00364A79" w:rsidRDefault="00EB7938">
      <w:pPr>
        <w:spacing w:line="480" w:lineRule="auto"/>
        <w:ind w:firstLine="720"/>
      </w:pPr>
      <w:r>
        <w:t xml:space="preserve">In the OSF project, we share the dataset with all the comparisons made between texts which can be used to recreate the BTL model. </w:t>
      </w:r>
    </w:p>
    <w:p w14:paraId="150051E6" w14:textId="77777777" w:rsidR="00364A79" w:rsidRDefault="00364A79">
      <w:pPr>
        <w:spacing w:line="480" w:lineRule="auto"/>
      </w:pPr>
    </w:p>
    <w:p w14:paraId="4852B34E" w14:textId="77777777" w:rsidR="00364A79" w:rsidRDefault="00EB7938">
      <w:pPr>
        <w:pStyle w:val="Titre2"/>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Results</w:t>
      </w:r>
    </w:p>
    <w:p w14:paraId="27B58D81" w14:textId="77777777" w:rsidR="00364A79" w:rsidRDefault="00364A79"/>
    <w:p w14:paraId="7B02635A" w14:textId="1136215C" w:rsidR="00364A79" w:rsidRDefault="00EB7938">
      <w:pPr>
        <w:spacing w:line="480" w:lineRule="auto"/>
        <w:ind w:firstLine="720"/>
      </w:pPr>
      <w:r>
        <w:t xml:space="preserve">     Rank-ordering the 50 essays from the text written by the least advanced speaker (rank = 1) to the text written by the most advanced speaker (rank = 50) resulted in a ‘perceived writing quality’ scale with high reliability (Scale Separation Reliability (SSR) = .9</w:t>
      </w:r>
      <w:r w:rsidR="00FF15B9">
        <w:t>5</w:t>
      </w:r>
      <w:r>
        <w:t xml:space="preserve">). Figure 2 also shows that the SSR reaches asymptote, meaning that the returns on the SSR (i.e. the difference in SSR between a round and the previous round) remained below .01 for three consecutive rounds, after 14 rounds. This means that the measurement scale (i.e. the </w:t>
      </w:r>
      <w:r>
        <w:lastRenderedPageBreak/>
        <w:t>ranking) is stable and that it already reached stability or consensus in judgment after 14 rounds.</w:t>
      </w:r>
    </w:p>
    <w:p w14:paraId="64AA71BB" w14:textId="77777777" w:rsidR="008B7FB5" w:rsidRDefault="008B7FB5">
      <w:pPr>
        <w:spacing w:line="480" w:lineRule="auto"/>
        <w:ind w:firstLine="720"/>
      </w:pPr>
    </w:p>
    <w:p w14:paraId="6F83A61B" w14:textId="77777777" w:rsidR="008B7FB5" w:rsidRPr="008B7FB5" w:rsidRDefault="008B7FB5" w:rsidP="008B7FB5">
      <w:pPr>
        <w:spacing w:line="480" w:lineRule="auto"/>
        <w:rPr>
          <w:b/>
        </w:rPr>
      </w:pPr>
      <w:r w:rsidRPr="008B7FB5">
        <w:rPr>
          <w:b/>
        </w:rPr>
        <w:t>Figure 2</w:t>
      </w:r>
    </w:p>
    <w:p w14:paraId="721DB74A" w14:textId="2AACC0AE" w:rsidR="008B7FB5" w:rsidRPr="008B7FB5" w:rsidRDefault="008B7FB5" w:rsidP="008B7FB5">
      <w:pPr>
        <w:spacing w:line="480" w:lineRule="auto"/>
        <w:rPr>
          <w:i/>
        </w:rPr>
      </w:pPr>
      <w:r>
        <w:rPr>
          <w:i/>
        </w:rPr>
        <w:t>How Many R</w:t>
      </w:r>
      <w:r w:rsidRPr="008B7FB5">
        <w:rPr>
          <w:i/>
        </w:rPr>
        <w:t xml:space="preserve">ounds are </w:t>
      </w:r>
      <w:r>
        <w:rPr>
          <w:i/>
        </w:rPr>
        <w:t>Necessary to R</w:t>
      </w:r>
      <w:r w:rsidRPr="008B7FB5">
        <w:rPr>
          <w:i/>
        </w:rPr>
        <w:t xml:space="preserve">each </w:t>
      </w:r>
      <w:r>
        <w:rPr>
          <w:i/>
        </w:rPr>
        <w:t>A</w:t>
      </w:r>
      <w:r w:rsidRPr="008B7FB5">
        <w:rPr>
          <w:i/>
        </w:rPr>
        <w:t>symptote?</w:t>
      </w:r>
    </w:p>
    <w:p w14:paraId="25AA7D91" w14:textId="77777777" w:rsidR="00364A79" w:rsidRDefault="00EB7938">
      <w:pPr>
        <w:spacing w:line="480" w:lineRule="auto"/>
      </w:pPr>
      <w:r>
        <w:rPr>
          <w:noProof/>
          <w:lang w:val="fr-BE" w:eastAsia="fr-BE"/>
        </w:rPr>
        <w:drawing>
          <wp:inline distT="0" distB="0" distL="0" distR="0" wp14:anchorId="7F50B774" wp14:editId="569AD746">
            <wp:extent cx="4370899" cy="3122071"/>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4370899" cy="3122071"/>
                    </a:xfrm>
                    <a:prstGeom prst="rect">
                      <a:avLst/>
                    </a:prstGeom>
                    <a:ln/>
                  </pic:spPr>
                </pic:pic>
              </a:graphicData>
            </a:graphic>
          </wp:inline>
        </w:drawing>
      </w:r>
    </w:p>
    <w:p w14:paraId="484FB65B" w14:textId="77777777" w:rsidR="00364A79" w:rsidRDefault="00364A79">
      <w:pPr>
        <w:spacing w:line="480" w:lineRule="auto"/>
      </w:pPr>
    </w:p>
    <w:p w14:paraId="35139940" w14:textId="43DACCA2" w:rsidR="00364A79" w:rsidRDefault="00EB7938">
      <w:pPr>
        <w:spacing w:line="480" w:lineRule="auto"/>
      </w:pPr>
      <w:r>
        <w:t xml:space="preserve">Three raters out of 43 (7%) exhibit infit values larger than the cutoff value of the mean plus two standard deviations: raters </w:t>
      </w:r>
      <w:r w:rsidR="00FB33B4">
        <w:t xml:space="preserve">3021, </w:t>
      </w:r>
      <w:r>
        <w:t xml:space="preserve">3025, </w:t>
      </w:r>
      <w:r w:rsidR="00FB33B4">
        <w:t xml:space="preserve">and </w:t>
      </w:r>
      <w:r>
        <w:t xml:space="preserve">3045 (see Appendix </w:t>
      </w:r>
      <w:r w:rsidR="007B10B4">
        <w:t>S</w:t>
      </w:r>
      <w:r>
        <w:t>2</w:t>
      </w:r>
      <w:r w:rsidR="001F0EC3">
        <w:t>; misfit = 1</w:t>
      </w:r>
      <w:r>
        <w:t xml:space="preserve">). The three raters vary in L1 background (Arabic, English and Chinese), but all of them report frequent experience rating learner texts either as an examiner for language proficiency, as an instructor in a language course and/or as an instructor in a content course, and they also received formal training in the evaluation of learner writing. </w:t>
      </w:r>
      <w:r w:rsidR="00FB33B4">
        <w:t>It is also worth noting that while the first two raters contributed sixteen comparisons, rater 3045 only made two judgments</w:t>
      </w:r>
      <w:r w:rsidR="0086282C">
        <w:t>, which probably means that his or her infit score should be treated with caution</w:t>
      </w:r>
      <w:r w:rsidR="00FB33B4">
        <w:t xml:space="preserve">. </w:t>
      </w:r>
      <w:r>
        <w:t xml:space="preserve">There are also two misfit texts: text 408 and text 424 (see Appendix </w:t>
      </w:r>
      <w:r w:rsidR="007B10B4">
        <w:t>S</w:t>
      </w:r>
      <w:r>
        <w:t>3). The two texts both have a low ranking according to the ETS raters.</w:t>
      </w:r>
    </w:p>
    <w:p w14:paraId="4BEAFE12" w14:textId="7451CC97" w:rsidR="00364A79" w:rsidRDefault="00EB7938">
      <w:pPr>
        <w:spacing w:line="480" w:lineRule="auto"/>
        <w:ind w:firstLine="720"/>
      </w:pPr>
      <w:r>
        <w:lastRenderedPageBreak/>
        <w:t>To answer RQ2, a linear model was fit with ‘rank order’ as the dependent variable and ‘proficiency level’ (low vs. medium vs. high) as the independent variable. The model is significant (F =25.88 , df1 = 2, df2 = 47, p</w:t>
      </w:r>
      <w:r w:rsidR="00FD614C">
        <w:t xml:space="preserve"> &lt; .001</w:t>
      </w:r>
      <w:r>
        <w:t xml:space="preserve">) and accounts for a moderate amount of variance in the rank order (adjusted R² = .5). It is presented summarily in Table </w:t>
      </w:r>
      <w:r w:rsidR="00335960">
        <w:t>7</w:t>
      </w:r>
      <w:r>
        <w:t xml:space="preserve">. The nature of the effect of proficiency level is relatively straightforward and shown in Figure 3. There is a significant tendency such that lower, medium and higher rank ordering </w:t>
      </w:r>
      <w:r w:rsidR="00B723AC">
        <w:t xml:space="preserve">are associated </w:t>
      </w:r>
      <w:r>
        <w:t>with low, medium and high proficiency level respectively (as recorded in the ETS Corpus of Non-Native Writ</w:t>
      </w:r>
      <w:r w:rsidR="000B5972">
        <w:t>ten Engli</w:t>
      </w:r>
      <w:bookmarkStart w:id="0" w:name="_GoBack"/>
      <w:bookmarkEnd w:id="0"/>
      <w:r w:rsidR="000B5972">
        <w:t>sh). Model diagnostics</w:t>
      </w:r>
      <w:r>
        <w:t xml:space="preserve"> </w:t>
      </w:r>
      <w:r w:rsidR="00F03454">
        <w:t xml:space="preserve">with the </w:t>
      </w:r>
      <w:r w:rsidR="00F03454" w:rsidRPr="00F03454">
        <w:rPr>
          <w:i/>
        </w:rPr>
        <w:t>gvlma</w:t>
      </w:r>
      <w:r w:rsidR="00F03454">
        <w:t xml:space="preserve"> function </w:t>
      </w:r>
      <w:r>
        <w:t>revealed no problematic aspects of the final model</w:t>
      </w:r>
      <w:r w:rsidR="000B4757">
        <w:t>. T</w:t>
      </w:r>
      <w:r w:rsidR="000B5972">
        <w:t xml:space="preserve">he </w:t>
      </w:r>
      <w:r w:rsidR="000B5972" w:rsidRPr="000B5972">
        <w:rPr>
          <w:i/>
        </w:rPr>
        <w:t>gvlma</w:t>
      </w:r>
      <w:r w:rsidR="000B5972">
        <w:t xml:space="preserve"> funct</w:t>
      </w:r>
      <w:r w:rsidR="000B4757">
        <w:t xml:space="preserve">ion tests for </w:t>
      </w:r>
      <w:r w:rsidR="00F03454">
        <w:t xml:space="preserve">linearity, </w:t>
      </w:r>
      <w:r w:rsidR="000B4757">
        <w:t xml:space="preserve">normality of distribution of the residuals, </w:t>
      </w:r>
      <w:r w:rsidR="00F03454">
        <w:t xml:space="preserve">variable type, </w:t>
      </w:r>
      <w:r w:rsidR="000B4757">
        <w:t xml:space="preserve">and homoscedasticity, and showed that all assumptions were </w:t>
      </w:r>
      <w:r w:rsidR="000B5972">
        <w:t>acceptable</w:t>
      </w:r>
      <w:r>
        <w:t>.</w:t>
      </w:r>
    </w:p>
    <w:p w14:paraId="32A53617" w14:textId="77777777" w:rsidR="00FA4885" w:rsidRDefault="00FA4885">
      <w:pPr>
        <w:spacing w:line="480" w:lineRule="auto"/>
        <w:ind w:firstLine="720"/>
      </w:pPr>
    </w:p>
    <w:p w14:paraId="2461B25A" w14:textId="77777777" w:rsidR="00FA4885" w:rsidRPr="00FA4885" w:rsidRDefault="00EB7938">
      <w:pPr>
        <w:spacing w:line="480" w:lineRule="auto"/>
        <w:rPr>
          <w:b/>
        </w:rPr>
      </w:pPr>
      <w:r w:rsidRPr="00FA4885">
        <w:rPr>
          <w:b/>
        </w:rPr>
        <w:t xml:space="preserve">Table </w:t>
      </w:r>
      <w:r w:rsidR="00335960" w:rsidRPr="00FA4885">
        <w:rPr>
          <w:b/>
        </w:rPr>
        <w:t>7</w:t>
      </w:r>
    </w:p>
    <w:p w14:paraId="1121DFDE" w14:textId="0ACFB5CA" w:rsidR="00364A79" w:rsidRPr="00FA4885" w:rsidRDefault="00FA4885">
      <w:pPr>
        <w:spacing w:line="480" w:lineRule="auto"/>
        <w:rPr>
          <w:i/>
        </w:rPr>
      </w:pPr>
      <w:r>
        <w:rPr>
          <w:i/>
        </w:rPr>
        <w:t>Summary Results of the Regression Model Used to A</w:t>
      </w:r>
      <w:r w:rsidR="00EB7938" w:rsidRPr="00FA4885">
        <w:rPr>
          <w:i/>
        </w:rPr>
        <w:t>nswer RQ2</w:t>
      </w:r>
    </w:p>
    <w:tbl>
      <w:tblPr>
        <w:tblStyle w:val="Grilledutableau"/>
        <w:tblW w:w="908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2"/>
        <w:gridCol w:w="1146"/>
        <w:gridCol w:w="882"/>
        <w:gridCol w:w="1193"/>
        <w:gridCol w:w="902"/>
        <w:gridCol w:w="992"/>
        <w:gridCol w:w="1843"/>
      </w:tblGrid>
      <w:tr w:rsidR="00376AE0" w14:paraId="760B7FAB" w14:textId="03DF58E5" w:rsidTr="00633106">
        <w:trPr>
          <w:trHeight w:val="672"/>
        </w:trPr>
        <w:tc>
          <w:tcPr>
            <w:tcW w:w="2122" w:type="dxa"/>
            <w:tcBorders>
              <w:top w:val="single" w:sz="4" w:space="0" w:color="auto"/>
              <w:bottom w:val="single" w:sz="4" w:space="0" w:color="auto"/>
            </w:tcBorders>
          </w:tcPr>
          <w:p w14:paraId="5B960DA1" w14:textId="77777777" w:rsidR="007C399C" w:rsidRDefault="007C399C" w:rsidP="00FA4885">
            <w:pPr>
              <w:spacing w:before="120" w:line="480" w:lineRule="auto"/>
            </w:pPr>
          </w:p>
        </w:tc>
        <w:tc>
          <w:tcPr>
            <w:tcW w:w="1146" w:type="dxa"/>
            <w:tcBorders>
              <w:top w:val="single" w:sz="4" w:space="0" w:color="auto"/>
              <w:bottom w:val="single" w:sz="4" w:space="0" w:color="auto"/>
            </w:tcBorders>
          </w:tcPr>
          <w:p w14:paraId="2695CC5B" w14:textId="77777777" w:rsidR="007C399C" w:rsidRDefault="007C399C" w:rsidP="00FA4885">
            <w:pPr>
              <w:spacing w:before="120" w:line="480" w:lineRule="auto"/>
              <w:jc w:val="center"/>
            </w:pPr>
            <w:r>
              <w:t>Estimate</w:t>
            </w:r>
          </w:p>
        </w:tc>
        <w:tc>
          <w:tcPr>
            <w:tcW w:w="882" w:type="dxa"/>
            <w:tcBorders>
              <w:top w:val="single" w:sz="4" w:space="0" w:color="auto"/>
              <w:bottom w:val="single" w:sz="4" w:space="0" w:color="auto"/>
            </w:tcBorders>
          </w:tcPr>
          <w:p w14:paraId="2F392B81" w14:textId="78FC136C" w:rsidR="007C399C" w:rsidRDefault="00652A90" w:rsidP="00652A90">
            <w:pPr>
              <w:spacing w:before="120" w:line="480" w:lineRule="auto"/>
              <w:jc w:val="center"/>
              <w:rPr>
                <w:lang w:eastAsia="fr-BE"/>
              </w:rPr>
            </w:pPr>
            <w:r w:rsidRPr="00652A90">
              <w:rPr>
                <w:b/>
                <w:bCs/>
                <w:lang w:eastAsia="fr-BE"/>
              </w:rPr>
              <w:t>β</w:t>
            </w:r>
          </w:p>
        </w:tc>
        <w:tc>
          <w:tcPr>
            <w:tcW w:w="1193" w:type="dxa"/>
            <w:tcBorders>
              <w:top w:val="single" w:sz="4" w:space="0" w:color="auto"/>
              <w:bottom w:val="single" w:sz="4" w:space="0" w:color="auto"/>
            </w:tcBorders>
          </w:tcPr>
          <w:p w14:paraId="5BCD83FE" w14:textId="429D7FB5" w:rsidR="007C399C" w:rsidRDefault="007C399C" w:rsidP="00FA4885">
            <w:pPr>
              <w:spacing w:before="120" w:line="480" w:lineRule="auto"/>
              <w:jc w:val="center"/>
            </w:pPr>
            <w:r>
              <w:t>Std. error</w:t>
            </w:r>
          </w:p>
        </w:tc>
        <w:tc>
          <w:tcPr>
            <w:tcW w:w="902" w:type="dxa"/>
            <w:tcBorders>
              <w:top w:val="single" w:sz="4" w:space="0" w:color="auto"/>
              <w:bottom w:val="single" w:sz="4" w:space="0" w:color="auto"/>
            </w:tcBorders>
          </w:tcPr>
          <w:p w14:paraId="764D854E" w14:textId="77777777" w:rsidR="007C399C" w:rsidRDefault="007C399C" w:rsidP="00FA4885">
            <w:pPr>
              <w:spacing w:before="120" w:line="480" w:lineRule="auto"/>
              <w:jc w:val="center"/>
            </w:pPr>
            <w:r>
              <w:t>t value</w:t>
            </w:r>
          </w:p>
        </w:tc>
        <w:tc>
          <w:tcPr>
            <w:tcW w:w="992" w:type="dxa"/>
            <w:tcBorders>
              <w:top w:val="single" w:sz="4" w:space="0" w:color="auto"/>
              <w:bottom w:val="single" w:sz="4" w:space="0" w:color="auto"/>
            </w:tcBorders>
          </w:tcPr>
          <w:p w14:paraId="16FFFFF8" w14:textId="77777777" w:rsidR="007C399C" w:rsidRDefault="007C399C" w:rsidP="00FA4885">
            <w:pPr>
              <w:spacing w:before="120" w:line="480" w:lineRule="auto"/>
              <w:jc w:val="center"/>
            </w:pPr>
            <w:r>
              <w:t>p</w:t>
            </w:r>
          </w:p>
        </w:tc>
        <w:tc>
          <w:tcPr>
            <w:tcW w:w="1843" w:type="dxa"/>
            <w:tcBorders>
              <w:top w:val="single" w:sz="4" w:space="0" w:color="auto"/>
              <w:bottom w:val="single" w:sz="4" w:space="0" w:color="auto"/>
            </w:tcBorders>
          </w:tcPr>
          <w:p w14:paraId="2A620908" w14:textId="362EE1C0" w:rsidR="007C399C" w:rsidRDefault="00306272" w:rsidP="00FA4885">
            <w:pPr>
              <w:spacing w:before="120" w:line="480" w:lineRule="auto"/>
              <w:jc w:val="center"/>
            </w:pPr>
            <w:r>
              <w:rPr>
                <w:lang w:val="en-CA"/>
              </w:rPr>
              <w:t xml:space="preserve">95% </w:t>
            </w:r>
            <w:r w:rsidR="007C399C">
              <w:t>CI</w:t>
            </w:r>
          </w:p>
        </w:tc>
      </w:tr>
      <w:tr w:rsidR="00376AE0" w14:paraId="778BE363" w14:textId="60697BDD" w:rsidTr="00633106">
        <w:trPr>
          <w:trHeight w:val="672"/>
        </w:trPr>
        <w:tc>
          <w:tcPr>
            <w:tcW w:w="2122" w:type="dxa"/>
            <w:tcBorders>
              <w:top w:val="single" w:sz="4" w:space="0" w:color="auto"/>
            </w:tcBorders>
          </w:tcPr>
          <w:p w14:paraId="322DB444" w14:textId="77777777" w:rsidR="007C399C" w:rsidRDefault="007C399C" w:rsidP="00FA4885">
            <w:pPr>
              <w:spacing w:before="120" w:line="480" w:lineRule="auto"/>
            </w:pPr>
            <w:r>
              <w:t>(intercept)</w:t>
            </w:r>
          </w:p>
        </w:tc>
        <w:tc>
          <w:tcPr>
            <w:tcW w:w="1146" w:type="dxa"/>
            <w:tcBorders>
              <w:top w:val="single" w:sz="4" w:space="0" w:color="auto"/>
            </w:tcBorders>
          </w:tcPr>
          <w:p w14:paraId="1E6952F9" w14:textId="2D97F3EA" w:rsidR="007C399C" w:rsidRDefault="007C399C" w:rsidP="00FA4885">
            <w:pPr>
              <w:spacing w:before="120" w:line="480" w:lineRule="auto"/>
              <w:jc w:val="center"/>
            </w:pPr>
            <w:r>
              <w:t>23.66</w:t>
            </w:r>
          </w:p>
        </w:tc>
        <w:tc>
          <w:tcPr>
            <w:tcW w:w="882" w:type="dxa"/>
            <w:tcBorders>
              <w:top w:val="single" w:sz="4" w:space="0" w:color="auto"/>
            </w:tcBorders>
          </w:tcPr>
          <w:p w14:paraId="6E7D3938" w14:textId="6E9D3C64" w:rsidR="007C399C" w:rsidRDefault="004B76C6" w:rsidP="00FA4885">
            <w:pPr>
              <w:spacing w:before="120" w:line="480" w:lineRule="auto"/>
              <w:jc w:val="center"/>
            </w:pPr>
            <w:r w:rsidRPr="004B76C6">
              <w:t>-0.126</w:t>
            </w:r>
          </w:p>
        </w:tc>
        <w:tc>
          <w:tcPr>
            <w:tcW w:w="1193" w:type="dxa"/>
            <w:tcBorders>
              <w:top w:val="single" w:sz="4" w:space="0" w:color="auto"/>
            </w:tcBorders>
          </w:tcPr>
          <w:p w14:paraId="49A0CBC2" w14:textId="223BE2EC" w:rsidR="007C399C" w:rsidRDefault="007C399C" w:rsidP="00FA4885">
            <w:pPr>
              <w:spacing w:before="120" w:line="480" w:lineRule="auto"/>
              <w:jc w:val="center"/>
            </w:pPr>
            <w:r>
              <w:t>1.49</w:t>
            </w:r>
          </w:p>
        </w:tc>
        <w:tc>
          <w:tcPr>
            <w:tcW w:w="902" w:type="dxa"/>
            <w:tcBorders>
              <w:top w:val="single" w:sz="4" w:space="0" w:color="auto"/>
            </w:tcBorders>
          </w:tcPr>
          <w:p w14:paraId="38B5BF3F" w14:textId="5F6DCA5B" w:rsidR="007C399C" w:rsidRDefault="007C399C" w:rsidP="00FA4885">
            <w:pPr>
              <w:spacing w:before="120" w:line="480" w:lineRule="auto"/>
              <w:jc w:val="center"/>
            </w:pPr>
            <w:r>
              <w:t>15.92</w:t>
            </w:r>
          </w:p>
        </w:tc>
        <w:tc>
          <w:tcPr>
            <w:tcW w:w="992" w:type="dxa"/>
            <w:tcBorders>
              <w:top w:val="single" w:sz="4" w:space="0" w:color="auto"/>
            </w:tcBorders>
          </w:tcPr>
          <w:p w14:paraId="2F76B1B3" w14:textId="11F8F90D" w:rsidR="007C399C" w:rsidRDefault="007C399C" w:rsidP="00FA4885">
            <w:pPr>
              <w:spacing w:before="120" w:line="480" w:lineRule="auto"/>
              <w:jc w:val="center"/>
            </w:pPr>
            <w:r>
              <w:t>&lt; .001</w:t>
            </w:r>
          </w:p>
        </w:tc>
        <w:tc>
          <w:tcPr>
            <w:tcW w:w="1843" w:type="dxa"/>
            <w:tcBorders>
              <w:top w:val="single" w:sz="4" w:space="0" w:color="auto"/>
            </w:tcBorders>
          </w:tcPr>
          <w:p w14:paraId="49C1B177" w14:textId="469EAFC4" w:rsidR="007C399C" w:rsidRDefault="007C399C" w:rsidP="00FA4885">
            <w:pPr>
              <w:spacing w:before="120" w:line="480" w:lineRule="auto"/>
              <w:jc w:val="center"/>
            </w:pPr>
            <w:r>
              <w:t>[3.49</w:t>
            </w:r>
            <w:r w:rsidR="008729B6">
              <w:rPr>
                <w:lang w:val="en-CA"/>
              </w:rPr>
              <w:t xml:space="preserve">, </w:t>
            </w:r>
            <w:r w:rsidR="008729B6">
              <w:t>21.8</w:t>
            </w:r>
            <w:r>
              <w:t>]</w:t>
            </w:r>
          </w:p>
        </w:tc>
      </w:tr>
      <w:tr w:rsidR="00376AE0" w14:paraId="1CC94F54" w14:textId="1809BB36" w:rsidTr="00633106">
        <w:trPr>
          <w:trHeight w:val="672"/>
        </w:trPr>
        <w:tc>
          <w:tcPr>
            <w:tcW w:w="2122" w:type="dxa"/>
          </w:tcPr>
          <w:p w14:paraId="4C9F321E" w14:textId="17772218" w:rsidR="007C399C" w:rsidRDefault="007C399C" w:rsidP="00FA4885">
            <w:pPr>
              <w:spacing w:before="120" w:line="480" w:lineRule="auto"/>
            </w:pPr>
            <w:r>
              <w:t>LEVEL</w:t>
            </w:r>
            <w:r>
              <w:rPr>
                <w:vertAlign w:val="subscript"/>
              </w:rPr>
              <w:t xml:space="preserve">low </w:t>
            </w:r>
            <w:r w:rsidRPr="00F30048">
              <w:rPr>
                <w:i/>
                <w:vertAlign w:val="subscript"/>
              </w:rPr>
              <w:sym w:font="Wingdings" w:char="F0E0"/>
            </w:r>
            <w:r>
              <w:rPr>
                <w:vertAlign w:val="subscript"/>
              </w:rPr>
              <w:t xml:space="preserve"> medium</w:t>
            </w:r>
          </w:p>
        </w:tc>
        <w:tc>
          <w:tcPr>
            <w:tcW w:w="1146" w:type="dxa"/>
          </w:tcPr>
          <w:p w14:paraId="12528B22" w14:textId="5063B94D" w:rsidR="007C399C" w:rsidRDefault="007C399C" w:rsidP="00FA4885">
            <w:pPr>
              <w:spacing w:before="120" w:line="480" w:lineRule="auto"/>
              <w:jc w:val="center"/>
            </w:pPr>
            <w:r>
              <w:t>12.66</w:t>
            </w:r>
          </w:p>
        </w:tc>
        <w:tc>
          <w:tcPr>
            <w:tcW w:w="882" w:type="dxa"/>
          </w:tcPr>
          <w:p w14:paraId="086B0BAE" w14:textId="77CABB02" w:rsidR="007C399C" w:rsidRDefault="00FF4655" w:rsidP="00FA4885">
            <w:pPr>
              <w:spacing w:before="120" w:line="480" w:lineRule="auto"/>
              <w:jc w:val="center"/>
            </w:pPr>
            <w:r w:rsidRPr="00FF4655">
              <w:t>0.868</w:t>
            </w:r>
          </w:p>
        </w:tc>
        <w:tc>
          <w:tcPr>
            <w:tcW w:w="1193" w:type="dxa"/>
          </w:tcPr>
          <w:p w14:paraId="03B04FDA" w14:textId="56A4B971" w:rsidR="007C399C" w:rsidRDefault="007C399C" w:rsidP="00FA4885">
            <w:pPr>
              <w:spacing w:before="120" w:line="480" w:lineRule="auto"/>
              <w:jc w:val="center"/>
            </w:pPr>
            <w:r>
              <w:t>3.79</w:t>
            </w:r>
          </w:p>
        </w:tc>
        <w:tc>
          <w:tcPr>
            <w:tcW w:w="902" w:type="dxa"/>
          </w:tcPr>
          <w:p w14:paraId="1DF41006" w14:textId="57366E40" w:rsidR="007C399C" w:rsidRDefault="007C399C" w:rsidP="00FA4885">
            <w:pPr>
              <w:spacing w:before="120" w:line="480" w:lineRule="auto"/>
              <w:jc w:val="center"/>
            </w:pPr>
            <w:r>
              <w:t>3.34</w:t>
            </w:r>
          </w:p>
        </w:tc>
        <w:tc>
          <w:tcPr>
            <w:tcW w:w="992" w:type="dxa"/>
          </w:tcPr>
          <w:p w14:paraId="37178801" w14:textId="5E306E48" w:rsidR="007C399C" w:rsidRDefault="007C399C" w:rsidP="00FA4885">
            <w:pPr>
              <w:spacing w:before="120" w:line="480" w:lineRule="auto"/>
              <w:jc w:val="center"/>
            </w:pPr>
            <w:r>
              <w:t>0.002</w:t>
            </w:r>
          </w:p>
        </w:tc>
        <w:tc>
          <w:tcPr>
            <w:tcW w:w="1843" w:type="dxa"/>
          </w:tcPr>
          <w:p w14:paraId="485FB8E5" w14:textId="733F7394" w:rsidR="007C399C" w:rsidRDefault="007C399C" w:rsidP="00FA4885">
            <w:pPr>
              <w:spacing w:before="120" w:line="480" w:lineRule="auto"/>
              <w:jc w:val="center"/>
            </w:pPr>
            <w:r>
              <w:t>[17.65</w:t>
            </w:r>
            <w:r w:rsidR="008729B6">
              <w:rPr>
                <w:lang w:val="en-CA"/>
              </w:rPr>
              <w:t xml:space="preserve">, </w:t>
            </w:r>
            <w:r w:rsidR="008729B6">
              <w:t>36.0</w:t>
            </w:r>
            <w:r>
              <w:t>]</w:t>
            </w:r>
          </w:p>
        </w:tc>
      </w:tr>
      <w:tr w:rsidR="00376AE0" w14:paraId="178F9240" w14:textId="56719AD3" w:rsidTr="00633106">
        <w:trPr>
          <w:trHeight w:val="672"/>
        </w:trPr>
        <w:tc>
          <w:tcPr>
            <w:tcW w:w="2122" w:type="dxa"/>
          </w:tcPr>
          <w:p w14:paraId="71F50F7F" w14:textId="0303A29E" w:rsidR="007C399C" w:rsidRDefault="007C399C" w:rsidP="00FA4885">
            <w:pPr>
              <w:spacing w:before="120" w:line="480" w:lineRule="auto"/>
            </w:pPr>
            <w:r>
              <w:t>LEVEL</w:t>
            </w:r>
            <w:r>
              <w:rPr>
                <w:vertAlign w:val="subscript"/>
              </w:rPr>
              <w:t xml:space="preserve">medium </w:t>
            </w:r>
            <w:r w:rsidRPr="00F30048">
              <w:rPr>
                <w:i/>
                <w:vertAlign w:val="subscript"/>
              </w:rPr>
              <w:sym w:font="Wingdings" w:char="F0E0"/>
            </w:r>
            <w:r>
              <w:rPr>
                <w:vertAlign w:val="subscript"/>
              </w:rPr>
              <w:t xml:space="preserve"> high</w:t>
            </w:r>
          </w:p>
        </w:tc>
        <w:tc>
          <w:tcPr>
            <w:tcW w:w="1146" w:type="dxa"/>
          </w:tcPr>
          <w:p w14:paraId="61606E00" w14:textId="3D822E70" w:rsidR="007C399C" w:rsidRDefault="007C399C" w:rsidP="00FA4885">
            <w:pPr>
              <w:spacing w:before="120" w:line="480" w:lineRule="auto"/>
              <w:jc w:val="center"/>
            </w:pPr>
            <w:r>
              <w:t>14.16</w:t>
            </w:r>
          </w:p>
        </w:tc>
        <w:tc>
          <w:tcPr>
            <w:tcW w:w="882" w:type="dxa"/>
          </w:tcPr>
          <w:p w14:paraId="5DEF1DBB" w14:textId="235B3786" w:rsidR="007C399C" w:rsidRDefault="002C51B6" w:rsidP="00FA4885">
            <w:pPr>
              <w:spacing w:before="120" w:line="480" w:lineRule="auto"/>
              <w:jc w:val="center"/>
            </w:pPr>
            <w:r w:rsidRPr="002C51B6">
              <w:t>0.971</w:t>
            </w:r>
          </w:p>
        </w:tc>
        <w:tc>
          <w:tcPr>
            <w:tcW w:w="1193" w:type="dxa"/>
          </w:tcPr>
          <w:p w14:paraId="4B68E15F" w14:textId="6863F65C" w:rsidR="007C399C" w:rsidRDefault="007C399C" w:rsidP="00FA4885">
            <w:pPr>
              <w:spacing w:before="120" w:line="480" w:lineRule="auto"/>
              <w:jc w:val="center"/>
            </w:pPr>
            <w:r>
              <w:t>3.33</w:t>
            </w:r>
          </w:p>
        </w:tc>
        <w:tc>
          <w:tcPr>
            <w:tcW w:w="902" w:type="dxa"/>
          </w:tcPr>
          <w:p w14:paraId="119ADE85" w14:textId="120393E8" w:rsidR="007C399C" w:rsidRDefault="007C399C" w:rsidP="00FA4885">
            <w:pPr>
              <w:spacing w:before="120" w:line="480" w:lineRule="auto"/>
              <w:jc w:val="center"/>
            </w:pPr>
            <w:r>
              <w:t>4.25</w:t>
            </w:r>
          </w:p>
        </w:tc>
        <w:tc>
          <w:tcPr>
            <w:tcW w:w="992" w:type="dxa"/>
          </w:tcPr>
          <w:p w14:paraId="7D574218" w14:textId="2E4DD89D" w:rsidR="007C399C" w:rsidRDefault="007C399C" w:rsidP="00FA4885">
            <w:pPr>
              <w:spacing w:before="120" w:line="480" w:lineRule="auto"/>
              <w:jc w:val="center"/>
            </w:pPr>
            <w:r>
              <w:t>&lt; .001</w:t>
            </w:r>
          </w:p>
        </w:tc>
        <w:tc>
          <w:tcPr>
            <w:tcW w:w="1843" w:type="dxa"/>
          </w:tcPr>
          <w:p w14:paraId="5F4D6E63" w14:textId="795E33DF" w:rsidR="007C399C" w:rsidRDefault="007C399C" w:rsidP="00FA4885">
            <w:pPr>
              <w:spacing w:before="120" w:line="480" w:lineRule="auto"/>
              <w:jc w:val="center"/>
            </w:pPr>
            <w:r>
              <w:t>[6.10</w:t>
            </w:r>
            <w:r w:rsidR="008729B6">
              <w:rPr>
                <w:lang w:val="en-CA"/>
              </w:rPr>
              <w:t xml:space="preserve">, </w:t>
            </w:r>
            <w:r w:rsidR="008729B6">
              <w:t>22.2</w:t>
            </w:r>
            <w:r>
              <w:t>]</w:t>
            </w:r>
          </w:p>
        </w:tc>
      </w:tr>
    </w:tbl>
    <w:p w14:paraId="79EA5AB7" w14:textId="3E3144B1" w:rsidR="00364A79" w:rsidRDefault="00364A79">
      <w:pPr>
        <w:spacing w:line="480" w:lineRule="auto"/>
      </w:pPr>
    </w:p>
    <w:p w14:paraId="03251A23" w14:textId="3457EF48" w:rsidR="00376AE0" w:rsidRDefault="00376AE0">
      <w:pPr>
        <w:spacing w:line="480" w:lineRule="auto"/>
      </w:pPr>
    </w:p>
    <w:p w14:paraId="2C837A5E" w14:textId="4E2EE990" w:rsidR="00376AE0" w:rsidRDefault="00376AE0">
      <w:pPr>
        <w:spacing w:line="480" w:lineRule="auto"/>
      </w:pPr>
    </w:p>
    <w:p w14:paraId="78C305BC" w14:textId="299945F4" w:rsidR="00376AE0" w:rsidRDefault="00376AE0">
      <w:pPr>
        <w:spacing w:line="480" w:lineRule="auto"/>
      </w:pPr>
    </w:p>
    <w:p w14:paraId="781D62FA" w14:textId="689C73AC" w:rsidR="00376AE0" w:rsidRDefault="00376AE0">
      <w:pPr>
        <w:spacing w:line="480" w:lineRule="auto"/>
      </w:pPr>
    </w:p>
    <w:p w14:paraId="550E6C1E" w14:textId="77777777" w:rsidR="00376AE0" w:rsidRDefault="00376AE0">
      <w:pPr>
        <w:spacing w:line="480" w:lineRule="auto"/>
      </w:pPr>
    </w:p>
    <w:p w14:paraId="774C2278" w14:textId="77777777" w:rsidR="008B7FB5" w:rsidRPr="008B7FB5" w:rsidRDefault="008B7FB5" w:rsidP="008B7FB5">
      <w:pPr>
        <w:spacing w:line="480" w:lineRule="auto"/>
        <w:rPr>
          <w:b/>
        </w:rPr>
      </w:pPr>
      <w:r w:rsidRPr="008B7FB5">
        <w:rPr>
          <w:b/>
        </w:rPr>
        <w:lastRenderedPageBreak/>
        <w:t>Figure 3</w:t>
      </w:r>
    </w:p>
    <w:p w14:paraId="7EC63EC8" w14:textId="5C6AF81B" w:rsidR="008B7FB5" w:rsidRPr="008B7FB5" w:rsidRDefault="008B7FB5" w:rsidP="008B7FB5">
      <w:pPr>
        <w:spacing w:line="480" w:lineRule="auto"/>
        <w:rPr>
          <w:i/>
        </w:rPr>
      </w:pPr>
      <w:r w:rsidRPr="008B7FB5">
        <w:rPr>
          <w:i/>
        </w:rPr>
        <w:t xml:space="preserve">The </w:t>
      </w:r>
      <w:r>
        <w:rPr>
          <w:i/>
        </w:rPr>
        <w:t>Relationship between “Rank Order” and “Assessed P</w:t>
      </w:r>
      <w:r w:rsidRPr="008B7FB5">
        <w:rPr>
          <w:i/>
        </w:rPr>
        <w:t>roficiency”</w:t>
      </w:r>
    </w:p>
    <w:p w14:paraId="2EA72AE6" w14:textId="77777777" w:rsidR="00364A79" w:rsidRDefault="00EB7938">
      <w:pPr>
        <w:spacing w:line="480" w:lineRule="auto"/>
      </w:pPr>
      <w:r>
        <w:rPr>
          <w:noProof/>
          <w:lang w:val="fr-BE" w:eastAsia="fr-BE"/>
        </w:rPr>
        <w:drawing>
          <wp:inline distT="0" distB="0" distL="0" distR="0" wp14:anchorId="0D417545" wp14:editId="233C8D91">
            <wp:extent cx="5467350" cy="2251075"/>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t="11486"/>
                    <a:stretch>
                      <a:fillRect/>
                    </a:stretch>
                  </pic:blipFill>
                  <pic:spPr>
                    <a:xfrm>
                      <a:off x="0" y="0"/>
                      <a:ext cx="5467350" cy="2251075"/>
                    </a:xfrm>
                    <a:prstGeom prst="rect">
                      <a:avLst/>
                    </a:prstGeom>
                    <a:ln/>
                  </pic:spPr>
                </pic:pic>
              </a:graphicData>
            </a:graphic>
          </wp:inline>
        </w:drawing>
      </w:r>
    </w:p>
    <w:p w14:paraId="5F1F0332" w14:textId="77777777" w:rsidR="00364A79" w:rsidRDefault="00364A79">
      <w:pPr>
        <w:spacing w:line="480" w:lineRule="auto"/>
      </w:pPr>
    </w:p>
    <w:p w14:paraId="43CA71DA" w14:textId="3BE9308E" w:rsidR="00364A79" w:rsidRDefault="00EB7938">
      <w:pPr>
        <w:spacing w:line="480" w:lineRule="auto"/>
        <w:ind w:firstLine="720"/>
      </w:pPr>
      <w:bookmarkStart w:id="1" w:name="_gjdgxs" w:colFirst="0" w:colLast="0"/>
      <w:bookmarkEnd w:id="1"/>
      <w:r>
        <w:t xml:space="preserve">As shown in Figure 4, 10 out of the 12 (83.3%) ‘low’ texts are ranked among the first 12 texts with the lowest ranks (see Appendix </w:t>
      </w:r>
      <w:r w:rsidR="007B10B4">
        <w:t>S</w:t>
      </w:r>
      <w:r>
        <w:t>1 for the rank and proficiency level of each text). The two remaining ‘low’ texts are ranked 31 and 34 respectively, which indicates that they behave as outliers (defined here as texts with a rank greater to or less than the median ± 1.5*IQR). Similarly, 13 out of the 19 (68.42%) ‘high’ texts are ranked among the 19 best ranked essays. Lastly, 12 out of the 19 (63.16%) ‘medium’ texts appear between rank 13 and 31, as would be expected if the ranking perfectly matched the ETS proficiency levels (i.e. all ‘low’ texts would rank before all ‘medium’ texts, which would rank before all ‘high’ texts).</w:t>
      </w:r>
    </w:p>
    <w:p w14:paraId="3F3B997A" w14:textId="6FDE1666" w:rsidR="008B7FB5" w:rsidRDefault="008B7FB5" w:rsidP="008B7FB5">
      <w:pPr>
        <w:spacing w:line="480" w:lineRule="auto"/>
      </w:pPr>
    </w:p>
    <w:p w14:paraId="360E39B2" w14:textId="72B8C5C7" w:rsidR="00E4544A" w:rsidRDefault="00E4544A" w:rsidP="008B7FB5">
      <w:pPr>
        <w:spacing w:line="480" w:lineRule="auto"/>
      </w:pPr>
    </w:p>
    <w:p w14:paraId="3588478C" w14:textId="2A547627" w:rsidR="00E4544A" w:rsidRDefault="00E4544A" w:rsidP="008B7FB5">
      <w:pPr>
        <w:spacing w:line="480" w:lineRule="auto"/>
      </w:pPr>
    </w:p>
    <w:p w14:paraId="05458838" w14:textId="4E549096" w:rsidR="00E4544A" w:rsidRDefault="00E4544A" w:rsidP="008B7FB5">
      <w:pPr>
        <w:spacing w:line="480" w:lineRule="auto"/>
      </w:pPr>
    </w:p>
    <w:p w14:paraId="1D3BA888" w14:textId="57662675" w:rsidR="00E4544A" w:rsidRDefault="00E4544A" w:rsidP="008B7FB5">
      <w:pPr>
        <w:spacing w:line="480" w:lineRule="auto"/>
      </w:pPr>
    </w:p>
    <w:p w14:paraId="04DE2D33" w14:textId="5D985C7A" w:rsidR="00E4544A" w:rsidRDefault="00E4544A" w:rsidP="008B7FB5">
      <w:pPr>
        <w:spacing w:line="480" w:lineRule="auto"/>
      </w:pPr>
    </w:p>
    <w:p w14:paraId="39209A39" w14:textId="77777777" w:rsidR="00E4544A" w:rsidRDefault="00E4544A" w:rsidP="008B7FB5">
      <w:pPr>
        <w:spacing w:line="480" w:lineRule="auto"/>
      </w:pPr>
    </w:p>
    <w:p w14:paraId="0C8910C1" w14:textId="3A82E287" w:rsidR="008B7FB5" w:rsidRPr="008B7FB5" w:rsidRDefault="008B7FB5" w:rsidP="008B7FB5">
      <w:pPr>
        <w:spacing w:line="480" w:lineRule="auto"/>
        <w:rPr>
          <w:b/>
        </w:rPr>
      </w:pPr>
      <w:r w:rsidRPr="008B7FB5">
        <w:rPr>
          <w:b/>
        </w:rPr>
        <w:lastRenderedPageBreak/>
        <w:t>Figure 4</w:t>
      </w:r>
    </w:p>
    <w:p w14:paraId="3F22EED8" w14:textId="0C571026" w:rsidR="008B7FB5" w:rsidRPr="008B7FB5" w:rsidRDefault="008B7FB5">
      <w:pPr>
        <w:spacing w:line="480" w:lineRule="auto"/>
        <w:rPr>
          <w:i/>
        </w:rPr>
      </w:pPr>
      <w:r>
        <w:rPr>
          <w:i/>
        </w:rPr>
        <w:t>Distribution of Rank Order by Proficiency L</w:t>
      </w:r>
      <w:r w:rsidRPr="008B7FB5">
        <w:rPr>
          <w:i/>
        </w:rPr>
        <w:t xml:space="preserve">evel </w:t>
      </w:r>
    </w:p>
    <w:p w14:paraId="38EC2981" w14:textId="3A31A11F" w:rsidR="00364A79" w:rsidRDefault="00EB7938">
      <w:pPr>
        <w:spacing w:line="480" w:lineRule="auto"/>
      </w:pPr>
      <w:r>
        <w:rPr>
          <w:noProof/>
          <w:lang w:val="fr-BE" w:eastAsia="fr-BE"/>
        </w:rPr>
        <w:drawing>
          <wp:inline distT="0" distB="0" distL="0" distR="0" wp14:anchorId="650FC1AD" wp14:editId="2885E70F">
            <wp:extent cx="5760720" cy="41148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5760720" cy="4114800"/>
                    </a:xfrm>
                    <a:prstGeom prst="rect">
                      <a:avLst/>
                    </a:prstGeom>
                    <a:ln/>
                  </pic:spPr>
                </pic:pic>
              </a:graphicData>
            </a:graphic>
          </wp:inline>
        </w:drawing>
      </w:r>
    </w:p>
    <w:p w14:paraId="69BB671C" w14:textId="0ED0D6BC" w:rsidR="008B7FB5" w:rsidRDefault="008B7FB5" w:rsidP="008B7FB5">
      <w:pPr>
        <w:spacing w:line="480" w:lineRule="auto"/>
      </w:pPr>
      <w:r w:rsidRPr="008B7FB5">
        <w:rPr>
          <w:i/>
        </w:rPr>
        <w:t>Note</w:t>
      </w:r>
      <w:r>
        <w:t>. Outliers are defined as texts with a rank greater to or less than the median + 1.5*IRQ and labelled with text ID; random jitter added to data points to avoid overplotting.</w:t>
      </w:r>
    </w:p>
    <w:p w14:paraId="1CFEF523" w14:textId="78A19418" w:rsidR="008B7FB5" w:rsidRDefault="008B7FB5">
      <w:pPr>
        <w:spacing w:line="480" w:lineRule="auto"/>
      </w:pPr>
    </w:p>
    <w:p w14:paraId="5FC24D89" w14:textId="77777777" w:rsidR="00364A79" w:rsidRDefault="00364A79">
      <w:pPr>
        <w:spacing w:line="480" w:lineRule="auto"/>
      </w:pPr>
    </w:p>
    <w:p w14:paraId="3C256360" w14:textId="7E6C7F4A" w:rsidR="00364A79" w:rsidRDefault="00EB7938" w:rsidP="00EF3DB3">
      <w:pPr>
        <w:spacing w:line="480" w:lineRule="auto"/>
        <w:ind w:firstLine="720"/>
      </w:pPr>
      <w:r>
        <w:t>Finally, to answer RQ3, the impact of different language skills or language assessment expertise on the task of comparative judgement was evaluated by means of Wilcoxon tests. First, results showed that the differences in infit scores between the C1</w:t>
      </w:r>
      <w:r w:rsidR="00D80C98">
        <w:rPr>
          <w:lang w:val="en-US"/>
        </w:rPr>
        <w:t xml:space="preserve"> (</w:t>
      </w:r>
      <w:r w:rsidR="00D4383B">
        <w:rPr>
          <w:lang w:val="en-US"/>
        </w:rPr>
        <w:t xml:space="preserve">n = 10, </w:t>
      </w:r>
      <w:r w:rsidR="00D80C98">
        <w:rPr>
          <w:lang w:val="en-US"/>
        </w:rPr>
        <w:t xml:space="preserve">median = </w:t>
      </w:r>
      <w:r w:rsidR="002A4929">
        <w:rPr>
          <w:lang w:val="en-US"/>
        </w:rPr>
        <w:t>0.74</w:t>
      </w:r>
      <w:r w:rsidR="003907D8">
        <w:rPr>
          <w:lang w:val="en-US"/>
        </w:rPr>
        <w:t>, IQR = 0.50</w:t>
      </w:r>
      <w:r w:rsidR="002A4929">
        <w:rPr>
          <w:lang w:val="en-US"/>
        </w:rPr>
        <w:t>)</w:t>
      </w:r>
      <w:r>
        <w:t xml:space="preserve"> and C2</w:t>
      </w:r>
      <w:r w:rsidR="00C00CDE">
        <w:rPr>
          <w:lang w:val="en-US"/>
        </w:rPr>
        <w:t xml:space="preserve"> (</w:t>
      </w:r>
      <w:r w:rsidR="00D4383B">
        <w:rPr>
          <w:lang w:val="en-US"/>
        </w:rPr>
        <w:t xml:space="preserve">n = 31, </w:t>
      </w:r>
      <w:r w:rsidR="00C00CDE">
        <w:rPr>
          <w:lang w:val="en-US"/>
        </w:rPr>
        <w:t xml:space="preserve">median = </w:t>
      </w:r>
      <w:r w:rsidR="004A533F">
        <w:rPr>
          <w:lang w:val="en-US"/>
        </w:rPr>
        <w:t>0.85, IQR = 0.47)</w:t>
      </w:r>
      <w:r>
        <w:t xml:space="preserve"> judges was not significant (U = 147, p = .823</w:t>
      </w:r>
      <w:r w:rsidR="003E16B1">
        <w:t>, r = 0.038</w:t>
      </w:r>
      <w:r w:rsidR="00BF5EA0">
        <w:rPr>
          <w:lang w:val="en-CA"/>
        </w:rPr>
        <w:t xml:space="preserve">, </w:t>
      </w:r>
      <w:r w:rsidR="00BF5EA0" w:rsidRPr="00BF5EA0">
        <w:t>95% CI [</w:t>
      </w:r>
      <w:r w:rsidR="00EF3DB3">
        <w:rPr>
          <w:lang w:val="en-CA"/>
        </w:rPr>
        <w:t xml:space="preserve">0.005, </w:t>
      </w:r>
      <w:r w:rsidR="00306272">
        <w:rPr>
          <w:lang w:val="en-CA"/>
        </w:rPr>
        <w:t>0.36</w:t>
      </w:r>
      <w:r w:rsidR="00BF5EA0" w:rsidRPr="00BF5EA0">
        <w:t>]</w:t>
      </w:r>
      <w:r>
        <w:t xml:space="preserve">). We did not include the two B2 judges in this test because we did not have enough observations to include this proficiency level. However, we checked whether their judgments fit the consensus and this was the case. Second, the </w:t>
      </w:r>
      <w:r>
        <w:lastRenderedPageBreak/>
        <w:t>differences in infit scores between judges who had some experience rating learner writing (n = 30</w:t>
      </w:r>
      <w:r w:rsidR="00BC4752">
        <w:rPr>
          <w:lang w:val="en-US"/>
        </w:rPr>
        <w:t xml:space="preserve">, median = </w:t>
      </w:r>
      <w:r w:rsidR="00583A5B">
        <w:rPr>
          <w:lang w:val="en-US"/>
        </w:rPr>
        <w:t>0.86, IQR = 0.46</w:t>
      </w:r>
      <w:r>
        <w:t>) and those who did not have any at all (n = 13</w:t>
      </w:r>
      <w:r w:rsidR="00583A5B">
        <w:rPr>
          <w:lang w:val="en-US"/>
        </w:rPr>
        <w:t xml:space="preserve">, median = 0.75, </w:t>
      </w:r>
      <w:r w:rsidR="00414FE1">
        <w:rPr>
          <w:lang w:val="en-US"/>
        </w:rPr>
        <w:t>IQR = 0.49</w:t>
      </w:r>
      <w:r>
        <w:t>) also proved not significant (U= 181, p = .724</w:t>
      </w:r>
      <w:r w:rsidR="003E16B1">
        <w:t>, r = 0.056</w:t>
      </w:r>
      <w:r w:rsidR="00E1381D">
        <w:rPr>
          <w:lang w:val="en-CA"/>
        </w:rPr>
        <w:t>, 95% CI [</w:t>
      </w:r>
      <w:r w:rsidR="00B27FEB">
        <w:rPr>
          <w:lang w:val="en-CA"/>
        </w:rPr>
        <w:t>0.008, 0.39</w:t>
      </w:r>
      <w:r w:rsidR="00E1381D">
        <w:rPr>
          <w:lang w:val="en-CA"/>
        </w:rPr>
        <w:t>]</w:t>
      </w:r>
      <w:r w:rsidR="002B2FBE">
        <w:rPr>
          <w:lang w:val="en-CA"/>
        </w:rPr>
        <w:t>)</w:t>
      </w:r>
      <w:r>
        <w:t>. Only the difference in infit scores between raters who had</w:t>
      </w:r>
      <w:r w:rsidR="00460293">
        <w:rPr>
          <w:lang w:val="en-CA"/>
        </w:rPr>
        <w:t xml:space="preserve"> (n</w:t>
      </w:r>
      <w:r w:rsidR="00F34C9A">
        <w:rPr>
          <w:lang w:val="en-CA"/>
        </w:rPr>
        <w:t xml:space="preserve"> </w:t>
      </w:r>
      <w:r w:rsidR="00460293">
        <w:rPr>
          <w:lang w:val="en-CA"/>
        </w:rPr>
        <w:t>=</w:t>
      </w:r>
      <w:r w:rsidR="00F34C9A">
        <w:rPr>
          <w:lang w:val="en-CA"/>
        </w:rPr>
        <w:t xml:space="preserve"> 23</w:t>
      </w:r>
      <w:r w:rsidR="001D5D7F">
        <w:rPr>
          <w:lang w:val="en-CA"/>
        </w:rPr>
        <w:t>, median = 0.97</w:t>
      </w:r>
      <w:r w:rsidR="00691245">
        <w:rPr>
          <w:lang w:val="en-CA"/>
        </w:rPr>
        <w:t>, IQR = 0.77</w:t>
      </w:r>
      <w:r w:rsidR="00F34C9A">
        <w:rPr>
          <w:lang w:val="en-CA"/>
        </w:rPr>
        <w:t>)</w:t>
      </w:r>
      <w:r>
        <w:t xml:space="preserve"> and had not</w:t>
      </w:r>
      <w:r w:rsidR="004A0E1E">
        <w:rPr>
          <w:lang w:val="en-CA"/>
        </w:rPr>
        <w:t xml:space="preserve"> (n = 20</w:t>
      </w:r>
      <w:r w:rsidR="00691245">
        <w:rPr>
          <w:lang w:val="en-CA"/>
        </w:rPr>
        <w:t>, median = 0.68, IQR = 0.48</w:t>
      </w:r>
      <w:r w:rsidR="004A0E1E">
        <w:rPr>
          <w:lang w:val="en-CA"/>
        </w:rPr>
        <w:t>)</w:t>
      </w:r>
      <w:r>
        <w:t xml:space="preserve"> received formal language evaluation training was significant with a small effect size (U = 136, p = .02</w:t>
      </w:r>
      <w:r w:rsidR="00FD614C">
        <w:t>2</w:t>
      </w:r>
      <w:r>
        <w:t>, r = .35</w:t>
      </w:r>
      <w:r w:rsidR="004A0E1E">
        <w:rPr>
          <w:lang w:val="en-CA"/>
        </w:rPr>
        <w:t>, 95% CI [</w:t>
      </w:r>
      <w:r w:rsidR="00602FB6">
        <w:rPr>
          <w:lang w:val="en-CA"/>
        </w:rPr>
        <w:t xml:space="preserve">0.07, </w:t>
      </w:r>
      <w:r w:rsidR="009F4CFE">
        <w:rPr>
          <w:lang w:val="en-CA"/>
        </w:rPr>
        <w:t>0.61</w:t>
      </w:r>
      <w:r w:rsidR="004A0E1E">
        <w:rPr>
          <w:lang w:val="en-CA"/>
        </w:rPr>
        <w:t>]</w:t>
      </w:r>
      <w:r>
        <w:t xml:space="preserve">). </w:t>
      </w:r>
    </w:p>
    <w:p w14:paraId="01623537" w14:textId="77777777" w:rsidR="00364A79" w:rsidRDefault="00364A79">
      <w:pPr>
        <w:spacing w:line="480" w:lineRule="auto"/>
      </w:pPr>
    </w:p>
    <w:p w14:paraId="2FA04291" w14:textId="77777777" w:rsidR="00364A79" w:rsidRDefault="00EB7938">
      <w:pPr>
        <w:pStyle w:val="Titre2"/>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Discussion</w:t>
      </w:r>
    </w:p>
    <w:p w14:paraId="3226885F" w14:textId="77777777" w:rsidR="00364A79" w:rsidRDefault="00364A79">
      <w:pPr>
        <w:spacing w:line="480" w:lineRule="auto"/>
      </w:pPr>
    </w:p>
    <w:p w14:paraId="0B4A85BC" w14:textId="7D051921" w:rsidR="00364A79" w:rsidRDefault="00EB7938">
      <w:pPr>
        <w:spacing w:line="480" w:lineRule="auto"/>
        <w:ind w:firstLine="720"/>
      </w:pPr>
      <w:r>
        <w:t xml:space="preserve">Results show that a crowd of people is able to assess learner texts with high reliability (RQ1).  No effect of language skills (C1 vs. C2) or language assessment experience was found on the crowdsourced ACJ task, but there seems to be a significant difference in the decisions made by judges who received formal language assessment training and those who did not (RQ3). Altogether, however, the scores (i.e. the ranks) generated by the crowdsourced ACJ task exhibit a strong </w:t>
      </w:r>
      <w:r w:rsidR="00B723AC">
        <w:t xml:space="preserve">association </w:t>
      </w:r>
      <w:r>
        <w:t>with the scores that result from professional rubric-based language assessment at ETS (RQ2).</w:t>
      </w:r>
    </w:p>
    <w:p w14:paraId="44F937A1" w14:textId="1445F9EC" w:rsidR="00364A79" w:rsidRDefault="00EB7938">
      <w:pPr>
        <w:spacing w:line="480" w:lineRule="auto"/>
        <w:ind w:firstLine="720"/>
      </w:pPr>
      <w:r>
        <w:t>In their meta-analysis on the reliability of comparative judgement, Verhavert et al. (2019) reported that “an average of 13 comparisons per representation (min = 10, max = 14) is associated with a reliability of .70. A reliability of .80 is reached between 19 and 20 comparisons per representation. For a reliability of .90, i.e., with high stakes assessments, between 26 and 37 comparisons are needed” (Verhavert et al. 2019: 552). Against this background, reliability in our experiment is surprisingly high (with an SSR of .9</w:t>
      </w:r>
      <w:r w:rsidR="00FF15B9">
        <w:t>5</w:t>
      </w:r>
      <w:r>
        <w:t xml:space="preserve">) and quickly obtained (after 14 rounds). One possible explanation for these results is that the 50 texts used in this experiment span the full proficiency spectrum, from beginner to advanced, </w:t>
      </w:r>
      <w:r>
        <w:lastRenderedPageBreak/>
        <w:t>which makes them more easily distinguishable than texts produced by more homogeneous groups of students that have often been the focus of CJ/ACJ studies  (e.g. students in their fifth year of general secondary education, Lesterhuis et al., 2018; or university students taking a course as part of a pre-Master’s programme at a Flemish university; van Daal et al., 2019). A second explanation probably lies in the fact that the crowd of people we managed to recruit largely consists of master/PhD students, researchers and professors in language-related studies.</w:t>
      </w:r>
      <w:r w:rsidR="00EC2CA0" w:rsidRPr="00EC2CA0">
        <w:rPr>
          <w:vertAlign w:val="superscript"/>
        </w:rPr>
        <w:t>6</w:t>
      </w:r>
      <w:r>
        <w:t xml:space="preserve"> As such, while they may not all have experience in language assessment, judges certainly have practical knowledge and an understanding of what good quality writing is. Our results thus support van Daal et al.’s (2019) suggestion that comparative judgement may also work in contexts without a clearly defined community of practice that would only be made up of actual experts in language assessment. Alternatively, it is important to note legitimate criticisms in the CJ literature of the extraordinarily high SSR values obtained across ACJ implementations (Bramley, 2015; Bramley &amp; Vitello, 2019). These criticisms center around the fact that adaptive pairing algorithms reduce the opportunity for different texts to be paired with one another: "The adaptive algorithm is not likely to pair objects that appear to be very different, and thus the potentially disconfirming evidence for the hypothesis that they are indeed a long way apart is never collected" (Bramley &amp; Vitello, 2019: 45). However, counter to these criticisms, our rank order has been demonstrated to exhibit external validity in that it is strongly </w:t>
      </w:r>
      <w:r w:rsidR="00B723AC">
        <w:t xml:space="preserve">associated </w:t>
      </w:r>
      <w:r>
        <w:t>with validated proficiency levels. Additionally, although a high proportion of the comparison rounds in the present ACJ implementation were adaptive, the pairing algorithm used here does differ from typical ACJ approaches in that Elo scores are more dynamic than iterative BTL models.</w:t>
      </w:r>
    </w:p>
    <w:p w14:paraId="27D7F1C5" w14:textId="77777777" w:rsidR="00364A79" w:rsidRDefault="00EB7938">
      <w:pPr>
        <w:spacing w:line="480" w:lineRule="auto"/>
        <w:ind w:firstLine="708"/>
      </w:pPr>
      <w:r>
        <w:t xml:space="preserve">Importantly, the CJ task proved highly reliable despite the fact that we did not provide a general description of the construct of writing quality (we did not characterize or illustrate what a text written by a more advanced speaker would look like) as typically done in CJ </w:t>
      </w:r>
      <w:r>
        <w:lastRenderedPageBreak/>
        <w:t>studies. As commented by several of our colleagues in the pilot study, it is thus very likely that some judges will attach more importance to different aspects of writing quality:</w:t>
      </w:r>
    </w:p>
    <w:p w14:paraId="2262DF4C" w14:textId="77777777" w:rsidR="00364A79" w:rsidRDefault="00EB7938">
      <w:pPr>
        <w:spacing w:line="480" w:lineRule="auto"/>
        <w:ind w:left="708"/>
      </w:pPr>
      <w:r>
        <w:t>“of course, with an underspecified task, you will have people who attach more importance to grammar, others to vocabulary range, others still to content. In other words, they will not necessarily assess the same thing” (comment from our anonymous survey)</w:t>
      </w:r>
    </w:p>
    <w:p w14:paraId="461D1A16" w14:textId="521CC0C3" w:rsidR="00364A79" w:rsidRDefault="00EB7938">
      <w:pPr>
        <w:spacing w:line="480" w:lineRule="auto"/>
      </w:pPr>
      <w:r>
        <w:t>The fact that CJ allows multiple judges to vary in the way they conceptualize writing quality and consider multiple aspects of the construct should add to the validity of the assessment task. I</w:t>
      </w:r>
      <w:r w:rsidR="00F133CC">
        <w:t>ndeed, i</w:t>
      </w:r>
      <w:r>
        <w:t>n</w:t>
      </w:r>
      <w:r w:rsidR="00661888">
        <w:t xml:space="preserve"> CJ studies</w:t>
      </w:r>
      <w:r>
        <w:t xml:space="preserve">, validity </w:t>
      </w:r>
      <w:r w:rsidR="00F133CC">
        <w:t>has traditionally been</w:t>
      </w:r>
      <w:r>
        <w:t xml:space="preserve"> rooted in</w:t>
      </w:r>
      <w:r w:rsidR="00A76C2E">
        <w:t xml:space="preserve"> two critical assumptions: holistic judgment and the shared consensus across judges on what constitutes good writing (</w:t>
      </w:r>
      <w:r w:rsidR="00AC1567">
        <w:t xml:space="preserve">see above; </w:t>
      </w:r>
      <w:r w:rsidR="005B11CD">
        <w:t>Jones, Swan &amp; Pollitt</w:t>
      </w:r>
      <w:r w:rsidR="00A76C2E">
        <w:t xml:space="preserve">, 2015; Whitehouse &amp; Pollitt, 2012; van Daal et al., 2019). </w:t>
      </w:r>
      <w:r>
        <w:t xml:space="preserve">Until very recently, </w:t>
      </w:r>
      <w:r w:rsidR="00E90432">
        <w:t xml:space="preserve">the validity of CJ </w:t>
      </w:r>
      <w:r w:rsidR="004237C3">
        <w:t>was</w:t>
      </w:r>
      <w:r w:rsidR="00E90432">
        <w:t xml:space="preserve"> asserted rather than demonstrated and </w:t>
      </w:r>
      <w:r>
        <w:t xml:space="preserve">very little was known about whether or not the shared consensus across judges would ensure full construct representation, which is a necessity to claim validity (Messick, 1989). </w:t>
      </w:r>
      <w:r w:rsidR="004E701B">
        <w:t xml:space="preserve">This has started to change. </w:t>
      </w:r>
      <w:r>
        <w:t xml:space="preserve">Two recent studies (Lesterhuis et al., 2018; van Daal et al., 2019) have </w:t>
      </w:r>
      <w:r w:rsidR="004E701B">
        <w:t>tested</w:t>
      </w:r>
      <w:r w:rsidR="004237C3">
        <w:t xml:space="preserve"> the </w:t>
      </w:r>
      <w:r w:rsidR="006C72EA">
        <w:t xml:space="preserve">construct </w:t>
      </w:r>
      <w:r w:rsidR="004237C3">
        <w:t xml:space="preserve">validity of CJ </w:t>
      </w:r>
      <w:r w:rsidR="004E701B">
        <w:t xml:space="preserve">to assess academic writing </w:t>
      </w:r>
      <w:r w:rsidR="004237C3">
        <w:t>and</w:t>
      </w:r>
      <w:r>
        <w:t xml:space="preserve"> explore</w:t>
      </w:r>
      <w:r w:rsidR="004E701B">
        <w:t>d</w:t>
      </w:r>
      <w:r>
        <w:t xml:space="preserve"> the </w:t>
      </w:r>
      <w:r w:rsidR="004237C3">
        <w:t xml:space="preserve">nature of the shared consensus in such a holistic task </w:t>
      </w:r>
      <w:r>
        <w:t>by asking judges (secondary education teachers, university professors and researchers) to reflect upon their decisions. Both studies showed that judges consider a broad spectrum of aspects when comparing texts, which indicates that the considered construct of text quality in a comparative method</w:t>
      </w:r>
      <w:r w:rsidR="004237C3">
        <w:t xml:space="preserve"> and a holistic task</w:t>
      </w:r>
      <w:r>
        <w:t xml:space="preserve"> is just as it should be, that is, multidimensional (Weigle, 2002). Also relevant here is the finding of Pollitt and Murray (1996) that comparative judgment tasks allow raters to adjust their judgment criteria according to the performance level under evaluation: “In the discussions of comparisons involving the higher-proficiency candidates [...], the almost total lack of reference to traits from the bottom of the scale suggests that judges were selecting their </w:t>
      </w:r>
      <w:r>
        <w:lastRenderedPageBreak/>
        <w:t>judgement criteria according to the joint level of the candidates involved” (p.5). This finding implies that comparative judgment allows for a more natural fluctuation in perceptions of proficiency than static assessment grids.</w:t>
      </w:r>
    </w:p>
    <w:p w14:paraId="657E8FA9" w14:textId="77777777" w:rsidR="00364A79" w:rsidRDefault="00EB7938">
      <w:pPr>
        <w:spacing w:line="480" w:lineRule="auto"/>
        <w:ind w:firstLine="720"/>
      </w:pPr>
      <w:r>
        <w:t>As reported above, a significant difference was found between judges who received formal language assessment training and those who did not. This difference is likely to reflect somewhat different conceptualizations of proficiency. Given that the final rank order is highly reliable, however, we can only conclude that the two groups together formed a consensus that probably rests on a more complex representation of text quality than if only one group had been involved. More research will be needed, however, to understand the effect of formal language assessment training on a CAJ task and to evaluate whether it is important to ensure that a given percentage of trained raters is always part of the crowd.</w:t>
      </w:r>
    </w:p>
    <w:p w14:paraId="435A4626" w14:textId="77777777" w:rsidR="00364A79" w:rsidRDefault="00EB7938">
      <w:pPr>
        <w:spacing w:line="480" w:lineRule="auto"/>
        <w:ind w:firstLine="720"/>
      </w:pPr>
      <w:r>
        <w:t xml:space="preserve">The two studies by Lesterhuis et al. (2018) and van Daal et al. (2019) also revealed that judges mentioned complex higher order aspects of text quality such as text organisation and argumentation, style and language use more often than aspects such as spelling or grammar errors. Such a focus on complex higher order aspects in the context of CJ may perhaps explain why two texts that were originally assessed as “low” based on a scoring rubric were ranked comparatively high compared to the median rank of low texts (see Figure 4). Text 411, for example, is interesting in how it features numerous spelling errors (e.g. </w:t>
      </w:r>
      <w:r>
        <w:rPr>
          <w:i/>
        </w:rPr>
        <w:t>businees, broder, coorporations, diferent</w:t>
      </w:r>
      <w:r>
        <w:t xml:space="preserve">) as typically found in a beginner text but also displays the use of varied and sophisticated vocabulary (e.g. </w:t>
      </w:r>
      <w:r>
        <w:rPr>
          <w:i/>
        </w:rPr>
        <w:t>diversity, policy, entity, assumption</w:t>
      </w:r>
      <w:r>
        <w:t xml:space="preserve">), collocations and other phraseological units (e.g. </w:t>
      </w:r>
      <w:r>
        <w:rPr>
          <w:i/>
        </w:rPr>
        <w:t>diversify + production, cut down + costs</w:t>
      </w:r>
      <w:r>
        <w:t xml:space="preserve">). It is also quite coherent and cohesive. </w:t>
      </w:r>
    </w:p>
    <w:p w14:paraId="7941EE07" w14:textId="77777777" w:rsidR="00364A79" w:rsidRDefault="00EB7938">
      <w:pPr>
        <w:spacing w:line="480" w:lineRule="auto"/>
      </w:pPr>
      <w:r>
        <w:tab/>
        <w:t xml:space="preserve">     </w:t>
      </w:r>
    </w:p>
    <w:p w14:paraId="715574A8" w14:textId="77777777" w:rsidR="00364A79" w:rsidRDefault="00EB7938">
      <w:pPr>
        <w:spacing w:line="480" w:lineRule="auto"/>
        <w:ind w:firstLine="708"/>
      </w:pPr>
      <w:r>
        <w:t>Text 411 (low text ranked 34; median rank of low texts = 7.5) (Blanchard et al., 2014)</w:t>
      </w:r>
    </w:p>
    <w:p w14:paraId="76694372" w14:textId="77777777" w:rsidR="00364A79" w:rsidRDefault="00EB7938">
      <w:pPr>
        <w:spacing w:line="480" w:lineRule="auto"/>
        <w:ind w:left="708"/>
        <w:rPr>
          <w:i/>
        </w:rPr>
      </w:pPr>
      <w:r>
        <w:rPr>
          <w:i/>
        </w:rPr>
        <w:lastRenderedPageBreak/>
        <w:t>I agree with the assumption that successful people always try new things and take more risk rather than doing what they already know . In effect , we notice that nowaday , people who are most successful in life are people who diversify their occupation . For them in order to stay competitive in the business word , one need to broader his businees field . Hence they are always trying a new field of business no matter for them what the risk will be . In fact in this globalisation of the economy the better you broder your business the more you are likely to survive in th business world . For instance we can refer to successful coorporations that intervent in several diferent business field . These companies by diversifying their business production are able to cut down the cost of producing goods . Therefore they can offer a very low price for the goods they are selling . So taking risks become part of the companies policies because that allow them to survive in the business market . In coclusion to remain successful in life , any persone or entity must try new thing and take more and more risks .</w:t>
      </w:r>
    </w:p>
    <w:p w14:paraId="3F4D5457" w14:textId="77777777" w:rsidR="00364A79" w:rsidRDefault="00364A79">
      <w:pPr>
        <w:spacing w:line="480" w:lineRule="auto"/>
      </w:pPr>
    </w:p>
    <w:p w14:paraId="14A9650D" w14:textId="77777777" w:rsidR="00364A79" w:rsidRDefault="00EB7938">
      <w:pPr>
        <w:spacing w:line="480" w:lineRule="auto"/>
      </w:pPr>
      <w:r>
        <w:t>These characteristics probably explain why Text 411 was ranked high compared to the median rank of low texts in the CJ task. Other low texts do not display such characteristics, as illustrated below:</w:t>
      </w:r>
    </w:p>
    <w:p w14:paraId="41965639" w14:textId="77777777" w:rsidR="00364A79" w:rsidRDefault="00EB7938">
      <w:pPr>
        <w:spacing w:line="480" w:lineRule="auto"/>
      </w:pPr>
      <w:r>
        <w:t xml:space="preserve">     </w:t>
      </w:r>
      <w:r>
        <w:tab/>
        <w:t>Text 441 (low text ranked 7; median rank of low texts = 7.5) (Blanchard et al., 2014)</w:t>
      </w:r>
    </w:p>
    <w:p w14:paraId="3F76B2E1" w14:textId="77777777" w:rsidR="00364A79" w:rsidRDefault="00EB7938">
      <w:pPr>
        <w:spacing w:line="480" w:lineRule="auto"/>
        <w:ind w:left="708"/>
        <w:rPr>
          <w:i/>
        </w:rPr>
      </w:pPr>
      <w:r>
        <w:rPr>
          <w:i/>
        </w:rPr>
        <w:t xml:space="preserve">Succesful people try new things and take risks rather than only doing what they already know how to do well . In first I think who it ’ s very important to take risks or try new things because the innovation it is the best quallity for pass in the life . For example if I open a restaurant i would like who he is different of others restaurants . it is very important who are difference between my restaurant and the others . The most quality of one cretors it is a innovation . In second it ’ s true who take risks and try </w:t>
      </w:r>
      <w:r>
        <w:rPr>
          <w:i/>
        </w:rPr>
        <w:lastRenderedPageBreak/>
        <w:t>new things it ’s not a good idea because it is very dangerous . If I open a restaurant with a new concept it ’s not mentionned that I will have a good results at the begining . It is a risk : we take it or we not take it . I understand that people try new things and take risks but I think who it is very dangerous but we must try or take risks for pass in the life .</w:t>
      </w:r>
    </w:p>
    <w:p w14:paraId="47B94A57" w14:textId="74BDF248" w:rsidR="00364A79" w:rsidRDefault="000139E7">
      <w:pPr>
        <w:spacing w:line="480" w:lineRule="auto"/>
      </w:pPr>
      <w:r>
        <w:t xml:space="preserve">It is interesting to note, however, that neither of these two texts led to judgments that were more inconsistent. As shown in Appendix </w:t>
      </w:r>
      <w:r w:rsidR="007B10B4">
        <w:t>S</w:t>
      </w:r>
      <w:r>
        <w:t xml:space="preserve">3, </w:t>
      </w:r>
      <w:r w:rsidR="008F6FF9">
        <w:t>texts 411 and 441</w:t>
      </w:r>
      <w:r>
        <w:t xml:space="preserve"> were not found to be misfitting texts. </w:t>
      </w:r>
    </w:p>
    <w:p w14:paraId="2A65B4F6" w14:textId="3B0F3C74" w:rsidR="00364A79" w:rsidRDefault="00EB7938" w:rsidP="00AC1567">
      <w:pPr>
        <w:spacing w:line="480" w:lineRule="auto"/>
        <w:ind w:firstLine="708"/>
      </w:pPr>
      <w:r>
        <w:t>Finally, one important lesson learnt from the experiment is that the efficiency of an ACJ task could be maximized if the task were monitored more closely. By checking SSR at each successive round, it would have been possible to stop running the experiment after fourteen rounds as the measurement scale was already stable then. Second, infit statistics identified three judges who deviated from the consensus. As discussed in Lesterhuis et al. (2017: 128), large infit scores for individual judges can be explained by different conceptualisations of what makes a representation better or worse: judges may define writing competence differently or they may attribute more weight to different aspects of the competence. If the misfit is diagnosed, it is always possible to remove the judge (if deemed necessary). Similarly, the two texts that are misfitting</w:t>
      </w:r>
      <w:r w:rsidR="00F62398">
        <w:t xml:space="preserve"> (</w:t>
      </w:r>
      <w:r w:rsidR="008A0479">
        <w:t xml:space="preserve">text </w:t>
      </w:r>
      <w:r w:rsidR="00381C31">
        <w:t xml:space="preserve">408 and text 424; </w:t>
      </w:r>
      <w:r w:rsidR="00F62398">
        <w:t xml:space="preserve">see Appendix </w:t>
      </w:r>
      <w:r w:rsidR="007B10B4">
        <w:t>S</w:t>
      </w:r>
      <w:r w:rsidR="00F62398">
        <w:t>3)</w:t>
      </w:r>
      <w:r>
        <w:t xml:space="preserve"> could also have been removed or they could have been included in more comparisons (</w:t>
      </w:r>
      <w:r w:rsidR="008F6FF9">
        <w:t xml:space="preserve">Pollitt, 2012; </w:t>
      </w:r>
      <w:r>
        <w:t>Lesterhuis et al., 2017: 128).</w:t>
      </w:r>
    </w:p>
    <w:p w14:paraId="1ADC148A" w14:textId="77777777" w:rsidR="00364A79" w:rsidRDefault="00364A79">
      <w:pPr>
        <w:spacing w:line="480" w:lineRule="auto"/>
      </w:pPr>
    </w:p>
    <w:p w14:paraId="080CBD71" w14:textId="77777777" w:rsidR="00364A79" w:rsidRDefault="00EB7938">
      <w:pPr>
        <w:pStyle w:val="Titre2"/>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Conclusion</w:t>
      </w:r>
    </w:p>
    <w:p w14:paraId="6BCC3A37" w14:textId="77777777" w:rsidR="00364A79" w:rsidRDefault="00364A79">
      <w:pPr>
        <w:spacing w:line="480" w:lineRule="auto"/>
      </w:pPr>
    </w:p>
    <w:p w14:paraId="14E24998" w14:textId="76E20339" w:rsidR="00364A79" w:rsidRDefault="00EB7938">
      <w:pPr>
        <w:spacing w:line="480" w:lineRule="auto"/>
        <w:ind w:firstLine="720"/>
      </w:pPr>
      <w:r>
        <w:t xml:space="preserve">The results of the experiment presented in this article suggest that the technique of adaptive comparative judgement combined with crowdsourcing has the potential to offer </w:t>
      </w:r>
      <w:r>
        <w:lastRenderedPageBreak/>
        <w:t xml:space="preserve">practical solutions to the reliability issues, </w:t>
      </w:r>
      <w:r w:rsidR="001C32F4">
        <w:t xml:space="preserve">as well as </w:t>
      </w:r>
      <w:r>
        <w:t xml:space="preserve">time and cost difficulties typically associated with analytical scoring in L2 research. </w:t>
      </w:r>
      <w:r w:rsidR="00593365">
        <w:t>The time/cost efficiency is</w:t>
      </w:r>
      <w:r w:rsidR="0037559A">
        <w:t xml:space="preserve"> clear. We did not hire practitioners nor did we provide compensation. We were nevertheless able to recruit 43 judges who </w:t>
      </w:r>
      <w:r w:rsidR="00593365">
        <w:t>performed altruistic work</w:t>
      </w:r>
      <w:r w:rsidR="008D63BE">
        <w:t xml:space="preserve"> and made 31</w:t>
      </w:r>
      <w:r w:rsidR="0037559A">
        <w:t>8 comparisons in less than four months.</w:t>
      </w:r>
      <w:r w:rsidR="00593365">
        <w:t xml:space="preserve"> </w:t>
      </w:r>
      <w:r>
        <w:t xml:space="preserve">Though more research is clearly needed, we believe our results are promising enough to argue that crowdsourced comparative judgment </w:t>
      </w:r>
      <w:r w:rsidR="002F4043">
        <w:t>can be used</w:t>
      </w:r>
      <w:r>
        <w:t xml:space="preserve"> to enrich L2 data with a form of text-based proficiency assessment that is still sorely lacking even for some widely used learner corpora. </w:t>
      </w:r>
      <w:r w:rsidR="002F4043">
        <w:t>More generally, CJ may also serve to elicit human comparative judgments of other multidimensional constructs (e.g. complexity, accuracy, fluency) that have proved difficult to define and operationalize in the field of second language research.</w:t>
      </w:r>
    </w:p>
    <w:p w14:paraId="482DF834" w14:textId="3A299FF4" w:rsidR="00364A79" w:rsidRDefault="00EB7938">
      <w:pPr>
        <w:spacing w:line="480" w:lineRule="auto"/>
        <w:ind w:firstLine="720"/>
      </w:pPr>
      <w:bookmarkStart w:id="2" w:name="_30j0zll" w:colFirst="0" w:colLast="0"/>
      <w:bookmarkEnd w:id="2"/>
      <w:r>
        <w:t xml:space="preserve">While we cannot rely on a strictly defined ‘community of practice’, our </w:t>
      </w:r>
      <w:r w:rsidR="00F4784E">
        <w:t xml:space="preserve">community, i.e. a </w:t>
      </w:r>
      <w:r>
        <w:t>crowd of language specialists of all kinds</w:t>
      </w:r>
      <w:r w:rsidR="00A815B3">
        <w:t xml:space="preserve"> (peers</w:t>
      </w:r>
      <w:r w:rsidR="000222EC">
        <w:t xml:space="preserve"> and experts too</w:t>
      </w:r>
      <w:r w:rsidR="00A815B3">
        <w:t>)</w:t>
      </w:r>
      <w:r w:rsidR="00F4784E">
        <w:t>,</w:t>
      </w:r>
      <w:r>
        <w:t xml:space="preserve"> is vast, dynamic, and intrinsically motivated. Many of us are also teaching academic writing, language pedagogy, second language acquisition, etc. and could integrate such a CJ task into our teaching in one way or another. Many students around the world are being trained to become language specialists and/or language teachers and would definitely benefit from the discussions that could follow their participation. Last but not least, collectively, we are competent users of a variety of languages, which means that the technique could be used to enrich L2 data in many languages other than English. To this end, we share all material developed for the </w:t>
      </w:r>
      <w:r w:rsidR="001F0CAA">
        <w:t>CLAP</w:t>
      </w:r>
      <w:r>
        <w:t xml:space="preserve"> project on an OSF repertory.</w:t>
      </w:r>
    </w:p>
    <w:p w14:paraId="2697AE45" w14:textId="39AAB787" w:rsidR="00364A79" w:rsidRDefault="00EB7938">
      <w:pPr>
        <w:spacing w:line="480" w:lineRule="auto"/>
        <w:ind w:firstLine="720"/>
      </w:pPr>
      <w:r>
        <w:t xml:space="preserve">Because ACJ has only been recently introduced as a new assessment domain, it is difficult to provide information about good reporting practices for the method. </w:t>
      </w:r>
      <w:r w:rsidR="00632B01">
        <w:t>W</w:t>
      </w:r>
      <w:r>
        <w:t>e recommend that authors adopt the step-by-step approach outlined in Lesterhuis et al. (2017: 121-123) and provide details about the following steps</w:t>
      </w:r>
      <w:r w:rsidR="00632B01">
        <w:t xml:space="preserve"> as was done in the Method section</w:t>
      </w:r>
      <w:r>
        <w:t>:</w:t>
      </w:r>
    </w:p>
    <w:p w14:paraId="24055C91" w14:textId="77777777" w:rsidR="00364A79" w:rsidRDefault="00EB7938">
      <w:pPr>
        <w:numPr>
          <w:ilvl w:val="0"/>
          <w:numId w:val="1"/>
        </w:numPr>
        <w:pBdr>
          <w:top w:val="nil"/>
          <w:left w:val="nil"/>
          <w:bottom w:val="nil"/>
          <w:right w:val="nil"/>
          <w:between w:val="nil"/>
        </w:pBdr>
        <w:spacing w:line="480" w:lineRule="auto"/>
        <w:rPr>
          <w:color w:val="000000"/>
        </w:rPr>
      </w:pPr>
      <w:r>
        <w:rPr>
          <w:color w:val="000000"/>
        </w:rPr>
        <w:t>Definition of the competence and task</w:t>
      </w:r>
    </w:p>
    <w:p w14:paraId="7CBCF5CC" w14:textId="77777777" w:rsidR="00364A79" w:rsidRDefault="00EB7938">
      <w:pPr>
        <w:numPr>
          <w:ilvl w:val="0"/>
          <w:numId w:val="1"/>
        </w:numPr>
        <w:pBdr>
          <w:top w:val="nil"/>
          <w:left w:val="nil"/>
          <w:bottom w:val="nil"/>
          <w:right w:val="nil"/>
          <w:between w:val="nil"/>
        </w:pBdr>
        <w:spacing w:line="480" w:lineRule="auto"/>
        <w:rPr>
          <w:color w:val="000000"/>
        </w:rPr>
      </w:pPr>
      <w:r>
        <w:rPr>
          <w:color w:val="000000"/>
        </w:rPr>
        <w:lastRenderedPageBreak/>
        <w:t>Choice of a tool</w:t>
      </w:r>
    </w:p>
    <w:p w14:paraId="782E8C1E" w14:textId="77777777" w:rsidR="00364A79" w:rsidRDefault="00EB7938">
      <w:pPr>
        <w:numPr>
          <w:ilvl w:val="0"/>
          <w:numId w:val="1"/>
        </w:numPr>
        <w:pBdr>
          <w:top w:val="nil"/>
          <w:left w:val="nil"/>
          <w:bottom w:val="nil"/>
          <w:right w:val="nil"/>
          <w:between w:val="nil"/>
        </w:pBdr>
        <w:spacing w:line="480" w:lineRule="auto"/>
        <w:rPr>
          <w:color w:val="000000"/>
        </w:rPr>
      </w:pPr>
      <w:r>
        <w:rPr>
          <w:color w:val="000000"/>
        </w:rPr>
        <w:t>Selection of judges</w:t>
      </w:r>
    </w:p>
    <w:p w14:paraId="2CC2423A" w14:textId="77777777" w:rsidR="00364A79" w:rsidRDefault="00EB7938">
      <w:pPr>
        <w:numPr>
          <w:ilvl w:val="0"/>
          <w:numId w:val="1"/>
        </w:numPr>
        <w:pBdr>
          <w:top w:val="nil"/>
          <w:left w:val="nil"/>
          <w:bottom w:val="nil"/>
          <w:right w:val="nil"/>
          <w:between w:val="nil"/>
        </w:pBdr>
        <w:spacing w:line="480" w:lineRule="auto"/>
        <w:rPr>
          <w:color w:val="000000"/>
        </w:rPr>
      </w:pPr>
      <w:r>
        <w:rPr>
          <w:color w:val="000000"/>
        </w:rPr>
        <w:t>Preparation of the assessment</w:t>
      </w:r>
    </w:p>
    <w:p w14:paraId="33737121" w14:textId="77777777" w:rsidR="00364A79" w:rsidRDefault="00EB7938">
      <w:pPr>
        <w:numPr>
          <w:ilvl w:val="0"/>
          <w:numId w:val="1"/>
        </w:numPr>
        <w:pBdr>
          <w:top w:val="nil"/>
          <w:left w:val="nil"/>
          <w:bottom w:val="nil"/>
          <w:right w:val="nil"/>
          <w:between w:val="nil"/>
        </w:pBdr>
        <w:spacing w:line="480" w:lineRule="auto"/>
        <w:rPr>
          <w:color w:val="000000"/>
        </w:rPr>
      </w:pPr>
      <w:r>
        <w:rPr>
          <w:color w:val="000000"/>
        </w:rPr>
        <w:t>Assessment process</w:t>
      </w:r>
    </w:p>
    <w:p w14:paraId="6EC7D275" w14:textId="3C8A8EE9" w:rsidR="00364A79" w:rsidRDefault="00EB7938">
      <w:pPr>
        <w:numPr>
          <w:ilvl w:val="0"/>
          <w:numId w:val="1"/>
        </w:numPr>
        <w:pBdr>
          <w:top w:val="nil"/>
          <w:left w:val="nil"/>
          <w:bottom w:val="nil"/>
          <w:right w:val="nil"/>
          <w:between w:val="nil"/>
        </w:pBdr>
        <w:spacing w:line="480" w:lineRule="auto"/>
        <w:rPr>
          <w:color w:val="000000"/>
        </w:rPr>
      </w:pPr>
      <w:r>
        <w:rPr>
          <w:color w:val="000000"/>
        </w:rPr>
        <w:t>Calculations</w:t>
      </w:r>
      <w:r w:rsidR="009C460D">
        <w:rPr>
          <w:color w:val="000000"/>
        </w:rPr>
        <w:t xml:space="preserve"> </w:t>
      </w:r>
      <w:r w:rsidR="00632B01">
        <w:rPr>
          <w:color w:val="000000"/>
        </w:rPr>
        <w:t>(</w:t>
      </w:r>
      <w:r w:rsidR="009C460D">
        <w:rPr>
          <w:color w:val="000000"/>
        </w:rPr>
        <w:t>and statistical evaluation</w:t>
      </w:r>
      <w:r w:rsidR="00632B01">
        <w:rPr>
          <w:color w:val="000000"/>
        </w:rPr>
        <w:t>)</w:t>
      </w:r>
    </w:p>
    <w:p w14:paraId="02E1B9AF" w14:textId="77777777" w:rsidR="00364A79" w:rsidRDefault="00EB7938">
      <w:pPr>
        <w:spacing w:line="480" w:lineRule="auto"/>
      </w:pPr>
      <w:r>
        <w:t xml:space="preserve">As a minimum, the following statistics should be reported and perhaps set against typical values for ACJ tasks as reported in Verhavert et al.’s (2019) meta-analysis: (1) a Scale Separation Reliability (SSR) score, (2) number of rounds performed (to reach an asymptote), (3) fit statistics for judges and texts. </w:t>
      </w:r>
    </w:p>
    <w:p w14:paraId="09F3C1EC" w14:textId="733F0491" w:rsidR="009C3127" w:rsidRDefault="00EB7938">
      <w:pPr>
        <w:spacing w:line="480" w:lineRule="auto"/>
        <w:ind w:firstLine="720"/>
      </w:pPr>
      <w:r>
        <w:t>Because ACJ has only been recently introduced, potential avenues for future research are also numerous, but we identify the following as particularly urgent because they target potential limitations of the method. First, we would like to scale the study up by adding texts with a variety of topics to investigate whether the use of different prompts may have an effect on the reliability of the task. This seems particularly relevant as many available learner corpora include learner texts that feature a variety of topics. Another related question is whether it would be possible to ask judges to compare longer texts as learner corpora also often include texts longer than the texts used here. As discussed above, it also remains to be seen whether a CJ/ACJ task produces as reliable results as obtained in this experiment when the texts to be rated come from a potentially more homogeneous group of learners (many learner corpora feature texts at the more advanced CEFR levels only). Other avenues for future research include comparing rank orders created by different crowds of judges (as opposed to comparing infit scores from within a single rank order)</w:t>
      </w:r>
      <w:r w:rsidR="00D42B1C">
        <w:t>,</w:t>
      </w:r>
      <w:r>
        <w:t xml:space="preserve"> and exploring the similarities and differences of CJ tasks </w:t>
      </w:r>
      <w:r w:rsidR="00110867">
        <w:t xml:space="preserve">when </w:t>
      </w:r>
      <w:r>
        <w:t>different definitions of the competence are provided</w:t>
      </w:r>
      <w:r w:rsidR="007F0615">
        <w:t xml:space="preserve"> (</w:t>
      </w:r>
      <w:r w:rsidR="00110867">
        <w:t xml:space="preserve">e.g. Would a different rank order be achieved if judges were not asked to choose the text written by the “more advanced speaker”, but by the “better writer” or the “more </w:t>
      </w:r>
      <w:r w:rsidR="00110867">
        <w:lastRenderedPageBreak/>
        <w:t>skilled writer”? How different would the rank order be if explicit</w:t>
      </w:r>
      <w:r w:rsidR="007F0615">
        <w:t xml:space="preserve"> assessment criteria</w:t>
      </w:r>
      <w:r w:rsidR="00110867">
        <w:t xml:space="preserve"> were provided</w:t>
      </w:r>
      <w:r w:rsidR="007F0615">
        <w:t>?</w:t>
      </w:r>
      <w:r w:rsidR="00110867">
        <w:t>)</w:t>
      </w:r>
      <w:r>
        <w:t xml:space="preserve">. </w:t>
      </w:r>
    </w:p>
    <w:p w14:paraId="289D26B3" w14:textId="1DA8DCD7" w:rsidR="00364A79" w:rsidRDefault="00EB7938">
      <w:pPr>
        <w:spacing w:line="480" w:lineRule="auto"/>
        <w:ind w:firstLine="720"/>
      </w:pPr>
      <w:r>
        <w:t xml:space="preserve">Finally, we believe that the ranking that is generated by an ACJ task is a more powerful type of proficiency information than the categorical variables that are often used in L2 research. Theoretically, and drawing an analogy with Luk &amp; Bialystok’s (2013) statement that “bilingualism is not a categorical variable”, we would like to argue that language proficiency is not a categorical variable. Statistically, a numeric variable comes with more information value than categories such as low, medium and advanced or the proficiency levels on the Common European Framework of Reference for Languages (Council of Europe, 2001) (cf. Ortega, 2012: 131; Paquot, Naets, &amp; Gries, 2021). </w:t>
      </w:r>
      <w:r w:rsidR="00FD4EB6">
        <w:t xml:space="preserve">That </w:t>
      </w:r>
      <w:r>
        <w:t xml:space="preserve">being said, </w:t>
      </w:r>
      <w:r w:rsidR="00865D49">
        <w:t xml:space="preserve">the drawback of CJ is its self-contained nature, and what we can gain in precision, we </w:t>
      </w:r>
      <w:r w:rsidR="00652767">
        <w:t xml:space="preserve">may </w:t>
      </w:r>
      <w:r w:rsidR="00865D49">
        <w:t>lose in generalizability and comparability across studies. F</w:t>
      </w:r>
      <w:r>
        <w:t xml:space="preserve">or the method of ACJ to thrive in L2 research, it will probably be necessary to </w:t>
      </w:r>
      <w:r w:rsidR="005E1E92">
        <w:t>modify step 4 of</w:t>
      </w:r>
      <w:r w:rsidR="008C0885">
        <w:t xml:space="preserve"> the procedure described above and situate ranked texts against commonly used pro</w:t>
      </w:r>
      <w:r w:rsidR="00FE54C4">
        <w:t>ficiency scales such as the CEFR</w:t>
      </w:r>
      <w:r w:rsidR="008C0885">
        <w:t xml:space="preserve">. </w:t>
      </w:r>
      <w:r w:rsidR="005E1E92">
        <w:t xml:space="preserve">One way of doing that </w:t>
      </w:r>
      <w:r w:rsidR="00D42B1C">
        <w:t xml:space="preserve">is </w:t>
      </w:r>
      <w:r w:rsidR="005E1E92">
        <w:t xml:space="preserve">to follow Lesterhuis et al.’s (2017: 131) suggestion to use an initial scale and benchmarks. </w:t>
      </w:r>
      <w:r w:rsidR="00652767">
        <w:t xml:space="preserve">This more standardized approach to proficiency should also make the results of an ACJ </w:t>
      </w:r>
      <w:r w:rsidR="00D42B1C">
        <w:t>proficiency rating task usable</w:t>
      </w:r>
      <w:r w:rsidR="00652767">
        <w:t xml:space="preserve"> in the more applied domains of L2 research where it is often necessary to target groups of learners when developing teaching curriculum and resources, or foreign language tests. </w:t>
      </w:r>
    </w:p>
    <w:p w14:paraId="2FE25661" w14:textId="77777777" w:rsidR="00364A79" w:rsidRDefault="00364A79">
      <w:pPr>
        <w:spacing w:line="480" w:lineRule="auto"/>
        <w:rPr>
          <w:highlight w:val="yellow"/>
        </w:rPr>
      </w:pPr>
    </w:p>
    <w:p w14:paraId="19189E4F" w14:textId="77777777" w:rsidR="00364A79" w:rsidRDefault="00364A79">
      <w:pPr>
        <w:spacing w:line="480" w:lineRule="auto"/>
      </w:pPr>
    </w:p>
    <w:p w14:paraId="1D7FBB60" w14:textId="77777777" w:rsidR="00364A79" w:rsidRDefault="00364A79">
      <w:pPr>
        <w:spacing w:line="480" w:lineRule="auto"/>
      </w:pPr>
    </w:p>
    <w:p w14:paraId="484418FB" w14:textId="77777777" w:rsidR="00364A79" w:rsidRDefault="00EB7938">
      <w:r>
        <w:br w:type="page"/>
      </w:r>
    </w:p>
    <w:p w14:paraId="008FAD9F" w14:textId="77777777" w:rsidR="00510396" w:rsidRDefault="00510396" w:rsidP="00510396">
      <w:pPr>
        <w:pStyle w:val="Titre2"/>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Endnotes</w:t>
      </w:r>
    </w:p>
    <w:p w14:paraId="23045095" w14:textId="77777777" w:rsidR="00510396" w:rsidRDefault="00510396" w:rsidP="00510396">
      <w:pPr>
        <w:spacing w:line="480" w:lineRule="auto"/>
      </w:pPr>
    </w:p>
    <w:p w14:paraId="77941C5B" w14:textId="4A5D1E36" w:rsidR="00510396" w:rsidRDefault="00510396" w:rsidP="00510396">
      <w:pPr>
        <w:spacing w:line="480" w:lineRule="auto"/>
        <w:ind w:firstLine="720"/>
      </w:pPr>
      <w:r>
        <w:rPr>
          <w:vertAlign w:val="superscript"/>
        </w:rPr>
        <w:t>1</w:t>
      </w:r>
      <w:r>
        <w:t xml:space="preserve"> The study design was piloted locally in 2019. During the pilot study, we used a set of 40 500-word sample texts from the </w:t>
      </w:r>
      <w:r>
        <w:rPr>
          <w:i/>
        </w:rPr>
        <w:t>International Corpus of Learner English</w:t>
      </w:r>
      <w:r>
        <w:t xml:space="preserve"> (Granger, </w:t>
      </w:r>
      <w:r w:rsidR="00BA2F6E">
        <w:t>Dagneaux, Meunier, &amp; Paquot, 200</w:t>
      </w:r>
      <w:r>
        <w:t xml:space="preserve">9). We received 104 total judgments from 13 colleagues and qualitative feedback from 11 colleagues. The two main areas of attention from the pilot study were that it may be difficult to compare texts on different topics and that it remains quite time consuming to compare relatively long texts. As a result, we decided to use shorter exam scripts written on the same topic in the main experiment. Other areas of feedback we received were minor issues with the user-interface.  </w:t>
      </w:r>
    </w:p>
    <w:p w14:paraId="0810D7C5" w14:textId="77777777" w:rsidR="00510396" w:rsidRDefault="00510396" w:rsidP="00510396">
      <w:pPr>
        <w:spacing w:line="480" w:lineRule="auto"/>
        <w:ind w:firstLine="720"/>
      </w:pPr>
      <w:r>
        <w:rPr>
          <w:vertAlign w:val="superscript"/>
        </w:rPr>
        <w:t>2</w:t>
      </w:r>
      <w:r>
        <w:t xml:space="preserve"> https://compair.open.ubc.ca/ </w:t>
      </w:r>
    </w:p>
    <w:p w14:paraId="09325073" w14:textId="40F1FCE6" w:rsidR="00510396" w:rsidRDefault="00510396" w:rsidP="00510396">
      <w:pPr>
        <w:spacing w:line="480" w:lineRule="auto"/>
        <w:ind w:firstLine="720"/>
      </w:pPr>
      <w:r>
        <w:t xml:space="preserve">  </w:t>
      </w:r>
      <w:r>
        <w:rPr>
          <w:vertAlign w:val="superscript"/>
        </w:rPr>
        <w:t>3</w:t>
      </w:r>
      <w:r>
        <w:t xml:space="preserve"> A BTL model requires at least a few rounds of comparison data. Texts are therefore typically paired according to a total win-loss count in the first few rounds (after an initial random pairing round).</w:t>
      </w:r>
    </w:p>
    <w:p w14:paraId="1E7FCA4A" w14:textId="72E5F710" w:rsidR="00EC2CA0" w:rsidRDefault="00EC2CA0" w:rsidP="00510396">
      <w:pPr>
        <w:spacing w:line="480" w:lineRule="auto"/>
        <w:ind w:firstLine="720"/>
      </w:pPr>
      <w:r w:rsidRPr="00EC2CA0">
        <w:rPr>
          <w:vertAlign w:val="superscript"/>
        </w:rPr>
        <w:t>4</w:t>
      </w:r>
      <w:r>
        <w:t xml:space="preserve"> </w:t>
      </w:r>
      <w:hyperlink r:id="rId17" w:history="1">
        <w:r w:rsidRPr="003E7F76">
          <w:rPr>
            <w:rStyle w:val="Lienhypertexte"/>
          </w:rPr>
          <w:t>https://www.learnercorpusassociation.org/</w:t>
        </w:r>
      </w:hyperlink>
    </w:p>
    <w:p w14:paraId="3D847A07" w14:textId="5B918011" w:rsidR="00EC2CA0" w:rsidRDefault="00EC2CA0" w:rsidP="00510396">
      <w:pPr>
        <w:spacing w:line="480" w:lineRule="auto"/>
        <w:ind w:firstLine="720"/>
      </w:pPr>
      <w:r w:rsidRPr="00EC2CA0">
        <w:rPr>
          <w:vertAlign w:val="superscript"/>
        </w:rPr>
        <w:t>5</w:t>
      </w:r>
      <w:r>
        <w:t xml:space="preserve"> </w:t>
      </w:r>
      <w:hyperlink r:id="rId18" w:history="1">
        <w:r w:rsidRPr="003E7F76">
          <w:rPr>
            <w:rStyle w:val="Lienhypertexte"/>
          </w:rPr>
          <w:t>https://enetcollect.eurac.edu/</w:t>
        </w:r>
      </w:hyperlink>
    </w:p>
    <w:p w14:paraId="77EAE1E4" w14:textId="2278AD3C" w:rsidR="00EC2CA0" w:rsidRDefault="00EC2CA0" w:rsidP="00510396">
      <w:pPr>
        <w:spacing w:line="480" w:lineRule="auto"/>
        <w:ind w:firstLine="720"/>
      </w:pPr>
      <w:r w:rsidRPr="00EC2CA0">
        <w:rPr>
          <w:vertAlign w:val="superscript"/>
        </w:rPr>
        <w:t>6</w:t>
      </w:r>
      <w:r>
        <w:t xml:space="preserve"> </w:t>
      </w:r>
      <w:r w:rsidRPr="00EC2CA0">
        <w:t>Only five judges could be described as laymen or novices with no language-related education and/or work experience. Interestingly, these judges were not identified as misfit judges, which means that they do not deviate from the group consensus.</w:t>
      </w:r>
    </w:p>
    <w:p w14:paraId="207BA9D8" w14:textId="77777777" w:rsidR="00EC2CA0" w:rsidRDefault="00EC2CA0" w:rsidP="00510396">
      <w:pPr>
        <w:spacing w:line="480" w:lineRule="auto"/>
        <w:ind w:firstLine="720"/>
      </w:pPr>
    </w:p>
    <w:p w14:paraId="32F2F6F8" w14:textId="77777777" w:rsidR="00510396" w:rsidRDefault="00510396">
      <w:pPr>
        <w:rPr>
          <w:color w:val="000000"/>
        </w:rPr>
      </w:pPr>
      <w:r>
        <w:rPr>
          <w:color w:val="000000"/>
        </w:rPr>
        <w:br w:type="page"/>
      </w:r>
    </w:p>
    <w:p w14:paraId="777F3D7B" w14:textId="00936E16" w:rsidR="00364A79" w:rsidRDefault="00EB7938">
      <w:pPr>
        <w:pStyle w:val="Titre2"/>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References</w:t>
      </w:r>
    </w:p>
    <w:p w14:paraId="5B309A36" w14:textId="77777777" w:rsidR="00B64CCE" w:rsidRDefault="00B64CCE">
      <w:pPr>
        <w:spacing w:line="480" w:lineRule="auto"/>
      </w:pPr>
    </w:p>
    <w:p w14:paraId="676691E4" w14:textId="16EC214C" w:rsidR="00364A79" w:rsidRDefault="00B64CCE">
      <w:pPr>
        <w:spacing w:line="480" w:lineRule="auto"/>
      </w:pPr>
      <w:r w:rsidRPr="00B64CCE">
        <w:t>American Educational Research Association</w:t>
      </w:r>
      <w:r>
        <w:t xml:space="preserve"> (AERA)</w:t>
      </w:r>
      <w:r w:rsidRPr="00B64CCE">
        <w:t>, the American Psychological Association</w:t>
      </w:r>
      <w:r>
        <w:t xml:space="preserve"> (APA)</w:t>
      </w:r>
      <w:r w:rsidRPr="00B64CCE">
        <w:t xml:space="preserve"> and the National Council on Measurement in Education</w:t>
      </w:r>
      <w:r>
        <w:t xml:space="preserve"> (NCME) (2014). </w:t>
      </w:r>
      <w:r w:rsidR="009F6B1F">
        <w:rPr>
          <w:i/>
        </w:rPr>
        <w:t>Standards for e</w:t>
      </w:r>
      <w:r w:rsidRPr="00591AE1">
        <w:rPr>
          <w:i/>
        </w:rPr>
        <w:t xml:space="preserve">ducational and </w:t>
      </w:r>
      <w:r w:rsidR="009F6B1F">
        <w:rPr>
          <w:i/>
        </w:rPr>
        <w:t>p</w:t>
      </w:r>
      <w:r w:rsidRPr="00591AE1">
        <w:rPr>
          <w:i/>
        </w:rPr>
        <w:t xml:space="preserve">sychological </w:t>
      </w:r>
      <w:r w:rsidR="009F6B1F">
        <w:rPr>
          <w:i/>
        </w:rPr>
        <w:t>t</w:t>
      </w:r>
      <w:r w:rsidRPr="00591AE1">
        <w:rPr>
          <w:i/>
        </w:rPr>
        <w:t>esting</w:t>
      </w:r>
      <w:r>
        <w:t>.</w:t>
      </w:r>
      <w:r w:rsidR="00591AE1" w:rsidRPr="00591AE1">
        <w:t xml:space="preserve"> https://www.testingstandards.net/uploads/7/6/6/4/76643089/9780935302356.pdf</w:t>
      </w:r>
    </w:p>
    <w:p w14:paraId="64F7BB8E" w14:textId="77777777" w:rsidR="00364A79" w:rsidRDefault="00EB7938">
      <w:pPr>
        <w:spacing w:line="480" w:lineRule="auto"/>
      </w:pPr>
      <w:r>
        <w:t xml:space="preserve">Bärenfänger, O. (2013). Assessing the reliability and scale functionality of the MERLIN written speech sample ratings. Technical report. </w:t>
      </w:r>
      <w:hyperlink r:id="rId19">
        <w:r>
          <w:rPr>
            <w:color w:val="0563C1"/>
            <w:u w:val="single"/>
          </w:rPr>
          <w:t>https://merlin-platform.eu/docs/MERLIN_Technical-report.pdf</w:t>
        </w:r>
      </w:hyperlink>
    </w:p>
    <w:p w14:paraId="791BA6B4" w14:textId="5BEFB9BD" w:rsidR="00364A79" w:rsidRDefault="00EB7938">
      <w:pPr>
        <w:spacing w:line="480" w:lineRule="auto"/>
      </w:pPr>
      <w:r>
        <w:t>Blanchard, D., Tetreault, J., Higgins, D., Cahill, A., &amp; Chodorow, M. (2013</w:t>
      </w:r>
      <w:r w:rsidR="009F6B1F">
        <w:t>). TOEFL11: A corpus of n</w:t>
      </w:r>
      <w:r>
        <w:t xml:space="preserve">on-native English. Research Report ETS RR-13-24. </w:t>
      </w:r>
      <w:hyperlink r:id="rId20">
        <w:r>
          <w:rPr>
            <w:color w:val="0563C1"/>
            <w:u w:val="single"/>
          </w:rPr>
          <w:t>https://www.ets.org/Media/Research/pdf/RR-13-24.pdf</w:t>
        </w:r>
      </w:hyperlink>
    </w:p>
    <w:p w14:paraId="34D73503" w14:textId="149CA6F1" w:rsidR="00364A79" w:rsidRDefault="00EB7938">
      <w:pPr>
        <w:spacing w:line="480" w:lineRule="auto"/>
      </w:pPr>
      <w:r>
        <w:t>Blanchard, D., Tetreault, J., Higgins, D., Cahill, A., &amp; Ch</w:t>
      </w:r>
      <w:r w:rsidR="009F6B1F">
        <w:t>odorow, M. (2014). ETS c</w:t>
      </w:r>
      <w:r>
        <w:t xml:space="preserve">orpus of </w:t>
      </w:r>
      <w:r w:rsidR="009F6B1F">
        <w:t>non-native w</w:t>
      </w:r>
      <w:r>
        <w:t>ritten Eng</w:t>
      </w:r>
      <w:r w:rsidR="009F6B1F">
        <w:t xml:space="preserve">lish. LDC2014T06. </w:t>
      </w:r>
      <w:r>
        <w:t xml:space="preserve">Philadelphia: Linguistic Data Consortium, 2014. </w:t>
      </w:r>
      <w:hyperlink r:id="rId21">
        <w:r>
          <w:rPr>
            <w:color w:val="0563C1"/>
            <w:u w:val="single"/>
          </w:rPr>
          <w:t>https://catalog.ldc.upenn.edu/LDC2014T06</w:t>
        </w:r>
      </w:hyperlink>
    </w:p>
    <w:p w14:paraId="3F19840A" w14:textId="2628ECFC" w:rsidR="00364A79" w:rsidRDefault="00EB7938">
      <w:pPr>
        <w:spacing w:line="480" w:lineRule="auto"/>
        <w:rPr>
          <w:color w:val="000000"/>
          <w:highlight w:val="white"/>
        </w:rPr>
      </w:pPr>
      <w:r>
        <w:rPr>
          <w:color w:val="000000"/>
          <w:highlight w:val="white"/>
        </w:rPr>
        <w:t xml:space="preserve">Bradley, R. A., &amp; Terry, M. E. (1952). Rank analysis of incomplete block designs: I. the method of paired comparisons. </w:t>
      </w:r>
      <w:r>
        <w:rPr>
          <w:i/>
          <w:color w:val="000000"/>
          <w:highlight w:val="white"/>
        </w:rPr>
        <w:t>Biometrika</w:t>
      </w:r>
      <w:r>
        <w:rPr>
          <w:color w:val="000000"/>
          <w:highlight w:val="white"/>
        </w:rPr>
        <w:t xml:space="preserve">, </w:t>
      </w:r>
      <w:r>
        <w:rPr>
          <w:i/>
          <w:color w:val="000000"/>
          <w:highlight w:val="white"/>
        </w:rPr>
        <w:t>39</w:t>
      </w:r>
      <w:r>
        <w:rPr>
          <w:color w:val="000000"/>
          <w:highlight w:val="white"/>
        </w:rPr>
        <w:t>, 324</w:t>
      </w:r>
      <w:r w:rsidR="0075775A">
        <w:rPr>
          <w:color w:val="000000"/>
        </w:rPr>
        <w:t>–</w:t>
      </w:r>
      <w:r>
        <w:rPr>
          <w:color w:val="000000"/>
          <w:highlight w:val="white"/>
        </w:rPr>
        <w:t>345.</w:t>
      </w:r>
      <w:r w:rsidR="008325F5">
        <w:rPr>
          <w:color w:val="000000"/>
          <w:highlight w:val="white"/>
        </w:rPr>
        <w:t xml:space="preserve"> </w:t>
      </w:r>
      <w:r w:rsidR="008325F5" w:rsidRPr="008325F5">
        <w:rPr>
          <w:color w:val="000000"/>
        </w:rPr>
        <w:t>https://doi.org/10.2307/2334029</w:t>
      </w:r>
    </w:p>
    <w:p w14:paraId="50EB4634" w14:textId="77777777" w:rsidR="00364A79" w:rsidRDefault="00EB7938">
      <w:pPr>
        <w:spacing w:line="480" w:lineRule="auto"/>
        <w:rPr>
          <w:color w:val="000000"/>
          <w:highlight w:val="white"/>
        </w:rPr>
      </w:pPr>
      <w:r>
        <w:rPr>
          <w:color w:val="000000"/>
          <w:highlight w:val="white"/>
        </w:rPr>
        <w:t xml:space="preserve">Bramley, T. (2007). Paired comparison methods. </w:t>
      </w:r>
      <w:r>
        <w:rPr>
          <w:color w:val="000000"/>
        </w:rPr>
        <w:t xml:space="preserve">In J. B. P. Newton, H. Goldstein, H. Patrick, &amp; P. Tymms (Eds.), </w:t>
      </w:r>
      <w:r>
        <w:rPr>
          <w:i/>
          <w:color w:val="000000"/>
        </w:rPr>
        <w:t xml:space="preserve">Techniques for monitoring the comparability of examination standards </w:t>
      </w:r>
      <w:r>
        <w:rPr>
          <w:color w:val="000000"/>
        </w:rPr>
        <w:t>(pp. 246–294). London: QCA.</w:t>
      </w:r>
    </w:p>
    <w:p w14:paraId="6CF1192C" w14:textId="77777777" w:rsidR="00364A79" w:rsidRDefault="00EB7938">
      <w:pPr>
        <w:spacing w:line="480" w:lineRule="auto"/>
        <w:rPr>
          <w:highlight w:val="white"/>
        </w:rPr>
      </w:pPr>
      <w:r>
        <w:rPr>
          <w:highlight w:val="white"/>
        </w:rPr>
        <w:t xml:space="preserve">Bramley, T. (2015). </w:t>
      </w:r>
      <w:r>
        <w:rPr>
          <w:i/>
          <w:highlight w:val="white"/>
        </w:rPr>
        <w:t>Investigating the reliability of adaptive comparative judgement</w:t>
      </w:r>
      <w:r>
        <w:rPr>
          <w:highlight w:val="white"/>
        </w:rPr>
        <w:t xml:space="preserve">. Cambridge Assessment Research Report. Cambridge: Cambridge Assessment. </w:t>
      </w:r>
      <w:hyperlink r:id="rId22">
        <w:r>
          <w:rPr>
            <w:color w:val="0563C1"/>
            <w:u w:val="single"/>
          </w:rPr>
          <w:t>https://www.cambridgeassessment.org.uk/Images/232694-investigating-the-reliability-of-adaptive-comparative-judgment.pdf</w:t>
        </w:r>
      </w:hyperlink>
      <w:r>
        <w:t xml:space="preserve"> </w:t>
      </w:r>
    </w:p>
    <w:p w14:paraId="785F967B" w14:textId="642B8779" w:rsidR="00364A79" w:rsidRDefault="00EB7938">
      <w:pPr>
        <w:spacing w:line="480" w:lineRule="auto"/>
      </w:pPr>
      <w:r>
        <w:rPr>
          <w:highlight w:val="white"/>
        </w:rPr>
        <w:lastRenderedPageBreak/>
        <w:t xml:space="preserve">Bramley, T. &amp; Vitello, S. (2019). The effect of adaptivity on the reliability coefficient in adaptive comparative judgement. </w:t>
      </w:r>
      <w:r>
        <w:rPr>
          <w:i/>
          <w:highlight w:val="white"/>
        </w:rPr>
        <w:t>Assessment in Education: Principles, Policy &amp; Practice</w:t>
      </w:r>
      <w:r>
        <w:rPr>
          <w:highlight w:val="white"/>
        </w:rPr>
        <w:t xml:space="preserve">, </w:t>
      </w:r>
      <w:r>
        <w:rPr>
          <w:i/>
          <w:highlight w:val="white"/>
        </w:rPr>
        <w:t>26</w:t>
      </w:r>
      <w:r>
        <w:rPr>
          <w:highlight w:val="white"/>
        </w:rPr>
        <w:t>, 43</w:t>
      </w:r>
      <w:r w:rsidR="00BC4D9C">
        <w:rPr>
          <w:color w:val="000000"/>
        </w:rPr>
        <w:t>–</w:t>
      </w:r>
      <w:r>
        <w:rPr>
          <w:highlight w:val="white"/>
        </w:rPr>
        <w:t xml:space="preserve">58. </w:t>
      </w:r>
      <w:hyperlink r:id="rId23">
        <w:r>
          <w:rPr>
            <w:color w:val="0563C1"/>
            <w:u w:val="single"/>
          </w:rPr>
          <w:t>https://doi.org/10.1080/0969594X.2017.1418734</w:t>
        </w:r>
      </w:hyperlink>
    </w:p>
    <w:p w14:paraId="061CE34D" w14:textId="39919E9A" w:rsidR="00364A79" w:rsidRDefault="00EB7938">
      <w:pPr>
        <w:spacing w:line="480" w:lineRule="auto"/>
        <w:rPr>
          <w:color w:val="000000"/>
        </w:rPr>
      </w:pPr>
      <w:r>
        <w:rPr>
          <w:color w:val="000000"/>
        </w:rPr>
        <w:t xml:space="preserve">Callison-Burch, C. (2009). Fast, Cheap, and Creative : Evaluating </w:t>
      </w:r>
      <w:r w:rsidR="004B0243">
        <w:rPr>
          <w:color w:val="000000"/>
        </w:rPr>
        <w:t>t</w:t>
      </w:r>
      <w:r>
        <w:rPr>
          <w:color w:val="000000"/>
        </w:rPr>
        <w:t>ranslation</w:t>
      </w:r>
      <w:r w:rsidR="004B0243">
        <w:rPr>
          <w:color w:val="000000"/>
        </w:rPr>
        <w:t>q</w:t>
      </w:r>
      <w:r>
        <w:rPr>
          <w:color w:val="000000"/>
        </w:rPr>
        <w:t xml:space="preserve">uality </w:t>
      </w:r>
      <w:r w:rsidR="004B0243">
        <w:rPr>
          <w:color w:val="000000"/>
        </w:rPr>
        <w:t>using Amazon’s M</w:t>
      </w:r>
      <w:r>
        <w:rPr>
          <w:color w:val="000000"/>
        </w:rPr>
        <w:t xml:space="preserve">echanical Turk. </w:t>
      </w:r>
      <w:r>
        <w:rPr>
          <w:i/>
          <w:color w:val="000000"/>
        </w:rPr>
        <w:t xml:space="preserve">Proceedings of the 2009 </w:t>
      </w:r>
      <w:r w:rsidR="009F6B1F">
        <w:rPr>
          <w:i/>
          <w:color w:val="000000"/>
        </w:rPr>
        <w:t>c</w:t>
      </w:r>
      <w:r>
        <w:rPr>
          <w:i/>
          <w:color w:val="000000"/>
        </w:rPr>
        <w:t xml:space="preserve">onference on </w:t>
      </w:r>
      <w:r w:rsidR="009F6B1F">
        <w:rPr>
          <w:i/>
          <w:color w:val="000000"/>
        </w:rPr>
        <w:t>e</w:t>
      </w:r>
      <w:r>
        <w:rPr>
          <w:i/>
          <w:color w:val="000000"/>
        </w:rPr>
        <w:t xml:space="preserve">mpirical </w:t>
      </w:r>
      <w:r w:rsidR="009F6B1F">
        <w:rPr>
          <w:i/>
          <w:color w:val="000000"/>
        </w:rPr>
        <w:t>m</w:t>
      </w:r>
      <w:r>
        <w:rPr>
          <w:i/>
          <w:color w:val="000000"/>
        </w:rPr>
        <w:t xml:space="preserve">ethods in </w:t>
      </w:r>
      <w:r w:rsidR="009F6B1F">
        <w:rPr>
          <w:i/>
          <w:color w:val="000000"/>
        </w:rPr>
        <w:t>natural language p</w:t>
      </w:r>
      <w:r>
        <w:rPr>
          <w:i/>
          <w:color w:val="000000"/>
        </w:rPr>
        <w:t>rocessing</w:t>
      </w:r>
      <w:r>
        <w:rPr>
          <w:color w:val="000000"/>
        </w:rPr>
        <w:t>, 286–295. https://www.aclweb.org/anthology/D09-1030</w:t>
      </w:r>
    </w:p>
    <w:p w14:paraId="1D48A2C5" w14:textId="63584ABB" w:rsidR="00364A79" w:rsidRDefault="00EB7938">
      <w:pPr>
        <w:spacing w:line="480" w:lineRule="auto"/>
      </w:pPr>
      <w:r>
        <w:t xml:space="preserve">Carlsen, C. (2012). Proficiency level – a fuzzy variable in computer learner corpora. </w:t>
      </w:r>
      <w:r>
        <w:rPr>
          <w:i/>
        </w:rPr>
        <w:t>Applied Linguistics, 33</w:t>
      </w:r>
      <w:r>
        <w:t>, 161–183. https://doi.org/10.1093/applin/amr047</w:t>
      </w:r>
    </w:p>
    <w:p w14:paraId="06990FF9" w14:textId="585E602E" w:rsidR="00364A79" w:rsidRDefault="00EB7938">
      <w:pPr>
        <w:spacing w:line="480" w:lineRule="auto"/>
      </w:pPr>
      <w:r>
        <w:t xml:space="preserve">Council of Europe (2001). </w:t>
      </w:r>
      <w:r>
        <w:rPr>
          <w:i/>
        </w:rPr>
        <w:t xml:space="preserve">Common European </w:t>
      </w:r>
      <w:r w:rsidR="009F6B1F">
        <w:rPr>
          <w:i/>
        </w:rPr>
        <w:t>f</w:t>
      </w:r>
      <w:r>
        <w:rPr>
          <w:i/>
        </w:rPr>
        <w:t xml:space="preserve">ramework of </w:t>
      </w:r>
      <w:r w:rsidR="009F6B1F">
        <w:rPr>
          <w:i/>
        </w:rPr>
        <w:t>reference for l</w:t>
      </w:r>
      <w:r>
        <w:rPr>
          <w:i/>
        </w:rPr>
        <w:t>anguages: Learning, teaching, assessment</w:t>
      </w:r>
      <w:r>
        <w:t>. Cambridge: Cambridge University Press.</w:t>
      </w:r>
    </w:p>
    <w:p w14:paraId="6BACB82C" w14:textId="3365E6EA" w:rsidR="008172AE" w:rsidRDefault="008172AE">
      <w:pPr>
        <w:spacing w:line="480" w:lineRule="auto"/>
      </w:pPr>
      <w:r>
        <w:t xml:space="preserve">Demartini, G. (2015). How to setup a crowdsourcing task? Micro-task </w:t>
      </w:r>
      <w:r w:rsidR="009F6B1F">
        <w:t>crowdsourcing l</w:t>
      </w:r>
      <w:r>
        <w:t xml:space="preserve">ecture 3, Udine, Italy. </w:t>
      </w:r>
      <w:r w:rsidRPr="008172AE">
        <w:t>http://www.gianlucademartini.net/crowdsourcing/udine/3-setup.pdf</w:t>
      </w:r>
    </w:p>
    <w:p w14:paraId="498CB3EA" w14:textId="48072BAC" w:rsidR="00075D7B" w:rsidRDefault="00EB7938">
      <w:pPr>
        <w:spacing w:line="480" w:lineRule="auto"/>
      </w:pPr>
      <w:r>
        <w:t xml:space="preserve">Díez-Bedmar, M. B. (2012). </w:t>
      </w:r>
      <w:r w:rsidR="009F6B1F">
        <w:t>The u</w:t>
      </w:r>
      <w:r>
        <w:t xml:space="preserve">se of the </w:t>
      </w:r>
      <w:r w:rsidR="00BC4D9C">
        <w:t>c</w:t>
      </w:r>
      <w:r>
        <w:t xml:space="preserve">ommon European </w:t>
      </w:r>
      <w:r w:rsidR="009F6B1F">
        <w:t>f</w:t>
      </w:r>
      <w:r>
        <w:t xml:space="preserve">ramework of </w:t>
      </w:r>
      <w:r w:rsidR="009F6B1F">
        <w:t>r</w:t>
      </w:r>
      <w:r>
        <w:t xml:space="preserve">eference for </w:t>
      </w:r>
      <w:r w:rsidR="009F6B1F">
        <w:t>languages to e</w:t>
      </w:r>
      <w:r>
        <w:t xml:space="preserve">valuate </w:t>
      </w:r>
      <w:r w:rsidR="009F6B1F">
        <w:t>c</w:t>
      </w:r>
      <w:r>
        <w:t xml:space="preserve">ompositions in the English </w:t>
      </w:r>
      <w:r w:rsidR="009F6B1F">
        <w:t>e</w:t>
      </w:r>
      <w:r>
        <w:t xml:space="preserve">xam </w:t>
      </w:r>
      <w:r w:rsidR="009F6B1F">
        <w:t>section of the u</w:t>
      </w:r>
      <w:r>
        <w:t xml:space="preserve">niversity </w:t>
      </w:r>
      <w:r w:rsidR="009F6B1F">
        <w:t>a</w:t>
      </w:r>
      <w:r>
        <w:t xml:space="preserve">dmission </w:t>
      </w:r>
      <w:r w:rsidR="009F6B1F">
        <w:t>e</w:t>
      </w:r>
      <w:r>
        <w:t xml:space="preserve">xamination. </w:t>
      </w:r>
      <w:r w:rsidRPr="00075D7B">
        <w:rPr>
          <w:i/>
        </w:rPr>
        <w:t>Revista de Educación, 357</w:t>
      </w:r>
      <w:r w:rsidRPr="00075D7B">
        <w:t>, 55</w:t>
      </w:r>
      <w:r w:rsidR="00BC4D9C">
        <w:rPr>
          <w:color w:val="000000"/>
        </w:rPr>
        <w:t>–</w:t>
      </w:r>
      <w:r w:rsidRPr="00075D7B">
        <w:t>79.</w:t>
      </w:r>
      <w:r w:rsidR="008325F5">
        <w:t xml:space="preserve"> </w:t>
      </w:r>
      <w:hyperlink r:id="rId24" w:history="1">
        <w:r w:rsidR="00587CDA" w:rsidRPr="003E7F76">
          <w:rPr>
            <w:rStyle w:val="Lienhypertexte"/>
          </w:rPr>
          <w:t>http://www.revistaeducacion.educacion.es/re357/re357_03.pdf</w:t>
        </w:r>
      </w:hyperlink>
    </w:p>
    <w:p w14:paraId="7049EADE" w14:textId="3AC1E01A" w:rsidR="00075D7B" w:rsidRDefault="00AC232C">
      <w:pPr>
        <w:spacing w:line="480" w:lineRule="auto"/>
      </w:pPr>
      <w:r w:rsidRPr="00AC232C">
        <w:t xml:space="preserve">Elo, A. E. (1978). </w:t>
      </w:r>
      <w:r w:rsidR="00BC4D9C">
        <w:rPr>
          <w:i/>
          <w:iCs/>
        </w:rPr>
        <w:t>The Rating of c</w:t>
      </w:r>
      <w:r w:rsidRPr="00AC232C">
        <w:rPr>
          <w:i/>
          <w:iCs/>
        </w:rPr>
        <w:t>hess</w:t>
      </w:r>
      <w:r w:rsidR="00BC4D9C">
        <w:rPr>
          <w:i/>
          <w:iCs/>
        </w:rPr>
        <w:t xml:space="preserve"> players: Past and p</w:t>
      </w:r>
      <w:r w:rsidRPr="00AC232C">
        <w:rPr>
          <w:i/>
          <w:iCs/>
        </w:rPr>
        <w:t>resent</w:t>
      </w:r>
      <w:r w:rsidRPr="00AC232C">
        <w:t>. New York: Arco Publishing.</w:t>
      </w:r>
    </w:p>
    <w:p w14:paraId="3ABF2A99" w14:textId="1155CDE9" w:rsidR="00BC0F07" w:rsidRDefault="00BC0F07" w:rsidP="00BC0F07">
      <w:pPr>
        <w:spacing w:line="480" w:lineRule="auto"/>
      </w:pPr>
      <w:r w:rsidRPr="00BC0F07">
        <w:t xml:space="preserve">Fox, </w:t>
      </w:r>
      <w:r>
        <w:t xml:space="preserve">J. &amp; </w:t>
      </w:r>
      <w:r w:rsidRPr="00BC0F07">
        <w:t>Hong</w:t>
      </w:r>
      <w:r>
        <w:t>, J.</w:t>
      </w:r>
      <w:r w:rsidRPr="00BC0F07">
        <w:t xml:space="preserve"> (2009). Effect</w:t>
      </w:r>
      <w:r>
        <w:t xml:space="preserve"> d</w:t>
      </w:r>
      <w:r w:rsidRPr="00BC0F07">
        <w:t xml:space="preserve">isplays in R for </w:t>
      </w:r>
      <w:r>
        <w:t>m</w:t>
      </w:r>
      <w:r w:rsidRPr="00BC0F07">
        <w:t>ultinomial and</w:t>
      </w:r>
      <w:r>
        <w:t xml:space="preserve"> p</w:t>
      </w:r>
      <w:r w:rsidRPr="00BC0F07">
        <w:t>roport</w:t>
      </w:r>
      <w:r>
        <w:t>ional-odds l</w:t>
      </w:r>
      <w:r w:rsidRPr="00BC0F07">
        <w:t xml:space="preserve">ogit </w:t>
      </w:r>
      <w:r>
        <w:t>mo</w:t>
      </w:r>
      <w:r w:rsidRPr="00BC0F07">
        <w:t>dels: Extensions to</w:t>
      </w:r>
      <w:r>
        <w:t xml:space="preserve"> the effects p</w:t>
      </w:r>
      <w:r w:rsidRPr="00BC0F07">
        <w:t xml:space="preserve">ackage. </w:t>
      </w:r>
      <w:r w:rsidRPr="00BC0F07">
        <w:rPr>
          <w:i/>
        </w:rPr>
        <w:t>Journal of Statistical Software</w:t>
      </w:r>
      <w:r>
        <w:t xml:space="preserve">, </w:t>
      </w:r>
      <w:r w:rsidRPr="00BC0F07">
        <w:rPr>
          <w:i/>
        </w:rPr>
        <w:t>32</w:t>
      </w:r>
      <w:r w:rsidRPr="00BC0F07">
        <w:t>, 1</w:t>
      </w:r>
      <w:r>
        <w:rPr>
          <w:color w:val="000000"/>
        </w:rPr>
        <w:t>–</w:t>
      </w:r>
      <w:r w:rsidRPr="00BC0F07">
        <w:t>24. https://doi.org/10.18637/jss.v032.i01</w:t>
      </w:r>
    </w:p>
    <w:p w14:paraId="3CE35A81" w14:textId="227E3FDB" w:rsidR="00364A79" w:rsidRDefault="00EB7938">
      <w:pPr>
        <w:spacing w:line="480" w:lineRule="auto"/>
        <w:rPr>
          <w:lang w:val="fr-BE"/>
        </w:rPr>
      </w:pPr>
      <w:r w:rsidRPr="003E16B1">
        <w:t xml:space="preserve">Granger, S., Dagneaux, E., Meunier, F., &amp; Paquot, M. (2009). </w:t>
      </w:r>
      <w:r w:rsidR="00BC4D9C">
        <w:rPr>
          <w:i/>
        </w:rPr>
        <w:t>The International c</w:t>
      </w:r>
      <w:r>
        <w:rPr>
          <w:i/>
        </w:rPr>
        <w:t xml:space="preserve">orpus of </w:t>
      </w:r>
      <w:r w:rsidR="00BC4D9C">
        <w:rPr>
          <w:i/>
        </w:rPr>
        <w:t>l</w:t>
      </w:r>
      <w:r>
        <w:rPr>
          <w:i/>
        </w:rPr>
        <w:t>earner English</w:t>
      </w:r>
      <w:r>
        <w:t xml:space="preserve">. </w:t>
      </w:r>
      <w:r w:rsidRPr="00DE4556">
        <w:rPr>
          <w:lang w:val="fr-BE"/>
        </w:rPr>
        <w:t>Version 2. Handbook &amp; CD-ROM. Louvain-la-Neuve: Presses Universitaires de Louvain.</w:t>
      </w:r>
    </w:p>
    <w:p w14:paraId="7913C98C" w14:textId="7D4E4AFC" w:rsidR="00364A79" w:rsidRDefault="00EB7938">
      <w:pPr>
        <w:spacing w:line="480" w:lineRule="auto"/>
      </w:pPr>
      <w:r>
        <w:t xml:space="preserve">Hsueh, P.-Y., Melville, P., &amp; Sindhwani, V. (2009). Data Quality from Crowdsourcing : A Study of Annotation Selection Criteria. </w:t>
      </w:r>
      <w:r>
        <w:rPr>
          <w:i/>
        </w:rPr>
        <w:t>Pro</w:t>
      </w:r>
      <w:r w:rsidR="00BC4D9C">
        <w:rPr>
          <w:i/>
        </w:rPr>
        <w:t>ceedings of the NAACL HLT 2009 w</w:t>
      </w:r>
      <w:r>
        <w:rPr>
          <w:i/>
        </w:rPr>
        <w:t xml:space="preserve">orkshop on </w:t>
      </w:r>
      <w:r w:rsidR="00BC4D9C">
        <w:rPr>
          <w:i/>
        </w:rPr>
        <w:lastRenderedPageBreak/>
        <w:t>active l</w:t>
      </w:r>
      <w:r>
        <w:rPr>
          <w:i/>
        </w:rPr>
        <w:t xml:space="preserve">earning for </w:t>
      </w:r>
      <w:r w:rsidR="00BC4D9C">
        <w:rPr>
          <w:i/>
        </w:rPr>
        <w:t>natural language p</w:t>
      </w:r>
      <w:r>
        <w:rPr>
          <w:i/>
        </w:rPr>
        <w:t>rocessing</w:t>
      </w:r>
      <w:r>
        <w:t xml:space="preserve">, 27–35. </w:t>
      </w:r>
      <w:hyperlink r:id="rId25">
        <w:r>
          <w:rPr>
            <w:color w:val="0563C1"/>
            <w:u w:val="single"/>
          </w:rPr>
          <w:t>https://www.aclweb.org/anthology/W09-1904</w:t>
        </w:r>
      </w:hyperlink>
      <w:r>
        <w:t xml:space="preserve"> </w:t>
      </w:r>
    </w:p>
    <w:p w14:paraId="78B65A53" w14:textId="106FD169" w:rsidR="0046421D" w:rsidRDefault="0046421D">
      <w:pPr>
        <w:spacing w:line="480" w:lineRule="auto"/>
      </w:pPr>
      <w:r w:rsidRPr="0046421D">
        <w:t>Hu</w:t>
      </w:r>
      <w:r w:rsidR="00BC4D9C">
        <w:t>lstijn, J. H. (2011). Language proficiency in native and nonnative Speakers : An agenda for r</w:t>
      </w:r>
      <w:r w:rsidRPr="0046421D">
        <w:t xml:space="preserve">esearch and </w:t>
      </w:r>
      <w:r w:rsidR="00BC4D9C">
        <w:t>s</w:t>
      </w:r>
      <w:r w:rsidRPr="0046421D">
        <w:t>ug</w:t>
      </w:r>
      <w:r w:rsidR="00BC4D9C">
        <w:t>gestions for second-language a</w:t>
      </w:r>
      <w:r w:rsidRPr="0046421D">
        <w:t xml:space="preserve">ssessment. </w:t>
      </w:r>
      <w:r w:rsidRPr="00075D7B">
        <w:rPr>
          <w:i/>
        </w:rPr>
        <w:t>Language Assessment Quarterly</w:t>
      </w:r>
      <w:r w:rsidR="00BC4D9C">
        <w:t xml:space="preserve">, </w:t>
      </w:r>
      <w:r w:rsidR="00BC4D9C" w:rsidRPr="00BC4D9C">
        <w:rPr>
          <w:i/>
        </w:rPr>
        <w:t>8</w:t>
      </w:r>
      <w:r w:rsidRPr="0046421D">
        <w:t>, 229</w:t>
      </w:r>
      <w:r w:rsidR="0075775A">
        <w:rPr>
          <w:color w:val="000000"/>
        </w:rPr>
        <w:t>–</w:t>
      </w:r>
      <w:r w:rsidRPr="0046421D">
        <w:t>249. https://doi.org/10.1080/15434303.2011.565844</w:t>
      </w:r>
    </w:p>
    <w:p w14:paraId="0727F307" w14:textId="3CAA008E" w:rsidR="00364A79" w:rsidRDefault="00EB7938">
      <w:pPr>
        <w:spacing w:line="480" w:lineRule="auto"/>
      </w:pPr>
      <w:r>
        <w:t>Hulstijn, J., Alderson, C. &amp; Schroonen, R. (2010). Developmental stages in second-language acquisition and levels of second-language proficiency: Are there links between them?’ in I. Bartning,</w:t>
      </w:r>
      <w:r w:rsidR="005F6C77">
        <w:t xml:space="preserve"> M. Martin, &amp; I. Vedder (Eds),</w:t>
      </w:r>
      <w:r>
        <w:t xml:space="preserve"> </w:t>
      </w:r>
      <w:r>
        <w:rPr>
          <w:i/>
        </w:rPr>
        <w:t>Communicative proficiency and linguistic development: Intersections between SLA and language testing research</w:t>
      </w:r>
      <w:r>
        <w:t xml:space="preserve"> (</w:t>
      </w:r>
      <w:r w:rsidR="005F6C77">
        <w:t>p</w:t>
      </w:r>
      <w:r>
        <w:t>p. 11</w:t>
      </w:r>
      <w:r w:rsidR="0075775A">
        <w:rPr>
          <w:color w:val="000000"/>
        </w:rPr>
        <w:t>–</w:t>
      </w:r>
      <w:r>
        <w:t xml:space="preserve">20). EUROSLA Monographs Series 1. </w:t>
      </w:r>
      <w:hyperlink r:id="rId26">
        <w:r>
          <w:rPr>
            <w:color w:val="0563C1"/>
            <w:u w:val="single"/>
          </w:rPr>
          <w:t>http://eurosla.org/monographs/EM01/11-20Hulstijjn_et_al.pdf</w:t>
        </w:r>
      </w:hyperlink>
      <w:r>
        <w:t xml:space="preserve">     </w:t>
      </w:r>
    </w:p>
    <w:p w14:paraId="15C45006" w14:textId="60B55324" w:rsidR="008325F5" w:rsidRDefault="008325F5">
      <w:pPr>
        <w:spacing w:line="480" w:lineRule="auto"/>
      </w:pPr>
      <w:r>
        <w:t xml:space="preserve">Jones, I., Swan, M., &amp; Pollitt, A. (2015). Assessing mathematical problem solving using comparative judgement. </w:t>
      </w:r>
      <w:r w:rsidRPr="008325F5">
        <w:rPr>
          <w:i/>
        </w:rPr>
        <w:t>International Journal of Science and Mathematics Education</w:t>
      </w:r>
      <w:r>
        <w:t xml:space="preserve">, </w:t>
      </w:r>
      <w:r w:rsidRPr="008325F5">
        <w:rPr>
          <w:i/>
        </w:rPr>
        <w:t>13</w:t>
      </w:r>
      <w:r>
        <w:t>, 151</w:t>
      </w:r>
      <w:r w:rsidR="0075775A">
        <w:rPr>
          <w:color w:val="000000"/>
        </w:rPr>
        <w:t>–</w:t>
      </w:r>
      <w:r>
        <w:t xml:space="preserve">177. </w:t>
      </w:r>
      <w:r w:rsidRPr="008325F5">
        <w:t>https://doi.org/10.1007/s10763-013-9497-6</w:t>
      </w:r>
    </w:p>
    <w:p w14:paraId="22A30E10" w14:textId="211BB67C" w:rsidR="00364A79" w:rsidRDefault="00EB7938">
      <w:pPr>
        <w:spacing w:line="480" w:lineRule="auto"/>
      </w:pPr>
      <w:r>
        <w:t xml:space="preserve">Jones, I., &amp; Wheadon, C. (2015). Peer assessment using comparative and absolute judgment. </w:t>
      </w:r>
      <w:r>
        <w:rPr>
          <w:i/>
        </w:rPr>
        <w:t>Studies in Educational Evaluation, 47</w:t>
      </w:r>
      <w:r>
        <w:t>, 93</w:t>
      </w:r>
      <w:r w:rsidR="0075775A">
        <w:rPr>
          <w:color w:val="000000"/>
        </w:rPr>
        <w:t>–</w:t>
      </w:r>
      <w:r>
        <w:t xml:space="preserve">101. </w:t>
      </w:r>
      <w:hyperlink r:id="rId27" w:history="1">
        <w:r w:rsidR="00D63CC4" w:rsidRPr="001B5FBC">
          <w:rPr>
            <w:rStyle w:val="Lienhypertexte"/>
          </w:rPr>
          <w:t>https://doi.org/10.1016/j.stueduc.2015.09.004</w:t>
        </w:r>
      </w:hyperlink>
    </w:p>
    <w:p w14:paraId="7176B936" w14:textId="00E5E13F" w:rsidR="00D63CC4" w:rsidRPr="00376AE0" w:rsidRDefault="00D63CC4">
      <w:pPr>
        <w:spacing w:line="480" w:lineRule="auto"/>
        <w:rPr>
          <w:lang w:val="en-US"/>
        </w:rPr>
      </w:pPr>
      <w:r>
        <w:t xml:space="preserve">Leclercq, P. &amp; Edmonds, A. (2014). How to assess L2 proficiency? An overview of proficiency assessment research. In </w:t>
      </w:r>
      <w:r w:rsidR="005F6C77">
        <w:t xml:space="preserve">P. </w:t>
      </w:r>
      <w:r>
        <w:t xml:space="preserve">Leclercq, </w:t>
      </w:r>
      <w:r w:rsidR="005F6C77">
        <w:t xml:space="preserve">A. Edmonds </w:t>
      </w:r>
      <w:r>
        <w:t xml:space="preserve">&amp; </w:t>
      </w:r>
      <w:r w:rsidR="005F6C77">
        <w:t>H. Hilton</w:t>
      </w:r>
      <w:r>
        <w:t xml:space="preserve"> (Eds</w:t>
      </w:r>
      <w:r w:rsidR="005F6C77">
        <w:t>.),</w:t>
      </w:r>
      <w:r>
        <w:t xml:space="preserve"> </w:t>
      </w:r>
      <w:r w:rsidRPr="00D63CC4">
        <w:rPr>
          <w:i/>
        </w:rPr>
        <w:t>Measuring L2 proficiency: Perspectives from SLA</w:t>
      </w:r>
      <w:r>
        <w:t xml:space="preserve"> (pp. 3</w:t>
      </w:r>
      <w:r w:rsidR="0075775A">
        <w:rPr>
          <w:color w:val="000000"/>
        </w:rPr>
        <w:t>–</w:t>
      </w:r>
      <w:r>
        <w:t xml:space="preserve">23). </w:t>
      </w:r>
      <w:r w:rsidRPr="00376AE0">
        <w:rPr>
          <w:lang w:val="en-US"/>
        </w:rPr>
        <w:t xml:space="preserve">Multilingual Matters. </w:t>
      </w:r>
    </w:p>
    <w:p w14:paraId="0DFECD49" w14:textId="3A6E33DF" w:rsidR="00EE78A1" w:rsidRPr="00376AE0" w:rsidRDefault="00EE78A1" w:rsidP="00AA7B69">
      <w:pPr>
        <w:spacing w:line="480" w:lineRule="auto"/>
        <w:rPr>
          <w:lang w:val="en-US"/>
        </w:rPr>
      </w:pPr>
      <w:r w:rsidRPr="00376AE0">
        <w:rPr>
          <w:lang w:val="en-US"/>
        </w:rPr>
        <w:t xml:space="preserve">Lenth, R. (2021). </w:t>
      </w:r>
      <w:r w:rsidR="00AA7B69" w:rsidRPr="00AA7B69">
        <w:rPr>
          <w:lang w:val="en-US"/>
        </w:rPr>
        <w:t>emmeans: Estimated Marginal Means, aka Least-Squares</w:t>
      </w:r>
      <w:r w:rsidR="00AA7B69">
        <w:rPr>
          <w:lang w:val="en-US"/>
        </w:rPr>
        <w:t xml:space="preserve"> </w:t>
      </w:r>
      <w:r w:rsidR="00AA7B69" w:rsidRPr="00AA7B69">
        <w:rPr>
          <w:lang w:val="en-US"/>
        </w:rPr>
        <w:t>Means. R package version 1.6.1</w:t>
      </w:r>
      <w:r w:rsidR="002C0089" w:rsidRPr="00376AE0">
        <w:rPr>
          <w:lang w:val="en-US"/>
        </w:rPr>
        <w:t xml:space="preserve">. </w:t>
      </w:r>
      <w:r w:rsidR="002C0089">
        <w:rPr>
          <w:lang w:val="en-US"/>
        </w:rPr>
        <w:t xml:space="preserve">retrieved from: </w:t>
      </w:r>
      <w:r w:rsidR="002C0089" w:rsidRPr="00376AE0">
        <w:rPr>
          <w:lang w:val="en-US"/>
        </w:rPr>
        <w:t>https://CRAN.R-project.org/package=emmeans</w:t>
      </w:r>
    </w:p>
    <w:p w14:paraId="645F5054" w14:textId="1FDE6451" w:rsidR="00364A79" w:rsidRPr="00CE3FCD" w:rsidRDefault="00EB7938">
      <w:pPr>
        <w:spacing w:line="480" w:lineRule="auto"/>
        <w:rPr>
          <w:lang w:val="fr-BE"/>
        </w:rPr>
      </w:pPr>
      <w:r w:rsidRPr="003E16B1">
        <w:rPr>
          <w:lang w:val="fr-BE"/>
        </w:rPr>
        <w:t xml:space="preserve">Lesterhuis, M., Verhavert, S., Coertjens, L., Donche, V., &amp; De Maeyer, S. (2017). </w:t>
      </w:r>
      <w:r w:rsidR="005F6C77">
        <w:t>Comparative judgement as a promising alternative to score c</w:t>
      </w:r>
      <w:r>
        <w:t xml:space="preserve">ompetences. In E. Cano &amp; G. Ion (Eds.), </w:t>
      </w:r>
      <w:r>
        <w:rPr>
          <w:i/>
        </w:rPr>
        <w:t xml:space="preserve">Innovative practices for higher education assessment and measurement </w:t>
      </w:r>
      <w:r>
        <w:t>(pp. 119</w:t>
      </w:r>
      <w:r w:rsidR="0075775A">
        <w:rPr>
          <w:color w:val="000000"/>
        </w:rPr>
        <w:t>–</w:t>
      </w:r>
      <w:r>
        <w:t xml:space="preserve">138). </w:t>
      </w:r>
      <w:r w:rsidR="008325F5">
        <w:rPr>
          <w:lang w:val="fr-BE"/>
        </w:rPr>
        <w:t xml:space="preserve">IGI Global. </w:t>
      </w:r>
    </w:p>
    <w:p w14:paraId="3799A286" w14:textId="277CDB99" w:rsidR="00364A79" w:rsidRDefault="00EB7938">
      <w:pPr>
        <w:spacing w:line="480" w:lineRule="auto"/>
      </w:pPr>
      <w:r w:rsidRPr="00CE3FCD">
        <w:rPr>
          <w:lang w:val="fr-BE"/>
        </w:rPr>
        <w:lastRenderedPageBreak/>
        <w:t xml:space="preserve">Lesterhuis, M., van Daal, T., Van Gasse, R., Coertjens, L., Donche, V., &amp; De Maeyer, S. (2018). </w:t>
      </w:r>
      <w:r>
        <w:t xml:space="preserve">When teachers compare argumentative texts : Decisions informed by multiple complex aspects of text quality. </w:t>
      </w:r>
      <w:r>
        <w:rPr>
          <w:i/>
        </w:rPr>
        <w:t>L1 Educational Studies in Language and Literature, 18,</w:t>
      </w:r>
      <w:r>
        <w:t xml:space="preserve"> 1</w:t>
      </w:r>
      <w:r w:rsidR="0075775A">
        <w:rPr>
          <w:color w:val="000000"/>
        </w:rPr>
        <w:t>–</w:t>
      </w:r>
      <w:r>
        <w:t xml:space="preserve">22. </w:t>
      </w:r>
      <w:hyperlink r:id="rId28">
        <w:r>
          <w:rPr>
            <w:color w:val="0563C1"/>
            <w:u w:val="single"/>
          </w:rPr>
          <w:t>https://doi.org/10.17239/L1ESLL-2018.18.01.02</w:t>
        </w:r>
      </w:hyperlink>
    </w:p>
    <w:p w14:paraId="1BFCB9C3" w14:textId="77777777" w:rsidR="00364A79" w:rsidRDefault="00EB7938">
      <w:pPr>
        <w:spacing w:line="480" w:lineRule="auto"/>
        <w:rPr>
          <w:color w:val="000000"/>
        </w:rPr>
      </w:pPr>
      <w:r>
        <w:rPr>
          <w:color w:val="000000"/>
          <w:highlight w:val="white"/>
        </w:rPr>
        <w:t xml:space="preserve">Luce, R.D. (1959). </w:t>
      </w:r>
      <w:r>
        <w:rPr>
          <w:i/>
          <w:color w:val="000000"/>
          <w:highlight w:val="white"/>
        </w:rPr>
        <w:t>Individual choice behaviours: A theoretical analysis</w:t>
      </w:r>
      <w:r>
        <w:rPr>
          <w:color w:val="000000"/>
          <w:highlight w:val="white"/>
        </w:rPr>
        <w:t>. New York: J. Wiley.</w:t>
      </w:r>
    </w:p>
    <w:p w14:paraId="496F2177" w14:textId="15C0646F" w:rsidR="00364A79" w:rsidRDefault="00EB7938">
      <w:pPr>
        <w:spacing w:line="480" w:lineRule="auto"/>
      </w:pPr>
      <w:r>
        <w:t xml:space="preserve">Luk, G., &amp; Bialystok, E. (2013). Bilingualism is not a categorical variable : Interaction between language proficiency and usage. </w:t>
      </w:r>
      <w:r>
        <w:rPr>
          <w:i/>
        </w:rPr>
        <w:t>Journal of cognitive psychology</w:t>
      </w:r>
      <w:r>
        <w:t xml:space="preserve">, </w:t>
      </w:r>
      <w:r w:rsidR="005F6C77">
        <w:rPr>
          <w:i/>
        </w:rPr>
        <w:t>25</w:t>
      </w:r>
      <w:r>
        <w:t>, 605</w:t>
      </w:r>
      <w:r w:rsidR="0075775A">
        <w:rPr>
          <w:color w:val="000000"/>
        </w:rPr>
        <w:t>–</w:t>
      </w:r>
      <w:r>
        <w:t xml:space="preserve">621. </w:t>
      </w:r>
      <w:hyperlink r:id="rId29">
        <w:r>
          <w:rPr>
            <w:color w:val="0563C1"/>
            <w:u w:val="single"/>
          </w:rPr>
          <w:t>https://doi.org/10.1080/20445911.2013.795574</w:t>
        </w:r>
      </w:hyperlink>
    </w:p>
    <w:p w14:paraId="56AA5640" w14:textId="64A13205" w:rsidR="00364A79" w:rsidRDefault="00EB7938">
      <w:pPr>
        <w:tabs>
          <w:tab w:val="left" w:pos="1944"/>
        </w:tabs>
        <w:spacing w:line="480" w:lineRule="auto"/>
      </w:pPr>
      <w:r>
        <w:t xml:space="preserve">Messick, S. (1989). Validity. In R. Linn (Ed.), </w:t>
      </w:r>
      <w:r>
        <w:rPr>
          <w:i/>
        </w:rPr>
        <w:t>Educational measurement</w:t>
      </w:r>
      <w:r>
        <w:t xml:space="preserve"> (pp. 13</w:t>
      </w:r>
      <w:r w:rsidR="0075775A">
        <w:rPr>
          <w:color w:val="000000"/>
        </w:rPr>
        <w:t>–</w:t>
      </w:r>
      <w:r>
        <w:t>103). New York, NY: Macmillan Publishing.</w:t>
      </w:r>
    </w:p>
    <w:p w14:paraId="5FBBCA96" w14:textId="4204542E" w:rsidR="00364A79" w:rsidRDefault="00EB7938">
      <w:pPr>
        <w:spacing w:line="480" w:lineRule="auto"/>
        <w:rPr>
          <w:color w:val="0563C1"/>
          <w:u w:val="single"/>
        </w:rPr>
      </w:pPr>
      <w:r>
        <w:t xml:space="preserve">Munro, R., Bethard, S., Kuperman, V., Lai, V. T., Melnick, R., Potts, C., Schnoebelen, T., &amp; Tily, H. (2010). Crowdsourcing and language studies : The new generation of linguistic data. </w:t>
      </w:r>
      <w:r>
        <w:rPr>
          <w:i/>
        </w:rPr>
        <w:t>Proceedings of the NAACL HLT 2010 Workshop on Creating Speech and Language Data with Amazon’s Mechanical Turk</w:t>
      </w:r>
      <w:r>
        <w:t xml:space="preserve"> </w:t>
      </w:r>
      <w:r w:rsidR="005F6C77">
        <w:t xml:space="preserve">(pp. </w:t>
      </w:r>
      <w:r>
        <w:t>122–130</w:t>
      </w:r>
      <w:r w:rsidR="005F6C77">
        <w:t>)</w:t>
      </w:r>
      <w:r>
        <w:t xml:space="preserve">. </w:t>
      </w:r>
      <w:hyperlink r:id="rId30">
        <w:r>
          <w:rPr>
            <w:color w:val="0563C1"/>
            <w:u w:val="single"/>
          </w:rPr>
          <w:t>https://www.aclweb.org/anthology/W10-0719</w:t>
        </w:r>
      </w:hyperlink>
    </w:p>
    <w:p w14:paraId="70510559" w14:textId="3742844A" w:rsidR="008325F5" w:rsidRDefault="00D63CC4">
      <w:pPr>
        <w:spacing w:line="480" w:lineRule="auto"/>
      </w:pPr>
      <w:r w:rsidRPr="00D63CC4">
        <w:t xml:space="preserve">Norris, J., &amp; Ortega, L. (2003). Defining and Measuring SLA. In </w:t>
      </w:r>
      <w:r w:rsidR="005F6C77">
        <w:t xml:space="preserve">C. J. </w:t>
      </w:r>
      <w:r>
        <w:t>Dough</w:t>
      </w:r>
      <w:r w:rsidR="005F6C77">
        <w:t xml:space="preserve">ty </w:t>
      </w:r>
      <w:r>
        <w:t xml:space="preserve">&amp; </w:t>
      </w:r>
      <w:r w:rsidR="005F6C77">
        <w:t>M. H. Long (Eds),</w:t>
      </w:r>
      <w:r>
        <w:t xml:space="preserve"> </w:t>
      </w:r>
      <w:r w:rsidRPr="00D63CC4">
        <w:rPr>
          <w:i/>
        </w:rPr>
        <w:t xml:space="preserve">The handbook of </w:t>
      </w:r>
      <w:r w:rsidR="005F6C77">
        <w:rPr>
          <w:i/>
        </w:rPr>
        <w:t>second language a</w:t>
      </w:r>
      <w:r w:rsidRPr="00D63CC4">
        <w:rPr>
          <w:i/>
        </w:rPr>
        <w:t>cquisition</w:t>
      </w:r>
      <w:r w:rsidRPr="00D63CC4">
        <w:t xml:space="preserve"> (</w:t>
      </w:r>
      <w:r w:rsidR="005F6C77">
        <w:t>p</w:t>
      </w:r>
      <w:r w:rsidRPr="00D63CC4">
        <w:t>p. 716</w:t>
      </w:r>
      <w:r w:rsidR="0075775A">
        <w:rPr>
          <w:color w:val="000000"/>
        </w:rPr>
        <w:t>–</w:t>
      </w:r>
      <w:r w:rsidRPr="00D63CC4">
        <w:t xml:space="preserve">761). </w:t>
      </w:r>
      <w:r>
        <w:t>Oxford: Blackwell Publishing.</w:t>
      </w:r>
    </w:p>
    <w:p w14:paraId="4257C791" w14:textId="2609771E" w:rsidR="00364A79" w:rsidRPr="00075D7B" w:rsidRDefault="00EB7938">
      <w:pPr>
        <w:spacing w:line="480" w:lineRule="auto"/>
      </w:pPr>
      <w:r>
        <w:t xml:space="preserve">Ortega, L. (2012). Interlanguage complexity: A construct in search of theoretical renewal. In B. Kortmann &amp; B. Szmrecsanyi (Eds.), </w:t>
      </w:r>
      <w:r>
        <w:rPr>
          <w:i/>
        </w:rPr>
        <w:t>Linguistic complexity: Second language acquisition, indigenization, contact</w:t>
      </w:r>
      <w:r>
        <w:t xml:space="preserve"> (pp. 127</w:t>
      </w:r>
      <w:r w:rsidR="0075775A">
        <w:rPr>
          <w:color w:val="000000"/>
        </w:rPr>
        <w:t>–</w:t>
      </w:r>
      <w:r>
        <w:t xml:space="preserve">55). </w:t>
      </w:r>
      <w:r w:rsidRPr="00075D7B">
        <w:t>Berlin / Boston, MA: Mouton de Gruyter.</w:t>
      </w:r>
    </w:p>
    <w:p w14:paraId="0266BCDB" w14:textId="501C45F8" w:rsidR="00D63CC4" w:rsidRDefault="008325F5">
      <w:pPr>
        <w:spacing w:line="480" w:lineRule="auto"/>
      </w:pPr>
      <w:r>
        <w:t>Pallotti, G. (2009). CAF</w:t>
      </w:r>
      <w:r w:rsidR="00D63CC4" w:rsidRPr="00075D7B">
        <w:t>: defining, refining and differentiating constructs</w:t>
      </w:r>
      <w:r w:rsidR="00D63CC4">
        <w:t xml:space="preserve">. </w:t>
      </w:r>
      <w:r w:rsidR="00D63CC4" w:rsidRPr="00075D7B">
        <w:rPr>
          <w:i/>
        </w:rPr>
        <w:t>Applied Linguistics</w:t>
      </w:r>
      <w:r w:rsidR="0075775A">
        <w:t xml:space="preserve">, </w:t>
      </w:r>
      <w:r w:rsidR="00D63CC4" w:rsidRPr="0075775A">
        <w:rPr>
          <w:i/>
        </w:rPr>
        <w:t>30</w:t>
      </w:r>
      <w:r w:rsidR="00D63CC4">
        <w:t>, 590</w:t>
      </w:r>
      <w:r w:rsidR="0075775A">
        <w:rPr>
          <w:color w:val="000000"/>
        </w:rPr>
        <w:t>–</w:t>
      </w:r>
      <w:r w:rsidR="00D63CC4">
        <w:t>601.</w:t>
      </w:r>
      <w:r>
        <w:t xml:space="preserve"> </w:t>
      </w:r>
      <w:hyperlink r:id="rId31" w:history="1">
        <w:r w:rsidR="005B11CD" w:rsidRPr="003E7F76">
          <w:rPr>
            <w:rStyle w:val="Lienhypertexte"/>
          </w:rPr>
          <w:t>https://doi.org/10.1093/applin/amp045</w:t>
        </w:r>
      </w:hyperlink>
    </w:p>
    <w:p w14:paraId="0445F7C3" w14:textId="4AACA880" w:rsidR="005B11CD" w:rsidRPr="00075D7B" w:rsidRDefault="005B11CD">
      <w:pPr>
        <w:spacing w:line="480" w:lineRule="auto"/>
      </w:pPr>
      <w:r w:rsidRPr="005B11CD">
        <w:lastRenderedPageBreak/>
        <w:t>Paq</w:t>
      </w:r>
      <w:r w:rsidR="005F6C77">
        <w:t>uot, M. (2018). Phraseological competence: A missing component in university entrance language tests? Insights from a s</w:t>
      </w:r>
      <w:r w:rsidRPr="005B11CD">
        <w:t>tudy o</w:t>
      </w:r>
      <w:r w:rsidR="005F6C77">
        <w:t>f EFL learners’ use of statistical c</w:t>
      </w:r>
      <w:r w:rsidRPr="005B11CD">
        <w:t xml:space="preserve">ollocations. </w:t>
      </w:r>
      <w:r w:rsidRPr="005B11CD">
        <w:rPr>
          <w:i/>
        </w:rPr>
        <w:t>Language Assessment Quarterly</w:t>
      </w:r>
      <w:r>
        <w:t xml:space="preserve">, </w:t>
      </w:r>
      <w:r w:rsidRPr="0075775A">
        <w:rPr>
          <w:i/>
        </w:rPr>
        <w:t>15</w:t>
      </w:r>
      <w:r w:rsidR="0075775A">
        <w:t>,</w:t>
      </w:r>
      <w:r w:rsidRPr="005B11CD">
        <w:t xml:space="preserve"> 29</w:t>
      </w:r>
      <w:r w:rsidR="0075775A">
        <w:rPr>
          <w:color w:val="000000"/>
        </w:rPr>
        <w:t>–</w:t>
      </w:r>
      <w:r w:rsidRPr="005B11CD">
        <w:t>43</w:t>
      </w:r>
      <w:r>
        <w:t xml:space="preserve">. </w:t>
      </w:r>
      <w:r w:rsidRPr="005B11CD">
        <w:t>https://doi.org/10.1080/15434303.2017.1405421</w:t>
      </w:r>
    </w:p>
    <w:p w14:paraId="3C8FCECE" w14:textId="15127333" w:rsidR="00364A79" w:rsidRDefault="00EB7938">
      <w:pPr>
        <w:spacing w:line="480" w:lineRule="auto"/>
      </w:pPr>
      <w:r w:rsidRPr="00075D7B">
        <w:t xml:space="preserve">Paquot, M., Naets, H. &amp; Gries, S. (2021). </w:t>
      </w:r>
      <w:r>
        <w:t>Using syntactic co-occurrences to trace phraseological complexity development in learner writing: verb + object structures in LONGDALE. In B. Le Bruyn</w:t>
      </w:r>
      <w:r w:rsidR="008325F5">
        <w:t xml:space="preserve"> </w:t>
      </w:r>
      <w:r>
        <w:t xml:space="preserve">&amp; M. Paquot, M. (Eds.), </w:t>
      </w:r>
      <w:r w:rsidR="005F6C77">
        <w:rPr>
          <w:i/>
        </w:rPr>
        <w:t>Learner c</w:t>
      </w:r>
      <w:r>
        <w:rPr>
          <w:i/>
        </w:rPr>
        <w:t xml:space="preserve">orpus </w:t>
      </w:r>
      <w:r w:rsidR="005F6C77">
        <w:rPr>
          <w:i/>
        </w:rPr>
        <w:t>r</w:t>
      </w:r>
      <w:r>
        <w:rPr>
          <w:i/>
        </w:rPr>
        <w:t>esearch</w:t>
      </w:r>
      <w:r w:rsidR="005F6C77">
        <w:rPr>
          <w:i/>
        </w:rPr>
        <w:t xml:space="preserve"> meets second language a</w:t>
      </w:r>
      <w:r>
        <w:rPr>
          <w:i/>
        </w:rPr>
        <w:t>cquisition</w:t>
      </w:r>
      <w:r>
        <w:t xml:space="preserve"> (pp. 122</w:t>
      </w:r>
      <w:r w:rsidR="0075775A">
        <w:rPr>
          <w:color w:val="000000"/>
        </w:rPr>
        <w:t>–</w:t>
      </w:r>
      <w:r>
        <w:t>47). Cambridge: Cambridge University Press.</w:t>
      </w:r>
    </w:p>
    <w:p w14:paraId="7FDA1F86" w14:textId="5BD6AAF4" w:rsidR="00587CDA" w:rsidRPr="003E16B1" w:rsidRDefault="00587CDA" w:rsidP="00587CDA">
      <w:pPr>
        <w:spacing w:line="480" w:lineRule="auto"/>
      </w:pPr>
      <w:r>
        <w:t>Pena, E. &amp; Slate, E. (2019). gvlma: Global validation of linear m</w:t>
      </w:r>
      <w:r w:rsidRPr="00587CDA">
        <w:t>odels</w:t>
      </w:r>
      <w:r>
        <w:t xml:space="preserve"> a</w:t>
      </w:r>
      <w:r w:rsidRPr="00587CDA">
        <w:t xml:space="preserve">ssumptions. </w:t>
      </w:r>
      <w:r w:rsidRPr="003E16B1">
        <w:t>R package version 1.0.0.3. https://CRAN.R-project.org/package=gvlma</w:t>
      </w:r>
    </w:p>
    <w:p w14:paraId="73FD9976" w14:textId="2164B4B9" w:rsidR="00364A79" w:rsidRDefault="00EB7938">
      <w:pPr>
        <w:spacing w:line="480" w:lineRule="auto"/>
      </w:pPr>
      <w:r>
        <w:t xml:space="preserve">Pollitt, A. (2012a). The method of Adaptive Comparative Judgement. </w:t>
      </w:r>
      <w:r>
        <w:rPr>
          <w:i/>
        </w:rPr>
        <w:t xml:space="preserve">Assessment in </w:t>
      </w:r>
      <w:r w:rsidR="005F6C77">
        <w:rPr>
          <w:i/>
        </w:rPr>
        <w:t>e</w:t>
      </w:r>
      <w:r>
        <w:rPr>
          <w:i/>
        </w:rPr>
        <w:t xml:space="preserve">ducation : Principles, </w:t>
      </w:r>
      <w:r w:rsidR="005F6C77">
        <w:rPr>
          <w:i/>
        </w:rPr>
        <w:t>p</w:t>
      </w:r>
      <w:r>
        <w:rPr>
          <w:i/>
        </w:rPr>
        <w:t xml:space="preserve">olicy &amp; </w:t>
      </w:r>
      <w:r w:rsidR="005F6C77">
        <w:rPr>
          <w:i/>
        </w:rPr>
        <w:t>p</w:t>
      </w:r>
      <w:r>
        <w:rPr>
          <w:i/>
        </w:rPr>
        <w:t>ractice, 19</w:t>
      </w:r>
      <w:r w:rsidR="0075775A">
        <w:t>,</w:t>
      </w:r>
      <w:r>
        <w:t xml:space="preserve"> 281</w:t>
      </w:r>
      <w:r w:rsidR="0075775A">
        <w:rPr>
          <w:color w:val="000000"/>
        </w:rPr>
        <w:t>–</w:t>
      </w:r>
      <w:r>
        <w:t>300. https://doi.org/10.1080/0969594X.2012.665354</w:t>
      </w:r>
    </w:p>
    <w:p w14:paraId="62F541E5" w14:textId="77777777" w:rsidR="00364A79" w:rsidRDefault="00EB7938">
      <w:pPr>
        <w:spacing w:line="480" w:lineRule="auto"/>
      </w:pPr>
      <w:r>
        <w:t xml:space="preserve">Pollitt, A. (2012b). Comparative judgement for assessment. </w:t>
      </w:r>
      <w:r>
        <w:rPr>
          <w:i/>
        </w:rPr>
        <w:t>International Journal of Technology and Design Education, 22</w:t>
      </w:r>
      <w:r>
        <w:t>, 157–170. https://doi.org/10.1007/s10798-011-9189-x</w:t>
      </w:r>
    </w:p>
    <w:p w14:paraId="75EDDC1C" w14:textId="631538F4" w:rsidR="00364A79" w:rsidRDefault="00EB7938">
      <w:pPr>
        <w:spacing w:line="480" w:lineRule="auto"/>
      </w:pPr>
      <w:r>
        <w:t xml:space="preserve">Pollitt, A. &amp; Murray, N.L. (1996). What raters really pay attention to. In M. Milanovic &amp; N. Saville (Eds.), </w:t>
      </w:r>
      <w:r>
        <w:rPr>
          <w:i/>
        </w:rPr>
        <w:t>Performance testing, cognition and assessment: Selected papers from the 15th Language Testing Research Colloquium</w:t>
      </w:r>
      <w:r>
        <w:t xml:space="preserve"> (Studies in language testing, Vol. 3, pp. 74</w:t>
      </w:r>
      <w:r w:rsidR="0075775A">
        <w:t>–</w:t>
      </w:r>
      <w:r>
        <w:t>91). Cambridge: Cambridge University Press.</w:t>
      </w:r>
    </w:p>
    <w:p w14:paraId="412209EB" w14:textId="1443635A" w:rsidR="00364A79" w:rsidRDefault="00EB7938">
      <w:pPr>
        <w:spacing w:line="480" w:lineRule="auto"/>
        <w:rPr>
          <w:color w:val="0563C1"/>
          <w:u w:val="single"/>
        </w:rPr>
      </w:pPr>
      <w:r>
        <w:t xml:space="preserve">Potter, T., Englund, L., Charbonneau, J., MacLean, M. T., Newell, J., &amp; Roll, I. (2017). ComPAIR : A new online tool using adaptive comparative judgement to support learning with peer feedback. </w:t>
      </w:r>
      <w:r>
        <w:rPr>
          <w:i/>
        </w:rPr>
        <w:t>Teaching &amp; Learning Inquiry, 5</w:t>
      </w:r>
      <w:r>
        <w:t>, 89</w:t>
      </w:r>
      <w:r w:rsidR="0075775A">
        <w:t>–113</w:t>
      </w:r>
      <w:r>
        <w:t xml:space="preserve">. </w:t>
      </w:r>
      <w:hyperlink r:id="rId32">
        <w:r>
          <w:rPr>
            <w:color w:val="0563C1"/>
            <w:u w:val="single"/>
          </w:rPr>
          <w:t>https://doi.org/10.20343/teachlearninqu.5.2.8</w:t>
        </w:r>
      </w:hyperlink>
    </w:p>
    <w:p w14:paraId="51E35E00" w14:textId="7B67D401" w:rsidR="00364A79" w:rsidRDefault="00EB7938">
      <w:pPr>
        <w:spacing w:line="480" w:lineRule="auto"/>
      </w:pPr>
      <w:r>
        <w:t xml:space="preserve">R Core Team. (2019). R: A </w:t>
      </w:r>
      <w:r w:rsidR="005F6C77">
        <w:t>language and environment for statistical c</w:t>
      </w:r>
      <w:r>
        <w:t xml:space="preserve">omputing. R Foundation for Statistical Computing, Vienna, retrieved from </w:t>
      </w:r>
      <w:hyperlink r:id="rId33">
        <w:r>
          <w:rPr>
            <w:color w:val="0563C1"/>
            <w:u w:val="single"/>
          </w:rPr>
          <w:t>www.r-project.org</w:t>
        </w:r>
      </w:hyperlink>
      <w:r>
        <w:t>.</w:t>
      </w:r>
    </w:p>
    <w:p w14:paraId="1A9A19D7" w14:textId="3AA17D47" w:rsidR="00364A79" w:rsidRDefault="00EB7938">
      <w:pPr>
        <w:spacing w:line="480" w:lineRule="auto"/>
      </w:pPr>
      <w:r>
        <w:lastRenderedPageBreak/>
        <w:t xml:space="preserve">Rezaei, A., &amp; Barkaoui, K. (2020). Peer and teacher assessment of second-language writing in high- and low-stakes conditions. </w:t>
      </w:r>
      <w:r>
        <w:rPr>
          <w:i/>
        </w:rPr>
        <w:t>ITL - International Journal of Applied Linguistics</w:t>
      </w:r>
      <w:r w:rsidR="005F6C77">
        <w:t xml:space="preserve">, </w:t>
      </w:r>
      <w:r w:rsidR="005F6C77" w:rsidRPr="005F6C77">
        <w:rPr>
          <w:i/>
        </w:rPr>
        <w:t>172</w:t>
      </w:r>
      <w:r w:rsidR="005F6C77">
        <w:t>, 199–228</w:t>
      </w:r>
      <w:r>
        <w:t xml:space="preserve">. </w:t>
      </w:r>
      <w:hyperlink r:id="rId34">
        <w:r>
          <w:rPr>
            <w:color w:val="0563C1"/>
            <w:u w:val="single"/>
          </w:rPr>
          <w:t>https://doi.org/10.1075/itl.20006.rez</w:t>
        </w:r>
      </w:hyperlink>
    </w:p>
    <w:p w14:paraId="24DE1FE7" w14:textId="555B5FA2" w:rsidR="00364A79" w:rsidRDefault="00EB7938">
      <w:pPr>
        <w:spacing w:line="480" w:lineRule="auto"/>
      </w:pPr>
      <w:r>
        <w:t>Rezaei, A. R., &amp; Lovorn, M. (2010). Reliability and validity of rubrics for assessment through w</w:t>
      </w:r>
      <w:r w:rsidR="0075775A">
        <w:t xml:space="preserve">riting. </w:t>
      </w:r>
      <w:r w:rsidR="0075775A" w:rsidRPr="0075775A">
        <w:rPr>
          <w:i/>
        </w:rPr>
        <w:t>Assessing Writing</w:t>
      </w:r>
      <w:r w:rsidR="0075775A">
        <w:t xml:space="preserve">, </w:t>
      </w:r>
      <w:r w:rsidR="0075775A" w:rsidRPr="0075775A">
        <w:rPr>
          <w:i/>
        </w:rPr>
        <w:t>15</w:t>
      </w:r>
      <w:r>
        <w:t>, 18</w:t>
      </w:r>
      <w:r w:rsidR="0075775A">
        <w:t>–</w:t>
      </w:r>
      <w:r>
        <w:t>39. https://doi.org/10.1016/j.asw.2010.01.003</w:t>
      </w:r>
    </w:p>
    <w:p w14:paraId="787AAFBD" w14:textId="3DA041FE" w:rsidR="00364A79" w:rsidRDefault="00EB7938">
      <w:pPr>
        <w:spacing w:line="480" w:lineRule="auto"/>
        <w:rPr>
          <w:lang w:val="fr-BE"/>
        </w:rPr>
      </w:pPr>
      <w:r>
        <w:rPr>
          <w:color w:val="000000"/>
          <w:highlight w:val="white"/>
        </w:rPr>
        <w:t xml:space="preserve">Robitzsch (2020). Supplementary item response theory models. </w:t>
      </w:r>
      <w:r w:rsidRPr="00CE3FCD">
        <w:rPr>
          <w:color w:val="000000"/>
          <w:highlight w:val="white"/>
          <w:lang w:val="fr-BE"/>
        </w:rPr>
        <w:t>R package version 3.9-4. </w:t>
      </w:r>
      <w:hyperlink r:id="rId35">
        <w:r w:rsidRPr="00CE3FCD">
          <w:rPr>
            <w:color w:val="0563C1"/>
            <w:highlight w:val="white"/>
            <w:u w:val="single"/>
            <w:lang w:val="fr-BE"/>
          </w:rPr>
          <w:t>https://CRAN.R-project.org/package=sirt</w:t>
        </w:r>
      </w:hyperlink>
      <w:r w:rsidRPr="00CE3FCD">
        <w:rPr>
          <w:lang w:val="fr-BE"/>
        </w:rPr>
        <w:t xml:space="preserve"> </w:t>
      </w:r>
    </w:p>
    <w:p w14:paraId="4810811F" w14:textId="69FCD9C1" w:rsidR="008172AE" w:rsidRPr="008172AE" w:rsidRDefault="008172AE">
      <w:pPr>
        <w:spacing w:line="480" w:lineRule="auto"/>
      </w:pPr>
      <w:r>
        <w:rPr>
          <w:lang w:val="fr-BE"/>
        </w:rPr>
        <w:t xml:space="preserve">Sabou, M., Bontcheva, K., Derczynski, L. &amp; Scharl, A. (2014). </w:t>
      </w:r>
      <w:r w:rsidRPr="008172AE">
        <w:t>Corpus a</w:t>
      </w:r>
      <w:r w:rsidR="005F6C77">
        <w:t>nnotation through crowdsourcing</w:t>
      </w:r>
      <w:r w:rsidRPr="008172AE">
        <w:t>: towards best practi</w:t>
      </w:r>
      <w:r>
        <w:t xml:space="preserve">ce guidelines. </w:t>
      </w:r>
      <w:r w:rsidR="005F6C77">
        <w:t>Proceedings of the ninth i</w:t>
      </w:r>
      <w:r w:rsidRPr="008172AE">
        <w:t xml:space="preserve">nternational </w:t>
      </w:r>
      <w:r w:rsidR="005F6C77">
        <w:t>c</w:t>
      </w:r>
      <w:r w:rsidRPr="008172AE">
        <w:t xml:space="preserve">onference on </w:t>
      </w:r>
      <w:r w:rsidR="005F6C77">
        <w:t>l</w:t>
      </w:r>
      <w:r w:rsidRPr="008172AE">
        <w:t xml:space="preserve">anguage </w:t>
      </w:r>
      <w:r w:rsidR="005F6C77">
        <w:t>r</w:t>
      </w:r>
      <w:r w:rsidRPr="008172AE">
        <w:t>eso</w:t>
      </w:r>
      <w:r w:rsidR="0075775A">
        <w:t xml:space="preserve">urces and </w:t>
      </w:r>
      <w:r w:rsidR="005F6C77">
        <w:t>e</w:t>
      </w:r>
      <w:r w:rsidR="0075775A">
        <w:t xml:space="preserve">valuation (LREC’14) (pp. </w:t>
      </w:r>
      <w:r w:rsidRPr="008172AE">
        <w:t>859</w:t>
      </w:r>
      <w:r w:rsidR="0075775A">
        <w:t>–</w:t>
      </w:r>
      <w:r w:rsidRPr="008172AE">
        <w:t>866</w:t>
      </w:r>
      <w:r w:rsidR="0075775A">
        <w:t>)</w:t>
      </w:r>
      <w:r w:rsidRPr="008172AE">
        <w:t>. http://www.lrec-conf.org/proceedings/lrec2014/pdf/497_Paper.pdf</w:t>
      </w:r>
    </w:p>
    <w:p w14:paraId="15B4E92A" w14:textId="6BE421EF" w:rsidR="00364A79" w:rsidRDefault="00EB7938">
      <w:pPr>
        <w:spacing w:line="480" w:lineRule="auto"/>
      </w:pPr>
      <w:r>
        <w:t xml:space="preserve">Snow, R., O’Connor, B., Jurafsky, D., &amp; Ng, A. (2008). Cheap and </w:t>
      </w:r>
      <w:r w:rsidR="005F6C77">
        <w:t>f</w:t>
      </w:r>
      <w:r>
        <w:t xml:space="preserve">ast – But is it </w:t>
      </w:r>
      <w:r w:rsidR="005F6C77">
        <w:t>g</w:t>
      </w:r>
      <w:r>
        <w:t xml:space="preserve">ood? Evaluating </w:t>
      </w:r>
      <w:r w:rsidR="005F6C77">
        <w:t>n</w:t>
      </w:r>
      <w:r>
        <w:t>on-</w:t>
      </w:r>
      <w:r w:rsidR="005F6C77">
        <w:t>e</w:t>
      </w:r>
      <w:r>
        <w:t xml:space="preserve">xpert </w:t>
      </w:r>
      <w:r w:rsidR="005F6C77">
        <w:t>a</w:t>
      </w:r>
      <w:r>
        <w:t xml:space="preserve">nnotations for </w:t>
      </w:r>
      <w:r w:rsidR="005F6C77">
        <w:t>n</w:t>
      </w:r>
      <w:r>
        <w:t xml:space="preserve">atural </w:t>
      </w:r>
      <w:r w:rsidR="005F6C77">
        <w:t>l</w:t>
      </w:r>
      <w:r>
        <w:t xml:space="preserve">anguage </w:t>
      </w:r>
      <w:r w:rsidR="005F6C77">
        <w:t>t</w:t>
      </w:r>
      <w:r>
        <w:t xml:space="preserve">asks. </w:t>
      </w:r>
      <w:r w:rsidR="005F6C77">
        <w:rPr>
          <w:i/>
        </w:rPr>
        <w:t>Proceedings of the 2008 c</w:t>
      </w:r>
      <w:r>
        <w:rPr>
          <w:i/>
        </w:rPr>
        <w:t xml:space="preserve">onference on </w:t>
      </w:r>
      <w:r w:rsidR="005F6C77">
        <w:rPr>
          <w:i/>
        </w:rPr>
        <w:t>empirical methods in natural language p</w:t>
      </w:r>
      <w:r>
        <w:rPr>
          <w:i/>
        </w:rPr>
        <w:t>rocessing</w:t>
      </w:r>
      <w:r w:rsidR="0075775A">
        <w:t xml:space="preserve"> (pp. </w:t>
      </w:r>
      <w:r>
        <w:t>254–263</w:t>
      </w:r>
      <w:r w:rsidR="0075775A">
        <w:t>)</w:t>
      </w:r>
      <w:r>
        <w:t>. https://www.aclweb.org/anthology/D08-1027</w:t>
      </w:r>
    </w:p>
    <w:p w14:paraId="58619B57" w14:textId="5223E859" w:rsidR="00364A79" w:rsidRDefault="00EB7938">
      <w:pPr>
        <w:spacing w:line="480" w:lineRule="auto"/>
      </w:pPr>
      <w:r>
        <w:t xml:space="preserve">Thomas, M. (1994). Assessment of L2 proficiency in second language acquisition research. </w:t>
      </w:r>
      <w:r>
        <w:rPr>
          <w:i/>
        </w:rPr>
        <w:t>Language Learning, 44</w:t>
      </w:r>
      <w:r>
        <w:t>, 307–336.</w:t>
      </w:r>
      <w:r w:rsidR="008325F5">
        <w:t xml:space="preserve"> </w:t>
      </w:r>
      <w:r w:rsidR="008325F5" w:rsidRPr="008325F5">
        <w:t>https://doi.org/10.1111/j.1467-1770.1994.tb01104.x</w:t>
      </w:r>
    </w:p>
    <w:p w14:paraId="33914374" w14:textId="00AFE7EA" w:rsidR="00364A79" w:rsidRDefault="00EB7938">
      <w:pPr>
        <w:spacing w:line="480" w:lineRule="auto"/>
      </w:pPr>
      <w:r>
        <w:t>Thomas, M. (2006). Research synthesis and historiography: The case of assessment of second language proficiency. In J.M. Norris and L. Ortega (</w:t>
      </w:r>
      <w:r w:rsidR="005F6C77">
        <w:t>E</w:t>
      </w:r>
      <w:r>
        <w:t>ds.)</w:t>
      </w:r>
      <w:r w:rsidR="005F6C77">
        <w:t>,</w:t>
      </w:r>
      <w:r>
        <w:t xml:space="preserve"> </w:t>
      </w:r>
      <w:r>
        <w:rPr>
          <w:i/>
        </w:rPr>
        <w:t>Synthesizing research on language learning and teaching</w:t>
      </w:r>
      <w:r>
        <w:t xml:space="preserve"> (pp. 279–298). Amsterdam: Benjamins.</w:t>
      </w:r>
    </w:p>
    <w:p w14:paraId="66D593BA" w14:textId="2BC27230" w:rsidR="00364A79" w:rsidRPr="00CE3FCD" w:rsidRDefault="00EB7938">
      <w:pPr>
        <w:spacing w:line="480" w:lineRule="auto"/>
        <w:rPr>
          <w:lang w:val="fr-BE"/>
        </w:rPr>
      </w:pPr>
      <w:r>
        <w:t xml:space="preserve">Thurstone, L. L. (1927). A law of comparative judgment. </w:t>
      </w:r>
      <w:r w:rsidRPr="00CE3FCD">
        <w:rPr>
          <w:i/>
          <w:lang w:val="fr-BE"/>
        </w:rPr>
        <w:t>Psychological Review, 34</w:t>
      </w:r>
      <w:r w:rsidR="0075775A">
        <w:rPr>
          <w:lang w:val="fr-BE"/>
        </w:rPr>
        <w:t xml:space="preserve">, </w:t>
      </w:r>
      <w:r w:rsidRPr="00CE3FCD">
        <w:rPr>
          <w:lang w:val="fr-BE"/>
        </w:rPr>
        <w:t>273-86.</w:t>
      </w:r>
    </w:p>
    <w:p w14:paraId="2A913790" w14:textId="56699796" w:rsidR="00364A79" w:rsidRDefault="00EB7938">
      <w:pPr>
        <w:spacing w:line="480" w:lineRule="auto"/>
      </w:pPr>
      <w:r w:rsidRPr="00CE3FCD">
        <w:rPr>
          <w:lang w:val="fr-BE"/>
        </w:rPr>
        <w:t xml:space="preserve">van Daal, T., Lesterhuis, M., Coertjens, L., Donche, V., &amp; De Maeyer, S. (2019). </w:t>
      </w:r>
      <w:r>
        <w:t xml:space="preserve">Validity of comparative judgement to assess academic writing : Examining implications of its holistic character and building on a shared consensus. </w:t>
      </w:r>
      <w:r>
        <w:rPr>
          <w:i/>
        </w:rPr>
        <w:t>Assessment in Education: Principles, Policy &amp; Practice, 26</w:t>
      </w:r>
      <w:r w:rsidR="0075775A">
        <w:t>, 59–</w:t>
      </w:r>
      <w:r>
        <w:t xml:space="preserve">74. </w:t>
      </w:r>
      <w:hyperlink r:id="rId36">
        <w:r>
          <w:rPr>
            <w:color w:val="0563C1"/>
            <w:u w:val="single"/>
          </w:rPr>
          <w:t>https://doi.org/10.1080/0969594X.2016.1253542</w:t>
        </w:r>
      </w:hyperlink>
    </w:p>
    <w:p w14:paraId="200D65DB" w14:textId="6313F6EF" w:rsidR="00364A79" w:rsidRDefault="00EB7938">
      <w:pPr>
        <w:spacing w:line="480" w:lineRule="auto"/>
      </w:pPr>
      <w:r w:rsidRPr="00CE3FCD">
        <w:rPr>
          <w:lang w:val="fr-BE"/>
        </w:rPr>
        <w:lastRenderedPageBreak/>
        <w:t xml:space="preserve">Verhavert, S., De Maeyer, S., Donche, V., &amp; Coertjens, L. (2018). </w:t>
      </w:r>
      <w:r>
        <w:t xml:space="preserve">Scale </w:t>
      </w:r>
      <w:r w:rsidR="005F6C77">
        <w:t>s</w:t>
      </w:r>
      <w:r>
        <w:t xml:space="preserve">eparation </w:t>
      </w:r>
      <w:r w:rsidR="005F6C77">
        <w:t>r</w:t>
      </w:r>
      <w:r>
        <w:t xml:space="preserve">eliability : What </w:t>
      </w:r>
      <w:r w:rsidR="005F6C77">
        <w:t>does i</w:t>
      </w:r>
      <w:r>
        <w:t xml:space="preserve">t </w:t>
      </w:r>
      <w:r w:rsidR="005F6C77">
        <w:t>m</w:t>
      </w:r>
      <w:r w:rsidR="00C0617C">
        <w:t>ean in the c</w:t>
      </w:r>
      <w:r>
        <w:t>ontext of</w:t>
      </w:r>
      <w:r w:rsidR="00C0617C">
        <w:t xml:space="preserve"> comparative j</w:t>
      </w:r>
      <w:r>
        <w:t xml:space="preserve">udgment? </w:t>
      </w:r>
      <w:r>
        <w:rPr>
          <w:i/>
        </w:rPr>
        <w:t>Applied Psychological Measurement, 42</w:t>
      </w:r>
      <w:r w:rsidR="0075775A">
        <w:t>, 428–</w:t>
      </w:r>
      <w:r>
        <w:t xml:space="preserve">445. </w:t>
      </w:r>
      <w:hyperlink r:id="rId37">
        <w:r>
          <w:t>https://doi.org/10.1177/0146621617748321</w:t>
        </w:r>
      </w:hyperlink>
    </w:p>
    <w:p w14:paraId="3D095488" w14:textId="74B0716D" w:rsidR="00364A79" w:rsidRDefault="00EB7938">
      <w:pPr>
        <w:spacing w:line="480" w:lineRule="auto"/>
        <w:rPr>
          <w:color w:val="0563C1"/>
          <w:u w:val="single"/>
        </w:rPr>
      </w:pPr>
      <w:r>
        <w:t xml:space="preserve">Verhavert, S., Bouwer, R., Donche, V., &amp; Maeyer, S. D. (2019). A meta-analysis on the reliability of comparative judgement. </w:t>
      </w:r>
      <w:r>
        <w:rPr>
          <w:i/>
        </w:rPr>
        <w:t>Assessment in Education: Principles, Policy &amp; Practice, 26</w:t>
      </w:r>
      <w:r w:rsidR="0075775A">
        <w:t>, 541–</w:t>
      </w:r>
      <w:r>
        <w:t xml:space="preserve">562. </w:t>
      </w:r>
      <w:hyperlink r:id="rId38">
        <w:r>
          <w:rPr>
            <w:color w:val="0563C1"/>
            <w:u w:val="single"/>
          </w:rPr>
          <w:t>https://doi.org/10.1080/0969594X.2019.1602027</w:t>
        </w:r>
      </w:hyperlink>
    </w:p>
    <w:p w14:paraId="52909D42" w14:textId="4F6A91B2" w:rsidR="00D42B1C" w:rsidRPr="00D42B1C" w:rsidRDefault="00D42B1C" w:rsidP="00D42B1C">
      <w:pPr>
        <w:spacing w:line="480" w:lineRule="auto"/>
      </w:pPr>
      <w:r w:rsidRPr="00D42B1C">
        <w:t>Weigle, S. C. (1994). Effects of training on raters of ESL compo</w:t>
      </w:r>
      <w:r w:rsidR="0075775A">
        <w:t xml:space="preserve">sitions. </w:t>
      </w:r>
      <w:r w:rsidR="0075775A" w:rsidRPr="00C0617C">
        <w:rPr>
          <w:i/>
        </w:rPr>
        <w:t>Language Testing</w:t>
      </w:r>
      <w:r w:rsidR="0075775A">
        <w:t>, 11, 197–</w:t>
      </w:r>
      <w:r w:rsidRPr="00D42B1C">
        <w:t>223. https://doi.org/10.1177/026553229401100206</w:t>
      </w:r>
    </w:p>
    <w:p w14:paraId="25AA47D8" w14:textId="27798800" w:rsidR="00D42B1C" w:rsidRPr="00D42B1C" w:rsidRDefault="00D42B1C" w:rsidP="00D42B1C">
      <w:pPr>
        <w:spacing w:line="480" w:lineRule="auto"/>
      </w:pPr>
      <w:r w:rsidRPr="00D42B1C">
        <w:t xml:space="preserve">Weigle, S. C. (1998). Using FACETS to model rater training </w:t>
      </w:r>
      <w:r w:rsidR="0075775A">
        <w:t xml:space="preserve">effects. </w:t>
      </w:r>
      <w:r w:rsidR="0075775A" w:rsidRPr="00C0617C">
        <w:rPr>
          <w:i/>
        </w:rPr>
        <w:t>Language Testing</w:t>
      </w:r>
      <w:r w:rsidR="0075775A">
        <w:t>, 15</w:t>
      </w:r>
      <w:r w:rsidRPr="00D42B1C">
        <w:t>, 263</w:t>
      </w:r>
      <w:r w:rsidR="0075775A">
        <w:t>–</w:t>
      </w:r>
      <w:r w:rsidRPr="00D42B1C">
        <w:t>287. https://doi.org/10.1177/026553229801500205</w:t>
      </w:r>
    </w:p>
    <w:p w14:paraId="6D50D44D" w14:textId="77777777" w:rsidR="00364A79" w:rsidRDefault="00EB7938">
      <w:pPr>
        <w:spacing w:line="480" w:lineRule="auto"/>
      </w:pPr>
      <w:r>
        <w:t xml:space="preserve">Weigle, S. C. (2002). </w:t>
      </w:r>
      <w:r>
        <w:rPr>
          <w:i/>
        </w:rPr>
        <w:t>Assessing writing.</w:t>
      </w:r>
      <w:r>
        <w:t xml:space="preserve"> Cambridge, UK: Cambridge University Press.</w:t>
      </w:r>
    </w:p>
    <w:p w14:paraId="50ED723A" w14:textId="77777777" w:rsidR="00364A79" w:rsidRDefault="00EB7938">
      <w:pPr>
        <w:spacing w:line="480" w:lineRule="auto"/>
      </w:pPr>
      <w:r>
        <w:t>Whitehouse, C., &amp; Pollitt, A. (2012). Using adaptive comparative judgement to obtain a highly reliable rank order in summative assessment. Manchester: AQA Centre for Education Research and Policy. https://filestore.aqa.org.uk/content/research/CERP_RP_CW_20062012_2.pdf?download=1</w:t>
      </w:r>
    </w:p>
    <w:p w14:paraId="4043F669" w14:textId="2830ECC3" w:rsidR="00364A79" w:rsidRDefault="00364A79">
      <w:pPr>
        <w:spacing w:line="480" w:lineRule="auto"/>
      </w:pPr>
    </w:p>
    <w:p w14:paraId="62D18086" w14:textId="192AACC0" w:rsidR="007B10B4" w:rsidRPr="007B10B4" w:rsidRDefault="007B10B4">
      <w:pPr>
        <w:spacing w:line="480" w:lineRule="auto"/>
        <w:rPr>
          <w:b/>
        </w:rPr>
      </w:pPr>
      <w:r w:rsidRPr="007B10B4">
        <w:rPr>
          <w:b/>
        </w:rPr>
        <w:t>Supporting information</w:t>
      </w:r>
    </w:p>
    <w:p w14:paraId="6821AE57" w14:textId="15133BB1" w:rsidR="007B10B4" w:rsidRDefault="007B10B4">
      <w:pPr>
        <w:spacing w:line="480" w:lineRule="auto"/>
      </w:pPr>
      <w:r>
        <w:t>Additional supporting information may be found in the online version of this article at the publisher’s website:</w:t>
      </w:r>
    </w:p>
    <w:p w14:paraId="14AB7929" w14:textId="76241F4B" w:rsidR="007B10B4" w:rsidRDefault="007B10B4">
      <w:pPr>
        <w:spacing w:line="480" w:lineRule="auto"/>
      </w:pPr>
      <w:r w:rsidRPr="007B10B4">
        <w:rPr>
          <w:b/>
        </w:rPr>
        <w:t xml:space="preserve">Appendix S1. </w:t>
      </w:r>
      <w:r>
        <w:t>Final Rank O</w:t>
      </w:r>
      <w:r w:rsidRPr="007B10B4">
        <w:t>rder of the 50 texts</w:t>
      </w:r>
    </w:p>
    <w:p w14:paraId="3E1E1519" w14:textId="733A4C63" w:rsidR="007B10B4" w:rsidRDefault="007B10B4">
      <w:pPr>
        <w:spacing w:line="480" w:lineRule="auto"/>
      </w:pPr>
      <w:r w:rsidRPr="007B10B4">
        <w:rPr>
          <w:b/>
        </w:rPr>
        <w:t xml:space="preserve">Appendix S2. </w:t>
      </w:r>
      <w:r>
        <w:t>Fit Statistics for Raters</w:t>
      </w:r>
    </w:p>
    <w:p w14:paraId="3FB69284" w14:textId="5B1600A8" w:rsidR="007B10B4" w:rsidRDefault="007B10B4">
      <w:pPr>
        <w:spacing w:line="480" w:lineRule="auto"/>
      </w:pPr>
      <w:r w:rsidRPr="007B10B4">
        <w:rPr>
          <w:b/>
        </w:rPr>
        <w:t xml:space="preserve">Appendix S3. </w:t>
      </w:r>
      <w:r>
        <w:t>Fit Statistics for Texts</w:t>
      </w:r>
    </w:p>
    <w:p w14:paraId="4BA63BF4" w14:textId="05AC994B" w:rsidR="00364A79" w:rsidRDefault="00364A79"/>
    <w:p w14:paraId="656098FF" w14:textId="77777777" w:rsidR="00364A79" w:rsidRDefault="00364A79"/>
    <w:sectPr w:rsidR="00364A79">
      <w:headerReference w:type="default" r:id="rId39"/>
      <w:pgSz w:w="11906" w:h="16838"/>
      <w:pgMar w:top="1417" w:right="1417" w:bottom="1417" w:left="1417" w:header="708" w:footer="708" w:gutter="0"/>
      <w:pgNumType w:start="1"/>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5DA0B8" w16cex:dateUtc="2021-12-10T08:47:00Z"/>
  <w16cex:commentExtensible w16cex:durableId="255DA2FB" w16cex:dateUtc="2021-12-10T08:57:00Z"/>
  <w16cex:commentExtensible w16cex:durableId="255DAC75" w16cex:dateUtc="2021-12-10T09:37:00Z"/>
  <w16cex:commentExtensible w16cex:durableId="255DA91F" w16cex:dateUtc="2021-12-10T09:23:00Z"/>
  <w16cex:commentExtensible w16cex:durableId="255DAE7A" w16cex:dateUtc="2021-12-10T09: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7E32FC" w16cid:durableId="255DA0B8"/>
  <w16cid:commentId w16cid:paraId="266981E4" w16cid:durableId="255DA2FB"/>
  <w16cid:commentId w16cid:paraId="25A03D3C" w16cid:durableId="255DAC75"/>
  <w16cid:commentId w16cid:paraId="764386BD" w16cid:durableId="255DA91F"/>
  <w16cid:commentId w16cid:paraId="0D1E76E1" w16cid:durableId="255DAE7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F6329B" w14:textId="77777777" w:rsidR="00D63A23" w:rsidRDefault="00D63A23">
      <w:r>
        <w:separator/>
      </w:r>
    </w:p>
  </w:endnote>
  <w:endnote w:type="continuationSeparator" w:id="0">
    <w:p w14:paraId="78329974" w14:textId="77777777" w:rsidR="00D63A23" w:rsidRDefault="00D63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72D2EA" w14:textId="77777777" w:rsidR="00D63A23" w:rsidRDefault="00D63A23">
      <w:r>
        <w:separator/>
      </w:r>
    </w:p>
  </w:footnote>
  <w:footnote w:type="continuationSeparator" w:id="0">
    <w:p w14:paraId="5DAE5D9F" w14:textId="77777777" w:rsidR="00D63A23" w:rsidRDefault="00D63A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30151" w14:textId="77777777" w:rsidR="003E16B1" w:rsidRDefault="003E16B1">
    <w:pPr>
      <w:pBdr>
        <w:top w:val="nil"/>
        <w:left w:val="nil"/>
        <w:bottom w:val="nil"/>
        <w:right w:val="nil"/>
        <w:between w:val="nil"/>
      </w:pBdr>
      <w:tabs>
        <w:tab w:val="center" w:pos="4536"/>
        <w:tab w:val="right" w:pos="9072"/>
      </w:tabs>
      <w:rPr>
        <w:color w:val="000000"/>
      </w:rPr>
    </w:pPr>
    <w:r>
      <w:rPr>
        <w:color w:val="000000"/>
      </w:rPr>
      <w:t>CROWDSOURCED ADAPTIVE COMPARATIVE JUDGMENT</w:t>
    </w:r>
  </w:p>
  <w:p w14:paraId="7836479B" w14:textId="77777777" w:rsidR="003E16B1" w:rsidRDefault="003E16B1">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337CF"/>
    <w:multiLevelType w:val="multilevel"/>
    <w:tmpl w:val="7668E2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50C5A"/>
    <w:multiLevelType w:val="multilevel"/>
    <w:tmpl w:val="32CC07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9C51146"/>
    <w:multiLevelType w:val="multilevel"/>
    <w:tmpl w:val="9982A55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CCC2E89"/>
    <w:multiLevelType w:val="multilevel"/>
    <w:tmpl w:val="DE781E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3851941"/>
    <w:multiLevelType w:val="multilevel"/>
    <w:tmpl w:val="EAAC75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A79"/>
    <w:rsid w:val="000034D5"/>
    <w:rsid w:val="00004835"/>
    <w:rsid w:val="000139E7"/>
    <w:rsid w:val="000222EC"/>
    <w:rsid w:val="00034E56"/>
    <w:rsid w:val="00036FA9"/>
    <w:rsid w:val="0005359D"/>
    <w:rsid w:val="00057F1E"/>
    <w:rsid w:val="00064017"/>
    <w:rsid w:val="00075D7B"/>
    <w:rsid w:val="0008150F"/>
    <w:rsid w:val="000B4757"/>
    <w:rsid w:val="000B5972"/>
    <w:rsid w:val="000D0E46"/>
    <w:rsid w:val="000F01DB"/>
    <w:rsid w:val="000F0327"/>
    <w:rsid w:val="000F54DC"/>
    <w:rsid w:val="000F6D2C"/>
    <w:rsid w:val="00110867"/>
    <w:rsid w:val="00111015"/>
    <w:rsid w:val="001119F1"/>
    <w:rsid w:val="00113171"/>
    <w:rsid w:val="0012612F"/>
    <w:rsid w:val="00130043"/>
    <w:rsid w:val="001421A6"/>
    <w:rsid w:val="00153927"/>
    <w:rsid w:val="001A59FD"/>
    <w:rsid w:val="001C32F4"/>
    <w:rsid w:val="001D5D7F"/>
    <w:rsid w:val="001F0CAA"/>
    <w:rsid w:val="001F0EC3"/>
    <w:rsid w:val="0020125B"/>
    <w:rsid w:val="00202273"/>
    <w:rsid w:val="00212137"/>
    <w:rsid w:val="00217220"/>
    <w:rsid w:val="00223B91"/>
    <w:rsid w:val="00232F1B"/>
    <w:rsid w:val="0023784E"/>
    <w:rsid w:val="0026046A"/>
    <w:rsid w:val="002762EA"/>
    <w:rsid w:val="002765BE"/>
    <w:rsid w:val="0028328A"/>
    <w:rsid w:val="002A4929"/>
    <w:rsid w:val="002B2FBE"/>
    <w:rsid w:val="002B4AF9"/>
    <w:rsid w:val="002C0089"/>
    <w:rsid w:val="002C51B6"/>
    <w:rsid w:val="002D0806"/>
    <w:rsid w:val="002F4043"/>
    <w:rsid w:val="00306272"/>
    <w:rsid w:val="003127CA"/>
    <w:rsid w:val="00327EA7"/>
    <w:rsid w:val="00335960"/>
    <w:rsid w:val="0034239A"/>
    <w:rsid w:val="00352ECD"/>
    <w:rsid w:val="00364A79"/>
    <w:rsid w:val="00372336"/>
    <w:rsid w:val="0037559A"/>
    <w:rsid w:val="00376AE0"/>
    <w:rsid w:val="00381C31"/>
    <w:rsid w:val="00383C73"/>
    <w:rsid w:val="003907D8"/>
    <w:rsid w:val="0039572F"/>
    <w:rsid w:val="003B19E6"/>
    <w:rsid w:val="003C57C3"/>
    <w:rsid w:val="003D0739"/>
    <w:rsid w:val="003D7D02"/>
    <w:rsid w:val="003E16B1"/>
    <w:rsid w:val="003E1D15"/>
    <w:rsid w:val="003F2D00"/>
    <w:rsid w:val="003F77C1"/>
    <w:rsid w:val="00410842"/>
    <w:rsid w:val="00414FE1"/>
    <w:rsid w:val="00422377"/>
    <w:rsid w:val="004237C3"/>
    <w:rsid w:val="004343F8"/>
    <w:rsid w:val="00434415"/>
    <w:rsid w:val="00437B47"/>
    <w:rsid w:val="004434B8"/>
    <w:rsid w:val="00460293"/>
    <w:rsid w:val="0046421D"/>
    <w:rsid w:val="00466ECB"/>
    <w:rsid w:val="00476BC9"/>
    <w:rsid w:val="00476DA1"/>
    <w:rsid w:val="00486F54"/>
    <w:rsid w:val="00487089"/>
    <w:rsid w:val="0049071D"/>
    <w:rsid w:val="00491BD5"/>
    <w:rsid w:val="004A0E1E"/>
    <w:rsid w:val="004A4774"/>
    <w:rsid w:val="004A533F"/>
    <w:rsid w:val="004B0243"/>
    <w:rsid w:val="004B1BB2"/>
    <w:rsid w:val="004B4F7E"/>
    <w:rsid w:val="004B76C6"/>
    <w:rsid w:val="004C6A7D"/>
    <w:rsid w:val="004C6B11"/>
    <w:rsid w:val="004C7D95"/>
    <w:rsid w:val="004E701B"/>
    <w:rsid w:val="004E776A"/>
    <w:rsid w:val="00510396"/>
    <w:rsid w:val="0054081E"/>
    <w:rsid w:val="00561EC9"/>
    <w:rsid w:val="0057166F"/>
    <w:rsid w:val="00583A5B"/>
    <w:rsid w:val="00587CDA"/>
    <w:rsid w:val="00591AE1"/>
    <w:rsid w:val="00593365"/>
    <w:rsid w:val="00596146"/>
    <w:rsid w:val="005B11CD"/>
    <w:rsid w:val="005B52CE"/>
    <w:rsid w:val="005D7E1F"/>
    <w:rsid w:val="005E1E92"/>
    <w:rsid w:val="005F1B79"/>
    <w:rsid w:val="005F6C77"/>
    <w:rsid w:val="00602A49"/>
    <w:rsid w:val="00602FB6"/>
    <w:rsid w:val="00614FD5"/>
    <w:rsid w:val="00632B01"/>
    <w:rsid w:val="00633106"/>
    <w:rsid w:val="0063378A"/>
    <w:rsid w:val="00652767"/>
    <w:rsid w:val="00652A90"/>
    <w:rsid w:val="00661888"/>
    <w:rsid w:val="006721E2"/>
    <w:rsid w:val="00683FFB"/>
    <w:rsid w:val="00691245"/>
    <w:rsid w:val="00695A35"/>
    <w:rsid w:val="006B34EC"/>
    <w:rsid w:val="006B42B7"/>
    <w:rsid w:val="006C72EA"/>
    <w:rsid w:val="006F6C1E"/>
    <w:rsid w:val="00703EED"/>
    <w:rsid w:val="007333E4"/>
    <w:rsid w:val="00753844"/>
    <w:rsid w:val="00755EED"/>
    <w:rsid w:val="0075775A"/>
    <w:rsid w:val="007609A5"/>
    <w:rsid w:val="00775BD2"/>
    <w:rsid w:val="0077723C"/>
    <w:rsid w:val="0078277E"/>
    <w:rsid w:val="00792763"/>
    <w:rsid w:val="00795BC6"/>
    <w:rsid w:val="007B10B4"/>
    <w:rsid w:val="007B28B5"/>
    <w:rsid w:val="007C0064"/>
    <w:rsid w:val="007C12D8"/>
    <w:rsid w:val="007C399C"/>
    <w:rsid w:val="007D6CA4"/>
    <w:rsid w:val="007D7914"/>
    <w:rsid w:val="007F0615"/>
    <w:rsid w:val="008066D9"/>
    <w:rsid w:val="008148B4"/>
    <w:rsid w:val="008160E6"/>
    <w:rsid w:val="008172AE"/>
    <w:rsid w:val="008325F5"/>
    <w:rsid w:val="00852448"/>
    <w:rsid w:val="00854C3D"/>
    <w:rsid w:val="00854DB0"/>
    <w:rsid w:val="00854F56"/>
    <w:rsid w:val="0085514C"/>
    <w:rsid w:val="0085522A"/>
    <w:rsid w:val="008560A4"/>
    <w:rsid w:val="0086282C"/>
    <w:rsid w:val="00865D49"/>
    <w:rsid w:val="008729B6"/>
    <w:rsid w:val="008A0479"/>
    <w:rsid w:val="008B1651"/>
    <w:rsid w:val="008B7DB1"/>
    <w:rsid w:val="008B7FB5"/>
    <w:rsid w:val="008C0885"/>
    <w:rsid w:val="008D63BE"/>
    <w:rsid w:val="008D7360"/>
    <w:rsid w:val="008F6FF9"/>
    <w:rsid w:val="008F72B4"/>
    <w:rsid w:val="00905085"/>
    <w:rsid w:val="00912C16"/>
    <w:rsid w:val="00935537"/>
    <w:rsid w:val="00937310"/>
    <w:rsid w:val="00946332"/>
    <w:rsid w:val="0095315A"/>
    <w:rsid w:val="00966CEE"/>
    <w:rsid w:val="00982324"/>
    <w:rsid w:val="009832D1"/>
    <w:rsid w:val="009A2991"/>
    <w:rsid w:val="009B75FE"/>
    <w:rsid w:val="009C3127"/>
    <w:rsid w:val="009C460D"/>
    <w:rsid w:val="009C6A99"/>
    <w:rsid w:val="009D724F"/>
    <w:rsid w:val="009E165B"/>
    <w:rsid w:val="009E2BAD"/>
    <w:rsid w:val="009E3EBF"/>
    <w:rsid w:val="009F1B1B"/>
    <w:rsid w:val="009F4CFE"/>
    <w:rsid w:val="009F6B1F"/>
    <w:rsid w:val="00A200C0"/>
    <w:rsid w:val="00A31C80"/>
    <w:rsid w:val="00A61388"/>
    <w:rsid w:val="00A666DF"/>
    <w:rsid w:val="00A7292C"/>
    <w:rsid w:val="00A76C2E"/>
    <w:rsid w:val="00A815B3"/>
    <w:rsid w:val="00A95FE5"/>
    <w:rsid w:val="00AA7B69"/>
    <w:rsid w:val="00AC1567"/>
    <w:rsid w:val="00AC15AE"/>
    <w:rsid w:val="00AC232C"/>
    <w:rsid w:val="00AC636A"/>
    <w:rsid w:val="00AF2F58"/>
    <w:rsid w:val="00B168E0"/>
    <w:rsid w:val="00B27FEB"/>
    <w:rsid w:val="00B32EC3"/>
    <w:rsid w:val="00B34892"/>
    <w:rsid w:val="00B62DB8"/>
    <w:rsid w:val="00B64CCE"/>
    <w:rsid w:val="00B71778"/>
    <w:rsid w:val="00B723AC"/>
    <w:rsid w:val="00B7676F"/>
    <w:rsid w:val="00B801B3"/>
    <w:rsid w:val="00BA2F6E"/>
    <w:rsid w:val="00BB7567"/>
    <w:rsid w:val="00BC0F07"/>
    <w:rsid w:val="00BC269C"/>
    <w:rsid w:val="00BC4752"/>
    <w:rsid w:val="00BC4D2F"/>
    <w:rsid w:val="00BC4D9C"/>
    <w:rsid w:val="00BC59A9"/>
    <w:rsid w:val="00BE6636"/>
    <w:rsid w:val="00BF3AB1"/>
    <w:rsid w:val="00BF5EA0"/>
    <w:rsid w:val="00C00CDE"/>
    <w:rsid w:val="00C0617C"/>
    <w:rsid w:val="00C35FDE"/>
    <w:rsid w:val="00C378D6"/>
    <w:rsid w:val="00C622B8"/>
    <w:rsid w:val="00C6350E"/>
    <w:rsid w:val="00C96016"/>
    <w:rsid w:val="00CA4033"/>
    <w:rsid w:val="00CA61DD"/>
    <w:rsid w:val="00CB741B"/>
    <w:rsid w:val="00CE00A2"/>
    <w:rsid w:val="00CE3FCD"/>
    <w:rsid w:val="00CF6DC4"/>
    <w:rsid w:val="00D07220"/>
    <w:rsid w:val="00D153A0"/>
    <w:rsid w:val="00D31359"/>
    <w:rsid w:val="00D411FA"/>
    <w:rsid w:val="00D42B1C"/>
    <w:rsid w:val="00D42BE9"/>
    <w:rsid w:val="00D4383B"/>
    <w:rsid w:val="00D46848"/>
    <w:rsid w:val="00D52013"/>
    <w:rsid w:val="00D63A23"/>
    <w:rsid w:val="00D63CC4"/>
    <w:rsid w:val="00D701E4"/>
    <w:rsid w:val="00D80C98"/>
    <w:rsid w:val="00D82D26"/>
    <w:rsid w:val="00D855D6"/>
    <w:rsid w:val="00D875B7"/>
    <w:rsid w:val="00D90BCC"/>
    <w:rsid w:val="00D9403A"/>
    <w:rsid w:val="00DA6B9B"/>
    <w:rsid w:val="00DB066F"/>
    <w:rsid w:val="00DD1124"/>
    <w:rsid w:val="00DE4556"/>
    <w:rsid w:val="00DF37DB"/>
    <w:rsid w:val="00DF632F"/>
    <w:rsid w:val="00E0028C"/>
    <w:rsid w:val="00E04922"/>
    <w:rsid w:val="00E1381D"/>
    <w:rsid w:val="00E2416C"/>
    <w:rsid w:val="00E41825"/>
    <w:rsid w:val="00E4544A"/>
    <w:rsid w:val="00E57CE2"/>
    <w:rsid w:val="00E60626"/>
    <w:rsid w:val="00E87F00"/>
    <w:rsid w:val="00E90432"/>
    <w:rsid w:val="00E95962"/>
    <w:rsid w:val="00EB7938"/>
    <w:rsid w:val="00EC2CA0"/>
    <w:rsid w:val="00EC75F7"/>
    <w:rsid w:val="00EE091C"/>
    <w:rsid w:val="00EE78A1"/>
    <w:rsid w:val="00EF3DB3"/>
    <w:rsid w:val="00F03454"/>
    <w:rsid w:val="00F10327"/>
    <w:rsid w:val="00F133CC"/>
    <w:rsid w:val="00F165E3"/>
    <w:rsid w:val="00F250D8"/>
    <w:rsid w:val="00F30048"/>
    <w:rsid w:val="00F33E8A"/>
    <w:rsid w:val="00F34C9A"/>
    <w:rsid w:val="00F459AD"/>
    <w:rsid w:val="00F4784E"/>
    <w:rsid w:val="00F549BD"/>
    <w:rsid w:val="00F62398"/>
    <w:rsid w:val="00F835A1"/>
    <w:rsid w:val="00FA4885"/>
    <w:rsid w:val="00FB33B4"/>
    <w:rsid w:val="00FB4D9E"/>
    <w:rsid w:val="00FB7D94"/>
    <w:rsid w:val="00FC0800"/>
    <w:rsid w:val="00FD3332"/>
    <w:rsid w:val="00FD4EB6"/>
    <w:rsid w:val="00FD614C"/>
    <w:rsid w:val="00FE54C4"/>
    <w:rsid w:val="00FE7E68"/>
    <w:rsid w:val="00FF15B9"/>
    <w:rsid w:val="00FF4655"/>
    <w:rsid w:val="00FF5D48"/>
  </w:rsids>
  <m:mathPr>
    <m:mathFont m:val="Cambria Math"/>
    <m:brkBin m:val="before"/>
    <m:brkBinSub m:val="--"/>
    <m:smallFrac m:val="0"/>
    <m:dispDef/>
    <m:lMargin m:val="0"/>
    <m:rMargin m:val="0"/>
    <m:defJc m:val="centerGroup"/>
    <m:wrapIndent m:val="1440"/>
    <m:intLim m:val="subSup"/>
    <m:naryLim m:val="undOvr"/>
  </m:mathPr>
  <w:themeFontLang w:val="fr-B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F09CB"/>
  <w15:docId w15:val="{06AFD7D7-9F1F-4F25-BE2C-012D3D2D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A90"/>
    <w:pPr>
      <w:spacing w:after="0" w:line="240" w:lineRule="auto"/>
    </w:pPr>
    <w:rPr>
      <w:rFonts w:ascii="Times New Roman" w:eastAsia="Times New Roman" w:hAnsi="Times New Roman" w:cs="Times New Roman"/>
      <w:sz w:val="24"/>
      <w:szCs w:val="24"/>
      <w:lang w:eastAsia="zh-CN"/>
    </w:rPr>
  </w:style>
  <w:style w:type="paragraph" w:styleId="Titre1">
    <w:name w:val="heading 1"/>
    <w:basedOn w:val="Normal"/>
    <w:next w:val="Normal"/>
    <w:link w:val="Titre1Car"/>
    <w:uiPriority w:val="9"/>
    <w:qFormat/>
    <w:pPr>
      <w:keepNext/>
      <w:keepLines/>
      <w:spacing w:before="240" w:line="259" w:lineRule="auto"/>
      <w:outlineLvl w:val="0"/>
    </w:pPr>
    <w:rPr>
      <w:rFonts w:ascii="Calibri" w:eastAsia="Calibri" w:hAnsi="Calibri" w:cs="Calibri"/>
      <w:color w:val="2E75B5"/>
      <w:sz w:val="32"/>
      <w:szCs w:val="32"/>
      <w:lang w:eastAsia="fr-BE"/>
    </w:rPr>
  </w:style>
  <w:style w:type="paragraph" w:styleId="Titre2">
    <w:name w:val="heading 2"/>
    <w:basedOn w:val="Normal"/>
    <w:next w:val="Normal"/>
    <w:link w:val="Titre2Car"/>
    <w:uiPriority w:val="9"/>
    <w:qFormat/>
    <w:pPr>
      <w:keepNext/>
      <w:keepLines/>
      <w:spacing w:before="40" w:line="259" w:lineRule="auto"/>
      <w:outlineLvl w:val="1"/>
    </w:pPr>
    <w:rPr>
      <w:rFonts w:ascii="Calibri" w:eastAsia="Calibri" w:hAnsi="Calibri" w:cs="Calibri"/>
      <w:color w:val="2E75B5"/>
      <w:sz w:val="26"/>
      <w:szCs w:val="26"/>
      <w:lang w:eastAsia="fr-BE"/>
    </w:rPr>
  </w:style>
  <w:style w:type="paragraph" w:styleId="Titre3">
    <w:name w:val="heading 3"/>
    <w:basedOn w:val="Normal"/>
    <w:next w:val="Normal"/>
    <w:link w:val="Titre3Car"/>
    <w:uiPriority w:val="9"/>
    <w:qFormat/>
    <w:pPr>
      <w:keepNext/>
      <w:keepLines/>
      <w:spacing w:before="40" w:line="259" w:lineRule="auto"/>
      <w:outlineLvl w:val="2"/>
    </w:pPr>
    <w:rPr>
      <w:rFonts w:ascii="Calibri" w:eastAsia="Calibri" w:hAnsi="Calibri" w:cs="Calibri"/>
      <w:color w:val="1E4D78"/>
      <w:lang w:eastAsia="fr-BE"/>
    </w:rPr>
  </w:style>
  <w:style w:type="paragraph" w:styleId="Titre4">
    <w:name w:val="heading 4"/>
    <w:basedOn w:val="Normal"/>
    <w:next w:val="Normal"/>
    <w:pPr>
      <w:keepNext/>
      <w:keepLines/>
      <w:spacing w:before="240" w:after="40" w:line="259" w:lineRule="auto"/>
      <w:outlineLvl w:val="3"/>
    </w:pPr>
    <w:rPr>
      <w:rFonts w:ascii="Calibri" w:eastAsia="Calibri" w:hAnsi="Calibri" w:cs="Calibri"/>
      <w:b/>
      <w:lang w:eastAsia="fr-BE"/>
    </w:rPr>
  </w:style>
  <w:style w:type="paragraph" w:styleId="Titre5">
    <w:name w:val="heading 5"/>
    <w:basedOn w:val="Normal"/>
    <w:next w:val="Normal"/>
    <w:pPr>
      <w:keepNext/>
      <w:keepLines/>
      <w:spacing w:before="220" w:after="40" w:line="259" w:lineRule="auto"/>
      <w:outlineLvl w:val="4"/>
    </w:pPr>
    <w:rPr>
      <w:rFonts w:ascii="Calibri" w:eastAsia="Calibri" w:hAnsi="Calibri" w:cs="Calibri"/>
      <w:b/>
      <w:sz w:val="22"/>
      <w:szCs w:val="22"/>
      <w:lang w:eastAsia="fr-BE"/>
    </w:rPr>
  </w:style>
  <w:style w:type="paragraph" w:styleId="Titre6">
    <w:name w:val="heading 6"/>
    <w:basedOn w:val="Normal"/>
    <w:next w:val="Normal"/>
    <w:pPr>
      <w:keepNext/>
      <w:keepLines/>
      <w:spacing w:before="200" w:after="40" w:line="259" w:lineRule="auto"/>
      <w:outlineLvl w:val="5"/>
    </w:pPr>
    <w:rPr>
      <w:rFonts w:ascii="Calibri" w:eastAsia="Calibri" w:hAnsi="Calibri" w:cs="Calibri"/>
      <w:b/>
      <w:sz w:val="20"/>
      <w:szCs w:val="20"/>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re">
    <w:name w:val="Title"/>
    <w:basedOn w:val="Normal"/>
    <w:next w:val="Normal"/>
    <w:pPr>
      <w:keepNext/>
      <w:keepLines/>
      <w:spacing w:before="480" w:after="120" w:line="259" w:lineRule="auto"/>
    </w:pPr>
    <w:rPr>
      <w:rFonts w:ascii="Calibri" w:eastAsia="Calibri" w:hAnsi="Calibri" w:cs="Calibri"/>
      <w:b/>
      <w:sz w:val="72"/>
      <w:szCs w:val="72"/>
      <w:lang w:eastAsia="fr-BE"/>
    </w:rPr>
  </w:style>
  <w:style w:type="paragraph" w:styleId="Sous-titre">
    <w:name w:val="Subtitle"/>
    <w:basedOn w:val="Normal"/>
    <w:next w:val="Normal"/>
    <w:pPr>
      <w:keepNext/>
      <w:keepLines/>
      <w:spacing w:before="360" w:after="80" w:line="259" w:lineRule="auto"/>
    </w:pPr>
    <w:rPr>
      <w:rFonts w:ascii="Georgia" w:eastAsia="Georgia" w:hAnsi="Georgia" w:cs="Georgia"/>
      <w:i/>
      <w:color w:val="666666"/>
      <w:sz w:val="48"/>
      <w:szCs w:val="48"/>
      <w:lang w:eastAsia="fr-BE"/>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tblStylePr w:type="firstRow">
      <w:rPr>
        <w:rFonts w:ascii="Calibri" w:eastAsia="Calibri" w:hAnsi="Calibri" w:cs="Calibri"/>
        <w:i/>
        <w:sz w:val="26"/>
        <w:szCs w:val="26"/>
      </w:rPr>
      <w:tblPr/>
      <w:tcPr>
        <w:tcBorders>
          <w:bottom w:val="single" w:sz="4" w:space="0" w:color="7F7F7F"/>
        </w:tcBorders>
        <w:shd w:val="clear" w:color="auto" w:fill="FFFFFF"/>
      </w:tcPr>
    </w:tblStylePr>
    <w:tblStylePr w:type="lastRow">
      <w:rPr>
        <w:rFonts w:ascii="Calibri" w:eastAsia="Calibri" w:hAnsi="Calibri" w:cs="Calibri"/>
        <w:i/>
        <w:sz w:val="26"/>
        <w:szCs w:val="26"/>
      </w:rPr>
      <w:tblPr/>
      <w:tcPr>
        <w:tcBorders>
          <w:top w:val="single" w:sz="4" w:space="0" w:color="7F7F7F"/>
        </w:tcBorders>
        <w:shd w:val="clear" w:color="auto" w:fill="FFFFFF"/>
      </w:tcPr>
    </w:tblStylePr>
    <w:tblStylePr w:type="firstCol">
      <w:pPr>
        <w:jc w:val="right"/>
      </w:pPr>
      <w:rPr>
        <w:rFonts w:ascii="Calibri" w:eastAsia="Calibri" w:hAnsi="Calibri" w:cs="Calibri"/>
        <w:i/>
        <w:sz w:val="26"/>
        <w:szCs w:val="26"/>
      </w:rPr>
      <w:tblPr/>
      <w:tcPr>
        <w:tcBorders>
          <w:right w:val="single" w:sz="4" w:space="0" w:color="7F7F7F"/>
        </w:tcBorders>
        <w:shd w:val="clear" w:color="auto" w:fill="FFFFFF"/>
      </w:tcPr>
    </w:tblStylePr>
    <w:tblStylePr w:type="lastCol">
      <w:rPr>
        <w:rFonts w:ascii="Calibri" w:eastAsia="Calibri" w:hAnsi="Calibri" w:cs="Calibri"/>
        <w:i/>
        <w:sz w:val="26"/>
        <w:szCs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pPr>
      <w:spacing w:after="0" w:line="240" w:lineRule="auto"/>
    </w:pPr>
    <w:tblPr>
      <w:tblStyleRowBandSize w:val="1"/>
      <w:tblStyleColBandSize w:val="1"/>
      <w:tblCellMar>
        <w:left w:w="108" w:type="dxa"/>
        <w:right w:w="108" w:type="dxa"/>
      </w:tblCellMar>
    </w:tblPr>
  </w:style>
  <w:style w:type="table" w:customStyle="1" w:styleId="a7">
    <w:basedOn w:val="TableNormal1"/>
    <w:pPr>
      <w:spacing w:after="0" w:line="240" w:lineRule="auto"/>
    </w:pPr>
    <w:tblPr>
      <w:tblStyleRowBandSize w:val="1"/>
      <w:tblStyleColBandSize w:val="1"/>
      <w:tblCellMar>
        <w:left w:w="108" w:type="dxa"/>
        <w:right w:w="108" w:type="dxa"/>
      </w:tblCellMar>
    </w:tblPr>
  </w:style>
  <w:style w:type="paragraph" w:styleId="Commentaire">
    <w:name w:val="annotation text"/>
    <w:basedOn w:val="Normal"/>
    <w:link w:val="CommentaireCar"/>
    <w:uiPriority w:val="99"/>
    <w:unhideWhenUsed/>
    <w:pPr>
      <w:spacing w:after="160"/>
    </w:pPr>
    <w:rPr>
      <w:rFonts w:ascii="Calibri" w:eastAsia="Calibri" w:hAnsi="Calibri" w:cs="Calibri"/>
      <w:sz w:val="20"/>
      <w:szCs w:val="20"/>
      <w:lang w:eastAsia="fr-BE"/>
    </w:rPr>
  </w:style>
  <w:style w:type="character" w:customStyle="1" w:styleId="CommentaireCar">
    <w:name w:val="Commentaire Car"/>
    <w:basedOn w:val="Policepardfaut"/>
    <w:link w:val="Commentaire"/>
    <w:uiPriority w:val="99"/>
    <w:rPr>
      <w:sz w:val="20"/>
      <w:szCs w:val="20"/>
    </w:rPr>
  </w:style>
  <w:style w:type="character" w:styleId="Marquedecommentaire">
    <w:name w:val="annotation reference"/>
    <w:basedOn w:val="Policepardfaut"/>
    <w:uiPriority w:val="99"/>
    <w:semiHidden/>
    <w:unhideWhenUsed/>
    <w:rPr>
      <w:sz w:val="16"/>
      <w:szCs w:val="16"/>
    </w:rPr>
  </w:style>
  <w:style w:type="paragraph" w:styleId="Textedebulles">
    <w:name w:val="Balloon Text"/>
    <w:basedOn w:val="Normal"/>
    <w:link w:val="TextedebullesCar"/>
    <w:uiPriority w:val="99"/>
    <w:semiHidden/>
    <w:unhideWhenUsed/>
    <w:rsid w:val="00DE4556"/>
    <w:rPr>
      <w:rFonts w:ascii="Segoe UI" w:eastAsia="Calibri" w:hAnsi="Segoe UI" w:cs="Segoe UI"/>
      <w:sz w:val="18"/>
      <w:szCs w:val="18"/>
      <w:lang w:eastAsia="fr-BE"/>
    </w:rPr>
  </w:style>
  <w:style w:type="character" w:customStyle="1" w:styleId="TextedebullesCar">
    <w:name w:val="Texte de bulles Car"/>
    <w:basedOn w:val="Policepardfaut"/>
    <w:link w:val="Textedebulles"/>
    <w:uiPriority w:val="99"/>
    <w:semiHidden/>
    <w:rsid w:val="00DE4556"/>
    <w:rPr>
      <w:rFonts w:ascii="Segoe UI" w:hAnsi="Segoe UI" w:cs="Segoe UI"/>
      <w:sz w:val="18"/>
      <w:szCs w:val="18"/>
    </w:rPr>
  </w:style>
  <w:style w:type="character" w:styleId="Lienhypertexte">
    <w:name w:val="Hyperlink"/>
    <w:basedOn w:val="Policepardfaut"/>
    <w:uiPriority w:val="99"/>
    <w:unhideWhenUsed/>
    <w:rsid w:val="00DE4556"/>
    <w:rPr>
      <w:color w:val="0000FF" w:themeColor="hyperlink"/>
      <w:u w:val="single"/>
    </w:rPr>
  </w:style>
  <w:style w:type="numbering" w:customStyle="1" w:styleId="Aucuneliste1">
    <w:name w:val="Aucune liste1"/>
    <w:next w:val="Aucuneliste"/>
    <w:uiPriority w:val="99"/>
    <w:semiHidden/>
    <w:unhideWhenUsed/>
    <w:rsid w:val="00DE4556"/>
  </w:style>
  <w:style w:type="table" w:customStyle="1" w:styleId="TableNormal10">
    <w:name w:val="Table Normal1"/>
    <w:rsid w:val="00DE4556"/>
    <w:tblPr>
      <w:tblCellMar>
        <w:top w:w="0" w:type="dxa"/>
        <w:left w:w="0" w:type="dxa"/>
        <w:bottom w:w="0" w:type="dxa"/>
        <w:right w:w="0" w:type="dxa"/>
      </w:tblCellMar>
    </w:tblPr>
  </w:style>
  <w:style w:type="table" w:customStyle="1" w:styleId="TableNormal2">
    <w:name w:val="Table Normal2"/>
    <w:rsid w:val="00DE4556"/>
    <w:tblPr>
      <w:tblCellMar>
        <w:top w:w="0" w:type="dxa"/>
        <w:left w:w="0" w:type="dxa"/>
        <w:bottom w:w="0" w:type="dxa"/>
        <w:right w:w="0" w:type="dxa"/>
      </w:tblCellMar>
    </w:tblPr>
  </w:style>
  <w:style w:type="character" w:customStyle="1" w:styleId="Titre2Car">
    <w:name w:val="Titre 2 Car"/>
    <w:basedOn w:val="Policepardfaut"/>
    <w:link w:val="Titre2"/>
    <w:uiPriority w:val="9"/>
    <w:rsid w:val="00DE4556"/>
    <w:rPr>
      <w:color w:val="2E75B5"/>
      <w:sz w:val="26"/>
      <w:szCs w:val="26"/>
    </w:rPr>
  </w:style>
  <w:style w:type="character" w:customStyle="1" w:styleId="Titre3Car">
    <w:name w:val="Titre 3 Car"/>
    <w:basedOn w:val="Policepardfaut"/>
    <w:link w:val="Titre3"/>
    <w:uiPriority w:val="9"/>
    <w:rsid w:val="00DE4556"/>
    <w:rPr>
      <w:color w:val="1E4D78"/>
      <w:sz w:val="24"/>
      <w:szCs w:val="24"/>
    </w:rPr>
  </w:style>
  <w:style w:type="paragraph" w:styleId="Paragraphedeliste">
    <w:name w:val="List Paragraph"/>
    <w:basedOn w:val="Normal"/>
    <w:uiPriority w:val="34"/>
    <w:qFormat/>
    <w:rsid w:val="00DE4556"/>
    <w:pPr>
      <w:spacing w:after="160" w:line="259" w:lineRule="auto"/>
      <w:ind w:left="720"/>
      <w:contextualSpacing/>
    </w:pPr>
    <w:rPr>
      <w:rFonts w:ascii="Calibri" w:eastAsia="Calibri" w:hAnsi="Calibri" w:cs="Calibri"/>
      <w:sz w:val="22"/>
      <w:szCs w:val="22"/>
      <w:lang w:eastAsia="fr-BE"/>
    </w:rPr>
  </w:style>
  <w:style w:type="paragraph" w:styleId="Objetducommentaire">
    <w:name w:val="annotation subject"/>
    <w:basedOn w:val="Commentaire"/>
    <w:next w:val="Commentaire"/>
    <w:link w:val="ObjetducommentaireCar"/>
    <w:uiPriority w:val="99"/>
    <w:semiHidden/>
    <w:unhideWhenUsed/>
    <w:rsid w:val="00DE4556"/>
    <w:rPr>
      <w:b/>
      <w:bCs/>
    </w:rPr>
  </w:style>
  <w:style w:type="character" w:customStyle="1" w:styleId="ObjetducommentaireCar">
    <w:name w:val="Objet du commentaire Car"/>
    <w:basedOn w:val="CommentaireCar"/>
    <w:link w:val="Objetducommentaire"/>
    <w:uiPriority w:val="99"/>
    <w:semiHidden/>
    <w:rsid w:val="00DE4556"/>
    <w:rPr>
      <w:b/>
      <w:bCs/>
      <w:sz w:val="20"/>
      <w:szCs w:val="20"/>
    </w:rPr>
  </w:style>
  <w:style w:type="paragraph" w:styleId="PrformatHTML">
    <w:name w:val="HTML Preformatted"/>
    <w:basedOn w:val="Normal"/>
    <w:link w:val="PrformatHTMLCar"/>
    <w:uiPriority w:val="99"/>
    <w:semiHidden/>
    <w:unhideWhenUsed/>
    <w:rsid w:val="00DE45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HTMLCar">
    <w:name w:val="Préformaté HTML Car"/>
    <w:basedOn w:val="Policepardfaut"/>
    <w:link w:val="PrformatHTML"/>
    <w:uiPriority w:val="99"/>
    <w:semiHidden/>
    <w:rsid w:val="00DE4556"/>
    <w:rPr>
      <w:rFonts w:ascii="Courier New" w:eastAsia="Times New Roman" w:hAnsi="Courier New" w:cs="Courier New"/>
      <w:sz w:val="20"/>
      <w:szCs w:val="20"/>
    </w:rPr>
  </w:style>
  <w:style w:type="character" w:customStyle="1" w:styleId="gd15mcfckub">
    <w:name w:val="gd15mcfckub"/>
    <w:basedOn w:val="Policepardfaut"/>
    <w:rsid w:val="00DE4556"/>
  </w:style>
  <w:style w:type="character" w:customStyle="1" w:styleId="gd15mcfcktb">
    <w:name w:val="gd15mcfcktb"/>
    <w:basedOn w:val="Policepardfaut"/>
    <w:rsid w:val="00DE4556"/>
  </w:style>
  <w:style w:type="character" w:customStyle="1" w:styleId="gd15mcfceub">
    <w:name w:val="gd15mcfceub"/>
    <w:basedOn w:val="Policepardfaut"/>
    <w:rsid w:val="00DE4556"/>
  </w:style>
  <w:style w:type="table" w:styleId="Grilledutableau">
    <w:name w:val="Table Grid"/>
    <w:basedOn w:val="TableauNormal"/>
    <w:uiPriority w:val="39"/>
    <w:rsid w:val="00DE45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DE4556"/>
    <w:pPr>
      <w:spacing w:after="0" w:line="240" w:lineRule="auto"/>
    </w:pPr>
  </w:style>
  <w:style w:type="character" w:customStyle="1" w:styleId="Titre1Car">
    <w:name w:val="Titre 1 Car"/>
    <w:basedOn w:val="Policepardfaut"/>
    <w:link w:val="Titre1"/>
    <w:uiPriority w:val="9"/>
    <w:rsid w:val="00DE4556"/>
    <w:rPr>
      <w:color w:val="2E75B5"/>
      <w:sz w:val="32"/>
      <w:szCs w:val="32"/>
    </w:rPr>
  </w:style>
  <w:style w:type="paragraph" w:styleId="NormalWeb">
    <w:name w:val="Normal (Web)"/>
    <w:basedOn w:val="Normal"/>
    <w:uiPriority w:val="99"/>
    <w:semiHidden/>
    <w:unhideWhenUsed/>
    <w:rsid w:val="00DE4556"/>
    <w:pPr>
      <w:spacing w:before="100" w:beforeAutospacing="1" w:after="100" w:afterAutospacing="1"/>
    </w:pPr>
  </w:style>
  <w:style w:type="character" w:styleId="lev">
    <w:name w:val="Strong"/>
    <w:basedOn w:val="Policepardfaut"/>
    <w:uiPriority w:val="22"/>
    <w:qFormat/>
    <w:rsid w:val="00DE4556"/>
    <w:rPr>
      <w:b/>
      <w:bCs/>
    </w:rPr>
  </w:style>
  <w:style w:type="paragraph" w:styleId="En-tte">
    <w:name w:val="header"/>
    <w:basedOn w:val="Normal"/>
    <w:link w:val="En-tteCar"/>
    <w:uiPriority w:val="99"/>
    <w:unhideWhenUsed/>
    <w:rsid w:val="00DE4556"/>
    <w:pPr>
      <w:tabs>
        <w:tab w:val="center" w:pos="4536"/>
        <w:tab w:val="right" w:pos="9072"/>
      </w:tabs>
    </w:pPr>
    <w:rPr>
      <w:rFonts w:ascii="Calibri" w:eastAsia="Calibri" w:hAnsi="Calibri" w:cs="Calibri"/>
      <w:sz w:val="22"/>
      <w:szCs w:val="22"/>
      <w:lang w:eastAsia="fr-BE"/>
    </w:rPr>
  </w:style>
  <w:style w:type="character" w:customStyle="1" w:styleId="En-tteCar">
    <w:name w:val="En-tête Car"/>
    <w:basedOn w:val="Policepardfaut"/>
    <w:link w:val="En-tte"/>
    <w:uiPriority w:val="99"/>
    <w:rsid w:val="00DE4556"/>
  </w:style>
  <w:style w:type="paragraph" w:styleId="Pieddepage">
    <w:name w:val="footer"/>
    <w:basedOn w:val="Normal"/>
    <w:link w:val="PieddepageCar"/>
    <w:uiPriority w:val="99"/>
    <w:unhideWhenUsed/>
    <w:rsid w:val="00DE4556"/>
    <w:pPr>
      <w:tabs>
        <w:tab w:val="center" w:pos="4536"/>
        <w:tab w:val="right" w:pos="9072"/>
      </w:tabs>
    </w:pPr>
    <w:rPr>
      <w:rFonts w:ascii="Calibri" w:eastAsia="Calibri" w:hAnsi="Calibri" w:cs="Calibri"/>
      <w:sz w:val="22"/>
      <w:szCs w:val="22"/>
      <w:lang w:eastAsia="fr-BE"/>
    </w:rPr>
  </w:style>
  <w:style w:type="character" w:customStyle="1" w:styleId="PieddepageCar">
    <w:name w:val="Pied de page Car"/>
    <w:basedOn w:val="Policepardfaut"/>
    <w:link w:val="Pieddepage"/>
    <w:uiPriority w:val="99"/>
    <w:rsid w:val="00DE4556"/>
  </w:style>
  <w:style w:type="table" w:customStyle="1" w:styleId="Tableausimple31">
    <w:name w:val="Tableau simple 31"/>
    <w:basedOn w:val="TableauNormal"/>
    <w:next w:val="Tableausimple3"/>
    <w:uiPriority w:val="43"/>
    <w:rsid w:val="00DE4556"/>
    <w:pPr>
      <w:spacing w:after="0" w:line="240" w:lineRule="auto"/>
    </w:p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ausimple51">
    <w:name w:val="Tableau simple 51"/>
    <w:basedOn w:val="TableauNormal"/>
    <w:next w:val="Tableausimple5"/>
    <w:uiPriority w:val="45"/>
    <w:rsid w:val="00DE4556"/>
    <w:pPr>
      <w:spacing w:after="0" w:line="240" w:lineRule="auto"/>
    </w:pPr>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Notedebasdepage">
    <w:name w:val="footnote text"/>
    <w:basedOn w:val="Normal"/>
    <w:link w:val="NotedebasdepageCar"/>
    <w:uiPriority w:val="99"/>
    <w:semiHidden/>
    <w:unhideWhenUsed/>
    <w:rsid w:val="00DE4556"/>
    <w:rPr>
      <w:rFonts w:ascii="Calibri" w:eastAsia="Calibri" w:hAnsi="Calibri" w:cs="Calibri"/>
      <w:sz w:val="20"/>
      <w:szCs w:val="20"/>
      <w:lang w:eastAsia="fr-BE"/>
    </w:rPr>
  </w:style>
  <w:style w:type="character" w:customStyle="1" w:styleId="NotedebasdepageCar">
    <w:name w:val="Note de bas de page Car"/>
    <w:basedOn w:val="Policepardfaut"/>
    <w:link w:val="Notedebasdepage"/>
    <w:uiPriority w:val="99"/>
    <w:semiHidden/>
    <w:rsid w:val="00DE4556"/>
    <w:rPr>
      <w:sz w:val="20"/>
      <w:szCs w:val="20"/>
    </w:rPr>
  </w:style>
  <w:style w:type="character" w:styleId="Appelnotedebasdep">
    <w:name w:val="footnote reference"/>
    <w:basedOn w:val="Policepardfaut"/>
    <w:uiPriority w:val="99"/>
    <w:semiHidden/>
    <w:unhideWhenUsed/>
    <w:rsid w:val="00DE4556"/>
    <w:rPr>
      <w:vertAlign w:val="superscript"/>
    </w:rPr>
  </w:style>
  <w:style w:type="table" w:styleId="Tableausimple3">
    <w:name w:val="Plain Table 3"/>
    <w:basedOn w:val="TableauNormal"/>
    <w:uiPriority w:val="43"/>
    <w:rsid w:val="00DE455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5">
    <w:name w:val="Plain Table 5"/>
    <w:basedOn w:val="TableauNormal"/>
    <w:uiPriority w:val="45"/>
    <w:rsid w:val="00DE455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lledetableauclaire">
    <w:name w:val="Grid Table Light"/>
    <w:basedOn w:val="TableauNormal"/>
    <w:uiPriority w:val="40"/>
    <w:rsid w:val="00FA488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975068">
      <w:bodyDiv w:val="1"/>
      <w:marLeft w:val="0"/>
      <w:marRight w:val="0"/>
      <w:marTop w:val="0"/>
      <w:marBottom w:val="0"/>
      <w:divBdr>
        <w:top w:val="none" w:sz="0" w:space="0" w:color="auto"/>
        <w:left w:val="none" w:sz="0" w:space="0" w:color="auto"/>
        <w:bottom w:val="none" w:sz="0" w:space="0" w:color="auto"/>
        <w:right w:val="none" w:sz="0" w:space="0" w:color="auto"/>
      </w:divBdr>
    </w:div>
    <w:div w:id="294338282">
      <w:bodyDiv w:val="1"/>
      <w:marLeft w:val="0"/>
      <w:marRight w:val="0"/>
      <w:marTop w:val="0"/>
      <w:marBottom w:val="0"/>
      <w:divBdr>
        <w:top w:val="none" w:sz="0" w:space="0" w:color="auto"/>
        <w:left w:val="none" w:sz="0" w:space="0" w:color="auto"/>
        <w:bottom w:val="none" w:sz="0" w:space="0" w:color="auto"/>
        <w:right w:val="none" w:sz="0" w:space="0" w:color="auto"/>
      </w:divBdr>
    </w:div>
    <w:div w:id="868570680">
      <w:bodyDiv w:val="1"/>
      <w:marLeft w:val="0"/>
      <w:marRight w:val="0"/>
      <w:marTop w:val="0"/>
      <w:marBottom w:val="0"/>
      <w:divBdr>
        <w:top w:val="none" w:sz="0" w:space="0" w:color="auto"/>
        <w:left w:val="none" w:sz="0" w:space="0" w:color="auto"/>
        <w:bottom w:val="none" w:sz="0" w:space="0" w:color="auto"/>
        <w:right w:val="none" w:sz="0" w:space="0" w:color="auto"/>
      </w:divBdr>
    </w:div>
    <w:div w:id="1322395151">
      <w:bodyDiv w:val="1"/>
      <w:marLeft w:val="0"/>
      <w:marRight w:val="0"/>
      <w:marTop w:val="0"/>
      <w:marBottom w:val="0"/>
      <w:divBdr>
        <w:top w:val="none" w:sz="0" w:space="0" w:color="auto"/>
        <w:left w:val="none" w:sz="0" w:space="0" w:color="auto"/>
        <w:bottom w:val="none" w:sz="0" w:space="0" w:color="auto"/>
        <w:right w:val="none" w:sz="0" w:space="0" w:color="auto"/>
      </w:divBdr>
    </w:div>
    <w:div w:id="1406798387">
      <w:bodyDiv w:val="1"/>
      <w:marLeft w:val="0"/>
      <w:marRight w:val="0"/>
      <w:marTop w:val="0"/>
      <w:marBottom w:val="0"/>
      <w:divBdr>
        <w:top w:val="none" w:sz="0" w:space="0" w:color="auto"/>
        <w:left w:val="none" w:sz="0" w:space="0" w:color="auto"/>
        <w:bottom w:val="none" w:sz="0" w:space="0" w:color="auto"/>
        <w:right w:val="none" w:sz="0" w:space="0" w:color="auto"/>
      </w:divBdr>
    </w:div>
    <w:div w:id="1699693839">
      <w:bodyDiv w:val="1"/>
      <w:marLeft w:val="0"/>
      <w:marRight w:val="0"/>
      <w:marTop w:val="0"/>
      <w:marBottom w:val="0"/>
      <w:divBdr>
        <w:top w:val="none" w:sz="0" w:space="0" w:color="auto"/>
        <w:left w:val="none" w:sz="0" w:space="0" w:color="auto"/>
        <w:bottom w:val="none" w:sz="0" w:space="0" w:color="auto"/>
        <w:right w:val="none" w:sz="0" w:space="0" w:color="auto"/>
      </w:divBdr>
      <w:divsChild>
        <w:div w:id="425154998">
          <w:marLeft w:val="0"/>
          <w:marRight w:val="0"/>
          <w:marTop w:val="0"/>
          <w:marBottom w:val="0"/>
          <w:divBdr>
            <w:top w:val="none" w:sz="0" w:space="0" w:color="auto"/>
            <w:left w:val="none" w:sz="0" w:space="0" w:color="auto"/>
            <w:bottom w:val="none" w:sz="0" w:space="0" w:color="auto"/>
            <w:right w:val="none" w:sz="0" w:space="0" w:color="auto"/>
          </w:divBdr>
        </w:div>
        <w:div w:id="740981202">
          <w:marLeft w:val="0"/>
          <w:marRight w:val="0"/>
          <w:marTop w:val="120"/>
          <w:marBottom w:val="0"/>
          <w:divBdr>
            <w:top w:val="none" w:sz="0" w:space="0" w:color="auto"/>
            <w:left w:val="none" w:sz="0" w:space="0" w:color="auto"/>
            <w:bottom w:val="none" w:sz="0" w:space="0" w:color="auto"/>
            <w:right w:val="none" w:sz="0" w:space="0" w:color="auto"/>
          </w:divBdr>
          <w:divsChild>
            <w:div w:id="1186795389">
              <w:marLeft w:val="0"/>
              <w:marRight w:val="0"/>
              <w:marTop w:val="0"/>
              <w:marBottom w:val="0"/>
              <w:divBdr>
                <w:top w:val="none" w:sz="0" w:space="0" w:color="auto"/>
                <w:left w:val="none" w:sz="0" w:space="0" w:color="auto"/>
                <w:bottom w:val="none" w:sz="0" w:space="0" w:color="auto"/>
                <w:right w:val="none" w:sz="0" w:space="0" w:color="auto"/>
              </w:divBdr>
            </w:div>
          </w:divsChild>
        </w:div>
        <w:div w:id="825971726">
          <w:marLeft w:val="0"/>
          <w:marRight w:val="0"/>
          <w:marTop w:val="120"/>
          <w:marBottom w:val="0"/>
          <w:divBdr>
            <w:top w:val="none" w:sz="0" w:space="0" w:color="auto"/>
            <w:left w:val="none" w:sz="0" w:space="0" w:color="auto"/>
            <w:bottom w:val="none" w:sz="0" w:space="0" w:color="auto"/>
            <w:right w:val="none" w:sz="0" w:space="0" w:color="auto"/>
          </w:divBdr>
          <w:divsChild>
            <w:div w:id="715814298">
              <w:marLeft w:val="0"/>
              <w:marRight w:val="0"/>
              <w:marTop w:val="0"/>
              <w:marBottom w:val="0"/>
              <w:divBdr>
                <w:top w:val="none" w:sz="0" w:space="0" w:color="auto"/>
                <w:left w:val="none" w:sz="0" w:space="0" w:color="auto"/>
                <w:bottom w:val="none" w:sz="0" w:space="0" w:color="auto"/>
                <w:right w:val="none" w:sz="0" w:space="0" w:color="auto"/>
              </w:divBdr>
            </w:div>
          </w:divsChild>
        </w:div>
        <w:div w:id="898978168">
          <w:marLeft w:val="0"/>
          <w:marRight w:val="0"/>
          <w:marTop w:val="120"/>
          <w:marBottom w:val="0"/>
          <w:divBdr>
            <w:top w:val="none" w:sz="0" w:space="0" w:color="auto"/>
            <w:left w:val="none" w:sz="0" w:space="0" w:color="auto"/>
            <w:bottom w:val="none" w:sz="0" w:space="0" w:color="auto"/>
            <w:right w:val="none" w:sz="0" w:space="0" w:color="auto"/>
          </w:divBdr>
          <w:divsChild>
            <w:div w:id="876433695">
              <w:marLeft w:val="0"/>
              <w:marRight w:val="0"/>
              <w:marTop w:val="0"/>
              <w:marBottom w:val="0"/>
              <w:divBdr>
                <w:top w:val="none" w:sz="0" w:space="0" w:color="auto"/>
                <w:left w:val="none" w:sz="0" w:space="0" w:color="auto"/>
                <w:bottom w:val="none" w:sz="0" w:space="0" w:color="auto"/>
                <w:right w:val="none" w:sz="0" w:space="0" w:color="auto"/>
              </w:divBdr>
            </w:div>
          </w:divsChild>
        </w:div>
        <w:div w:id="16546567">
          <w:marLeft w:val="0"/>
          <w:marRight w:val="0"/>
          <w:marTop w:val="120"/>
          <w:marBottom w:val="0"/>
          <w:divBdr>
            <w:top w:val="none" w:sz="0" w:space="0" w:color="auto"/>
            <w:left w:val="none" w:sz="0" w:space="0" w:color="auto"/>
            <w:bottom w:val="none" w:sz="0" w:space="0" w:color="auto"/>
            <w:right w:val="none" w:sz="0" w:space="0" w:color="auto"/>
          </w:divBdr>
          <w:divsChild>
            <w:div w:id="98528597">
              <w:marLeft w:val="0"/>
              <w:marRight w:val="0"/>
              <w:marTop w:val="0"/>
              <w:marBottom w:val="0"/>
              <w:divBdr>
                <w:top w:val="none" w:sz="0" w:space="0" w:color="auto"/>
                <w:left w:val="none" w:sz="0" w:space="0" w:color="auto"/>
                <w:bottom w:val="none" w:sz="0" w:space="0" w:color="auto"/>
                <w:right w:val="none" w:sz="0" w:space="0" w:color="auto"/>
              </w:divBdr>
            </w:div>
          </w:divsChild>
        </w:div>
        <w:div w:id="1424916448">
          <w:marLeft w:val="0"/>
          <w:marRight w:val="0"/>
          <w:marTop w:val="120"/>
          <w:marBottom w:val="0"/>
          <w:divBdr>
            <w:top w:val="none" w:sz="0" w:space="0" w:color="auto"/>
            <w:left w:val="none" w:sz="0" w:space="0" w:color="auto"/>
            <w:bottom w:val="none" w:sz="0" w:space="0" w:color="auto"/>
            <w:right w:val="none" w:sz="0" w:space="0" w:color="auto"/>
          </w:divBdr>
          <w:divsChild>
            <w:div w:id="2011331074">
              <w:marLeft w:val="0"/>
              <w:marRight w:val="0"/>
              <w:marTop w:val="0"/>
              <w:marBottom w:val="0"/>
              <w:divBdr>
                <w:top w:val="none" w:sz="0" w:space="0" w:color="auto"/>
                <w:left w:val="none" w:sz="0" w:space="0" w:color="auto"/>
                <w:bottom w:val="none" w:sz="0" w:space="0" w:color="auto"/>
                <w:right w:val="none" w:sz="0" w:space="0" w:color="auto"/>
              </w:divBdr>
            </w:div>
          </w:divsChild>
        </w:div>
        <w:div w:id="923296707">
          <w:marLeft w:val="0"/>
          <w:marRight w:val="0"/>
          <w:marTop w:val="120"/>
          <w:marBottom w:val="0"/>
          <w:divBdr>
            <w:top w:val="none" w:sz="0" w:space="0" w:color="auto"/>
            <w:left w:val="none" w:sz="0" w:space="0" w:color="auto"/>
            <w:bottom w:val="none" w:sz="0" w:space="0" w:color="auto"/>
            <w:right w:val="none" w:sz="0" w:space="0" w:color="auto"/>
          </w:divBdr>
          <w:divsChild>
            <w:div w:id="150871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434067">
      <w:bodyDiv w:val="1"/>
      <w:marLeft w:val="0"/>
      <w:marRight w:val="0"/>
      <w:marTop w:val="0"/>
      <w:marBottom w:val="0"/>
      <w:divBdr>
        <w:top w:val="none" w:sz="0" w:space="0" w:color="auto"/>
        <w:left w:val="none" w:sz="0" w:space="0" w:color="auto"/>
        <w:bottom w:val="none" w:sz="0" w:space="0" w:color="auto"/>
        <w:right w:val="none" w:sz="0" w:space="0" w:color="auto"/>
      </w:divBdr>
    </w:div>
    <w:div w:id="2077975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enetcollect.eurac.edu/" TargetMode="External"/><Relationship Id="rId26" Type="http://schemas.openxmlformats.org/officeDocument/2006/relationships/hyperlink" Target="http://eurosla.org/monographs/EM01/11-20Hulstijjn_et_al.pdf" TargetMode="External"/><Relationship Id="rId39"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catalog.ldc.upenn.edu/LDC2014T06" TargetMode="External"/><Relationship Id="rId34" Type="http://schemas.openxmlformats.org/officeDocument/2006/relationships/hyperlink" Target="https://doi.org/10.1075/itl.20006.rez" TargetMode="External"/><Relationship Id="rId42" Type="http://schemas.microsoft.com/office/2018/08/relationships/commentsExtensible" Target="commentsExtensible.xml"/><Relationship Id="rId7" Type="http://schemas.openxmlformats.org/officeDocument/2006/relationships/webSettings" Target="webSettings.xml"/><Relationship Id="rId12" Type="http://schemas.openxmlformats.org/officeDocument/2006/relationships/hyperlink" Target="https://catalog.ldc.upenn.edu/LDC2014T06" TargetMode="External"/><Relationship Id="rId17" Type="http://schemas.openxmlformats.org/officeDocument/2006/relationships/hyperlink" Target="https://www.learnercorpusassociation.org/" TargetMode="External"/><Relationship Id="rId25" Type="http://schemas.openxmlformats.org/officeDocument/2006/relationships/hyperlink" Target="https://www.aclweb.org/anthology/W09-1904" TargetMode="External"/><Relationship Id="rId33" Type="http://schemas.openxmlformats.org/officeDocument/2006/relationships/hyperlink" Target="http://www.r-project.org" TargetMode="External"/><Relationship Id="rId38" Type="http://schemas.openxmlformats.org/officeDocument/2006/relationships/hyperlink" Target="https://doi.org/10.1080/0969594X.2019.1602027"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ets.org/Media/Research/pdf/RR-13-24.pdf" TargetMode="External"/><Relationship Id="rId29" Type="http://schemas.openxmlformats.org/officeDocument/2006/relationships/hyperlink" Target="https://doi.org/10.1080/20445911.2013.795574"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gali.paquot@uclouvain.be" TargetMode="External"/><Relationship Id="rId24" Type="http://schemas.openxmlformats.org/officeDocument/2006/relationships/hyperlink" Target="http://www.revistaeducacion.educacion.es/re357/re357_03.pdf" TargetMode="External"/><Relationship Id="rId32" Type="http://schemas.openxmlformats.org/officeDocument/2006/relationships/hyperlink" Target="https://doi.org/10.20343/teachlearninqu.5.2.8" TargetMode="External"/><Relationship Id="rId37" Type="http://schemas.openxmlformats.org/officeDocument/2006/relationships/hyperlink" Target="https://doi.org/10.1177/0146621617748321" TargetMode="External"/><Relationship Id="rId40"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hyperlink" Target="https://doi.org/10.1080/0969594X.2017.1418734" TargetMode="External"/><Relationship Id="rId28" Type="http://schemas.openxmlformats.org/officeDocument/2006/relationships/hyperlink" Target="https://doi.org/10.17239/L1ESLL-2018.18.01.02" TargetMode="External"/><Relationship Id="rId36" Type="http://schemas.openxmlformats.org/officeDocument/2006/relationships/hyperlink" Target="https://doi.org/10.1080/0969594X.2016.1253542" TargetMode="External"/><Relationship Id="rId10" Type="http://schemas.openxmlformats.org/officeDocument/2006/relationships/hyperlink" Target="https://orcid.org/0000-0001-5071-8908" TargetMode="External"/><Relationship Id="rId19" Type="http://schemas.openxmlformats.org/officeDocument/2006/relationships/hyperlink" Target="https://merlin-platform.eu/docs/MERLIN_Technical-report.pdf" TargetMode="External"/><Relationship Id="rId31" Type="http://schemas.openxmlformats.org/officeDocument/2006/relationships/hyperlink" Target="https://doi.org/10.1093/applin/amp04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yperlink" Target="https://www.cambridgeassessment.org.uk/Images/232694-investigating-the-reliability-of-adaptive-comparative-judgment.pdf" TargetMode="External"/><Relationship Id="rId27" Type="http://schemas.openxmlformats.org/officeDocument/2006/relationships/hyperlink" Target="https://doi.org/10.1016/j.stueduc.2015.09.004" TargetMode="External"/><Relationship Id="rId30" Type="http://schemas.openxmlformats.org/officeDocument/2006/relationships/hyperlink" Target="https://www.aclweb.org/anthology/W10-0719" TargetMode="External"/><Relationship Id="rId35" Type="http://schemas.openxmlformats.org/officeDocument/2006/relationships/hyperlink" Target="https://eur03.safelinks.protection.outlook.com/?url=https%3A%2F%2Fcran.r-project.org%2Fpackage%3Dsirt&amp;data=04%7C01%7Cmagali.paquot%40uclouvain.be%7C043b6605ad05488b712508d886f9c668%7C7ab090d4fa2e4ecfbc7c4127b4d582ec%7C0%7C0%7C637407754615413756%7CUnknown%7CTWFpbGZsb3d8eyJWIjoiMC4wLjAwMDAiLCJQIjoiV2luMzIiLCJBTiI6Ik1haWwiLCJXVCI6Mn0%3D%7C1000&amp;sdata=ngAnp%2FSQQ0YUiWc5RN6B2rI%2FEQmDag8B5Ca1%2F7BNI%2B8%3D&amp;reserved=0" TargetMode="External"/><Relationship Id="rId43"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D6156FA4BA6894EBE7E33805FFDFB8F" ma:contentTypeVersion="14" ma:contentTypeDescription="Crée un document." ma:contentTypeScope="" ma:versionID="1e5abc6c6b8a2dafbd87b798277e921c">
  <xsd:schema xmlns:xsd="http://www.w3.org/2001/XMLSchema" xmlns:xs="http://www.w3.org/2001/XMLSchema" xmlns:p="http://schemas.microsoft.com/office/2006/metadata/properties" xmlns:ns3="07fe9818-3792-4494-8036-e2bd0fd87cae" xmlns:ns4="83936000-ef25-4ae5-802b-e486163be470" targetNamespace="http://schemas.microsoft.com/office/2006/metadata/properties" ma:root="true" ma:fieldsID="ae6cb398e9c5e2cfb6931c36a2763721" ns3:_="" ns4:_="">
    <xsd:import namespace="07fe9818-3792-4494-8036-e2bd0fd87cae"/>
    <xsd:import namespace="83936000-ef25-4ae5-802b-e486163be47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fe9818-3792-4494-8036-e2bd0fd87cae" elementFormDefault="qualified">
    <xsd:import namespace="http://schemas.microsoft.com/office/2006/documentManagement/types"/>
    <xsd:import namespace="http://schemas.microsoft.com/office/infopath/2007/PartnerControls"/>
    <xsd:element name="SharedWithUsers" ma:index="8" nillable="true" ma:displayName="Partagé avec"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description="" ma:internalName="SharedWithDetails" ma:readOnly="true">
      <xsd:simpleType>
        <xsd:restriction base="dms:Note">
          <xsd:maxLength value="255"/>
        </xsd:restriction>
      </xsd:simpleType>
    </xsd:element>
    <xsd:element name="SharingHintHash" ma:index="10" nillable="true" ma:displayName="Partage du hachage d’indicateur"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936000-ef25-4ae5-802b-e486163be47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50DB71-8C6F-444C-9799-837B26F70026}">
  <ds:schemaRefs>
    <ds:schemaRef ds:uri="http://schemas.microsoft.com/sharepoint/v3/contenttype/forms"/>
  </ds:schemaRefs>
</ds:datastoreItem>
</file>

<file path=customXml/itemProps2.xml><?xml version="1.0" encoding="utf-8"?>
<ds:datastoreItem xmlns:ds="http://schemas.openxmlformats.org/officeDocument/2006/customXml" ds:itemID="{22B71F3A-857C-471C-9901-FC7EF75D17B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7fe9818-3792-4494-8036-e2bd0fd87cae"/>
    <ds:schemaRef ds:uri="83936000-ef25-4ae5-802b-e486163be470"/>
    <ds:schemaRef ds:uri="http://www.w3.org/XML/1998/namespace"/>
    <ds:schemaRef ds:uri="http://purl.org/dc/dcmitype/"/>
  </ds:schemaRefs>
</ds:datastoreItem>
</file>

<file path=customXml/itemProps3.xml><?xml version="1.0" encoding="utf-8"?>
<ds:datastoreItem xmlns:ds="http://schemas.openxmlformats.org/officeDocument/2006/customXml" ds:itemID="{C5430536-B078-4DD7-946F-CEE74502F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fe9818-3792-4494-8036-e2bd0fd87cae"/>
    <ds:schemaRef ds:uri="83936000-ef25-4ae5-802b-e486163be4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41</Pages>
  <Words>11071</Words>
  <Characters>60892</Characters>
  <Application>Microsoft Office Word</Application>
  <DocSecurity>0</DocSecurity>
  <Lines>507</Lines>
  <Paragraphs>143</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71820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Magali Paquot</dc:creator>
  <cp:lastModifiedBy>Reviewer</cp:lastModifiedBy>
  <cp:revision>6</cp:revision>
  <dcterms:created xsi:type="dcterms:W3CDTF">2021-12-14T09:50:00Z</dcterms:created>
  <dcterms:modified xsi:type="dcterms:W3CDTF">2021-12-14T10:14:00Z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0x0101002D6156FA4BA6894EBE7E33805FFDFB8F</vt:lpwstr>
  </property>
</Properties>
</file>