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0F54D" w14:textId="77777777" w:rsidR="00AD2FBC" w:rsidRPr="000256FA" w:rsidRDefault="00AD2FBC" w:rsidP="00AD2FBC">
      <w:pPr>
        <w:contextualSpacing/>
        <w:jc w:val="center"/>
        <w:rPr>
          <w:rFonts w:ascii="Times New Roman" w:hAnsi="Times New Roman" w:cs="Times New Roman"/>
          <w:b/>
          <w:sz w:val="24"/>
          <w:szCs w:val="24"/>
          <w:u w:val="single"/>
          <w:lang w:val="fr-FR"/>
        </w:rPr>
      </w:pPr>
      <w:r w:rsidRPr="000256FA">
        <w:rPr>
          <w:rFonts w:ascii="Times New Roman" w:hAnsi="Times New Roman" w:cs="Times New Roman"/>
          <w:b/>
          <w:sz w:val="24"/>
          <w:szCs w:val="24"/>
          <w:u w:val="single"/>
          <w:lang w:val="fr-FR"/>
        </w:rPr>
        <w:t>Quand l’autorisation d’un juge d’accepter une succession bénéficiaire est-elle nécessaire ?</w:t>
      </w:r>
    </w:p>
    <w:p w14:paraId="7E5F58F8" w14:textId="77777777" w:rsidR="00AD2FBC" w:rsidRPr="000256FA" w:rsidRDefault="00AD2FBC" w:rsidP="00AD2FBC">
      <w:pPr>
        <w:contextualSpacing/>
        <w:jc w:val="both"/>
        <w:rPr>
          <w:rFonts w:ascii="Times New Roman" w:hAnsi="Times New Roman" w:cs="Times New Roman"/>
          <w:sz w:val="24"/>
          <w:szCs w:val="24"/>
          <w:lang w:val="fr-FR"/>
        </w:rPr>
      </w:pPr>
    </w:p>
    <w:p w14:paraId="2AE525AB"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b/>
          <w:sz w:val="24"/>
          <w:szCs w:val="24"/>
          <w:lang w:val="fr-FR"/>
        </w:rPr>
        <w:t>1. Rappel des faits</w:t>
      </w:r>
      <w:r w:rsidRPr="000256FA">
        <w:rPr>
          <w:rFonts w:ascii="Times New Roman" w:hAnsi="Times New Roman" w:cs="Times New Roman"/>
          <w:sz w:val="24"/>
          <w:szCs w:val="24"/>
          <w:lang w:val="fr-FR"/>
        </w:rPr>
        <w:t xml:space="preserve"> – Monsieur G. est admis au bénéfice du règlement collectif de dettes. Le père de Monsieur G. décède et ce dernier souhaite accepter la succession (bénéficiaire) de son père.</w:t>
      </w:r>
    </w:p>
    <w:p w14:paraId="33E2E976" w14:textId="77777777" w:rsidR="00AD2FBC" w:rsidRPr="000256FA" w:rsidRDefault="00AD2FBC" w:rsidP="00AD2FBC">
      <w:pPr>
        <w:contextualSpacing/>
        <w:jc w:val="both"/>
        <w:rPr>
          <w:rFonts w:ascii="Times New Roman" w:hAnsi="Times New Roman" w:cs="Times New Roman"/>
          <w:sz w:val="24"/>
          <w:szCs w:val="24"/>
          <w:lang w:val="fr-FR"/>
        </w:rPr>
      </w:pPr>
    </w:p>
    <w:p w14:paraId="232333A1" w14:textId="2D0C860C"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 xml:space="preserve">L’article 1675/7, §3 du Code judiciaire prévoyant notamment que le médié doit obtenir l’autorisation du juge pour accomplir </w:t>
      </w:r>
      <w:r w:rsidRPr="000256FA">
        <w:rPr>
          <w:rFonts w:ascii="Times New Roman" w:hAnsi="Times New Roman" w:cs="Times New Roman"/>
          <w:i/>
          <w:sz w:val="24"/>
          <w:szCs w:val="24"/>
          <w:lang w:val="fr-FR"/>
        </w:rPr>
        <w:t>« tout acte étranger à la gestion normale d[e son] patrimoine »</w:t>
      </w:r>
      <w:r w:rsidRPr="000256FA">
        <w:rPr>
          <w:rFonts w:ascii="Times New Roman" w:hAnsi="Times New Roman" w:cs="Times New Roman"/>
          <w:sz w:val="24"/>
          <w:szCs w:val="24"/>
          <w:lang w:val="fr-FR"/>
        </w:rPr>
        <w:t xml:space="preserve">, Monsieur G. a sollicité l’autorisation du tribunal du travail </w:t>
      </w:r>
      <w:r w:rsidR="00771537" w:rsidRPr="000256FA">
        <w:rPr>
          <w:rFonts w:ascii="Times New Roman" w:hAnsi="Times New Roman" w:cs="Times New Roman"/>
          <w:sz w:val="24"/>
          <w:szCs w:val="24"/>
          <w:lang w:val="fr-FR"/>
        </w:rPr>
        <w:t xml:space="preserve">de Liège, Division de Dinant </w:t>
      </w:r>
      <w:r w:rsidRPr="000256FA">
        <w:rPr>
          <w:rFonts w:ascii="Times New Roman" w:hAnsi="Times New Roman" w:cs="Times New Roman"/>
          <w:sz w:val="24"/>
          <w:szCs w:val="24"/>
          <w:lang w:val="fr-FR"/>
        </w:rPr>
        <w:t xml:space="preserve">d’accepter la succession bénéficiaire de son père, autorisation que le </w:t>
      </w:r>
      <w:r w:rsidR="00FF09B8" w:rsidRPr="000256FA">
        <w:rPr>
          <w:rFonts w:ascii="Times New Roman" w:hAnsi="Times New Roman" w:cs="Times New Roman"/>
          <w:sz w:val="24"/>
          <w:szCs w:val="24"/>
          <w:lang w:val="fr-FR"/>
        </w:rPr>
        <w:t>t</w:t>
      </w:r>
      <w:r w:rsidRPr="000256FA">
        <w:rPr>
          <w:rFonts w:ascii="Times New Roman" w:hAnsi="Times New Roman" w:cs="Times New Roman"/>
          <w:sz w:val="24"/>
          <w:szCs w:val="24"/>
          <w:lang w:val="fr-FR"/>
        </w:rPr>
        <w:t xml:space="preserve">ribunal lui a accordée dans une ordonnance du 26 octobre 2020 au motif que </w:t>
      </w:r>
      <w:r w:rsidRPr="000256FA">
        <w:rPr>
          <w:rFonts w:ascii="Times New Roman" w:hAnsi="Times New Roman" w:cs="Times New Roman"/>
          <w:i/>
          <w:sz w:val="24"/>
          <w:szCs w:val="24"/>
          <w:lang w:val="fr-FR"/>
        </w:rPr>
        <w:t>« les sommes revenant à la partie requérante permettront d’apurer ses dettes »</w:t>
      </w:r>
      <w:r w:rsidRPr="000256FA">
        <w:rPr>
          <w:rFonts w:ascii="Times New Roman" w:hAnsi="Times New Roman" w:cs="Times New Roman"/>
          <w:sz w:val="24"/>
          <w:szCs w:val="24"/>
          <w:lang w:val="fr-FR"/>
        </w:rPr>
        <w:t xml:space="preserve"> et qu’ </w:t>
      </w:r>
      <w:r w:rsidRPr="000256FA">
        <w:rPr>
          <w:rFonts w:ascii="Times New Roman" w:hAnsi="Times New Roman" w:cs="Times New Roman"/>
          <w:i/>
          <w:sz w:val="24"/>
          <w:szCs w:val="24"/>
          <w:lang w:val="fr-FR"/>
        </w:rPr>
        <w:t>« il est donc de l’intérêt de la partie requérante et de ses créanciers qu’elle puisse accepter celle-ci »</w:t>
      </w:r>
      <w:r w:rsidRPr="000256FA">
        <w:rPr>
          <w:rFonts w:ascii="Times New Roman" w:hAnsi="Times New Roman" w:cs="Times New Roman"/>
          <w:sz w:val="24"/>
          <w:szCs w:val="24"/>
          <w:lang w:val="fr-FR"/>
        </w:rPr>
        <w:t>.</w:t>
      </w:r>
      <w:r w:rsidR="00FF09B8" w:rsidRPr="000256FA">
        <w:rPr>
          <w:rFonts w:ascii="Times New Roman" w:hAnsi="Times New Roman" w:cs="Times New Roman"/>
          <w:sz w:val="24"/>
          <w:szCs w:val="24"/>
          <w:lang w:val="fr-FR"/>
        </w:rPr>
        <w:t xml:space="preserve"> Cette ordonnance pourrait être qualifiée d’exceptionnelle, dans la mesure où les décisions accordant autorisation au médié d’accepter une succession ne sont pas nombreuses à être publiées.</w:t>
      </w:r>
    </w:p>
    <w:p w14:paraId="18806036" w14:textId="77777777" w:rsidR="00AD2FBC" w:rsidRPr="000256FA" w:rsidRDefault="00AD2FBC" w:rsidP="00AD2FBC">
      <w:pPr>
        <w:contextualSpacing/>
        <w:jc w:val="both"/>
        <w:rPr>
          <w:rFonts w:ascii="Times New Roman" w:hAnsi="Times New Roman" w:cs="Times New Roman"/>
          <w:sz w:val="24"/>
          <w:szCs w:val="24"/>
          <w:lang w:val="fr-FR"/>
        </w:rPr>
      </w:pPr>
    </w:p>
    <w:p w14:paraId="0FF7BE5A"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b/>
          <w:sz w:val="24"/>
          <w:szCs w:val="24"/>
          <w:lang w:val="fr-FR"/>
        </w:rPr>
        <w:t>2. Plan</w:t>
      </w:r>
      <w:r w:rsidRPr="000256FA">
        <w:rPr>
          <w:rFonts w:ascii="Times New Roman" w:hAnsi="Times New Roman" w:cs="Times New Roman"/>
          <w:sz w:val="24"/>
          <w:szCs w:val="24"/>
          <w:lang w:val="fr-FR"/>
        </w:rPr>
        <w:t xml:space="preserve"> – Cette décision nous donne l’opportunité de revenir sur quelques règles régissant le règlement collectif de dettes (I) et de comparer ce régime avec les autorisations requises en cas de minorité (II) et de placement sous protection d’une personne majeure (III).</w:t>
      </w:r>
    </w:p>
    <w:p w14:paraId="2E4E4828" w14:textId="77777777" w:rsidR="00AD2FBC" w:rsidRPr="000256FA" w:rsidRDefault="00AD2FBC" w:rsidP="00AD2FBC">
      <w:pPr>
        <w:contextualSpacing/>
        <w:jc w:val="both"/>
        <w:rPr>
          <w:rFonts w:ascii="Times New Roman" w:hAnsi="Times New Roman" w:cs="Times New Roman"/>
          <w:sz w:val="24"/>
          <w:szCs w:val="24"/>
          <w:lang w:val="fr-FR"/>
        </w:rPr>
      </w:pPr>
    </w:p>
    <w:p w14:paraId="0C32E89F" w14:textId="77777777" w:rsidR="00AD2FBC" w:rsidRPr="000256FA" w:rsidRDefault="00AD2FBC" w:rsidP="00AD2FBC">
      <w:pPr>
        <w:ind w:firstLine="708"/>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I. Règlement collectif de dettes</w:t>
      </w:r>
    </w:p>
    <w:p w14:paraId="1812D72F" w14:textId="77777777" w:rsidR="00AD2FBC" w:rsidRPr="000256FA" w:rsidRDefault="00AD2FBC" w:rsidP="00AD2FBC">
      <w:pPr>
        <w:contextualSpacing/>
        <w:jc w:val="both"/>
        <w:rPr>
          <w:rFonts w:ascii="Times New Roman" w:hAnsi="Times New Roman" w:cs="Times New Roman"/>
          <w:sz w:val="24"/>
          <w:szCs w:val="24"/>
          <w:lang w:val="fr-FR"/>
        </w:rPr>
      </w:pPr>
    </w:p>
    <w:p w14:paraId="25D5DB20"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b/>
          <w:sz w:val="24"/>
          <w:szCs w:val="24"/>
          <w:lang w:val="fr-FR"/>
        </w:rPr>
        <w:t>3. Notion –</w:t>
      </w:r>
      <w:r w:rsidRPr="000256FA">
        <w:rPr>
          <w:rFonts w:ascii="Times New Roman" w:hAnsi="Times New Roman" w:cs="Times New Roman"/>
          <w:sz w:val="24"/>
          <w:szCs w:val="24"/>
          <w:lang w:val="fr-FR"/>
        </w:rPr>
        <w:t xml:space="preserve"> Le règlement collectif de dettes est, selon l’article 1675/2, alinéa 1</w:t>
      </w:r>
      <w:r w:rsidRPr="000256FA">
        <w:rPr>
          <w:rFonts w:ascii="Times New Roman" w:hAnsi="Times New Roman" w:cs="Times New Roman"/>
          <w:sz w:val="24"/>
          <w:szCs w:val="24"/>
          <w:vertAlign w:val="superscript"/>
          <w:lang w:val="fr-FR"/>
        </w:rPr>
        <w:t>er</w:t>
      </w:r>
      <w:r w:rsidRPr="000256FA">
        <w:rPr>
          <w:rFonts w:ascii="Times New Roman" w:hAnsi="Times New Roman" w:cs="Times New Roman"/>
          <w:sz w:val="24"/>
          <w:szCs w:val="24"/>
          <w:lang w:val="fr-FR"/>
        </w:rPr>
        <w:t xml:space="preserve"> du Code judiciaire, une procédure ouverte à </w:t>
      </w:r>
      <w:r w:rsidRPr="000256FA">
        <w:rPr>
          <w:rFonts w:ascii="Times New Roman" w:hAnsi="Times New Roman" w:cs="Times New Roman"/>
          <w:i/>
          <w:sz w:val="24"/>
          <w:szCs w:val="24"/>
          <w:lang w:val="fr-FR"/>
        </w:rPr>
        <w:t>« [t]</w:t>
      </w:r>
      <w:proofErr w:type="spellStart"/>
      <w:r w:rsidRPr="000256FA">
        <w:rPr>
          <w:rFonts w:ascii="Times New Roman" w:hAnsi="Times New Roman" w:cs="Times New Roman"/>
          <w:i/>
          <w:sz w:val="24"/>
          <w:szCs w:val="24"/>
          <w:lang w:val="fr-FR"/>
        </w:rPr>
        <w:t>oute</w:t>
      </w:r>
      <w:proofErr w:type="spellEnd"/>
      <w:r w:rsidRPr="000256FA">
        <w:rPr>
          <w:rFonts w:ascii="Times New Roman" w:hAnsi="Times New Roman" w:cs="Times New Roman"/>
          <w:i/>
          <w:sz w:val="24"/>
          <w:szCs w:val="24"/>
          <w:lang w:val="fr-FR"/>
        </w:rPr>
        <w:t xml:space="preserve"> personne physique, qui n'a pas la qualité de commerçant</w:t>
      </w:r>
      <w:r w:rsidRPr="000256FA">
        <w:rPr>
          <w:rStyle w:val="Appelnotedebasdep"/>
          <w:rFonts w:ascii="Times New Roman" w:hAnsi="Times New Roman" w:cs="Times New Roman"/>
          <w:i/>
          <w:sz w:val="24"/>
          <w:szCs w:val="24"/>
          <w:lang w:val="fr-FR"/>
        </w:rPr>
        <w:footnoteReference w:id="1"/>
      </w:r>
      <w:r w:rsidRPr="000256FA">
        <w:rPr>
          <w:rFonts w:ascii="Times New Roman" w:hAnsi="Times New Roman" w:cs="Times New Roman"/>
          <w:i/>
          <w:sz w:val="24"/>
          <w:szCs w:val="24"/>
          <w:lang w:val="fr-FR"/>
        </w:rPr>
        <w:t xml:space="preserve"> au sens de l'article 1er du Code de commerce »</w:t>
      </w:r>
      <w:r w:rsidRPr="000256FA">
        <w:rPr>
          <w:rFonts w:ascii="Times New Roman" w:hAnsi="Times New Roman" w:cs="Times New Roman"/>
          <w:sz w:val="24"/>
          <w:szCs w:val="24"/>
          <w:lang w:val="fr-FR"/>
        </w:rPr>
        <w:t xml:space="preserve"> et qui </w:t>
      </w:r>
      <w:r w:rsidRPr="000256FA">
        <w:rPr>
          <w:rFonts w:ascii="Times New Roman" w:hAnsi="Times New Roman" w:cs="Times New Roman"/>
          <w:i/>
          <w:sz w:val="24"/>
          <w:szCs w:val="24"/>
          <w:lang w:val="fr-FR"/>
        </w:rPr>
        <w:t>« n'est pas en état, de manière durable, de payer ses dettes exigibles ou encore à échoir »</w:t>
      </w:r>
      <w:r w:rsidRPr="000256FA">
        <w:rPr>
          <w:rFonts w:ascii="Times New Roman" w:hAnsi="Times New Roman" w:cs="Times New Roman"/>
          <w:sz w:val="24"/>
          <w:szCs w:val="24"/>
          <w:lang w:val="fr-FR"/>
        </w:rPr>
        <w:t xml:space="preserve">. Il convient en outre que cette personne n’ait </w:t>
      </w:r>
      <w:r w:rsidRPr="000256FA">
        <w:rPr>
          <w:rFonts w:ascii="Times New Roman" w:hAnsi="Times New Roman" w:cs="Times New Roman"/>
          <w:i/>
          <w:sz w:val="24"/>
          <w:szCs w:val="24"/>
          <w:lang w:val="fr-FR"/>
        </w:rPr>
        <w:t>« pas manifestement organisé son insolvabilité »</w:t>
      </w:r>
      <w:r w:rsidRPr="000256FA">
        <w:rPr>
          <w:rFonts w:ascii="Times New Roman" w:hAnsi="Times New Roman" w:cs="Times New Roman"/>
          <w:sz w:val="24"/>
          <w:szCs w:val="24"/>
          <w:lang w:val="fr-FR"/>
        </w:rPr>
        <w:t xml:space="preserve">. </w:t>
      </w:r>
    </w:p>
    <w:p w14:paraId="1844252E" w14:textId="77777777" w:rsidR="00AD2FBC" w:rsidRPr="000256FA" w:rsidRDefault="00AD2FBC" w:rsidP="00AD2FBC">
      <w:pPr>
        <w:contextualSpacing/>
        <w:jc w:val="both"/>
        <w:rPr>
          <w:rFonts w:ascii="Times New Roman" w:hAnsi="Times New Roman" w:cs="Times New Roman"/>
          <w:sz w:val="24"/>
          <w:szCs w:val="24"/>
          <w:lang w:val="fr-FR"/>
        </w:rPr>
      </w:pPr>
    </w:p>
    <w:p w14:paraId="0953254A"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L’admission du requérant au règlement collectif de dettes fait naître une situation de concours entre les créanciers et entraîne l’indisponibilité d</w:t>
      </w:r>
      <w:r w:rsidR="00FF09B8" w:rsidRPr="000256FA">
        <w:rPr>
          <w:rFonts w:ascii="Times New Roman" w:hAnsi="Times New Roman" w:cs="Times New Roman"/>
          <w:sz w:val="24"/>
          <w:szCs w:val="24"/>
          <w:lang w:val="fr-FR"/>
        </w:rPr>
        <w:t>e son</w:t>
      </w:r>
      <w:r w:rsidRPr="000256FA">
        <w:rPr>
          <w:rFonts w:ascii="Times New Roman" w:hAnsi="Times New Roman" w:cs="Times New Roman"/>
          <w:sz w:val="24"/>
          <w:szCs w:val="24"/>
          <w:lang w:val="fr-FR"/>
        </w:rPr>
        <w:t xml:space="preserve"> patrimoine</w:t>
      </w:r>
      <w:r w:rsidRPr="000256FA">
        <w:rPr>
          <w:rStyle w:val="Appelnotedebasdep"/>
          <w:rFonts w:ascii="Times New Roman" w:hAnsi="Times New Roman" w:cs="Times New Roman"/>
          <w:sz w:val="24"/>
          <w:szCs w:val="24"/>
          <w:lang w:val="fr-FR"/>
        </w:rPr>
        <w:footnoteReference w:id="2"/>
      </w:r>
      <w:r w:rsidRPr="000256FA">
        <w:rPr>
          <w:rFonts w:ascii="Times New Roman" w:hAnsi="Times New Roman" w:cs="Times New Roman"/>
          <w:sz w:val="24"/>
          <w:szCs w:val="24"/>
          <w:lang w:val="fr-FR"/>
        </w:rPr>
        <w:t>.</w:t>
      </w:r>
    </w:p>
    <w:p w14:paraId="55CA379C" w14:textId="77777777" w:rsidR="00AD2FBC" w:rsidRPr="000256FA" w:rsidRDefault="00AD2FBC" w:rsidP="00AD2FBC">
      <w:pPr>
        <w:contextualSpacing/>
        <w:jc w:val="both"/>
        <w:rPr>
          <w:rFonts w:ascii="Times New Roman" w:hAnsi="Times New Roman" w:cs="Times New Roman"/>
          <w:sz w:val="24"/>
          <w:szCs w:val="24"/>
          <w:lang w:val="fr-FR"/>
        </w:rPr>
      </w:pPr>
    </w:p>
    <w:p w14:paraId="49C4508F" w14:textId="77777777" w:rsidR="00AD2FBC" w:rsidRPr="000256FA" w:rsidRDefault="00AD2FBC" w:rsidP="00AD2FBC">
      <w:pPr>
        <w:contextualSpacing/>
        <w:jc w:val="both"/>
        <w:rPr>
          <w:rFonts w:ascii="Times New Roman" w:hAnsi="Times New Roman" w:cs="Times New Roman"/>
          <w:i/>
          <w:sz w:val="24"/>
          <w:szCs w:val="24"/>
          <w:lang w:val="fr-FR"/>
        </w:rPr>
      </w:pPr>
      <w:r w:rsidRPr="000256FA">
        <w:rPr>
          <w:rFonts w:ascii="Times New Roman" w:hAnsi="Times New Roman" w:cs="Times New Roman"/>
          <w:b/>
          <w:sz w:val="24"/>
          <w:szCs w:val="24"/>
          <w:lang w:val="fr-FR"/>
        </w:rPr>
        <w:t>4. Pouvoirs du médié et limitations –</w:t>
      </w:r>
      <w:r w:rsidRPr="000256FA">
        <w:rPr>
          <w:rFonts w:ascii="Times New Roman" w:hAnsi="Times New Roman" w:cs="Times New Roman"/>
          <w:sz w:val="24"/>
          <w:szCs w:val="24"/>
          <w:lang w:val="fr-FR"/>
        </w:rPr>
        <w:t xml:space="preserve"> L’admission du requérant au règlement collectif de dettes ne place pas celui-ci dans une situation d’incapacité</w:t>
      </w:r>
      <w:r w:rsidRPr="000256FA">
        <w:rPr>
          <w:rStyle w:val="Appelnotedebasdep"/>
          <w:rFonts w:ascii="Times New Roman" w:hAnsi="Times New Roman" w:cs="Times New Roman"/>
          <w:sz w:val="24"/>
          <w:szCs w:val="24"/>
          <w:lang w:val="fr-FR"/>
        </w:rPr>
        <w:footnoteReference w:id="3"/>
      </w:r>
      <w:r w:rsidRPr="000256FA">
        <w:rPr>
          <w:rFonts w:ascii="Times New Roman" w:hAnsi="Times New Roman" w:cs="Times New Roman"/>
          <w:sz w:val="24"/>
          <w:szCs w:val="24"/>
          <w:lang w:val="fr-FR"/>
        </w:rPr>
        <w:t>, ce qui distingue le médié du mineur ou de la personne majeure protégée. Néanmoins, les pouvoirs dont dispose le médié se voient limités puisque l’article 1675/7, §3 du Code judiciaire dispose que « </w:t>
      </w:r>
      <w:r w:rsidRPr="000256FA">
        <w:rPr>
          <w:rFonts w:ascii="Times New Roman" w:hAnsi="Times New Roman" w:cs="Times New Roman"/>
          <w:i/>
          <w:sz w:val="24"/>
          <w:szCs w:val="24"/>
          <w:lang w:val="fr-FR"/>
        </w:rPr>
        <w:t>La décision d'admissibilité entraîne l'interdiction pour le requérant, sauf autorisation du juge :</w:t>
      </w:r>
    </w:p>
    <w:p w14:paraId="0B536594" w14:textId="77777777" w:rsidR="00AD2FBC" w:rsidRPr="000256FA" w:rsidRDefault="00AD2FBC" w:rsidP="00AD2FBC">
      <w:pPr>
        <w:contextualSpacing/>
        <w:jc w:val="both"/>
        <w:rPr>
          <w:rFonts w:ascii="Times New Roman" w:hAnsi="Times New Roman" w:cs="Times New Roman"/>
          <w:i/>
          <w:sz w:val="24"/>
          <w:szCs w:val="24"/>
          <w:lang w:val="fr-FR"/>
        </w:rPr>
      </w:pPr>
      <w:r w:rsidRPr="000256FA">
        <w:rPr>
          <w:rFonts w:ascii="Times New Roman" w:hAnsi="Times New Roman" w:cs="Times New Roman"/>
          <w:i/>
          <w:sz w:val="24"/>
          <w:szCs w:val="24"/>
          <w:lang w:val="fr-FR"/>
        </w:rPr>
        <w:t xml:space="preserve">  - d'accomplir tout acte étranger à la gestion normale du patrimoine ;</w:t>
      </w:r>
    </w:p>
    <w:p w14:paraId="196C9A43" w14:textId="77777777" w:rsidR="00AD2FBC" w:rsidRPr="000256FA" w:rsidRDefault="00AD2FBC" w:rsidP="00AD2FBC">
      <w:pPr>
        <w:ind w:left="284" w:hanging="284"/>
        <w:contextualSpacing/>
        <w:jc w:val="both"/>
        <w:rPr>
          <w:rFonts w:ascii="Times New Roman" w:hAnsi="Times New Roman" w:cs="Times New Roman"/>
          <w:i/>
          <w:sz w:val="24"/>
          <w:szCs w:val="24"/>
          <w:lang w:val="fr-FR"/>
        </w:rPr>
      </w:pPr>
      <w:r w:rsidRPr="000256FA">
        <w:rPr>
          <w:rFonts w:ascii="Times New Roman" w:hAnsi="Times New Roman" w:cs="Times New Roman"/>
          <w:i/>
          <w:sz w:val="24"/>
          <w:szCs w:val="24"/>
          <w:lang w:val="fr-FR"/>
        </w:rPr>
        <w:t xml:space="preserve">  - d'accomplir tout acte susceptible de favoriser un créancier, sauf le paiement d'une dette alimentaire mais à l'exception des arriérés de celle-ci ;</w:t>
      </w:r>
    </w:p>
    <w:p w14:paraId="7666B85B"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i/>
          <w:sz w:val="24"/>
          <w:szCs w:val="24"/>
          <w:lang w:val="fr-FR"/>
        </w:rPr>
        <w:t xml:space="preserve">  - d'aggraver son insolvabilité »</w:t>
      </w:r>
      <w:r w:rsidRPr="000256FA">
        <w:rPr>
          <w:rFonts w:ascii="Times New Roman" w:hAnsi="Times New Roman" w:cs="Times New Roman"/>
          <w:sz w:val="24"/>
          <w:szCs w:val="24"/>
          <w:lang w:val="fr-FR"/>
        </w:rPr>
        <w:t>.</w:t>
      </w:r>
    </w:p>
    <w:p w14:paraId="5DBB67DA" w14:textId="77777777" w:rsidR="00AD2FBC" w:rsidRPr="000256FA" w:rsidRDefault="00AD2FBC" w:rsidP="00AD2FBC">
      <w:pPr>
        <w:contextualSpacing/>
        <w:jc w:val="both"/>
        <w:rPr>
          <w:rFonts w:ascii="Times New Roman" w:hAnsi="Times New Roman" w:cs="Times New Roman"/>
          <w:sz w:val="24"/>
          <w:szCs w:val="24"/>
          <w:lang w:val="fr-FR"/>
        </w:rPr>
      </w:pPr>
    </w:p>
    <w:p w14:paraId="798C0C81"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lastRenderedPageBreak/>
        <w:t xml:space="preserve">L’aggravation de l’insolvabilité du médié vise, par exemple, la </w:t>
      </w:r>
      <w:r w:rsidR="00FF09B8" w:rsidRPr="000256FA">
        <w:rPr>
          <w:rFonts w:ascii="Times New Roman" w:hAnsi="Times New Roman" w:cs="Times New Roman"/>
          <w:sz w:val="24"/>
          <w:szCs w:val="24"/>
          <w:lang w:val="fr-FR"/>
        </w:rPr>
        <w:t>conclusion</w:t>
      </w:r>
      <w:r w:rsidRPr="000256FA">
        <w:rPr>
          <w:rFonts w:ascii="Times New Roman" w:hAnsi="Times New Roman" w:cs="Times New Roman"/>
          <w:sz w:val="24"/>
          <w:szCs w:val="24"/>
          <w:lang w:val="fr-FR"/>
        </w:rPr>
        <w:t xml:space="preserve"> d’un nouveau prêt. Dans le cas où ce prêt serait contracté pour acheter un véhicule, dont le médié a indispensablement besoin pour se rendre au travail, le juge pourrait l’autoriser à ce faire</w:t>
      </w:r>
      <w:r w:rsidRPr="000256FA">
        <w:rPr>
          <w:rStyle w:val="Appelnotedebasdep"/>
          <w:rFonts w:ascii="Times New Roman" w:hAnsi="Times New Roman" w:cs="Times New Roman"/>
          <w:sz w:val="24"/>
          <w:szCs w:val="24"/>
          <w:lang w:val="fr-FR"/>
        </w:rPr>
        <w:footnoteReference w:id="4"/>
      </w:r>
      <w:r w:rsidRPr="000256FA">
        <w:rPr>
          <w:rFonts w:ascii="Times New Roman" w:hAnsi="Times New Roman" w:cs="Times New Roman"/>
          <w:sz w:val="24"/>
          <w:szCs w:val="24"/>
          <w:lang w:val="fr-FR"/>
        </w:rPr>
        <w:t>.</w:t>
      </w:r>
    </w:p>
    <w:p w14:paraId="0CC8A9CD" w14:textId="77777777" w:rsidR="00AD2FBC" w:rsidRPr="000256FA" w:rsidRDefault="00AD2FBC" w:rsidP="00AD2FBC">
      <w:pPr>
        <w:contextualSpacing/>
        <w:jc w:val="both"/>
        <w:rPr>
          <w:rFonts w:ascii="Times New Roman" w:hAnsi="Times New Roman" w:cs="Times New Roman"/>
          <w:sz w:val="24"/>
          <w:szCs w:val="24"/>
          <w:lang w:val="fr-FR"/>
        </w:rPr>
      </w:pPr>
    </w:p>
    <w:p w14:paraId="0926D78C"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Vu le principe d’égalité entre les créanciers imprégnant la procédure de règlement collectif de dettes, le médié ne peut, évidemment, avantager quelque créancier que ce soit, mais le juge pourrait l’y autoriser. Imaginons que le médié soit locataire d’un immeuble et ait accumulé des arriérés de loyer. Le juge pourrait alors permettre au médié de payer, à son bailleur, les arriérés de loyer et ce, afin d’éviter que le médié ne soit expulsé du logement qu’il occupe</w:t>
      </w:r>
      <w:r w:rsidRPr="000256FA">
        <w:rPr>
          <w:rStyle w:val="Appelnotedebasdep"/>
          <w:rFonts w:ascii="Times New Roman" w:hAnsi="Times New Roman" w:cs="Times New Roman"/>
          <w:sz w:val="24"/>
          <w:szCs w:val="24"/>
          <w:lang w:val="fr-FR"/>
        </w:rPr>
        <w:footnoteReference w:id="5"/>
      </w:r>
      <w:r w:rsidRPr="000256FA">
        <w:rPr>
          <w:rFonts w:ascii="Times New Roman" w:hAnsi="Times New Roman" w:cs="Times New Roman"/>
          <w:sz w:val="24"/>
          <w:szCs w:val="24"/>
          <w:lang w:val="fr-FR"/>
        </w:rPr>
        <w:t>.</w:t>
      </w:r>
    </w:p>
    <w:p w14:paraId="3227C092" w14:textId="77777777" w:rsidR="00AD2FBC" w:rsidRPr="000256FA" w:rsidRDefault="00AD2FBC" w:rsidP="00AD2FBC">
      <w:pPr>
        <w:contextualSpacing/>
        <w:jc w:val="both"/>
        <w:rPr>
          <w:rFonts w:ascii="Times New Roman" w:hAnsi="Times New Roman" w:cs="Times New Roman"/>
          <w:sz w:val="24"/>
          <w:szCs w:val="24"/>
          <w:lang w:val="fr-FR"/>
        </w:rPr>
      </w:pPr>
    </w:p>
    <w:p w14:paraId="3A13690C"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Si les hypothèses d’aggravation de l’insolvabilité du médié et d’accomplissement d’acte favorisant l’un ou l’autre créancier sont aisées à comprendre, il en va quelque peu autrement de l’hypothèse dans laquelle le médié poserait un acte étranger à la gestion normale de son patrimoine. La loi ne définit</w:t>
      </w:r>
      <w:r w:rsidR="00FF09B8" w:rsidRPr="000256FA">
        <w:rPr>
          <w:rFonts w:ascii="Times New Roman" w:hAnsi="Times New Roman" w:cs="Times New Roman"/>
          <w:sz w:val="24"/>
          <w:szCs w:val="24"/>
          <w:lang w:val="fr-FR"/>
        </w:rPr>
        <w:t>,</w:t>
      </w:r>
      <w:r w:rsidRPr="000256FA">
        <w:rPr>
          <w:rFonts w:ascii="Times New Roman" w:hAnsi="Times New Roman" w:cs="Times New Roman"/>
          <w:sz w:val="24"/>
          <w:szCs w:val="24"/>
          <w:lang w:val="fr-FR"/>
        </w:rPr>
        <w:t xml:space="preserve"> en effet</w:t>
      </w:r>
      <w:r w:rsidR="00FF09B8" w:rsidRPr="000256FA">
        <w:rPr>
          <w:rFonts w:ascii="Times New Roman" w:hAnsi="Times New Roman" w:cs="Times New Roman"/>
          <w:sz w:val="24"/>
          <w:szCs w:val="24"/>
          <w:lang w:val="fr-FR"/>
        </w:rPr>
        <w:t>,</w:t>
      </w:r>
      <w:r w:rsidRPr="000256FA">
        <w:rPr>
          <w:rFonts w:ascii="Times New Roman" w:hAnsi="Times New Roman" w:cs="Times New Roman"/>
          <w:sz w:val="24"/>
          <w:szCs w:val="24"/>
          <w:lang w:val="fr-FR"/>
        </w:rPr>
        <w:t xml:space="preserve"> nullement ce qu’il faut qualifier </w:t>
      </w:r>
      <w:proofErr w:type="gramStart"/>
      <w:r w:rsidRPr="000256FA">
        <w:rPr>
          <w:rFonts w:ascii="Times New Roman" w:hAnsi="Times New Roman" w:cs="Times New Roman"/>
          <w:sz w:val="24"/>
          <w:szCs w:val="24"/>
          <w:lang w:val="fr-FR"/>
        </w:rPr>
        <w:t>d’ «</w:t>
      </w:r>
      <w:proofErr w:type="gramEnd"/>
      <w:r w:rsidRPr="000256FA">
        <w:rPr>
          <w:rFonts w:ascii="Times New Roman" w:hAnsi="Times New Roman" w:cs="Times New Roman"/>
          <w:sz w:val="24"/>
          <w:szCs w:val="24"/>
          <w:lang w:val="fr-FR"/>
        </w:rPr>
        <w:t xml:space="preserve"> acte étranger à la gestion normale du patrimoine » du médié. La doctrine se fonde donc sur les travaux préparatoires, qui précisent que le débiteur peut </w:t>
      </w:r>
      <w:r w:rsidRPr="000256FA">
        <w:rPr>
          <w:rFonts w:ascii="Times New Roman" w:hAnsi="Times New Roman" w:cs="Times New Roman"/>
          <w:i/>
          <w:sz w:val="24"/>
          <w:szCs w:val="24"/>
          <w:lang w:val="fr-FR"/>
        </w:rPr>
        <w:t>« continuer à effectuer des achats normaux ainsi que les paiements courants nécessaires à assurer sa propre subsistance, son logement ou l’exercice de sa profession »</w:t>
      </w:r>
      <w:r w:rsidRPr="000256FA">
        <w:rPr>
          <w:rStyle w:val="Appelnotedebasdep"/>
          <w:rFonts w:ascii="Times New Roman" w:hAnsi="Times New Roman" w:cs="Times New Roman"/>
          <w:sz w:val="24"/>
          <w:szCs w:val="24"/>
          <w:lang w:val="fr-FR"/>
        </w:rPr>
        <w:footnoteReference w:id="6"/>
      </w:r>
      <w:r w:rsidRPr="000256FA">
        <w:rPr>
          <w:rFonts w:ascii="Times New Roman" w:hAnsi="Times New Roman" w:cs="Times New Roman"/>
          <w:sz w:val="24"/>
          <w:szCs w:val="24"/>
          <w:lang w:val="fr-FR"/>
        </w:rPr>
        <w:t>,</w:t>
      </w:r>
      <w:r w:rsidRPr="000256FA">
        <w:rPr>
          <w:rFonts w:ascii="Times New Roman" w:hAnsi="Times New Roman" w:cs="Times New Roman"/>
          <w:i/>
          <w:sz w:val="24"/>
          <w:szCs w:val="24"/>
          <w:lang w:val="fr-FR"/>
        </w:rPr>
        <w:t xml:space="preserve"> </w:t>
      </w:r>
      <w:r w:rsidRPr="000256FA">
        <w:rPr>
          <w:rFonts w:ascii="Times New Roman" w:hAnsi="Times New Roman" w:cs="Times New Roman"/>
          <w:sz w:val="24"/>
          <w:szCs w:val="24"/>
          <w:lang w:val="fr-FR"/>
        </w:rPr>
        <w:t>pour considérer que la gestion normale du patrimoine vise tout acte de gestion quotidienne et élémentaire d’un ménage</w:t>
      </w:r>
      <w:r w:rsidRPr="000256FA">
        <w:rPr>
          <w:rStyle w:val="Appelnotedebasdep"/>
          <w:rFonts w:ascii="Times New Roman" w:hAnsi="Times New Roman" w:cs="Times New Roman"/>
          <w:sz w:val="24"/>
          <w:szCs w:val="24"/>
          <w:lang w:val="fr-FR"/>
        </w:rPr>
        <w:footnoteReference w:id="7"/>
      </w:r>
      <w:r w:rsidRPr="000256FA">
        <w:rPr>
          <w:rFonts w:ascii="Times New Roman" w:hAnsi="Times New Roman" w:cs="Times New Roman"/>
          <w:sz w:val="24"/>
          <w:szCs w:val="24"/>
          <w:lang w:val="fr-FR"/>
        </w:rPr>
        <w:t>. Ainsi en va-t-il des dépenses de nourriture, de vêtements, de visites médicales et de médicaments, de gaz, d’eau, d’électricité, etc. Tout acte n’est donc pas nécessairement soumis à une autorisation préalable du juge.</w:t>
      </w:r>
    </w:p>
    <w:p w14:paraId="15B1BA31" w14:textId="77777777" w:rsidR="00AD2FBC" w:rsidRPr="000256FA" w:rsidRDefault="00AD2FBC" w:rsidP="00AD2FBC">
      <w:pPr>
        <w:contextualSpacing/>
        <w:jc w:val="both"/>
        <w:rPr>
          <w:rFonts w:ascii="Times New Roman" w:hAnsi="Times New Roman" w:cs="Times New Roman"/>
          <w:sz w:val="24"/>
          <w:szCs w:val="24"/>
          <w:lang w:val="fr-FR"/>
        </w:rPr>
      </w:pPr>
    </w:p>
    <w:p w14:paraId="5E40B28E"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 xml:space="preserve">Néanmoins, une question se pose encore. Faut-il avoir égard à la nature de l’acte ou à son montant pour analyser si celui-ci entre, ou non, dans la « gestion normale du patrimoine » ? Ainsi, le paiement d’une facture d’eau relève de la gestion quotidienne d’un ménage, mais en est-il toujours de la sorte si cette facture s’élève à 2.000 euros ? Selon D. </w:t>
      </w:r>
      <w:proofErr w:type="spellStart"/>
      <w:r w:rsidRPr="000256FA">
        <w:rPr>
          <w:rFonts w:ascii="Times New Roman" w:hAnsi="Times New Roman" w:cs="Times New Roman"/>
          <w:sz w:val="24"/>
          <w:szCs w:val="24"/>
          <w:lang w:val="fr-FR"/>
        </w:rPr>
        <w:t>P</w:t>
      </w:r>
      <w:r w:rsidRPr="000256FA">
        <w:rPr>
          <w:rFonts w:ascii="Times New Roman" w:hAnsi="Times New Roman" w:cs="Times New Roman"/>
          <w:smallCaps/>
          <w:sz w:val="24"/>
          <w:szCs w:val="24"/>
          <w:lang w:val="fr-FR"/>
        </w:rPr>
        <w:t>atart</w:t>
      </w:r>
      <w:proofErr w:type="spellEnd"/>
      <w:r w:rsidRPr="000256FA">
        <w:rPr>
          <w:rFonts w:ascii="Times New Roman" w:hAnsi="Times New Roman" w:cs="Times New Roman"/>
          <w:sz w:val="24"/>
          <w:szCs w:val="24"/>
          <w:lang w:val="fr-FR"/>
        </w:rPr>
        <w:t xml:space="preserve">, il faut tenir compte des montants en jeu, car il faut </w:t>
      </w:r>
      <w:r w:rsidRPr="000256FA">
        <w:rPr>
          <w:rFonts w:ascii="Times New Roman" w:hAnsi="Times New Roman" w:cs="Times New Roman"/>
          <w:i/>
          <w:sz w:val="24"/>
          <w:szCs w:val="24"/>
          <w:lang w:val="fr-FR"/>
        </w:rPr>
        <w:t>« rapprocher la gestion normale du patrimoine du droit, pour le débiteur, de conserver la quotité insaisissable des revenus qu’il perçoit »</w:t>
      </w:r>
      <w:r w:rsidRPr="000256FA">
        <w:rPr>
          <w:rStyle w:val="Appelnotedebasdep"/>
          <w:rFonts w:ascii="Times New Roman" w:hAnsi="Times New Roman" w:cs="Times New Roman"/>
          <w:sz w:val="24"/>
          <w:szCs w:val="24"/>
          <w:lang w:val="fr-FR"/>
        </w:rPr>
        <w:footnoteReference w:id="8"/>
      </w:r>
      <w:r w:rsidRPr="000256FA">
        <w:rPr>
          <w:rFonts w:ascii="Times New Roman" w:hAnsi="Times New Roman" w:cs="Times New Roman"/>
          <w:sz w:val="24"/>
          <w:szCs w:val="24"/>
          <w:lang w:val="fr-FR"/>
        </w:rPr>
        <w:t xml:space="preserve">. </w:t>
      </w:r>
    </w:p>
    <w:p w14:paraId="730ED9BC" w14:textId="77777777" w:rsidR="00AD2FBC" w:rsidRPr="000256FA" w:rsidRDefault="00AD2FBC" w:rsidP="00AD2FBC">
      <w:pPr>
        <w:contextualSpacing/>
        <w:jc w:val="both"/>
        <w:rPr>
          <w:rFonts w:ascii="Times New Roman" w:hAnsi="Times New Roman" w:cs="Times New Roman"/>
          <w:sz w:val="24"/>
          <w:szCs w:val="24"/>
          <w:lang w:val="fr-FR"/>
        </w:rPr>
      </w:pPr>
    </w:p>
    <w:p w14:paraId="1BC3ED92"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Une autorisation a ainsi notamment été demandée et accordée par le juge dans les cas suivants :</w:t>
      </w:r>
    </w:p>
    <w:p w14:paraId="467DBFA6" w14:textId="77777777" w:rsidR="00AD2FBC" w:rsidRPr="000256FA" w:rsidRDefault="00AD2FBC" w:rsidP="00AD2FBC">
      <w:pPr>
        <w:pStyle w:val="Paragraphedeliste"/>
        <w:numPr>
          <w:ilvl w:val="0"/>
          <w:numId w:val="1"/>
        </w:numPr>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Paiement, à partir du disponible du compte de médiation, d’une garantie locative et d’une somme nécessaire à la vente et au remplacement d’un véhicule, indispensable pour permettre au médié de se rendre à l’hôpital afin d’y recevoir des soins</w:t>
      </w:r>
      <w:r w:rsidRPr="000256FA">
        <w:rPr>
          <w:rStyle w:val="Appelnotedebasdep"/>
          <w:rFonts w:ascii="Times New Roman" w:hAnsi="Times New Roman" w:cs="Times New Roman"/>
          <w:sz w:val="24"/>
          <w:szCs w:val="24"/>
          <w:lang w:val="fr-FR"/>
        </w:rPr>
        <w:footnoteReference w:id="9"/>
      </w:r>
      <w:r w:rsidR="00FF09B8" w:rsidRPr="000256FA">
        <w:rPr>
          <w:rFonts w:ascii="Times New Roman" w:hAnsi="Times New Roman" w:cs="Times New Roman"/>
          <w:sz w:val="24"/>
          <w:szCs w:val="24"/>
          <w:lang w:val="fr-FR"/>
        </w:rPr>
        <w:t> ;</w:t>
      </w:r>
      <w:r w:rsidRPr="000256FA">
        <w:rPr>
          <w:rFonts w:ascii="Times New Roman" w:hAnsi="Times New Roman" w:cs="Times New Roman"/>
          <w:sz w:val="24"/>
          <w:szCs w:val="24"/>
          <w:lang w:val="fr-FR"/>
        </w:rPr>
        <w:t xml:space="preserve"> </w:t>
      </w:r>
    </w:p>
    <w:p w14:paraId="612E1354" w14:textId="77777777" w:rsidR="00AD2FBC" w:rsidRPr="000256FA" w:rsidRDefault="00AD2FBC" w:rsidP="00AD2FBC">
      <w:pPr>
        <w:pStyle w:val="Paragraphedeliste"/>
        <w:numPr>
          <w:ilvl w:val="0"/>
          <w:numId w:val="1"/>
        </w:numPr>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Mise à disposition du médié d’une somme de 2.000 euros afin de pouvoir adapter son système de chauffage à une alimentation au bois ou au charbon vu le manque d’isolation de l’immeuble, la consommation anormalement élevée de mazout en résultant, l’augmentation du prix du mazout et les frais occasionnés par le mauvais état de santé des enfants</w:t>
      </w:r>
      <w:r w:rsidRPr="000256FA">
        <w:rPr>
          <w:rStyle w:val="Appelnotedebasdep"/>
          <w:rFonts w:ascii="Times New Roman" w:hAnsi="Times New Roman" w:cs="Times New Roman"/>
          <w:sz w:val="24"/>
          <w:szCs w:val="24"/>
          <w:lang w:val="fr-FR"/>
        </w:rPr>
        <w:footnoteReference w:id="10"/>
      </w:r>
      <w:r w:rsidRPr="000256FA">
        <w:rPr>
          <w:rFonts w:ascii="Times New Roman" w:hAnsi="Times New Roman" w:cs="Times New Roman"/>
          <w:sz w:val="24"/>
          <w:szCs w:val="24"/>
          <w:lang w:val="fr-FR"/>
        </w:rPr>
        <w:t>.</w:t>
      </w:r>
    </w:p>
    <w:p w14:paraId="3FA8570E" w14:textId="77777777" w:rsidR="00AD2FBC" w:rsidRPr="000256FA" w:rsidRDefault="00AD2FBC" w:rsidP="00AD2FBC">
      <w:pPr>
        <w:contextualSpacing/>
        <w:jc w:val="both"/>
        <w:rPr>
          <w:rFonts w:ascii="Times New Roman" w:hAnsi="Times New Roman" w:cs="Times New Roman"/>
          <w:sz w:val="24"/>
          <w:szCs w:val="24"/>
          <w:lang w:val="fr-FR"/>
        </w:rPr>
      </w:pPr>
    </w:p>
    <w:p w14:paraId="38209040"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b/>
          <w:sz w:val="24"/>
          <w:szCs w:val="24"/>
          <w:lang w:val="fr-FR"/>
        </w:rPr>
        <w:t>5. Introduction d’une action en justice –</w:t>
      </w:r>
      <w:r w:rsidRPr="000256FA">
        <w:rPr>
          <w:rFonts w:ascii="Times New Roman" w:hAnsi="Times New Roman" w:cs="Times New Roman"/>
          <w:sz w:val="24"/>
          <w:szCs w:val="24"/>
          <w:lang w:val="fr-FR"/>
        </w:rPr>
        <w:t xml:space="preserve"> Le médié devra également obtenir l’autorisation du juge afin d’intenter une action en justice. Une décision a été prononcée à ce sujet par la Cour de cassation en date du 17 février 2011</w:t>
      </w:r>
      <w:r w:rsidRPr="000256FA">
        <w:rPr>
          <w:rStyle w:val="Appelnotedebasdep"/>
          <w:rFonts w:ascii="Times New Roman" w:hAnsi="Times New Roman" w:cs="Times New Roman"/>
          <w:sz w:val="24"/>
          <w:szCs w:val="24"/>
          <w:lang w:val="fr-FR"/>
        </w:rPr>
        <w:footnoteReference w:id="11"/>
      </w:r>
      <w:r w:rsidRPr="000256FA">
        <w:rPr>
          <w:rFonts w:ascii="Times New Roman" w:hAnsi="Times New Roman" w:cs="Times New Roman"/>
          <w:sz w:val="24"/>
          <w:szCs w:val="24"/>
          <w:lang w:val="fr-FR"/>
        </w:rPr>
        <w:t xml:space="preserve">. </w:t>
      </w:r>
    </w:p>
    <w:p w14:paraId="544AAAC2" w14:textId="77777777" w:rsidR="00AD2FBC" w:rsidRPr="000256FA" w:rsidRDefault="00AD2FBC" w:rsidP="00AD2FBC">
      <w:pPr>
        <w:contextualSpacing/>
        <w:jc w:val="both"/>
        <w:rPr>
          <w:rFonts w:ascii="Times New Roman" w:hAnsi="Times New Roman" w:cs="Times New Roman"/>
          <w:sz w:val="24"/>
          <w:szCs w:val="24"/>
          <w:lang w:val="fr-FR"/>
        </w:rPr>
      </w:pPr>
    </w:p>
    <w:p w14:paraId="4F85C791"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En l’occurrence, préalablement à son admission au règlement collectif de dettes, le médié avait été victime d’un incendie qui avait ravagé son immeuble. La compagnie d’assurances refusant de l’indemniser, le médié introduit, après son admission au règlement collectif de dettes, une action en justice visant à obtenir la condamnation de l’assurance à l’indemniser. La compagnie d’assurance soutient que l’action du médié est irrecevable, au motif qu’il a intenté son action sans obtenir l’autorisation, à l’époque, du juge des saisies.</w:t>
      </w:r>
    </w:p>
    <w:p w14:paraId="5A45DF83" w14:textId="77777777" w:rsidR="00AD2FBC" w:rsidRPr="000256FA" w:rsidRDefault="00AD2FBC" w:rsidP="00AD2FBC">
      <w:pPr>
        <w:contextualSpacing/>
        <w:jc w:val="both"/>
        <w:rPr>
          <w:rFonts w:ascii="Times New Roman" w:hAnsi="Times New Roman" w:cs="Times New Roman"/>
          <w:sz w:val="24"/>
          <w:szCs w:val="24"/>
          <w:lang w:val="fr-FR"/>
        </w:rPr>
      </w:pPr>
    </w:p>
    <w:p w14:paraId="459C9CA0"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Dans son arrêt du 12 octobre 2009, la Cour d’appel de Mons</w:t>
      </w:r>
      <w:r w:rsidRPr="000256FA">
        <w:rPr>
          <w:rStyle w:val="Appelnotedebasdep"/>
          <w:rFonts w:ascii="Times New Roman" w:hAnsi="Times New Roman" w:cs="Times New Roman"/>
          <w:sz w:val="24"/>
          <w:szCs w:val="24"/>
          <w:lang w:val="fr-FR"/>
        </w:rPr>
        <w:footnoteReference w:id="12"/>
      </w:r>
      <w:r w:rsidRPr="000256FA">
        <w:rPr>
          <w:rFonts w:ascii="Times New Roman" w:hAnsi="Times New Roman" w:cs="Times New Roman"/>
          <w:sz w:val="24"/>
          <w:szCs w:val="24"/>
          <w:lang w:val="fr-FR"/>
        </w:rPr>
        <w:t xml:space="preserve"> va, tout d’abord, considérer que </w:t>
      </w:r>
      <w:r w:rsidRPr="000256FA">
        <w:rPr>
          <w:rFonts w:ascii="Times New Roman" w:hAnsi="Times New Roman" w:cs="Times New Roman"/>
          <w:i/>
          <w:sz w:val="24"/>
          <w:szCs w:val="24"/>
          <w:lang w:val="fr-FR"/>
        </w:rPr>
        <w:t>« l’appelante se prévaut en réalité d’une fin de non-procéder entraînant, le cas échéant, la surséance de la procédure mais non l’irrecevabilité éventuelle de l’action »</w:t>
      </w:r>
      <w:r w:rsidRPr="000256FA">
        <w:rPr>
          <w:rStyle w:val="Appelnotedebasdep"/>
          <w:rFonts w:ascii="Times New Roman" w:hAnsi="Times New Roman" w:cs="Times New Roman"/>
          <w:sz w:val="24"/>
          <w:szCs w:val="24"/>
          <w:lang w:val="fr-FR"/>
        </w:rPr>
        <w:footnoteReference w:id="13"/>
      </w:r>
      <w:r w:rsidRPr="000256FA">
        <w:rPr>
          <w:rFonts w:ascii="Times New Roman" w:hAnsi="Times New Roman" w:cs="Times New Roman"/>
          <w:sz w:val="24"/>
          <w:szCs w:val="24"/>
          <w:lang w:val="fr-FR"/>
        </w:rPr>
        <w:t xml:space="preserve"> et conclure que </w:t>
      </w:r>
      <w:r w:rsidRPr="000256FA">
        <w:rPr>
          <w:rFonts w:ascii="Times New Roman" w:hAnsi="Times New Roman" w:cs="Times New Roman"/>
          <w:i/>
          <w:sz w:val="24"/>
          <w:szCs w:val="24"/>
          <w:lang w:val="fr-FR"/>
        </w:rPr>
        <w:t>« [t]</w:t>
      </w:r>
      <w:proofErr w:type="spellStart"/>
      <w:r w:rsidRPr="000256FA">
        <w:rPr>
          <w:rFonts w:ascii="Times New Roman" w:hAnsi="Times New Roman" w:cs="Times New Roman"/>
          <w:i/>
          <w:sz w:val="24"/>
          <w:szCs w:val="24"/>
          <w:lang w:val="fr-FR"/>
        </w:rPr>
        <w:t>oute</w:t>
      </w:r>
      <w:proofErr w:type="spellEnd"/>
      <w:r w:rsidRPr="000256FA">
        <w:rPr>
          <w:rFonts w:ascii="Times New Roman" w:hAnsi="Times New Roman" w:cs="Times New Roman"/>
          <w:i/>
          <w:sz w:val="24"/>
          <w:szCs w:val="24"/>
          <w:lang w:val="fr-FR"/>
        </w:rPr>
        <w:t xml:space="preserve"> action ne peut être considérée, par principe, comme étant un acte étranger à la gestion normale du patrimoine ainsi que l’appelante le prétend. L’autorisation requise par l’article 1675/7, § 3 du Code judiciaire ne s’impose pas lorsqu’une action a pour but de recouvrir des créances et ainsi contribuer à la conservation d’un patrimoine, ce qui constitue un acte normal de gestion de celui-ci »</w:t>
      </w:r>
      <w:r w:rsidRPr="000256FA">
        <w:rPr>
          <w:rFonts w:ascii="Times New Roman" w:hAnsi="Times New Roman" w:cs="Times New Roman"/>
          <w:sz w:val="24"/>
          <w:szCs w:val="24"/>
          <w:lang w:val="fr-FR"/>
        </w:rPr>
        <w:t>. C’est toutefois, selon nous, perdre de vue que l’introduction d’une action en justice présente toujours un risque et notamment, le risque d’être condamné aux frais et dépens, dont une indemnité de procédure.</w:t>
      </w:r>
    </w:p>
    <w:p w14:paraId="24317F84" w14:textId="77777777" w:rsidR="00AD2FBC" w:rsidRPr="000256FA" w:rsidRDefault="00AD2FBC" w:rsidP="00AD2FBC">
      <w:pPr>
        <w:contextualSpacing/>
        <w:jc w:val="both"/>
        <w:rPr>
          <w:rFonts w:ascii="Times New Roman" w:hAnsi="Times New Roman" w:cs="Times New Roman"/>
          <w:sz w:val="24"/>
          <w:szCs w:val="24"/>
          <w:lang w:val="fr-FR"/>
        </w:rPr>
      </w:pPr>
    </w:p>
    <w:p w14:paraId="19F5B92E"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 xml:space="preserve">Après avoir constaté que </w:t>
      </w:r>
      <w:r w:rsidRPr="000256FA">
        <w:rPr>
          <w:rFonts w:ascii="Times New Roman" w:hAnsi="Times New Roman" w:cs="Times New Roman"/>
          <w:i/>
          <w:sz w:val="24"/>
          <w:szCs w:val="24"/>
          <w:lang w:val="fr-FR"/>
        </w:rPr>
        <w:t>« le patrimoine du requérant, au moment de son admission au règlement collectif de dettes, est constitué en une masse sur laquelle l’exercice des droits du requérant est transféré au médiateur de dettes »</w:t>
      </w:r>
      <w:r w:rsidRPr="000256FA">
        <w:rPr>
          <w:rFonts w:ascii="Times New Roman" w:hAnsi="Times New Roman" w:cs="Times New Roman"/>
          <w:sz w:val="24"/>
          <w:szCs w:val="24"/>
          <w:lang w:val="fr-FR"/>
        </w:rPr>
        <w:t xml:space="preserve"> et que </w:t>
      </w:r>
      <w:r w:rsidRPr="000256FA">
        <w:rPr>
          <w:rFonts w:ascii="Times New Roman" w:hAnsi="Times New Roman" w:cs="Times New Roman"/>
          <w:i/>
          <w:sz w:val="24"/>
          <w:szCs w:val="24"/>
          <w:lang w:val="fr-FR"/>
        </w:rPr>
        <w:t>« les actes accomplis par le requérant après ce moment ne peuvent, en règle, sauf autorisation du juge, excéder la gestion normale de son patrimoine, favoriser un créancier ou aggraver son insolvabilité »</w:t>
      </w:r>
      <w:r w:rsidRPr="000256FA">
        <w:rPr>
          <w:rFonts w:ascii="Times New Roman" w:hAnsi="Times New Roman" w:cs="Times New Roman"/>
          <w:sz w:val="24"/>
          <w:szCs w:val="24"/>
          <w:lang w:val="fr-FR"/>
        </w:rPr>
        <w:t xml:space="preserve">, la Cour de cassation a cassé l’arrêt de la cour d’appel en considérant que </w:t>
      </w:r>
      <w:r w:rsidRPr="000256FA">
        <w:rPr>
          <w:rFonts w:ascii="Times New Roman" w:hAnsi="Times New Roman" w:cs="Times New Roman"/>
          <w:i/>
          <w:sz w:val="24"/>
          <w:szCs w:val="24"/>
          <w:lang w:val="fr-FR"/>
        </w:rPr>
        <w:t>« [l’]arrêt, qui constate que le droit de la défenderesse à l’indemnité d’assurance est antérieur à son admission au règlement collectif de dettes, ne justifie pas légalement sa décision que la défenderesse pouvait agir seule en paiement de cette indemnité »</w:t>
      </w:r>
      <w:r w:rsidRPr="000256FA">
        <w:rPr>
          <w:rFonts w:ascii="Times New Roman" w:hAnsi="Times New Roman" w:cs="Times New Roman"/>
          <w:sz w:val="24"/>
          <w:szCs w:val="24"/>
          <w:lang w:val="fr-FR"/>
        </w:rPr>
        <w:t>.</w:t>
      </w:r>
    </w:p>
    <w:p w14:paraId="02CDE578" w14:textId="77777777" w:rsidR="00AD2FBC" w:rsidRPr="000256FA" w:rsidRDefault="00AD2FBC" w:rsidP="00AD2FBC">
      <w:pPr>
        <w:contextualSpacing/>
        <w:jc w:val="both"/>
        <w:rPr>
          <w:rFonts w:ascii="Times New Roman" w:hAnsi="Times New Roman" w:cs="Times New Roman"/>
          <w:sz w:val="24"/>
          <w:szCs w:val="24"/>
          <w:lang w:val="fr-FR"/>
        </w:rPr>
      </w:pPr>
    </w:p>
    <w:p w14:paraId="2FE8D236"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 xml:space="preserve">Tout comme Ch. </w:t>
      </w:r>
      <w:proofErr w:type="spellStart"/>
      <w:r w:rsidRPr="000256FA">
        <w:rPr>
          <w:rFonts w:ascii="Times New Roman" w:hAnsi="Times New Roman" w:cs="Times New Roman"/>
          <w:smallCaps/>
          <w:sz w:val="24"/>
          <w:szCs w:val="24"/>
          <w:lang w:val="fr-FR"/>
        </w:rPr>
        <w:t>Bedoret</w:t>
      </w:r>
      <w:proofErr w:type="spellEnd"/>
      <w:r w:rsidRPr="000256FA">
        <w:rPr>
          <w:rStyle w:val="Appelnotedebasdep"/>
          <w:rFonts w:ascii="Times New Roman" w:hAnsi="Times New Roman" w:cs="Times New Roman"/>
          <w:smallCaps/>
          <w:sz w:val="24"/>
          <w:szCs w:val="24"/>
          <w:lang w:val="fr-FR"/>
        </w:rPr>
        <w:footnoteReference w:id="14"/>
      </w:r>
      <w:r w:rsidRPr="000256FA">
        <w:rPr>
          <w:rFonts w:ascii="Times New Roman" w:hAnsi="Times New Roman" w:cs="Times New Roman"/>
          <w:sz w:val="24"/>
          <w:szCs w:val="24"/>
          <w:lang w:val="fr-FR"/>
        </w:rPr>
        <w:t>, nous sommes d’avis que la position de la Cour de cassation est logique puisque l’</w:t>
      </w:r>
      <w:proofErr w:type="spellStart"/>
      <w:r w:rsidRPr="000256FA">
        <w:rPr>
          <w:rFonts w:ascii="Times New Roman" w:hAnsi="Times New Roman" w:cs="Times New Roman"/>
          <w:sz w:val="24"/>
          <w:szCs w:val="24"/>
          <w:lang w:val="fr-FR"/>
        </w:rPr>
        <w:t>intentement</w:t>
      </w:r>
      <w:proofErr w:type="spellEnd"/>
      <w:r w:rsidRPr="000256FA">
        <w:rPr>
          <w:rFonts w:ascii="Times New Roman" w:hAnsi="Times New Roman" w:cs="Times New Roman"/>
          <w:sz w:val="24"/>
          <w:szCs w:val="24"/>
          <w:lang w:val="fr-FR"/>
        </w:rPr>
        <w:t xml:space="preserve"> d’une action en justice ou la défense dans le cadre d’une telle action ne constituent pas des actes ordinaires sur le plan patrimonial. Dès lors, l’autorisation du juge nous semble effectivement indispensable.</w:t>
      </w:r>
    </w:p>
    <w:p w14:paraId="11D51C24" w14:textId="77777777" w:rsidR="00AD2FBC" w:rsidRPr="000256FA" w:rsidRDefault="00AD2FBC" w:rsidP="00AD2FBC">
      <w:pPr>
        <w:contextualSpacing/>
        <w:jc w:val="both"/>
        <w:rPr>
          <w:rFonts w:ascii="Times New Roman" w:hAnsi="Times New Roman" w:cs="Times New Roman"/>
          <w:sz w:val="24"/>
          <w:szCs w:val="24"/>
          <w:lang w:val="fr-FR"/>
        </w:rPr>
      </w:pPr>
    </w:p>
    <w:p w14:paraId="37A5563D" w14:textId="08E61CBD"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Par contre, il ne nous paraît pas que l’action, intentée sans autorisation du juge, puisse être déclarée irrecevable (comme le sollicite la compagnie d’assurance</w:t>
      </w:r>
      <w:r w:rsidR="00FF09B8" w:rsidRPr="000256FA">
        <w:rPr>
          <w:rFonts w:ascii="Times New Roman" w:hAnsi="Times New Roman" w:cs="Times New Roman"/>
          <w:sz w:val="24"/>
          <w:szCs w:val="24"/>
          <w:lang w:val="fr-FR"/>
        </w:rPr>
        <w:t>s</w:t>
      </w:r>
      <w:r w:rsidRPr="000256FA">
        <w:rPr>
          <w:rFonts w:ascii="Times New Roman" w:hAnsi="Times New Roman" w:cs="Times New Roman"/>
          <w:sz w:val="24"/>
          <w:szCs w:val="24"/>
          <w:lang w:val="fr-FR"/>
        </w:rPr>
        <w:t xml:space="preserve">) puisque rien n’empêche </w:t>
      </w:r>
      <w:r w:rsidR="009C39C5" w:rsidRPr="00F6759A">
        <w:rPr>
          <w:rFonts w:ascii="Times New Roman" w:hAnsi="Times New Roman" w:cs="Times New Roman"/>
          <w:sz w:val="24"/>
          <w:szCs w:val="24"/>
          <w:lang w:val="fr-FR"/>
        </w:rPr>
        <w:t>le</w:t>
      </w:r>
      <w:r w:rsidRPr="000256FA">
        <w:rPr>
          <w:rFonts w:ascii="Times New Roman" w:hAnsi="Times New Roman" w:cs="Times New Roman"/>
          <w:sz w:val="24"/>
          <w:szCs w:val="24"/>
          <w:lang w:val="fr-FR"/>
        </w:rPr>
        <w:t xml:space="preserve"> </w:t>
      </w:r>
      <w:r w:rsidRPr="000256FA">
        <w:rPr>
          <w:rFonts w:ascii="Times New Roman" w:hAnsi="Times New Roman" w:cs="Times New Roman"/>
          <w:sz w:val="24"/>
          <w:szCs w:val="24"/>
          <w:lang w:val="fr-FR"/>
        </w:rPr>
        <w:lastRenderedPageBreak/>
        <w:t xml:space="preserve">médié de solliciter ladite autorisation après le début de la procédure, </w:t>
      </w:r>
      <w:r w:rsidRPr="000256FA">
        <w:rPr>
          <w:rFonts w:ascii="Times New Roman" w:hAnsi="Times New Roman" w:cs="Times New Roman"/>
          <w:i/>
          <w:sz w:val="24"/>
          <w:szCs w:val="24"/>
          <w:lang w:val="fr-FR"/>
        </w:rPr>
        <w:t xml:space="preserve">« la ratification </w:t>
      </w:r>
      <w:r w:rsidRPr="000256FA">
        <w:rPr>
          <w:rFonts w:ascii="Times New Roman" w:hAnsi="Times New Roman" w:cs="Times New Roman"/>
          <w:sz w:val="24"/>
          <w:szCs w:val="24"/>
          <w:lang w:val="fr-FR"/>
        </w:rPr>
        <w:t>a posteriori</w:t>
      </w:r>
      <w:r w:rsidRPr="000256FA">
        <w:rPr>
          <w:rFonts w:ascii="Times New Roman" w:hAnsi="Times New Roman" w:cs="Times New Roman"/>
          <w:i/>
          <w:sz w:val="24"/>
          <w:szCs w:val="24"/>
          <w:lang w:val="fr-FR"/>
        </w:rPr>
        <w:t>, qui vaut autorisation, n’[étant] nullement interdite par le prescrit légal »</w:t>
      </w:r>
      <w:r w:rsidRPr="000256FA">
        <w:rPr>
          <w:rStyle w:val="Appelnotedebasdep"/>
          <w:rFonts w:ascii="Times New Roman" w:hAnsi="Times New Roman" w:cs="Times New Roman"/>
          <w:i/>
          <w:sz w:val="24"/>
          <w:szCs w:val="24"/>
          <w:lang w:val="fr-FR"/>
        </w:rPr>
        <w:footnoteReference w:id="15"/>
      </w:r>
      <w:r w:rsidRPr="000256FA">
        <w:rPr>
          <w:rFonts w:ascii="Times New Roman" w:hAnsi="Times New Roman" w:cs="Times New Roman"/>
          <w:sz w:val="24"/>
          <w:szCs w:val="24"/>
          <w:lang w:val="fr-FR"/>
        </w:rPr>
        <w:t>.</w:t>
      </w:r>
    </w:p>
    <w:p w14:paraId="5CEA2EBC" w14:textId="77777777" w:rsidR="00AD2FBC" w:rsidRPr="000256FA" w:rsidRDefault="00AD2FBC" w:rsidP="00AD2FBC">
      <w:pPr>
        <w:contextualSpacing/>
        <w:jc w:val="both"/>
        <w:rPr>
          <w:rFonts w:ascii="Times New Roman" w:hAnsi="Times New Roman" w:cs="Times New Roman"/>
          <w:sz w:val="24"/>
          <w:szCs w:val="24"/>
          <w:lang w:val="fr-FR"/>
        </w:rPr>
      </w:pPr>
    </w:p>
    <w:p w14:paraId="1F0FD491" w14:textId="74C5778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La Cour d’appel de Liège a d’ailleurs décidé de confirmer le jugement entrepris en ce qu’il a déclaré l’action recevable</w:t>
      </w:r>
      <w:r w:rsidRPr="000256FA">
        <w:rPr>
          <w:rStyle w:val="Appelnotedebasdep"/>
          <w:rFonts w:ascii="Times New Roman" w:hAnsi="Times New Roman" w:cs="Times New Roman"/>
          <w:sz w:val="24"/>
          <w:szCs w:val="24"/>
          <w:lang w:val="fr-FR"/>
        </w:rPr>
        <w:footnoteReference w:id="16"/>
      </w:r>
      <w:r w:rsidRPr="000256FA">
        <w:rPr>
          <w:rFonts w:ascii="Times New Roman" w:hAnsi="Times New Roman" w:cs="Times New Roman"/>
          <w:sz w:val="24"/>
          <w:szCs w:val="24"/>
          <w:lang w:val="fr-FR"/>
        </w:rPr>
        <w:t>.</w:t>
      </w:r>
    </w:p>
    <w:p w14:paraId="56876D7A" w14:textId="5D918534" w:rsidR="00234E51" w:rsidRPr="000256FA" w:rsidRDefault="00234E51" w:rsidP="00AD2FBC">
      <w:pPr>
        <w:contextualSpacing/>
        <w:jc w:val="both"/>
        <w:rPr>
          <w:rFonts w:ascii="Times New Roman" w:hAnsi="Times New Roman" w:cs="Times New Roman"/>
          <w:sz w:val="24"/>
          <w:szCs w:val="24"/>
          <w:lang w:val="fr-FR"/>
        </w:rPr>
      </w:pPr>
    </w:p>
    <w:p w14:paraId="32B00DA2" w14:textId="2BE3153C" w:rsidR="00234E51" w:rsidRPr="000256FA" w:rsidRDefault="00234E51" w:rsidP="00AD2FBC">
      <w:pPr>
        <w:contextualSpacing/>
        <w:jc w:val="both"/>
        <w:rPr>
          <w:rFonts w:ascii="Times New Roman" w:hAnsi="Times New Roman" w:cs="Times New Roman"/>
          <w:sz w:val="24"/>
          <w:szCs w:val="24"/>
          <w:lang w:val="fr-FR"/>
        </w:rPr>
      </w:pPr>
      <w:r w:rsidRPr="000256FA">
        <w:rPr>
          <w:rFonts w:ascii="Times New Roman" w:hAnsi="Times New Roman" w:cs="Times New Roman"/>
          <w:b/>
          <w:bCs/>
          <w:sz w:val="24"/>
          <w:szCs w:val="24"/>
          <w:lang w:val="fr-FR"/>
        </w:rPr>
        <w:t>6. Acception ou renonciation d’une succession –</w:t>
      </w:r>
      <w:r w:rsidRPr="000256FA">
        <w:rPr>
          <w:rFonts w:ascii="Times New Roman" w:hAnsi="Times New Roman" w:cs="Times New Roman"/>
          <w:sz w:val="24"/>
          <w:szCs w:val="24"/>
          <w:lang w:val="fr-FR"/>
        </w:rPr>
        <w:t xml:space="preserve"> Lorsqu’un héritier se trouve face à une succession, trois possibilités s’offrent à lui : y renoncer, l’accepter ou l’accepter sous bénéfice d’inventaire</w:t>
      </w:r>
      <w:r w:rsidR="00F6759A" w:rsidRPr="000256FA">
        <w:rPr>
          <w:rStyle w:val="Appelnotedebasdep"/>
          <w:rFonts w:ascii="Times New Roman" w:hAnsi="Times New Roman" w:cs="Times New Roman"/>
          <w:sz w:val="24"/>
          <w:szCs w:val="24"/>
          <w:lang w:val="fr-FR"/>
        </w:rPr>
        <w:footnoteReference w:id="17"/>
      </w:r>
      <w:r w:rsidRPr="000256FA">
        <w:rPr>
          <w:rFonts w:ascii="Times New Roman" w:hAnsi="Times New Roman" w:cs="Times New Roman"/>
          <w:sz w:val="24"/>
          <w:szCs w:val="24"/>
          <w:lang w:val="fr-FR"/>
        </w:rPr>
        <w:t>.</w:t>
      </w:r>
    </w:p>
    <w:p w14:paraId="77490F74" w14:textId="48E2DAAA" w:rsidR="00234E51" w:rsidRPr="000256FA" w:rsidRDefault="00234E51" w:rsidP="00AD2FBC">
      <w:pPr>
        <w:contextualSpacing/>
        <w:jc w:val="both"/>
        <w:rPr>
          <w:rFonts w:ascii="Times New Roman" w:hAnsi="Times New Roman" w:cs="Times New Roman"/>
          <w:sz w:val="24"/>
          <w:szCs w:val="24"/>
          <w:lang w:val="fr-FR"/>
        </w:rPr>
      </w:pPr>
    </w:p>
    <w:p w14:paraId="41EB799C" w14:textId="3EA45877" w:rsidR="00234E51" w:rsidRPr="000256FA" w:rsidRDefault="00234E51"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La question qui se pose est de savoir si un médié peut librement choisir l’option qu’il préfère ou s’il doit, pour ce faire, obtenir l’autorisation du tribunal du travail car cet acte serait étranger à la gestion normale de son patrimoine.</w:t>
      </w:r>
    </w:p>
    <w:p w14:paraId="1F3F1074" w14:textId="5166E4B7" w:rsidR="00234E51" w:rsidRPr="000256FA" w:rsidRDefault="00234E51" w:rsidP="00AD2FBC">
      <w:pPr>
        <w:contextualSpacing/>
        <w:jc w:val="both"/>
        <w:rPr>
          <w:rFonts w:ascii="Times New Roman" w:hAnsi="Times New Roman" w:cs="Times New Roman"/>
          <w:sz w:val="24"/>
          <w:szCs w:val="24"/>
          <w:lang w:val="fr-FR"/>
        </w:rPr>
      </w:pPr>
    </w:p>
    <w:p w14:paraId="7361319F" w14:textId="1E785267" w:rsidR="00234E51" w:rsidRPr="000256FA" w:rsidRDefault="00234E51"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 xml:space="preserve">Selon nous, </w:t>
      </w:r>
      <w:r w:rsidR="0055429D" w:rsidRPr="000256FA">
        <w:rPr>
          <w:rFonts w:ascii="Times New Roman" w:hAnsi="Times New Roman" w:cs="Times New Roman"/>
          <w:sz w:val="24"/>
          <w:szCs w:val="24"/>
          <w:lang w:val="fr-FR"/>
        </w:rPr>
        <w:t>de manière générale, le sort que le médié entend réserver à une succession est un acte étranger à l</w:t>
      </w:r>
      <w:r w:rsidRPr="000256FA">
        <w:rPr>
          <w:rFonts w:ascii="Times New Roman" w:hAnsi="Times New Roman" w:cs="Times New Roman"/>
          <w:sz w:val="24"/>
          <w:szCs w:val="24"/>
          <w:lang w:val="fr-FR"/>
        </w:rPr>
        <w:t>a gestion normale du patrimoine, de telle sorte qu’il conviendrait que le médié sollicite l’autorisation du tribunal d</w:t>
      </w:r>
      <w:r w:rsidR="00BD1CC3" w:rsidRPr="000256FA">
        <w:rPr>
          <w:rFonts w:ascii="Times New Roman" w:hAnsi="Times New Roman" w:cs="Times New Roman"/>
          <w:sz w:val="24"/>
          <w:szCs w:val="24"/>
          <w:lang w:val="fr-FR"/>
        </w:rPr>
        <w:t>u</w:t>
      </w:r>
      <w:r w:rsidRPr="000256FA">
        <w:rPr>
          <w:rFonts w:ascii="Times New Roman" w:hAnsi="Times New Roman" w:cs="Times New Roman"/>
          <w:sz w:val="24"/>
          <w:szCs w:val="24"/>
          <w:lang w:val="fr-FR"/>
        </w:rPr>
        <w:t xml:space="preserve"> travail avant de lever l’option héréditaire.</w:t>
      </w:r>
      <w:r w:rsidR="0055429D" w:rsidRPr="000256FA">
        <w:rPr>
          <w:rFonts w:ascii="Times New Roman" w:hAnsi="Times New Roman" w:cs="Times New Roman"/>
          <w:sz w:val="24"/>
          <w:szCs w:val="24"/>
          <w:lang w:val="fr-FR"/>
        </w:rPr>
        <w:t xml:space="preserve"> L’on n’hérite en effet pas tous les jours. Le médié devra</w:t>
      </w:r>
      <w:r w:rsidR="00130684" w:rsidRPr="000256FA">
        <w:rPr>
          <w:rFonts w:ascii="Times New Roman" w:hAnsi="Times New Roman" w:cs="Times New Roman"/>
          <w:sz w:val="24"/>
          <w:szCs w:val="24"/>
          <w:lang w:val="fr-FR"/>
        </w:rPr>
        <w:t>it</w:t>
      </w:r>
      <w:r w:rsidR="0055429D" w:rsidRPr="000256FA">
        <w:rPr>
          <w:rFonts w:ascii="Times New Roman" w:hAnsi="Times New Roman" w:cs="Times New Roman"/>
          <w:sz w:val="24"/>
          <w:szCs w:val="24"/>
          <w:lang w:val="fr-FR"/>
        </w:rPr>
        <w:t xml:space="preserve"> donc, </w:t>
      </w:r>
      <w:r w:rsidR="00130684" w:rsidRPr="000256FA">
        <w:rPr>
          <w:rFonts w:ascii="Times New Roman" w:hAnsi="Times New Roman" w:cs="Times New Roman"/>
          <w:sz w:val="24"/>
          <w:szCs w:val="24"/>
          <w:lang w:val="fr-FR"/>
        </w:rPr>
        <w:t xml:space="preserve">en principe, </w:t>
      </w:r>
      <w:r w:rsidR="0055429D" w:rsidRPr="000256FA">
        <w:rPr>
          <w:rFonts w:ascii="Times New Roman" w:hAnsi="Times New Roman" w:cs="Times New Roman"/>
          <w:sz w:val="24"/>
          <w:szCs w:val="24"/>
          <w:lang w:val="fr-FR"/>
        </w:rPr>
        <w:t>dans tous les cas (pour renoncer, pour accepter ou pour accepter sous bénéfice d’inventaire), solliciter l’autorisation du tribunal du travail.</w:t>
      </w:r>
    </w:p>
    <w:p w14:paraId="139E5A98" w14:textId="3D062A26" w:rsidR="00130684" w:rsidRPr="000256FA" w:rsidRDefault="00130684" w:rsidP="00AD2FBC">
      <w:pPr>
        <w:contextualSpacing/>
        <w:jc w:val="both"/>
        <w:rPr>
          <w:rFonts w:ascii="Times New Roman" w:hAnsi="Times New Roman" w:cs="Times New Roman"/>
          <w:sz w:val="24"/>
          <w:szCs w:val="24"/>
          <w:lang w:val="fr-FR"/>
        </w:rPr>
      </w:pPr>
    </w:p>
    <w:p w14:paraId="7C2C39BF" w14:textId="69F084F1" w:rsidR="00130684" w:rsidRPr="000256FA" w:rsidRDefault="00130684" w:rsidP="00130684">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Toutefois, même si le législateur n’a pas fait de différence entre la situation dans laquelle l’acte envisagé ne présente que des avantages et la situation dans laquelle il présente, aussi, des inconvénients, il nous semble que l’autorisation du tribunal du travail n’est obligatoirement nécessaire que dans la mesure où l’acte que souhaite poser le médié pourrait avoir une conséquence négative sur les droits des créanciers. Ainsi en est-il, par exemple, de l’introduction d’une procédure judiciaire lors de laquelle le médié prend le risque d’avoir à payer une indemnité de procédure ou de l’utilisation (d’une partie) du disponible du compte de médiation, qui réduit d’autant le disponible à distribuer aux créanciers ou le fait de renoncer à une succession, qui empêche nécessairement les créanciers de pouvoir éventuellement bénéficier des biens recueillis dans le cadre de la succession.</w:t>
      </w:r>
    </w:p>
    <w:p w14:paraId="4B290D1B" w14:textId="00E8B2CF" w:rsidR="00130684" w:rsidRPr="000256FA" w:rsidRDefault="00130684" w:rsidP="00130684">
      <w:pPr>
        <w:contextualSpacing/>
        <w:jc w:val="both"/>
        <w:rPr>
          <w:rFonts w:ascii="Times New Roman" w:hAnsi="Times New Roman" w:cs="Times New Roman"/>
          <w:sz w:val="24"/>
          <w:szCs w:val="24"/>
          <w:lang w:val="fr-FR"/>
        </w:rPr>
      </w:pPr>
    </w:p>
    <w:p w14:paraId="0922CFC6" w14:textId="77777777" w:rsidR="00130684" w:rsidRPr="000256FA" w:rsidRDefault="00130684" w:rsidP="00130684">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 xml:space="preserve">Si l’acte envisagé ne présente que des avantages, tant pour le médié que pour ses créanciers, il ne nous semble pas que l’intervention du tribunal du travail soit indispensable. Tel sera, par exemple, le cas de l’acceptation d’une succession sous bénéfice d’inventaire, qui </w:t>
      </w:r>
      <w:r w:rsidRPr="000256FA">
        <w:rPr>
          <w:rFonts w:ascii="Times New Roman" w:hAnsi="Times New Roman" w:cs="Times New Roman"/>
          <w:i/>
          <w:iCs/>
          <w:sz w:val="24"/>
          <w:szCs w:val="24"/>
          <w:lang w:val="fr-FR"/>
        </w:rPr>
        <w:t>« a pour objectif principal de n’obliger le successeur à payer les dettes et charges de la succession que sur les biens qu’il y recueille. Le successeur optant   pour   l’acceptation   bénéficiaire   accepte   tout   l’actif   successoral, mais n’accepte le passif que limité à cet actif »</w:t>
      </w:r>
      <w:r w:rsidRPr="000256FA">
        <w:rPr>
          <w:rStyle w:val="Appelnotedebasdep"/>
          <w:rFonts w:ascii="Times New Roman" w:hAnsi="Times New Roman" w:cs="Times New Roman"/>
          <w:i/>
          <w:iCs/>
          <w:sz w:val="24"/>
          <w:szCs w:val="24"/>
          <w:lang w:val="fr-FR"/>
        </w:rPr>
        <w:footnoteReference w:id="18"/>
      </w:r>
      <w:r w:rsidRPr="000256FA">
        <w:rPr>
          <w:rFonts w:ascii="Times New Roman" w:hAnsi="Times New Roman" w:cs="Times New Roman"/>
          <w:sz w:val="24"/>
          <w:szCs w:val="24"/>
          <w:lang w:val="fr-FR"/>
        </w:rPr>
        <w:t>. Les droits des créanciers du médié ne peuvent donc pas être lésés en cas d’acception sous bénéfice d’inventaire.</w:t>
      </w:r>
    </w:p>
    <w:p w14:paraId="152F8108" w14:textId="77777777" w:rsidR="00130684" w:rsidRPr="000256FA" w:rsidRDefault="00130684" w:rsidP="00130684">
      <w:pPr>
        <w:contextualSpacing/>
        <w:jc w:val="both"/>
        <w:rPr>
          <w:rFonts w:ascii="Times New Roman" w:hAnsi="Times New Roman" w:cs="Times New Roman"/>
          <w:sz w:val="24"/>
          <w:szCs w:val="24"/>
          <w:lang w:val="fr-FR"/>
        </w:rPr>
      </w:pPr>
    </w:p>
    <w:p w14:paraId="4570EFCD" w14:textId="39456B74" w:rsidR="00130684" w:rsidRPr="000256FA" w:rsidRDefault="00130684" w:rsidP="00130684">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lastRenderedPageBreak/>
        <w:t xml:space="preserve">En ce qui concerne l’acceptation pure et simple d’une succession, si la succession est, comme dans le cas soumis au </w:t>
      </w:r>
      <w:r w:rsidR="007B6FA3" w:rsidRPr="000256FA">
        <w:rPr>
          <w:rFonts w:ascii="Times New Roman" w:hAnsi="Times New Roman" w:cs="Times New Roman"/>
          <w:sz w:val="24"/>
          <w:szCs w:val="24"/>
          <w:lang w:val="fr-FR"/>
        </w:rPr>
        <w:t>t</w:t>
      </w:r>
      <w:r w:rsidRPr="000256FA">
        <w:rPr>
          <w:rFonts w:ascii="Times New Roman" w:hAnsi="Times New Roman" w:cs="Times New Roman"/>
          <w:sz w:val="24"/>
          <w:szCs w:val="24"/>
          <w:lang w:val="fr-FR"/>
        </w:rPr>
        <w:t>ribunal du travail de Liège – Division de Dinant, bénéficiaire, il ne nous semble pas non plus qu’une autorisation préalable du tribunal du travail soit indispensable</w:t>
      </w:r>
      <w:r w:rsidRPr="000256FA">
        <w:rPr>
          <w:rStyle w:val="Appelnotedebasdep"/>
          <w:rFonts w:ascii="Times New Roman" w:hAnsi="Times New Roman" w:cs="Times New Roman"/>
          <w:sz w:val="24"/>
          <w:szCs w:val="24"/>
          <w:lang w:val="fr-FR"/>
        </w:rPr>
        <w:footnoteReference w:id="19"/>
      </w:r>
      <w:r w:rsidRPr="000256FA">
        <w:rPr>
          <w:rFonts w:ascii="Times New Roman" w:hAnsi="Times New Roman" w:cs="Times New Roman"/>
          <w:sz w:val="24"/>
          <w:szCs w:val="24"/>
          <w:lang w:val="fr-FR"/>
        </w:rPr>
        <w:t>. Mieux vaut être trop prudent que pas assez et il se conçoit donc que le médié sollicite, tout de même, l’autorisation du tribunal de ce faire.</w:t>
      </w:r>
    </w:p>
    <w:p w14:paraId="373813A3" w14:textId="7D562D87" w:rsidR="00CF0A40" w:rsidRPr="000256FA" w:rsidRDefault="00CF0A40" w:rsidP="00130684">
      <w:pPr>
        <w:contextualSpacing/>
        <w:jc w:val="both"/>
        <w:rPr>
          <w:rFonts w:ascii="Times New Roman" w:hAnsi="Times New Roman" w:cs="Times New Roman"/>
          <w:sz w:val="24"/>
          <w:szCs w:val="24"/>
          <w:lang w:val="fr-FR"/>
        </w:rPr>
      </w:pPr>
    </w:p>
    <w:p w14:paraId="6E1D81A9" w14:textId="3FFEF9F7" w:rsidR="00CF0A40" w:rsidRPr="000256FA" w:rsidRDefault="00BD1CC3" w:rsidP="00130684">
      <w:pPr>
        <w:contextualSpacing/>
        <w:jc w:val="both"/>
        <w:rPr>
          <w:rFonts w:ascii="Times New Roman" w:hAnsi="Times New Roman" w:cs="Times New Roman"/>
          <w:sz w:val="24"/>
          <w:szCs w:val="24"/>
          <w:lang w:val="fr-FR"/>
        </w:rPr>
      </w:pPr>
      <w:r w:rsidRPr="000256FA">
        <w:rPr>
          <w:rFonts w:ascii="Times New Roman" w:hAnsi="Times New Roman" w:cs="Times New Roman"/>
          <w:b/>
          <w:bCs/>
          <w:sz w:val="24"/>
          <w:szCs w:val="24"/>
          <w:lang w:val="fr-FR"/>
        </w:rPr>
        <w:t xml:space="preserve">7. Acceptation des legs – </w:t>
      </w:r>
      <w:r w:rsidR="00E10FEA" w:rsidRPr="000256FA">
        <w:rPr>
          <w:rFonts w:ascii="Times New Roman" w:hAnsi="Times New Roman" w:cs="Times New Roman"/>
          <w:sz w:val="24"/>
          <w:szCs w:val="24"/>
          <w:lang w:val="fr-FR"/>
        </w:rPr>
        <w:t>Un testament peut consentir à certaines personnes des legs. Ces personnes sont alors appelées légataires et peuvent être des légataires universels</w:t>
      </w:r>
      <w:r w:rsidR="00E10FEA" w:rsidRPr="000256FA">
        <w:rPr>
          <w:rStyle w:val="Appelnotedebasdep"/>
          <w:rFonts w:ascii="Times New Roman" w:hAnsi="Times New Roman" w:cs="Times New Roman"/>
          <w:sz w:val="24"/>
          <w:szCs w:val="24"/>
          <w:lang w:val="fr-FR"/>
        </w:rPr>
        <w:footnoteReference w:id="20"/>
      </w:r>
      <w:r w:rsidR="00E10FEA" w:rsidRPr="000256FA">
        <w:rPr>
          <w:rFonts w:ascii="Times New Roman" w:hAnsi="Times New Roman" w:cs="Times New Roman"/>
          <w:sz w:val="24"/>
          <w:szCs w:val="24"/>
          <w:lang w:val="fr-FR"/>
        </w:rPr>
        <w:t>, à titre universel</w:t>
      </w:r>
      <w:r w:rsidR="00E10FEA" w:rsidRPr="000256FA">
        <w:rPr>
          <w:rStyle w:val="Appelnotedebasdep"/>
          <w:rFonts w:ascii="Times New Roman" w:hAnsi="Times New Roman" w:cs="Times New Roman"/>
          <w:sz w:val="24"/>
          <w:szCs w:val="24"/>
          <w:lang w:val="fr-FR"/>
        </w:rPr>
        <w:footnoteReference w:id="21"/>
      </w:r>
      <w:r w:rsidR="00E10FEA" w:rsidRPr="000256FA">
        <w:rPr>
          <w:rFonts w:ascii="Times New Roman" w:hAnsi="Times New Roman" w:cs="Times New Roman"/>
          <w:sz w:val="24"/>
          <w:szCs w:val="24"/>
          <w:lang w:val="fr-FR"/>
        </w:rPr>
        <w:t xml:space="preserve"> ou particuliers</w:t>
      </w:r>
      <w:r w:rsidR="00E10FEA" w:rsidRPr="000256FA">
        <w:rPr>
          <w:rStyle w:val="Appelnotedebasdep"/>
          <w:rFonts w:ascii="Times New Roman" w:hAnsi="Times New Roman" w:cs="Times New Roman"/>
          <w:sz w:val="24"/>
          <w:szCs w:val="24"/>
          <w:lang w:val="fr-FR"/>
        </w:rPr>
        <w:footnoteReference w:id="22"/>
      </w:r>
      <w:r w:rsidR="00E10FEA" w:rsidRPr="000256FA">
        <w:rPr>
          <w:rFonts w:ascii="Times New Roman" w:hAnsi="Times New Roman" w:cs="Times New Roman"/>
          <w:sz w:val="24"/>
          <w:szCs w:val="24"/>
          <w:lang w:val="fr-FR"/>
        </w:rPr>
        <w:t>.</w:t>
      </w:r>
    </w:p>
    <w:p w14:paraId="7A20552F" w14:textId="14B59598" w:rsidR="00130684" w:rsidRPr="000256FA" w:rsidRDefault="00130684" w:rsidP="00130684">
      <w:pPr>
        <w:contextualSpacing/>
        <w:jc w:val="both"/>
        <w:rPr>
          <w:rFonts w:ascii="Times New Roman" w:hAnsi="Times New Roman" w:cs="Times New Roman"/>
          <w:sz w:val="24"/>
          <w:szCs w:val="24"/>
          <w:lang w:val="fr-FR"/>
        </w:rPr>
      </w:pPr>
    </w:p>
    <w:p w14:paraId="2E98A4D5" w14:textId="3A2500C0" w:rsidR="006575B0" w:rsidRPr="000256FA" w:rsidRDefault="00E10FEA" w:rsidP="00130684">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 xml:space="preserve">Les légataires universels et à titre universel sont tenus des dettes de la succession </w:t>
      </w:r>
      <w:r w:rsidRPr="000256FA">
        <w:rPr>
          <w:rFonts w:ascii="Times New Roman" w:hAnsi="Times New Roman" w:cs="Times New Roman"/>
          <w:i/>
          <w:iCs/>
          <w:sz w:val="24"/>
          <w:szCs w:val="24"/>
          <w:lang w:val="fr-FR"/>
        </w:rPr>
        <w:t xml:space="preserve">ultra vires </w:t>
      </w:r>
      <w:proofErr w:type="spellStart"/>
      <w:r w:rsidRPr="000256FA">
        <w:rPr>
          <w:rFonts w:ascii="Times New Roman" w:hAnsi="Times New Roman" w:cs="Times New Roman"/>
          <w:i/>
          <w:iCs/>
          <w:sz w:val="24"/>
          <w:szCs w:val="24"/>
          <w:lang w:val="fr-FR"/>
        </w:rPr>
        <w:t>hereditatis</w:t>
      </w:r>
      <w:proofErr w:type="spellEnd"/>
      <w:r w:rsidR="00191F89" w:rsidRPr="000256FA">
        <w:rPr>
          <w:rStyle w:val="Appelnotedebasdep"/>
          <w:rFonts w:ascii="Times New Roman" w:hAnsi="Times New Roman" w:cs="Times New Roman"/>
          <w:i/>
          <w:iCs/>
          <w:sz w:val="24"/>
          <w:szCs w:val="24"/>
          <w:lang w:val="fr-FR"/>
        </w:rPr>
        <w:footnoteReference w:id="23"/>
      </w:r>
      <w:r w:rsidRPr="000256FA">
        <w:rPr>
          <w:rFonts w:ascii="Times New Roman" w:hAnsi="Times New Roman" w:cs="Times New Roman"/>
          <w:sz w:val="24"/>
          <w:szCs w:val="24"/>
          <w:lang w:val="fr-FR"/>
        </w:rPr>
        <w:t xml:space="preserve">, c’est-à-dire qu’ils sont tenus du passif successoral </w:t>
      </w:r>
      <w:r w:rsidR="00191F89" w:rsidRPr="000256FA">
        <w:rPr>
          <w:rFonts w:ascii="Times New Roman" w:hAnsi="Times New Roman" w:cs="Times New Roman"/>
          <w:sz w:val="24"/>
          <w:szCs w:val="24"/>
          <w:lang w:val="fr-FR"/>
        </w:rPr>
        <w:t>au-delà de l’actif successoral. Si l’actif successoral n’est pas suffisant pour couvrir le passif successoral, les légataires universels et à titre universel seront donc tenus du passif successoral sur leur propre patrimoine</w:t>
      </w:r>
      <w:r w:rsidR="006575B0" w:rsidRPr="000256FA">
        <w:rPr>
          <w:rStyle w:val="Appelnotedebasdep"/>
          <w:rFonts w:ascii="Times New Roman" w:hAnsi="Times New Roman" w:cs="Times New Roman"/>
          <w:sz w:val="24"/>
          <w:szCs w:val="24"/>
          <w:lang w:val="fr-FR"/>
        </w:rPr>
        <w:footnoteReference w:id="24"/>
      </w:r>
      <w:r w:rsidR="00191F89" w:rsidRPr="000256FA">
        <w:rPr>
          <w:rFonts w:ascii="Times New Roman" w:hAnsi="Times New Roman" w:cs="Times New Roman"/>
          <w:sz w:val="24"/>
          <w:szCs w:val="24"/>
          <w:lang w:val="fr-FR"/>
        </w:rPr>
        <w:t>.</w:t>
      </w:r>
      <w:r w:rsidR="006575B0" w:rsidRPr="000256FA">
        <w:rPr>
          <w:rFonts w:ascii="Times New Roman" w:hAnsi="Times New Roman" w:cs="Times New Roman"/>
          <w:sz w:val="24"/>
          <w:szCs w:val="24"/>
          <w:lang w:val="fr-FR"/>
        </w:rPr>
        <w:t xml:space="preserve"> Les légataires particuliers ne sont, quant à eux, en principe pas tenus des dettes et charges de la succession</w:t>
      </w:r>
      <w:r w:rsidR="006575B0" w:rsidRPr="000256FA">
        <w:rPr>
          <w:rStyle w:val="Appelnotedebasdep"/>
          <w:rFonts w:ascii="Times New Roman" w:hAnsi="Times New Roman" w:cs="Times New Roman"/>
          <w:sz w:val="24"/>
          <w:szCs w:val="24"/>
          <w:lang w:val="fr-FR"/>
        </w:rPr>
        <w:footnoteReference w:id="25"/>
      </w:r>
      <w:r w:rsidR="006575B0" w:rsidRPr="000256FA">
        <w:rPr>
          <w:rFonts w:ascii="Times New Roman" w:hAnsi="Times New Roman" w:cs="Times New Roman"/>
          <w:sz w:val="24"/>
          <w:szCs w:val="24"/>
          <w:lang w:val="fr-FR"/>
        </w:rPr>
        <w:t>.</w:t>
      </w:r>
    </w:p>
    <w:p w14:paraId="389A8F2E" w14:textId="1C73B1DA" w:rsidR="006575B0" w:rsidRPr="000256FA" w:rsidRDefault="006575B0" w:rsidP="00130684">
      <w:pPr>
        <w:contextualSpacing/>
        <w:jc w:val="both"/>
        <w:rPr>
          <w:rFonts w:ascii="Times New Roman" w:hAnsi="Times New Roman" w:cs="Times New Roman"/>
          <w:sz w:val="24"/>
          <w:szCs w:val="24"/>
          <w:lang w:val="fr-FR"/>
        </w:rPr>
      </w:pPr>
    </w:p>
    <w:p w14:paraId="1D7ABF61" w14:textId="2C0CF19A" w:rsidR="006575B0" w:rsidRPr="000256FA" w:rsidRDefault="006575B0" w:rsidP="00130684">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Dès lors, si un médié est appelé à être légataire, il devra solliciter l’autorisation du tribunal du travail pour accepter, accepter sous bénéfice d’inventaire ou renoncer à ce legs. Cette demande d’autorisation est, selon nous, indispensable en cas de legs universel ou à titre universel puisque ceux-ci présentent des risques mais pas nécessairement obligatoire en cas de legs à titre particulier dans la mesure où l’acceptation d’un tel legs ne présente, en principe, que des avantages.</w:t>
      </w:r>
    </w:p>
    <w:p w14:paraId="6F71A544" w14:textId="77777777" w:rsidR="00E10FEA" w:rsidRPr="000256FA" w:rsidRDefault="00E10FEA" w:rsidP="00130684">
      <w:pPr>
        <w:contextualSpacing/>
        <w:jc w:val="both"/>
        <w:rPr>
          <w:rFonts w:ascii="Times New Roman" w:hAnsi="Times New Roman" w:cs="Times New Roman"/>
          <w:sz w:val="24"/>
          <w:szCs w:val="24"/>
          <w:lang w:val="fr-FR"/>
        </w:rPr>
      </w:pPr>
    </w:p>
    <w:p w14:paraId="5BD48A04" w14:textId="6E5CA3C9" w:rsidR="00AD2FBC" w:rsidRPr="000256FA" w:rsidRDefault="00BD1CC3" w:rsidP="00AD2FBC">
      <w:pPr>
        <w:contextualSpacing/>
        <w:jc w:val="both"/>
        <w:rPr>
          <w:rFonts w:ascii="Times New Roman" w:hAnsi="Times New Roman" w:cs="Times New Roman"/>
          <w:sz w:val="24"/>
          <w:szCs w:val="24"/>
          <w:lang w:val="fr-FR"/>
        </w:rPr>
      </w:pPr>
      <w:r w:rsidRPr="000256FA">
        <w:rPr>
          <w:rFonts w:ascii="Times New Roman" w:hAnsi="Times New Roman" w:cs="Times New Roman"/>
          <w:b/>
          <w:sz w:val="24"/>
          <w:szCs w:val="24"/>
          <w:lang w:val="fr-FR"/>
        </w:rPr>
        <w:t>8</w:t>
      </w:r>
      <w:r w:rsidR="00AD2FBC" w:rsidRPr="000256FA">
        <w:rPr>
          <w:rFonts w:ascii="Times New Roman" w:hAnsi="Times New Roman" w:cs="Times New Roman"/>
          <w:b/>
          <w:sz w:val="24"/>
          <w:szCs w:val="24"/>
          <w:lang w:val="fr-FR"/>
        </w:rPr>
        <w:t>. Sanction –</w:t>
      </w:r>
      <w:r w:rsidR="00AD2FBC" w:rsidRPr="000256FA">
        <w:rPr>
          <w:rFonts w:ascii="Times New Roman" w:hAnsi="Times New Roman" w:cs="Times New Roman"/>
          <w:sz w:val="24"/>
          <w:szCs w:val="24"/>
          <w:lang w:val="fr-FR"/>
        </w:rPr>
        <w:t xml:space="preserve"> </w:t>
      </w:r>
      <w:r w:rsidR="00130684" w:rsidRPr="000256FA">
        <w:rPr>
          <w:rFonts w:ascii="Times New Roman" w:hAnsi="Times New Roman" w:cs="Times New Roman"/>
          <w:sz w:val="24"/>
          <w:szCs w:val="24"/>
          <w:lang w:val="fr-FR"/>
        </w:rPr>
        <w:t>La</w:t>
      </w:r>
      <w:r w:rsidR="00AD2FBC" w:rsidRPr="000256FA">
        <w:rPr>
          <w:rFonts w:ascii="Times New Roman" w:hAnsi="Times New Roman" w:cs="Times New Roman"/>
          <w:sz w:val="24"/>
          <w:szCs w:val="24"/>
          <w:lang w:val="fr-FR"/>
        </w:rPr>
        <w:t xml:space="preserve"> sanction </w:t>
      </w:r>
      <w:r w:rsidR="00FF09B8" w:rsidRPr="000256FA">
        <w:rPr>
          <w:rFonts w:ascii="Times New Roman" w:hAnsi="Times New Roman" w:cs="Times New Roman"/>
          <w:sz w:val="24"/>
          <w:szCs w:val="24"/>
          <w:lang w:val="fr-FR"/>
        </w:rPr>
        <w:t>des</w:t>
      </w:r>
      <w:r w:rsidR="00AD2FBC" w:rsidRPr="000256FA">
        <w:rPr>
          <w:rFonts w:ascii="Times New Roman" w:hAnsi="Times New Roman" w:cs="Times New Roman"/>
          <w:sz w:val="24"/>
          <w:szCs w:val="24"/>
          <w:lang w:val="fr-FR"/>
        </w:rPr>
        <w:t xml:space="preserve"> actes repris à l’article 1675/7, §3</w:t>
      </w:r>
      <w:r w:rsidR="00FF09B8" w:rsidRPr="000256FA">
        <w:rPr>
          <w:rFonts w:ascii="Times New Roman" w:hAnsi="Times New Roman" w:cs="Times New Roman"/>
          <w:sz w:val="24"/>
          <w:szCs w:val="24"/>
          <w:lang w:val="fr-FR"/>
        </w:rPr>
        <w:t>,</w:t>
      </w:r>
      <w:r w:rsidR="00AD2FBC" w:rsidRPr="000256FA">
        <w:rPr>
          <w:rFonts w:ascii="Times New Roman" w:hAnsi="Times New Roman" w:cs="Times New Roman"/>
          <w:sz w:val="24"/>
          <w:szCs w:val="24"/>
          <w:lang w:val="fr-FR"/>
        </w:rPr>
        <w:t xml:space="preserve"> du Code judiciaire qui n’auraient pas été précédés d’une autorisation du juge est, en vertu de l’article 1675/7, §5</w:t>
      </w:r>
      <w:r w:rsidR="00FF09B8" w:rsidRPr="000256FA">
        <w:rPr>
          <w:rFonts w:ascii="Times New Roman" w:hAnsi="Times New Roman" w:cs="Times New Roman"/>
          <w:sz w:val="24"/>
          <w:szCs w:val="24"/>
          <w:lang w:val="fr-FR"/>
        </w:rPr>
        <w:t>,</w:t>
      </w:r>
      <w:r w:rsidR="00AD2FBC" w:rsidRPr="000256FA">
        <w:rPr>
          <w:rFonts w:ascii="Times New Roman" w:hAnsi="Times New Roman" w:cs="Times New Roman"/>
          <w:sz w:val="24"/>
          <w:szCs w:val="24"/>
          <w:lang w:val="fr-FR"/>
        </w:rPr>
        <w:t xml:space="preserve"> du </w:t>
      </w:r>
      <w:r w:rsidR="00FF09B8" w:rsidRPr="000256FA">
        <w:rPr>
          <w:rFonts w:ascii="Times New Roman" w:hAnsi="Times New Roman" w:cs="Times New Roman"/>
          <w:sz w:val="24"/>
          <w:szCs w:val="24"/>
          <w:lang w:val="fr-FR"/>
        </w:rPr>
        <w:t xml:space="preserve">même </w:t>
      </w:r>
      <w:r w:rsidR="00AD2FBC" w:rsidRPr="000256FA">
        <w:rPr>
          <w:rFonts w:ascii="Times New Roman" w:hAnsi="Times New Roman" w:cs="Times New Roman"/>
          <w:sz w:val="24"/>
          <w:szCs w:val="24"/>
          <w:lang w:val="fr-FR"/>
        </w:rPr>
        <w:t>Code, l’inopposabilité de l’acte aux créanciers.</w:t>
      </w:r>
    </w:p>
    <w:p w14:paraId="03BF9E36" w14:textId="77777777" w:rsidR="00AD2FBC" w:rsidRPr="000256FA" w:rsidRDefault="00AD2FBC" w:rsidP="00AD2FBC">
      <w:pPr>
        <w:contextualSpacing/>
        <w:jc w:val="both"/>
        <w:rPr>
          <w:rFonts w:ascii="Times New Roman" w:hAnsi="Times New Roman" w:cs="Times New Roman"/>
          <w:sz w:val="24"/>
          <w:szCs w:val="24"/>
          <w:lang w:val="fr-FR"/>
        </w:rPr>
      </w:pPr>
    </w:p>
    <w:p w14:paraId="69254087" w14:textId="66010398"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Cette inopposabilité est facultative, les créanciers pouvant, ou non, s’en prévaloir</w:t>
      </w:r>
      <w:r w:rsidRPr="000256FA">
        <w:rPr>
          <w:rStyle w:val="Appelnotedebasdep"/>
          <w:rFonts w:ascii="Times New Roman" w:hAnsi="Times New Roman" w:cs="Times New Roman"/>
          <w:sz w:val="24"/>
          <w:szCs w:val="24"/>
          <w:lang w:val="fr-FR"/>
        </w:rPr>
        <w:footnoteReference w:id="26"/>
      </w:r>
      <w:r w:rsidRPr="000256FA">
        <w:rPr>
          <w:rFonts w:ascii="Times New Roman" w:hAnsi="Times New Roman" w:cs="Times New Roman"/>
          <w:sz w:val="24"/>
          <w:szCs w:val="24"/>
          <w:lang w:val="fr-FR"/>
        </w:rPr>
        <w:t>. Dans la mesure où l’acceptation d’une succession bénéficiaire ne présente</w:t>
      </w:r>
      <w:r w:rsidR="00130684" w:rsidRPr="000256FA">
        <w:rPr>
          <w:rFonts w:ascii="Times New Roman" w:hAnsi="Times New Roman" w:cs="Times New Roman"/>
          <w:sz w:val="24"/>
          <w:szCs w:val="24"/>
          <w:lang w:val="fr-FR"/>
        </w:rPr>
        <w:t xml:space="preserve">, </w:t>
      </w:r>
      <w:r w:rsidR="00130684" w:rsidRPr="000256FA">
        <w:rPr>
          <w:rFonts w:ascii="Times New Roman" w:hAnsi="Times New Roman" w:cs="Times New Roman"/>
          <w:i/>
          <w:iCs/>
          <w:sz w:val="24"/>
          <w:szCs w:val="24"/>
          <w:lang w:val="fr-FR"/>
        </w:rPr>
        <w:t>a priori</w:t>
      </w:r>
      <w:r w:rsidR="00130684" w:rsidRPr="000256FA">
        <w:rPr>
          <w:rFonts w:ascii="Times New Roman" w:hAnsi="Times New Roman" w:cs="Times New Roman"/>
          <w:sz w:val="24"/>
          <w:szCs w:val="24"/>
          <w:lang w:val="fr-FR"/>
        </w:rPr>
        <w:t>,</w:t>
      </w:r>
      <w:r w:rsidR="00130684" w:rsidRPr="000256FA">
        <w:rPr>
          <w:rFonts w:ascii="Times New Roman" w:hAnsi="Times New Roman" w:cs="Times New Roman"/>
          <w:i/>
          <w:iCs/>
          <w:sz w:val="24"/>
          <w:szCs w:val="24"/>
          <w:lang w:val="fr-FR"/>
        </w:rPr>
        <w:t xml:space="preserve"> </w:t>
      </w:r>
      <w:r w:rsidRPr="000256FA">
        <w:rPr>
          <w:rFonts w:ascii="Times New Roman" w:hAnsi="Times New Roman" w:cs="Times New Roman"/>
          <w:sz w:val="24"/>
          <w:szCs w:val="24"/>
          <w:lang w:val="fr-FR"/>
        </w:rPr>
        <w:t>que des avantages, l’on ne voit pas</w:t>
      </w:r>
      <w:r w:rsidR="00AF3F6B" w:rsidRPr="000256FA">
        <w:rPr>
          <w:rFonts w:ascii="Times New Roman" w:hAnsi="Times New Roman" w:cs="Times New Roman"/>
          <w:sz w:val="24"/>
          <w:szCs w:val="24"/>
          <w:lang w:val="fr-FR"/>
        </w:rPr>
        <w:t xml:space="preserve"> </w:t>
      </w:r>
      <w:r w:rsidRPr="000256FA">
        <w:rPr>
          <w:rFonts w:ascii="Times New Roman" w:hAnsi="Times New Roman" w:cs="Times New Roman"/>
          <w:sz w:val="24"/>
          <w:szCs w:val="24"/>
          <w:lang w:val="fr-FR"/>
        </w:rPr>
        <w:t>la raison pour laquelle les créanciers solliciteraient que cet acte leur soit inopposable…</w:t>
      </w:r>
    </w:p>
    <w:p w14:paraId="55295CC0" w14:textId="77777777" w:rsidR="00AD2FBC" w:rsidRPr="000256FA" w:rsidRDefault="00AD2FBC" w:rsidP="00AD2FBC">
      <w:pPr>
        <w:contextualSpacing/>
        <w:jc w:val="both"/>
        <w:rPr>
          <w:rFonts w:ascii="Times New Roman" w:hAnsi="Times New Roman" w:cs="Times New Roman"/>
          <w:sz w:val="24"/>
          <w:szCs w:val="24"/>
          <w:lang w:val="fr-FR"/>
        </w:rPr>
      </w:pPr>
    </w:p>
    <w:p w14:paraId="2ED80632" w14:textId="77777777" w:rsidR="00AD2FBC" w:rsidRPr="000256FA" w:rsidRDefault="00AD2FBC" w:rsidP="00AD2FBC">
      <w:pPr>
        <w:ind w:firstLine="708"/>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II. Minorité</w:t>
      </w:r>
    </w:p>
    <w:p w14:paraId="30727AD7" w14:textId="77777777" w:rsidR="00AD2FBC" w:rsidRPr="000256FA" w:rsidRDefault="00AD2FBC" w:rsidP="00AD2FBC">
      <w:pPr>
        <w:contextualSpacing/>
        <w:jc w:val="both"/>
        <w:rPr>
          <w:rFonts w:ascii="Times New Roman" w:hAnsi="Times New Roman" w:cs="Times New Roman"/>
          <w:sz w:val="24"/>
          <w:szCs w:val="24"/>
          <w:lang w:val="fr-FR"/>
        </w:rPr>
      </w:pPr>
    </w:p>
    <w:p w14:paraId="32DF594E" w14:textId="07054AB3" w:rsidR="00AD2FBC" w:rsidRPr="000256FA" w:rsidRDefault="00BD1CC3" w:rsidP="00AD2FBC">
      <w:pPr>
        <w:contextualSpacing/>
        <w:jc w:val="both"/>
        <w:rPr>
          <w:rFonts w:ascii="Times New Roman" w:hAnsi="Times New Roman" w:cs="Times New Roman"/>
          <w:sz w:val="24"/>
          <w:szCs w:val="24"/>
          <w:lang w:val="fr-FR"/>
        </w:rPr>
      </w:pPr>
      <w:r w:rsidRPr="000256FA">
        <w:rPr>
          <w:rFonts w:ascii="Times New Roman" w:hAnsi="Times New Roman" w:cs="Times New Roman"/>
          <w:b/>
          <w:sz w:val="24"/>
          <w:szCs w:val="24"/>
          <w:lang w:val="fr-FR"/>
        </w:rPr>
        <w:lastRenderedPageBreak/>
        <w:t>9</w:t>
      </w:r>
      <w:r w:rsidR="00AD2FBC" w:rsidRPr="000256FA">
        <w:rPr>
          <w:rFonts w:ascii="Times New Roman" w:hAnsi="Times New Roman" w:cs="Times New Roman"/>
          <w:b/>
          <w:sz w:val="24"/>
          <w:szCs w:val="24"/>
          <w:lang w:val="fr-FR"/>
        </w:rPr>
        <w:t>. Généralités –</w:t>
      </w:r>
      <w:r w:rsidR="00AD2FBC" w:rsidRPr="000256FA">
        <w:rPr>
          <w:rFonts w:ascii="Times New Roman" w:hAnsi="Times New Roman" w:cs="Times New Roman"/>
          <w:sz w:val="24"/>
          <w:szCs w:val="24"/>
          <w:lang w:val="fr-FR"/>
        </w:rPr>
        <w:t xml:space="preserve"> Chaque enfant mineur dispose d’une capacité de jouissance, mais est frappé d’une incapacité d’exercice jusqu’à sa majorité</w:t>
      </w:r>
      <w:r w:rsidR="00AD2FBC" w:rsidRPr="000256FA">
        <w:rPr>
          <w:rStyle w:val="Appelnotedebasdep"/>
          <w:rFonts w:ascii="Times New Roman" w:hAnsi="Times New Roman" w:cs="Times New Roman"/>
          <w:sz w:val="24"/>
          <w:szCs w:val="24"/>
          <w:lang w:val="fr-FR"/>
        </w:rPr>
        <w:footnoteReference w:id="27"/>
      </w:r>
      <w:r w:rsidR="00AD2FBC" w:rsidRPr="000256FA">
        <w:rPr>
          <w:rFonts w:ascii="Times New Roman" w:hAnsi="Times New Roman" w:cs="Times New Roman"/>
          <w:sz w:val="24"/>
          <w:szCs w:val="24"/>
          <w:lang w:val="fr-FR"/>
        </w:rPr>
        <w:t>. Tout être humain qui n’a pas atteint l’âge de 18 ans</w:t>
      </w:r>
      <w:r w:rsidR="00AD2FBC" w:rsidRPr="000256FA">
        <w:rPr>
          <w:rStyle w:val="Appelnotedebasdep"/>
          <w:rFonts w:ascii="Times New Roman" w:hAnsi="Times New Roman" w:cs="Times New Roman"/>
          <w:sz w:val="24"/>
          <w:szCs w:val="24"/>
          <w:lang w:val="fr-FR"/>
        </w:rPr>
        <w:footnoteReference w:id="28"/>
      </w:r>
      <w:r w:rsidR="00AD2FBC" w:rsidRPr="000256FA">
        <w:rPr>
          <w:rFonts w:ascii="Times New Roman" w:hAnsi="Times New Roman" w:cs="Times New Roman"/>
          <w:sz w:val="24"/>
          <w:szCs w:val="24"/>
          <w:lang w:val="fr-FR"/>
        </w:rPr>
        <w:t xml:space="preserve"> voit sa capacité d’exercice limitée, ce qui implique qu’il soit soumis à un régime de représentation</w:t>
      </w:r>
      <w:r w:rsidR="00AD2FBC" w:rsidRPr="000256FA">
        <w:rPr>
          <w:rStyle w:val="Appelnotedebasdep"/>
          <w:rFonts w:ascii="Times New Roman" w:hAnsi="Times New Roman" w:cs="Times New Roman"/>
          <w:sz w:val="24"/>
          <w:szCs w:val="24"/>
          <w:lang w:val="fr-FR"/>
        </w:rPr>
        <w:footnoteReference w:id="29"/>
      </w:r>
      <w:r w:rsidR="00AD2FBC" w:rsidRPr="000256FA">
        <w:rPr>
          <w:rFonts w:ascii="Times New Roman" w:hAnsi="Times New Roman" w:cs="Times New Roman"/>
          <w:sz w:val="24"/>
          <w:szCs w:val="24"/>
          <w:lang w:val="fr-FR"/>
        </w:rPr>
        <w:t>. Le mineur ne peut donc poser valablement des actes juridiques, il doit y être représenté. Généralement, le mineur est représenté par ses parents</w:t>
      </w:r>
      <w:r w:rsidR="00AD2FBC" w:rsidRPr="000256FA">
        <w:rPr>
          <w:rStyle w:val="Appelnotedebasdep"/>
          <w:rFonts w:ascii="Times New Roman" w:hAnsi="Times New Roman" w:cs="Times New Roman"/>
          <w:sz w:val="24"/>
          <w:szCs w:val="24"/>
          <w:lang w:val="fr-FR"/>
        </w:rPr>
        <w:footnoteReference w:id="30"/>
      </w:r>
      <w:r w:rsidR="00AD2FBC" w:rsidRPr="000256FA">
        <w:rPr>
          <w:rFonts w:ascii="Times New Roman" w:hAnsi="Times New Roman" w:cs="Times New Roman"/>
          <w:sz w:val="24"/>
          <w:szCs w:val="24"/>
          <w:lang w:val="fr-FR"/>
        </w:rPr>
        <w:t xml:space="preserve"> mais il peut également l’être par un tuteur</w:t>
      </w:r>
      <w:r w:rsidR="00AD2FBC" w:rsidRPr="000256FA">
        <w:rPr>
          <w:rStyle w:val="Appelnotedebasdep"/>
          <w:rFonts w:ascii="Times New Roman" w:hAnsi="Times New Roman" w:cs="Times New Roman"/>
          <w:sz w:val="24"/>
          <w:szCs w:val="24"/>
          <w:lang w:val="fr-FR"/>
        </w:rPr>
        <w:footnoteReference w:id="31"/>
      </w:r>
      <w:r w:rsidR="00AD2FBC" w:rsidRPr="000256FA">
        <w:rPr>
          <w:rFonts w:ascii="Times New Roman" w:hAnsi="Times New Roman" w:cs="Times New Roman"/>
          <w:sz w:val="24"/>
          <w:szCs w:val="24"/>
          <w:lang w:val="fr-FR"/>
        </w:rPr>
        <w:t>. Il existe toutefois certaines exceptions à cette incapacité d’exercice, mais nous n’y reviendrons pas puisqu’elles ne sont pas l’objet de la présente note</w:t>
      </w:r>
      <w:r w:rsidR="00AD2FBC" w:rsidRPr="000256FA">
        <w:rPr>
          <w:rStyle w:val="Appelnotedebasdep"/>
          <w:rFonts w:ascii="Times New Roman" w:hAnsi="Times New Roman" w:cs="Times New Roman"/>
          <w:sz w:val="24"/>
          <w:szCs w:val="24"/>
          <w:lang w:val="fr-FR"/>
        </w:rPr>
        <w:footnoteReference w:id="32"/>
      </w:r>
      <w:r w:rsidR="00AD2FBC" w:rsidRPr="000256FA">
        <w:rPr>
          <w:rFonts w:ascii="Times New Roman" w:hAnsi="Times New Roman" w:cs="Times New Roman"/>
          <w:sz w:val="24"/>
          <w:szCs w:val="24"/>
          <w:lang w:val="fr-FR"/>
        </w:rPr>
        <w:t>.</w:t>
      </w:r>
    </w:p>
    <w:p w14:paraId="3D71DEF3" w14:textId="77777777" w:rsidR="00AD2FBC" w:rsidRPr="000256FA" w:rsidRDefault="00AD2FBC" w:rsidP="00AD2FBC">
      <w:pPr>
        <w:contextualSpacing/>
        <w:jc w:val="both"/>
        <w:rPr>
          <w:rFonts w:ascii="Times New Roman" w:hAnsi="Times New Roman" w:cs="Times New Roman"/>
          <w:sz w:val="24"/>
          <w:szCs w:val="24"/>
          <w:lang w:val="fr-FR"/>
        </w:rPr>
      </w:pPr>
    </w:p>
    <w:p w14:paraId="5482F368" w14:textId="3985838E" w:rsidR="00AD2FBC" w:rsidRPr="000256FA" w:rsidRDefault="00BD1CC3" w:rsidP="00AD2FBC">
      <w:pPr>
        <w:contextualSpacing/>
        <w:jc w:val="both"/>
        <w:rPr>
          <w:rFonts w:ascii="Times New Roman" w:hAnsi="Times New Roman" w:cs="Times New Roman"/>
          <w:sz w:val="24"/>
          <w:szCs w:val="24"/>
          <w:lang w:val="fr-FR"/>
        </w:rPr>
      </w:pPr>
      <w:r w:rsidRPr="000256FA">
        <w:rPr>
          <w:rFonts w:ascii="Times New Roman" w:hAnsi="Times New Roman" w:cs="Times New Roman"/>
          <w:b/>
          <w:sz w:val="24"/>
          <w:szCs w:val="24"/>
          <w:lang w:val="fr-FR"/>
        </w:rPr>
        <w:t>10</w:t>
      </w:r>
      <w:r w:rsidR="00AD2FBC" w:rsidRPr="000256FA">
        <w:rPr>
          <w:rFonts w:ascii="Times New Roman" w:hAnsi="Times New Roman" w:cs="Times New Roman"/>
          <w:b/>
          <w:sz w:val="24"/>
          <w:szCs w:val="24"/>
          <w:lang w:val="fr-FR"/>
        </w:rPr>
        <w:t>.</w:t>
      </w:r>
      <w:r w:rsidR="00AD2FBC" w:rsidRPr="000256FA">
        <w:rPr>
          <w:rFonts w:ascii="Times New Roman" w:hAnsi="Times New Roman" w:cs="Times New Roman"/>
          <w:sz w:val="24"/>
          <w:szCs w:val="24"/>
          <w:lang w:val="fr-FR"/>
        </w:rPr>
        <w:t xml:space="preserve"> </w:t>
      </w:r>
      <w:r w:rsidR="00AD2FBC" w:rsidRPr="000256FA">
        <w:rPr>
          <w:rFonts w:ascii="Times New Roman" w:hAnsi="Times New Roman" w:cs="Times New Roman"/>
          <w:b/>
          <w:sz w:val="24"/>
          <w:szCs w:val="24"/>
          <w:lang w:val="fr-FR"/>
        </w:rPr>
        <w:t>Représentants du mineur et étendue du pouvoir de représentation –</w:t>
      </w:r>
      <w:r w:rsidR="00AD2FBC" w:rsidRPr="000256FA">
        <w:rPr>
          <w:rFonts w:ascii="Times New Roman" w:hAnsi="Times New Roman" w:cs="Times New Roman"/>
          <w:sz w:val="24"/>
          <w:szCs w:val="24"/>
          <w:lang w:val="fr-FR"/>
        </w:rPr>
        <w:t xml:space="preserve"> Les parents du mineur exercent l’autorité parentale à son égard ainsi que l’administration légale de ses biens. Lorsque le mineur ne dispose plus que d’un seul parent vivant, non déclaré absent ou dans l’impossibilité d’exercer l’autorité parentale ou de manifester sa volonté, l’autorité parentale et l’administration légale des biens de l’enfant sont exercé</w:t>
      </w:r>
      <w:r w:rsidR="00FF09B8" w:rsidRPr="000256FA">
        <w:rPr>
          <w:rFonts w:ascii="Times New Roman" w:hAnsi="Times New Roman" w:cs="Times New Roman"/>
          <w:sz w:val="24"/>
          <w:szCs w:val="24"/>
          <w:lang w:val="fr-FR"/>
        </w:rPr>
        <w:t>e</w:t>
      </w:r>
      <w:r w:rsidR="00AD2FBC" w:rsidRPr="000256FA">
        <w:rPr>
          <w:rFonts w:ascii="Times New Roman" w:hAnsi="Times New Roman" w:cs="Times New Roman"/>
          <w:sz w:val="24"/>
          <w:szCs w:val="24"/>
          <w:lang w:val="fr-FR"/>
        </w:rPr>
        <w:t>s par ce seul parent</w:t>
      </w:r>
      <w:r w:rsidR="00AD2FBC" w:rsidRPr="000256FA">
        <w:rPr>
          <w:rStyle w:val="Appelnotedebasdep"/>
          <w:rFonts w:ascii="Times New Roman" w:hAnsi="Times New Roman" w:cs="Times New Roman"/>
          <w:sz w:val="24"/>
          <w:szCs w:val="24"/>
          <w:lang w:val="fr-FR"/>
        </w:rPr>
        <w:footnoteReference w:id="33"/>
      </w:r>
      <w:r w:rsidR="00AD2FBC" w:rsidRPr="000256FA">
        <w:rPr>
          <w:rFonts w:ascii="Times New Roman" w:hAnsi="Times New Roman" w:cs="Times New Roman"/>
          <w:sz w:val="24"/>
          <w:szCs w:val="24"/>
          <w:lang w:val="fr-FR"/>
        </w:rPr>
        <w:t>. Ce n’est que si les deux parents sont décédés, déclarés absents, dans l’impossibilité d’exercer l’autorité parentale ou dans l’impossibilité de manifester leur volonté qu’un tuteur sera désigné</w:t>
      </w:r>
      <w:r w:rsidR="00AD2FBC" w:rsidRPr="000256FA">
        <w:rPr>
          <w:rStyle w:val="Appelnotedebasdep"/>
          <w:rFonts w:ascii="Times New Roman" w:hAnsi="Times New Roman" w:cs="Times New Roman"/>
          <w:sz w:val="24"/>
          <w:szCs w:val="24"/>
          <w:lang w:val="fr-FR"/>
        </w:rPr>
        <w:footnoteReference w:id="34"/>
      </w:r>
      <w:r w:rsidR="00AD2FBC" w:rsidRPr="000256FA">
        <w:rPr>
          <w:rFonts w:ascii="Times New Roman" w:hAnsi="Times New Roman" w:cs="Times New Roman"/>
          <w:sz w:val="24"/>
          <w:szCs w:val="24"/>
          <w:lang w:val="fr-FR"/>
        </w:rPr>
        <w:t>. Nous ne reviendrons toutefois pas sur le cas de la tutelle.</w:t>
      </w:r>
    </w:p>
    <w:p w14:paraId="3EC0C289" w14:textId="77777777" w:rsidR="00AD2FBC" w:rsidRPr="000256FA" w:rsidRDefault="00AD2FBC" w:rsidP="00AD2FBC">
      <w:pPr>
        <w:contextualSpacing/>
        <w:jc w:val="both"/>
        <w:rPr>
          <w:rFonts w:ascii="Times New Roman" w:hAnsi="Times New Roman" w:cs="Times New Roman"/>
          <w:sz w:val="24"/>
          <w:szCs w:val="24"/>
          <w:lang w:val="fr-FR"/>
        </w:rPr>
      </w:pPr>
    </w:p>
    <w:p w14:paraId="03F3CEE0"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L’administration légale englobe tant la gestion des biens du mineur que le pouvoir de le représenter pour poser certains actes juridiques (tant matériels que procéduraux) en rapport avec son patrimoine</w:t>
      </w:r>
      <w:r w:rsidRPr="000256FA">
        <w:rPr>
          <w:rStyle w:val="Appelnotedebasdep"/>
          <w:rFonts w:ascii="Times New Roman" w:hAnsi="Times New Roman" w:cs="Times New Roman"/>
          <w:sz w:val="24"/>
          <w:szCs w:val="24"/>
          <w:lang w:val="fr-FR"/>
        </w:rPr>
        <w:footnoteReference w:id="35"/>
      </w:r>
      <w:r w:rsidRPr="000256FA">
        <w:rPr>
          <w:rFonts w:ascii="Times New Roman" w:hAnsi="Times New Roman" w:cs="Times New Roman"/>
          <w:sz w:val="24"/>
          <w:szCs w:val="24"/>
          <w:lang w:val="fr-FR"/>
        </w:rPr>
        <w:t>.</w:t>
      </w:r>
    </w:p>
    <w:p w14:paraId="3B541754" w14:textId="77777777" w:rsidR="00AD2FBC" w:rsidRPr="000256FA" w:rsidRDefault="00AD2FBC" w:rsidP="00AD2FBC">
      <w:pPr>
        <w:contextualSpacing/>
        <w:jc w:val="both"/>
        <w:rPr>
          <w:rFonts w:ascii="Times New Roman" w:hAnsi="Times New Roman" w:cs="Times New Roman"/>
          <w:sz w:val="24"/>
          <w:szCs w:val="24"/>
          <w:lang w:val="fr-FR"/>
        </w:rPr>
      </w:pPr>
    </w:p>
    <w:p w14:paraId="240FD4F3" w14:textId="03F2AA3F"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Néanmoins, pour certains actes importants, les parents doivent solliciter, auprès du juge de paix</w:t>
      </w:r>
      <w:r w:rsidR="0013074C" w:rsidRPr="000256FA">
        <w:rPr>
          <w:rStyle w:val="Appelnotedebasdep"/>
          <w:rFonts w:ascii="Times New Roman" w:hAnsi="Times New Roman" w:cs="Times New Roman"/>
          <w:sz w:val="24"/>
          <w:szCs w:val="24"/>
          <w:lang w:val="fr-FR"/>
        </w:rPr>
        <w:footnoteReference w:id="36"/>
      </w:r>
      <w:r w:rsidRPr="000256FA">
        <w:rPr>
          <w:rFonts w:ascii="Times New Roman" w:hAnsi="Times New Roman" w:cs="Times New Roman"/>
          <w:sz w:val="24"/>
          <w:szCs w:val="24"/>
          <w:lang w:val="fr-FR"/>
        </w:rPr>
        <w:t>, l’autorisation de les poser. Les actes nécessitant une autorisation du juge de paix sont des actes, généralement de disposition, qui pourraient présenter de graves conséquences pour le patrimoine du mineur</w:t>
      </w:r>
      <w:r w:rsidRPr="000256FA">
        <w:rPr>
          <w:rStyle w:val="Appelnotedebasdep"/>
          <w:rFonts w:ascii="Times New Roman" w:hAnsi="Times New Roman" w:cs="Times New Roman"/>
          <w:sz w:val="24"/>
          <w:szCs w:val="24"/>
          <w:lang w:val="fr-FR"/>
        </w:rPr>
        <w:footnoteReference w:id="37"/>
      </w:r>
      <w:r w:rsidRPr="000256FA">
        <w:rPr>
          <w:rFonts w:ascii="Times New Roman" w:hAnsi="Times New Roman" w:cs="Times New Roman"/>
          <w:sz w:val="24"/>
          <w:szCs w:val="24"/>
          <w:lang w:val="fr-FR"/>
        </w:rPr>
        <w:t xml:space="preserve">. Au contraire du régime du placement sous protection (v. </w:t>
      </w:r>
      <w:r w:rsidRPr="000256FA">
        <w:rPr>
          <w:rFonts w:ascii="Times New Roman" w:hAnsi="Times New Roman" w:cs="Times New Roman"/>
          <w:i/>
          <w:sz w:val="24"/>
          <w:szCs w:val="24"/>
          <w:lang w:val="fr-FR"/>
        </w:rPr>
        <w:t>infra</w:t>
      </w:r>
      <w:r w:rsidRPr="000256FA">
        <w:rPr>
          <w:rFonts w:ascii="Times New Roman" w:hAnsi="Times New Roman" w:cs="Times New Roman"/>
          <w:sz w:val="24"/>
          <w:szCs w:val="24"/>
          <w:lang w:val="fr-FR"/>
        </w:rPr>
        <w:t>) qui peut interdire à la personne protégée de poser certains actes concernant sa personne, les actes soumis à autorisation dans le cadre de la minorité ne concernent que le patrimoine (et pas la personne) du mineur</w:t>
      </w:r>
      <w:r w:rsidRPr="000256FA">
        <w:rPr>
          <w:rStyle w:val="Appelnotedebasdep"/>
          <w:rFonts w:ascii="Times New Roman" w:hAnsi="Times New Roman" w:cs="Times New Roman"/>
          <w:sz w:val="24"/>
          <w:szCs w:val="24"/>
          <w:lang w:val="fr-FR"/>
        </w:rPr>
        <w:footnoteReference w:id="38"/>
      </w:r>
      <w:r w:rsidRPr="000256FA">
        <w:rPr>
          <w:rFonts w:ascii="Times New Roman" w:hAnsi="Times New Roman" w:cs="Times New Roman"/>
          <w:sz w:val="24"/>
          <w:szCs w:val="24"/>
          <w:lang w:val="fr-FR"/>
        </w:rPr>
        <w:t>.</w:t>
      </w:r>
    </w:p>
    <w:p w14:paraId="0E69232E" w14:textId="77777777" w:rsidR="00AD2FBC" w:rsidRPr="000256FA" w:rsidRDefault="00AD2FBC" w:rsidP="00AD2FBC">
      <w:pPr>
        <w:contextualSpacing/>
        <w:jc w:val="both"/>
        <w:rPr>
          <w:rFonts w:ascii="Times New Roman" w:hAnsi="Times New Roman" w:cs="Times New Roman"/>
          <w:sz w:val="24"/>
          <w:szCs w:val="24"/>
          <w:lang w:val="fr-FR"/>
        </w:rPr>
      </w:pPr>
    </w:p>
    <w:p w14:paraId="72775853" w14:textId="148933EA"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lastRenderedPageBreak/>
        <w:t>L’article 378, §1, alinéa 1</w:t>
      </w:r>
      <w:r w:rsidR="00FF09B8" w:rsidRPr="000256FA">
        <w:rPr>
          <w:rFonts w:ascii="Times New Roman" w:hAnsi="Times New Roman" w:cs="Times New Roman"/>
          <w:sz w:val="24"/>
          <w:szCs w:val="24"/>
          <w:vertAlign w:val="superscript"/>
          <w:lang w:val="fr-FR"/>
        </w:rPr>
        <w:t>er</w:t>
      </w:r>
      <w:r w:rsidR="00FF09B8" w:rsidRPr="000256FA">
        <w:rPr>
          <w:rFonts w:ascii="Times New Roman" w:hAnsi="Times New Roman" w:cs="Times New Roman"/>
          <w:sz w:val="24"/>
          <w:szCs w:val="24"/>
          <w:lang w:val="fr-FR"/>
        </w:rPr>
        <w:t>,</w:t>
      </w:r>
      <w:r w:rsidRPr="000256FA">
        <w:rPr>
          <w:rFonts w:ascii="Times New Roman" w:hAnsi="Times New Roman" w:cs="Times New Roman"/>
          <w:sz w:val="24"/>
          <w:szCs w:val="24"/>
          <w:lang w:val="fr-FR"/>
        </w:rPr>
        <w:t xml:space="preserve"> d</w:t>
      </w:r>
      <w:r w:rsidR="00FF09B8" w:rsidRPr="000256FA">
        <w:rPr>
          <w:rFonts w:ascii="Times New Roman" w:hAnsi="Times New Roman" w:cs="Times New Roman"/>
          <w:sz w:val="24"/>
          <w:szCs w:val="24"/>
          <w:lang w:val="fr-FR"/>
        </w:rPr>
        <w:t>e l’ancien</w:t>
      </w:r>
      <w:r w:rsidRPr="000256FA">
        <w:rPr>
          <w:rFonts w:ascii="Times New Roman" w:hAnsi="Times New Roman" w:cs="Times New Roman"/>
          <w:sz w:val="24"/>
          <w:szCs w:val="24"/>
          <w:lang w:val="fr-FR"/>
        </w:rPr>
        <w:t xml:space="preserve"> Code civil précise que les parents</w:t>
      </w:r>
      <w:r w:rsidR="00A95D6F" w:rsidRPr="000256FA">
        <w:rPr>
          <w:rStyle w:val="Appelnotedebasdep"/>
          <w:rFonts w:ascii="Times New Roman" w:hAnsi="Times New Roman" w:cs="Times New Roman"/>
          <w:sz w:val="24"/>
          <w:szCs w:val="24"/>
          <w:lang w:val="fr-FR"/>
        </w:rPr>
        <w:footnoteReference w:id="39"/>
      </w:r>
      <w:r w:rsidRPr="000256FA">
        <w:rPr>
          <w:rFonts w:ascii="Times New Roman" w:hAnsi="Times New Roman" w:cs="Times New Roman"/>
          <w:sz w:val="24"/>
          <w:szCs w:val="24"/>
          <w:lang w:val="fr-FR"/>
        </w:rPr>
        <w:t xml:space="preserve"> doivent solliciter une autorisation préalable du juge de paix dans les cas repris à l’article 410, 1° à 6° et 8° à 14° du même code.</w:t>
      </w:r>
    </w:p>
    <w:p w14:paraId="67846654" w14:textId="77777777" w:rsidR="00AD2FBC" w:rsidRPr="000256FA" w:rsidRDefault="00AD2FBC" w:rsidP="00AD2FBC">
      <w:pPr>
        <w:contextualSpacing/>
        <w:jc w:val="both"/>
        <w:rPr>
          <w:rFonts w:ascii="Times New Roman" w:hAnsi="Times New Roman" w:cs="Times New Roman"/>
          <w:sz w:val="24"/>
          <w:szCs w:val="24"/>
          <w:lang w:val="fr-FR"/>
        </w:rPr>
      </w:pPr>
    </w:p>
    <w:p w14:paraId="5D56A039" w14:textId="57977F84"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 xml:space="preserve">Parmi cette liste, figurent le fait de </w:t>
      </w:r>
      <w:r w:rsidRPr="000256FA">
        <w:rPr>
          <w:rFonts w:ascii="Times New Roman" w:hAnsi="Times New Roman" w:cs="Times New Roman"/>
          <w:i/>
          <w:sz w:val="24"/>
          <w:szCs w:val="24"/>
          <w:lang w:val="fr-FR"/>
        </w:rPr>
        <w:t>« renoncer à une succession ou à un legs universel ou à titre universel […] ou l’accepter, ce qui ne pourra se faire que sous bénéfice d'inventaire</w:t>
      </w:r>
      <w:r w:rsidR="007A58BE" w:rsidRPr="000256FA">
        <w:rPr>
          <w:rStyle w:val="Appelnotedebasdep"/>
          <w:rFonts w:ascii="Times New Roman" w:hAnsi="Times New Roman" w:cs="Times New Roman"/>
          <w:i/>
          <w:sz w:val="24"/>
          <w:szCs w:val="24"/>
          <w:lang w:val="fr-FR"/>
        </w:rPr>
        <w:footnoteReference w:id="40"/>
      </w:r>
      <w:r w:rsidRPr="000256FA">
        <w:rPr>
          <w:rFonts w:ascii="Times New Roman" w:hAnsi="Times New Roman" w:cs="Times New Roman"/>
          <w:i/>
          <w:sz w:val="24"/>
          <w:szCs w:val="24"/>
          <w:lang w:val="fr-FR"/>
        </w:rPr>
        <w:t> »</w:t>
      </w:r>
      <w:r w:rsidRPr="000256FA">
        <w:rPr>
          <w:rFonts w:ascii="Times New Roman" w:hAnsi="Times New Roman" w:cs="Times New Roman"/>
          <w:sz w:val="24"/>
          <w:szCs w:val="24"/>
          <w:lang w:val="fr-FR"/>
        </w:rPr>
        <w:t xml:space="preserve">, le juge de paix pouvant </w:t>
      </w:r>
      <w:r w:rsidRPr="000256FA">
        <w:rPr>
          <w:rFonts w:ascii="Times New Roman" w:hAnsi="Times New Roman" w:cs="Times New Roman"/>
          <w:i/>
          <w:sz w:val="24"/>
          <w:szCs w:val="24"/>
          <w:lang w:val="fr-FR"/>
        </w:rPr>
        <w:t>« par une ordonnance motivée, octroyer l'autorisation d'accepter une succession, un legs universel ou à titre universel purement et simplement, compte tenu de la nature et de la consistance du patrimoine hérité et pour autant que les bénéfices soient manifestement supérieurs aux charges du patrimoine hérité »</w:t>
      </w:r>
      <w:r w:rsidRPr="000256FA">
        <w:rPr>
          <w:rFonts w:ascii="Times New Roman" w:hAnsi="Times New Roman" w:cs="Times New Roman"/>
          <w:sz w:val="24"/>
          <w:szCs w:val="24"/>
          <w:lang w:val="fr-FR"/>
        </w:rPr>
        <w:t xml:space="preserve"> et le fait d’ </w:t>
      </w:r>
      <w:r w:rsidRPr="000256FA">
        <w:rPr>
          <w:rFonts w:ascii="Times New Roman" w:hAnsi="Times New Roman" w:cs="Times New Roman"/>
          <w:i/>
          <w:sz w:val="24"/>
          <w:szCs w:val="24"/>
          <w:lang w:val="fr-FR"/>
        </w:rPr>
        <w:t>« accepter une donation ou un legs à titre particulier »</w:t>
      </w:r>
      <w:r w:rsidRPr="000256FA">
        <w:rPr>
          <w:rFonts w:ascii="Times New Roman" w:hAnsi="Times New Roman" w:cs="Times New Roman"/>
          <w:sz w:val="24"/>
          <w:szCs w:val="24"/>
          <w:lang w:val="fr-FR"/>
        </w:rPr>
        <w:t>. Le juge de paix ne donnera cette autorisation que si l’acte envisagé est conforme à l’intérêt du mineur</w:t>
      </w:r>
      <w:r w:rsidRPr="000256FA">
        <w:rPr>
          <w:rStyle w:val="Appelnotedebasdep"/>
          <w:rFonts w:ascii="Times New Roman" w:hAnsi="Times New Roman" w:cs="Times New Roman"/>
          <w:sz w:val="24"/>
          <w:szCs w:val="24"/>
          <w:lang w:val="fr-FR"/>
        </w:rPr>
        <w:footnoteReference w:id="41"/>
      </w:r>
      <w:r w:rsidRPr="000256FA">
        <w:rPr>
          <w:rFonts w:ascii="Times New Roman" w:hAnsi="Times New Roman" w:cs="Times New Roman"/>
          <w:sz w:val="24"/>
          <w:szCs w:val="24"/>
          <w:lang w:val="fr-FR"/>
        </w:rPr>
        <w:t>. Ainsi, il ne pourra pas la donner si la décision des parents du mineur n’est pas raisonnable ou n’est pas motivée</w:t>
      </w:r>
      <w:r w:rsidRPr="000256FA">
        <w:rPr>
          <w:rStyle w:val="Appelnotedebasdep"/>
          <w:rFonts w:ascii="Times New Roman" w:hAnsi="Times New Roman" w:cs="Times New Roman"/>
          <w:sz w:val="24"/>
          <w:szCs w:val="24"/>
          <w:lang w:val="fr-FR"/>
        </w:rPr>
        <w:footnoteReference w:id="42"/>
      </w:r>
      <w:r w:rsidRPr="000256FA">
        <w:rPr>
          <w:rFonts w:ascii="Times New Roman" w:hAnsi="Times New Roman" w:cs="Times New Roman"/>
          <w:sz w:val="24"/>
          <w:szCs w:val="24"/>
          <w:lang w:val="fr-FR"/>
        </w:rPr>
        <w:t xml:space="preserve">. L’on peut, par exemple, imaginer que le juge de paix soit saisi d’une demande d’autorisation de renoncer à une succession, au seul motif que les parents du mineur ne s’entendaient pas avec le </w:t>
      </w:r>
      <w:r w:rsidRPr="000256FA">
        <w:rPr>
          <w:rFonts w:ascii="Times New Roman" w:hAnsi="Times New Roman" w:cs="Times New Roman"/>
          <w:i/>
          <w:sz w:val="24"/>
          <w:szCs w:val="24"/>
          <w:lang w:val="fr-FR"/>
        </w:rPr>
        <w:t>de cujus</w:t>
      </w:r>
      <w:r w:rsidRPr="000256FA">
        <w:rPr>
          <w:rFonts w:ascii="Times New Roman" w:hAnsi="Times New Roman" w:cs="Times New Roman"/>
          <w:sz w:val="24"/>
          <w:szCs w:val="24"/>
          <w:lang w:val="fr-FR"/>
        </w:rPr>
        <w:t xml:space="preserve">. Le juge de paix ne pourra pas donner son autorisation de renoncer à cette succession pour cette seule raison. </w:t>
      </w:r>
    </w:p>
    <w:p w14:paraId="5F4D8046" w14:textId="77777777" w:rsidR="00AD2FBC" w:rsidRPr="000256FA" w:rsidRDefault="00AD2FBC" w:rsidP="00AD2FBC">
      <w:pPr>
        <w:contextualSpacing/>
        <w:jc w:val="both"/>
        <w:rPr>
          <w:rFonts w:ascii="Times New Roman" w:hAnsi="Times New Roman" w:cs="Times New Roman"/>
          <w:sz w:val="24"/>
          <w:szCs w:val="24"/>
          <w:lang w:val="fr-FR"/>
        </w:rPr>
      </w:pPr>
    </w:p>
    <w:p w14:paraId="3B3EE7E7"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En cas de minorité, il est donc certain que l’acceptation d’une succession, même bénéficiaire, doit faire préalablement l’objet d’une autorisation du juge de paix. Il est également important de noter que, contrairement au cas du règlement collectif de dettes dans le cadre duquel l’on peut accepter que la demande d’autorisation soit éventuellement formulée après la passation de l’acte afin de le ratifier, l’autorisation du juge de paix dans le cas de la minorité doit être demandée et accordée avant d’accomplir l’acte</w:t>
      </w:r>
      <w:r w:rsidRPr="000256FA">
        <w:rPr>
          <w:rStyle w:val="Appelnotedebasdep"/>
          <w:rFonts w:ascii="Times New Roman" w:hAnsi="Times New Roman" w:cs="Times New Roman"/>
          <w:sz w:val="24"/>
          <w:szCs w:val="24"/>
          <w:lang w:val="fr-FR"/>
        </w:rPr>
        <w:footnoteReference w:id="43"/>
      </w:r>
      <w:r w:rsidRPr="000256FA">
        <w:rPr>
          <w:rFonts w:ascii="Times New Roman" w:hAnsi="Times New Roman" w:cs="Times New Roman"/>
          <w:sz w:val="24"/>
          <w:szCs w:val="24"/>
          <w:lang w:val="fr-FR"/>
        </w:rPr>
        <w:t>. Si tel n’est pas le cas, l’acte est nul, de nullité relative. La nullité ne peut donc être soulevée que par le mineur devenu majeur, ses représentants légaux ou ses ayants-droit</w:t>
      </w:r>
      <w:r w:rsidRPr="000256FA">
        <w:rPr>
          <w:rStyle w:val="Appelnotedebasdep"/>
          <w:rFonts w:ascii="Times New Roman" w:hAnsi="Times New Roman" w:cs="Times New Roman"/>
          <w:sz w:val="24"/>
          <w:szCs w:val="24"/>
          <w:lang w:val="fr-FR"/>
        </w:rPr>
        <w:footnoteReference w:id="44"/>
      </w:r>
      <w:r w:rsidRPr="000256FA">
        <w:rPr>
          <w:rFonts w:ascii="Times New Roman" w:hAnsi="Times New Roman" w:cs="Times New Roman"/>
          <w:sz w:val="24"/>
          <w:szCs w:val="24"/>
          <w:lang w:val="fr-FR"/>
        </w:rPr>
        <w:t>. Une fois saisi de la demande visant à déclarer l’acte nul, le juge ne dispose d’aucun pouvoir d’appréciation : la nullité est de droit et il doit donc la prononcer</w:t>
      </w:r>
      <w:r w:rsidRPr="000256FA">
        <w:rPr>
          <w:rStyle w:val="Appelnotedebasdep"/>
          <w:rFonts w:ascii="Times New Roman" w:hAnsi="Times New Roman" w:cs="Times New Roman"/>
          <w:sz w:val="24"/>
          <w:szCs w:val="24"/>
          <w:lang w:val="fr-FR"/>
        </w:rPr>
        <w:footnoteReference w:id="45"/>
      </w:r>
      <w:r w:rsidRPr="000256FA">
        <w:rPr>
          <w:rFonts w:ascii="Times New Roman" w:hAnsi="Times New Roman" w:cs="Times New Roman"/>
          <w:sz w:val="24"/>
          <w:szCs w:val="24"/>
          <w:lang w:val="fr-FR"/>
        </w:rPr>
        <w:t>.</w:t>
      </w:r>
    </w:p>
    <w:p w14:paraId="77536706" w14:textId="77777777" w:rsidR="00AD2FBC" w:rsidRPr="000256FA" w:rsidRDefault="00AD2FBC" w:rsidP="00AD2FBC">
      <w:pPr>
        <w:contextualSpacing/>
        <w:jc w:val="both"/>
        <w:rPr>
          <w:rFonts w:ascii="Times New Roman" w:hAnsi="Times New Roman" w:cs="Times New Roman"/>
          <w:sz w:val="24"/>
          <w:szCs w:val="24"/>
          <w:lang w:val="fr-FR"/>
        </w:rPr>
      </w:pPr>
    </w:p>
    <w:p w14:paraId="55A456C7" w14:textId="77777777" w:rsidR="00AD2FBC" w:rsidRPr="000256FA" w:rsidRDefault="00AD2FBC" w:rsidP="00AD2FBC">
      <w:pPr>
        <w:ind w:firstLine="708"/>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III. Protection des personnes majeures</w:t>
      </w:r>
    </w:p>
    <w:p w14:paraId="1CA1E50A" w14:textId="77777777" w:rsidR="00AD2FBC" w:rsidRPr="000256FA" w:rsidRDefault="00AD2FBC" w:rsidP="00AD2FBC">
      <w:pPr>
        <w:contextualSpacing/>
        <w:jc w:val="both"/>
        <w:rPr>
          <w:rFonts w:ascii="Times New Roman" w:hAnsi="Times New Roman" w:cs="Times New Roman"/>
          <w:sz w:val="24"/>
          <w:szCs w:val="24"/>
          <w:lang w:val="fr-FR"/>
        </w:rPr>
      </w:pPr>
    </w:p>
    <w:p w14:paraId="09DC74D2" w14:textId="7FC60156"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b/>
          <w:sz w:val="24"/>
          <w:szCs w:val="24"/>
          <w:lang w:val="fr-FR"/>
        </w:rPr>
        <w:t>1</w:t>
      </w:r>
      <w:r w:rsidR="00BD1CC3" w:rsidRPr="000256FA">
        <w:rPr>
          <w:rFonts w:ascii="Times New Roman" w:hAnsi="Times New Roman" w:cs="Times New Roman"/>
          <w:b/>
          <w:sz w:val="24"/>
          <w:szCs w:val="24"/>
          <w:lang w:val="fr-FR"/>
        </w:rPr>
        <w:t>1</w:t>
      </w:r>
      <w:r w:rsidRPr="000256FA">
        <w:rPr>
          <w:rFonts w:ascii="Times New Roman" w:hAnsi="Times New Roman" w:cs="Times New Roman"/>
          <w:b/>
          <w:sz w:val="24"/>
          <w:szCs w:val="24"/>
          <w:lang w:val="fr-FR"/>
        </w:rPr>
        <w:t>. Généralités –</w:t>
      </w:r>
      <w:r w:rsidRPr="000256FA">
        <w:rPr>
          <w:rFonts w:ascii="Times New Roman" w:hAnsi="Times New Roman" w:cs="Times New Roman"/>
          <w:sz w:val="24"/>
          <w:szCs w:val="24"/>
          <w:lang w:val="fr-FR"/>
        </w:rPr>
        <w:t xml:space="preserve"> Alors qu’auparavant, différents régimes d’incapacité coexistaient (minorité prolongée, conseil judiciaire, interdiction judiciaire et administration provisoire), ils ont été unifiés par la loi du 17 mars 2013 réformant les régimes d'incapacité et instaurant un nouveau </w:t>
      </w:r>
      <w:r w:rsidRPr="000256FA">
        <w:rPr>
          <w:rFonts w:ascii="Times New Roman" w:hAnsi="Times New Roman" w:cs="Times New Roman"/>
          <w:sz w:val="24"/>
          <w:szCs w:val="24"/>
          <w:lang w:val="fr-FR"/>
        </w:rPr>
        <w:lastRenderedPageBreak/>
        <w:t>statut de protection conforme à la dignité humaine</w:t>
      </w:r>
      <w:r w:rsidRPr="000256FA">
        <w:rPr>
          <w:rStyle w:val="Appelnotedebasdep"/>
          <w:rFonts w:ascii="Times New Roman" w:hAnsi="Times New Roman" w:cs="Times New Roman"/>
          <w:sz w:val="24"/>
          <w:szCs w:val="24"/>
          <w:lang w:val="fr-FR"/>
        </w:rPr>
        <w:footnoteReference w:id="46"/>
      </w:r>
      <w:r w:rsidRPr="000256FA">
        <w:rPr>
          <w:rFonts w:ascii="Times New Roman" w:hAnsi="Times New Roman" w:cs="Times New Roman"/>
          <w:sz w:val="24"/>
          <w:szCs w:val="24"/>
          <w:lang w:val="fr-FR"/>
        </w:rPr>
        <w:t xml:space="preserve"> qui est entrée en vigueur le 1</w:t>
      </w:r>
      <w:r w:rsidRPr="000256FA">
        <w:rPr>
          <w:rFonts w:ascii="Times New Roman" w:hAnsi="Times New Roman" w:cs="Times New Roman"/>
          <w:sz w:val="24"/>
          <w:szCs w:val="24"/>
          <w:vertAlign w:val="superscript"/>
          <w:lang w:val="fr-FR"/>
        </w:rPr>
        <w:t>er</w:t>
      </w:r>
      <w:r w:rsidRPr="000256FA">
        <w:rPr>
          <w:rFonts w:ascii="Times New Roman" w:hAnsi="Times New Roman" w:cs="Times New Roman"/>
          <w:sz w:val="24"/>
          <w:szCs w:val="24"/>
          <w:lang w:val="fr-FR"/>
        </w:rPr>
        <w:t xml:space="preserve"> septembre 2014. </w:t>
      </w:r>
    </w:p>
    <w:p w14:paraId="697A5B00" w14:textId="77777777" w:rsidR="00AD2FBC" w:rsidRPr="000256FA" w:rsidRDefault="00AD2FBC" w:rsidP="00AD2FBC">
      <w:pPr>
        <w:contextualSpacing/>
        <w:jc w:val="both"/>
        <w:rPr>
          <w:rFonts w:ascii="Times New Roman" w:hAnsi="Times New Roman" w:cs="Times New Roman"/>
          <w:sz w:val="24"/>
          <w:szCs w:val="24"/>
          <w:lang w:val="fr-FR"/>
        </w:rPr>
      </w:pPr>
    </w:p>
    <w:p w14:paraId="1602107B" w14:textId="77777777" w:rsidR="00AD2FBC" w:rsidRPr="000256FA" w:rsidRDefault="00FF09B8"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Aux termes de l</w:t>
      </w:r>
      <w:r w:rsidR="00AD2FBC" w:rsidRPr="000256FA">
        <w:rPr>
          <w:rFonts w:ascii="Times New Roman" w:hAnsi="Times New Roman" w:cs="Times New Roman"/>
          <w:sz w:val="24"/>
          <w:szCs w:val="24"/>
          <w:lang w:val="fr-FR"/>
        </w:rPr>
        <w:t>’article 488/1, alinéa 1</w:t>
      </w:r>
      <w:r w:rsidRPr="000256FA">
        <w:rPr>
          <w:rFonts w:ascii="Times New Roman" w:hAnsi="Times New Roman" w:cs="Times New Roman"/>
          <w:sz w:val="24"/>
          <w:szCs w:val="24"/>
          <w:vertAlign w:val="superscript"/>
          <w:lang w:val="fr-FR"/>
        </w:rPr>
        <w:t>er</w:t>
      </w:r>
      <w:r w:rsidRPr="000256FA">
        <w:rPr>
          <w:rFonts w:ascii="Times New Roman" w:hAnsi="Times New Roman" w:cs="Times New Roman"/>
          <w:sz w:val="24"/>
          <w:szCs w:val="24"/>
          <w:lang w:val="fr-FR"/>
        </w:rPr>
        <w:t>,</w:t>
      </w:r>
      <w:r w:rsidR="00AD2FBC" w:rsidRPr="000256FA">
        <w:rPr>
          <w:rFonts w:ascii="Times New Roman" w:hAnsi="Times New Roman" w:cs="Times New Roman"/>
          <w:sz w:val="24"/>
          <w:szCs w:val="24"/>
          <w:lang w:val="fr-FR"/>
        </w:rPr>
        <w:t xml:space="preserve"> d</w:t>
      </w:r>
      <w:r w:rsidRPr="000256FA">
        <w:rPr>
          <w:rFonts w:ascii="Times New Roman" w:hAnsi="Times New Roman" w:cs="Times New Roman"/>
          <w:sz w:val="24"/>
          <w:szCs w:val="24"/>
          <w:lang w:val="fr-FR"/>
        </w:rPr>
        <w:t>e l’ancien</w:t>
      </w:r>
      <w:r w:rsidR="00AD2FBC" w:rsidRPr="000256FA">
        <w:rPr>
          <w:rFonts w:ascii="Times New Roman" w:hAnsi="Times New Roman" w:cs="Times New Roman"/>
          <w:sz w:val="24"/>
          <w:szCs w:val="24"/>
          <w:lang w:val="fr-FR"/>
        </w:rPr>
        <w:t xml:space="preserve"> Code civil</w:t>
      </w:r>
      <w:r w:rsidRPr="000256FA">
        <w:rPr>
          <w:rFonts w:ascii="Times New Roman" w:hAnsi="Times New Roman" w:cs="Times New Roman"/>
          <w:sz w:val="24"/>
          <w:szCs w:val="24"/>
          <w:lang w:val="fr-FR"/>
        </w:rPr>
        <w:t xml:space="preserve">, </w:t>
      </w:r>
      <w:r w:rsidR="00AD2FBC" w:rsidRPr="000256FA">
        <w:rPr>
          <w:rFonts w:ascii="Times New Roman" w:hAnsi="Times New Roman" w:cs="Times New Roman"/>
          <w:i/>
          <w:sz w:val="24"/>
          <w:szCs w:val="24"/>
          <w:lang w:val="fr-FR"/>
        </w:rPr>
        <w:t>« [l]e majeur qui, en raison de son état de santé, est totalement ou partiellement hors d'état d'assumer lui-même, comme il se doit, sans assistance ou autre mesure de protection, fût-ce temporairement, la gestion de ses intérêts patrimoniaux ou non patrimoniaux, peut être placé sous protection si et dans la mesure où la protection de ses intérêts le nécessite »</w:t>
      </w:r>
      <w:r w:rsidR="00AD2FBC" w:rsidRPr="000256FA">
        <w:rPr>
          <w:rStyle w:val="Appelnotedebasdep"/>
          <w:rFonts w:ascii="Times New Roman" w:hAnsi="Times New Roman" w:cs="Times New Roman"/>
          <w:sz w:val="24"/>
          <w:szCs w:val="24"/>
          <w:lang w:val="fr-FR"/>
        </w:rPr>
        <w:footnoteReference w:id="47"/>
      </w:r>
      <w:r w:rsidR="00AD2FBC" w:rsidRPr="000256FA">
        <w:rPr>
          <w:rFonts w:ascii="Times New Roman" w:hAnsi="Times New Roman" w:cs="Times New Roman"/>
          <w:sz w:val="24"/>
          <w:szCs w:val="24"/>
          <w:lang w:val="fr-FR"/>
        </w:rPr>
        <w:t>. L’impossibilité de gérer ses intérêts patrimoniaux ou non patrimoniaux peut être physique ou psychologique</w:t>
      </w:r>
      <w:r w:rsidR="00AD2FBC" w:rsidRPr="000256FA">
        <w:rPr>
          <w:rStyle w:val="Appelnotedebasdep"/>
          <w:rFonts w:ascii="Times New Roman" w:hAnsi="Times New Roman" w:cs="Times New Roman"/>
          <w:sz w:val="24"/>
          <w:szCs w:val="24"/>
          <w:lang w:val="fr-FR"/>
        </w:rPr>
        <w:footnoteReference w:id="48"/>
      </w:r>
      <w:r w:rsidR="00AD2FBC" w:rsidRPr="000256FA">
        <w:rPr>
          <w:rFonts w:ascii="Times New Roman" w:hAnsi="Times New Roman" w:cs="Times New Roman"/>
          <w:sz w:val="24"/>
          <w:szCs w:val="24"/>
          <w:lang w:val="fr-FR"/>
        </w:rPr>
        <w:t xml:space="preserve">. Ce nouveau système se décompose en trois mécanismes : le mandat extrajudiciaire, l’assistance judiciaire et la représentation judiciaire. </w:t>
      </w:r>
    </w:p>
    <w:p w14:paraId="683EED5D" w14:textId="77777777" w:rsidR="00AD2FBC" w:rsidRPr="000256FA" w:rsidRDefault="00AD2FBC" w:rsidP="00AD2FBC">
      <w:pPr>
        <w:contextualSpacing/>
        <w:jc w:val="both"/>
        <w:rPr>
          <w:rFonts w:ascii="Times New Roman" w:hAnsi="Times New Roman" w:cs="Times New Roman"/>
          <w:sz w:val="24"/>
          <w:szCs w:val="24"/>
          <w:lang w:val="fr-FR"/>
        </w:rPr>
      </w:pPr>
    </w:p>
    <w:p w14:paraId="5124E8D8" w14:textId="09BBFA90"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b/>
          <w:sz w:val="24"/>
          <w:szCs w:val="24"/>
          <w:lang w:val="fr-FR"/>
        </w:rPr>
        <w:t>1</w:t>
      </w:r>
      <w:r w:rsidR="00BD1CC3" w:rsidRPr="000256FA">
        <w:rPr>
          <w:rFonts w:ascii="Times New Roman" w:hAnsi="Times New Roman" w:cs="Times New Roman"/>
          <w:b/>
          <w:sz w:val="24"/>
          <w:szCs w:val="24"/>
          <w:lang w:val="fr-FR"/>
        </w:rPr>
        <w:t>2</w:t>
      </w:r>
      <w:r w:rsidRPr="000256FA">
        <w:rPr>
          <w:rFonts w:ascii="Times New Roman" w:hAnsi="Times New Roman" w:cs="Times New Roman"/>
          <w:b/>
          <w:sz w:val="24"/>
          <w:szCs w:val="24"/>
          <w:lang w:val="fr-FR"/>
        </w:rPr>
        <w:t xml:space="preserve">. Mandat </w:t>
      </w:r>
      <w:r w:rsidR="00D619F6" w:rsidRPr="000256FA">
        <w:rPr>
          <w:rFonts w:ascii="Times New Roman" w:hAnsi="Times New Roman" w:cs="Times New Roman"/>
          <w:b/>
          <w:sz w:val="24"/>
          <w:szCs w:val="24"/>
          <w:lang w:val="fr-FR"/>
        </w:rPr>
        <w:t xml:space="preserve">de protection </w:t>
      </w:r>
      <w:r w:rsidRPr="000256FA">
        <w:rPr>
          <w:rFonts w:ascii="Times New Roman" w:hAnsi="Times New Roman" w:cs="Times New Roman"/>
          <w:b/>
          <w:sz w:val="24"/>
          <w:szCs w:val="24"/>
          <w:lang w:val="fr-FR"/>
        </w:rPr>
        <w:t>extrajudiciaire –</w:t>
      </w:r>
      <w:r w:rsidRPr="000256FA">
        <w:rPr>
          <w:rFonts w:ascii="Times New Roman" w:hAnsi="Times New Roman" w:cs="Times New Roman"/>
          <w:sz w:val="24"/>
          <w:szCs w:val="24"/>
          <w:lang w:val="fr-FR"/>
        </w:rPr>
        <w:t xml:space="preserve"> Le mandat </w:t>
      </w:r>
      <w:r w:rsidR="00655846" w:rsidRPr="000256FA">
        <w:rPr>
          <w:rFonts w:ascii="Times New Roman" w:hAnsi="Times New Roman" w:cs="Times New Roman"/>
          <w:sz w:val="24"/>
          <w:szCs w:val="24"/>
          <w:lang w:val="fr-FR"/>
        </w:rPr>
        <w:t xml:space="preserve">de protection </w:t>
      </w:r>
      <w:r w:rsidRPr="000256FA">
        <w:rPr>
          <w:rFonts w:ascii="Times New Roman" w:hAnsi="Times New Roman" w:cs="Times New Roman"/>
          <w:sz w:val="24"/>
          <w:szCs w:val="24"/>
          <w:lang w:val="fr-FR"/>
        </w:rPr>
        <w:t>extrajudiciaire est la voie que le législateur de 2013 a souhaité privilégier. Cette protection extrajudiciaire a pour fondement le mandat civil et ne requiert aucune forme particulière</w:t>
      </w:r>
      <w:r w:rsidRPr="000256FA">
        <w:rPr>
          <w:rStyle w:val="Appelnotedebasdep"/>
          <w:rFonts w:ascii="Times New Roman" w:hAnsi="Times New Roman" w:cs="Times New Roman"/>
          <w:sz w:val="24"/>
          <w:szCs w:val="24"/>
          <w:lang w:val="fr-FR"/>
        </w:rPr>
        <w:footnoteReference w:id="49"/>
      </w:r>
      <w:r w:rsidRPr="000256FA">
        <w:rPr>
          <w:rFonts w:ascii="Times New Roman" w:hAnsi="Times New Roman" w:cs="Times New Roman"/>
          <w:sz w:val="24"/>
          <w:szCs w:val="24"/>
          <w:lang w:val="fr-FR"/>
        </w:rPr>
        <w:t xml:space="preserve">, si ce n’est l’enregistrement du mandat dans </w:t>
      </w:r>
      <w:r w:rsidRPr="000256FA">
        <w:rPr>
          <w:rFonts w:ascii="Times New Roman" w:hAnsi="Times New Roman" w:cs="Times New Roman"/>
          <w:i/>
          <w:sz w:val="24"/>
          <w:szCs w:val="24"/>
          <w:lang w:val="fr-FR"/>
        </w:rPr>
        <w:t>« le registre central tenu par la Fédération royale du notariat belge »</w:t>
      </w:r>
      <w:r w:rsidRPr="000256FA">
        <w:rPr>
          <w:rStyle w:val="Appelnotedebasdep"/>
          <w:rFonts w:ascii="Times New Roman" w:hAnsi="Times New Roman" w:cs="Times New Roman"/>
          <w:sz w:val="24"/>
          <w:szCs w:val="24"/>
          <w:lang w:val="fr-FR"/>
        </w:rPr>
        <w:footnoteReference w:id="50"/>
      </w:r>
      <w:r w:rsidRPr="000256FA">
        <w:rPr>
          <w:rFonts w:ascii="Times New Roman" w:hAnsi="Times New Roman" w:cs="Times New Roman"/>
          <w:sz w:val="24"/>
          <w:szCs w:val="24"/>
          <w:lang w:val="fr-FR"/>
        </w:rPr>
        <w:t>.</w:t>
      </w:r>
    </w:p>
    <w:p w14:paraId="10057B11" w14:textId="77777777" w:rsidR="00AD2FBC" w:rsidRPr="000256FA" w:rsidRDefault="00AD2FBC" w:rsidP="00AD2FBC">
      <w:pPr>
        <w:contextualSpacing/>
        <w:jc w:val="both"/>
        <w:rPr>
          <w:rFonts w:ascii="Times New Roman" w:hAnsi="Times New Roman" w:cs="Times New Roman"/>
          <w:sz w:val="24"/>
          <w:szCs w:val="24"/>
          <w:lang w:val="fr-FR"/>
        </w:rPr>
      </w:pPr>
    </w:p>
    <w:p w14:paraId="3D4EF16D"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 xml:space="preserve">Le mandat ainsi donné peut concerner tant des </w:t>
      </w:r>
      <w:r w:rsidRPr="000256FA">
        <w:rPr>
          <w:rFonts w:ascii="Times New Roman" w:hAnsi="Times New Roman" w:cs="Times New Roman"/>
          <w:i/>
          <w:sz w:val="24"/>
          <w:szCs w:val="24"/>
          <w:lang w:val="fr-FR"/>
        </w:rPr>
        <w:t>« actes de représentation relatifs aux biens et aux personnes »</w:t>
      </w:r>
      <w:r w:rsidRPr="000256FA">
        <w:rPr>
          <w:rFonts w:ascii="Times New Roman" w:hAnsi="Times New Roman" w:cs="Times New Roman"/>
          <w:sz w:val="24"/>
          <w:szCs w:val="24"/>
          <w:lang w:val="fr-FR"/>
        </w:rPr>
        <w:t xml:space="preserve"> que des </w:t>
      </w:r>
      <w:r w:rsidRPr="000256FA">
        <w:rPr>
          <w:rFonts w:ascii="Times New Roman" w:hAnsi="Times New Roman" w:cs="Times New Roman"/>
          <w:i/>
          <w:sz w:val="24"/>
          <w:szCs w:val="24"/>
          <w:lang w:val="fr-FR"/>
        </w:rPr>
        <w:t>« actes de gestion tels que visés à l'article 494, g)</w:t>
      </w:r>
      <w:r w:rsidRPr="000256FA">
        <w:rPr>
          <w:rStyle w:val="Appelnotedebasdep"/>
          <w:rFonts w:ascii="Times New Roman" w:hAnsi="Times New Roman" w:cs="Times New Roman"/>
          <w:sz w:val="24"/>
          <w:szCs w:val="24"/>
          <w:lang w:val="fr-FR"/>
        </w:rPr>
        <w:footnoteReference w:id="51"/>
      </w:r>
      <w:r w:rsidRPr="000256FA">
        <w:rPr>
          <w:rFonts w:ascii="Times New Roman" w:hAnsi="Times New Roman" w:cs="Times New Roman"/>
          <w:i/>
          <w:sz w:val="24"/>
          <w:szCs w:val="24"/>
          <w:lang w:val="fr-FR"/>
        </w:rPr>
        <w:t> »</w:t>
      </w:r>
      <w:r w:rsidRPr="000256FA">
        <w:rPr>
          <w:rStyle w:val="Appelnotedebasdep"/>
          <w:rFonts w:ascii="Times New Roman" w:hAnsi="Times New Roman" w:cs="Times New Roman"/>
          <w:sz w:val="24"/>
          <w:szCs w:val="24"/>
          <w:lang w:val="fr-FR"/>
        </w:rPr>
        <w:footnoteReference w:id="52"/>
      </w:r>
      <w:r w:rsidR="00655846" w:rsidRPr="000256FA">
        <w:rPr>
          <w:rFonts w:ascii="Times New Roman" w:hAnsi="Times New Roman" w:cs="Times New Roman"/>
          <w:sz w:val="24"/>
          <w:szCs w:val="24"/>
          <w:lang w:val="fr-FR"/>
        </w:rPr>
        <w:t>. Il peut</w:t>
      </w:r>
      <w:r w:rsidRPr="000256FA">
        <w:rPr>
          <w:rFonts w:ascii="Times New Roman" w:hAnsi="Times New Roman" w:cs="Times New Roman"/>
          <w:i/>
          <w:sz w:val="24"/>
          <w:szCs w:val="24"/>
          <w:lang w:val="fr-FR"/>
        </w:rPr>
        <w:t xml:space="preserve"> </w:t>
      </w:r>
      <w:r w:rsidRPr="000256FA">
        <w:rPr>
          <w:rFonts w:ascii="Times New Roman" w:hAnsi="Times New Roman" w:cs="Times New Roman"/>
          <w:sz w:val="24"/>
          <w:szCs w:val="24"/>
          <w:lang w:val="fr-FR"/>
        </w:rPr>
        <w:t>être général ou particulier et viser deux hypothèses : soit il est délivré et s’exécute immédiatement alors que le mandant est encore capable, soit il est délivré sous la condition suspensive de l’incapacité du mandant</w:t>
      </w:r>
      <w:r w:rsidRPr="000256FA">
        <w:rPr>
          <w:rStyle w:val="Appelnotedebasdep"/>
          <w:rFonts w:ascii="Times New Roman" w:hAnsi="Times New Roman" w:cs="Times New Roman"/>
          <w:sz w:val="24"/>
          <w:szCs w:val="24"/>
          <w:lang w:val="fr-FR"/>
        </w:rPr>
        <w:footnoteReference w:id="53"/>
      </w:r>
      <w:r w:rsidRPr="000256FA">
        <w:rPr>
          <w:rFonts w:ascii="Times New Roman" w:hAnsi="Times New Roman" w:cs="Times New Roman"/>
          <w:sz w:val="24"/>
          <w:szCs w:val="24"/>
          <w:lang w:val="fr-FR"/>
        </w:rPr>
        <w:t>. Dans ce dernier cas, le moment auquel le mandant sera considéré comme incapable doit être déterminé par les parties au contrat. Par exemple, il pourrait être prévu que le mandant est incapable à partir du moment où une attestation d’un médecin en ce sens est déposée auprès d’une personne de confiance ou au greffe de la justice de paix</w:t>
      </w:r>
      <w:r w:rsidRPr="000256FA">
        <w:rPr>
          <w:rStyle w:val="Appelnotedebasdep"/>
          <w:rFonts w:ascii="Times New Roman" w:hAnsi="Times New Roman" w:cs="Times New Roman"/>
          <w:sz w:val="24"/>
          <w:szCs w:val="24"/>
          <w:lang w:val="fr-FR"/>
        </w:rPr>
        <w:footnoteReference w:id="54"/>
      </w:r>
      <w:r w:rsidRPr="000256FA">
        <w:rPr>
          <w:rFonts w:ascii="Times New Roman" w:hAnsi="Times New Roman" w:cs="Times New Roman"/>
          <w:sz w:val="24"/>
          <w:szCs w:val="24"/>
          <w:lang w:val="fr-FR"/>
        </w:rPr>
        <w:t xml:space="preserve">. </w:t>
      </w:r>
    </w:p>
    <w:p w14:paraId="1890A98F" w14:textId="77777777" w:rsidR="00AD2FBC" w:rsidRPr="000256FA" w:rsidRDefault="00AD2FBC" w:rsidP="00AD2FBC">
      <w:pPr>
        <w:contextualSpacing/>
        <w:jc w:val="both"/>
        <w:rPr>
          <w:rFonts w:ascii="Times New Roman" w:hAnsi="Times New Roman" w:cs="Times New Roman"/>
          <w:sz w:val="24"/>
          <w:szCs w:val="24"/>
          <w:lang w:val="fr-FR"/>
        </w:rPr>
      </w:pPr>
    </w:p>
    <w:p w14:paraId="00C586F4"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Ce mandat ne rend toutefois pas légalement incapable le mandant</w:t>
      </w:r>
      <w:r w:rsidRPr="000256FA">
        <w:rPr>
          <w:rStyle w:val="Appelnotedebasdep"/>
          <w:rFonts w:ascii="Times New Roman" w:hAnsi="Times New Roman" w:cs="Times New Roman"/>
          <w:sz w:val="24"/>
          <w:szCs w:val="24"/>
          <w:lang w:val="fr-FR"/>
        </w:rPr>
        <w:footnoteReference w:id="55"/>
      </w:r>
      <w:r w:rsidRPr="000256FA">
        <w:rPr>
          <w:rFonts w:ascii="Times New Roman" w:hAnsi="Times New Roman" w:cs="Times New Roman"/>
          <w:sz w:val="24"/>
          <w:szCs w:val="24"/>
          <w:lang w:val="fr-FR"/>
        </w:rPr>
        <w:t xml:space="preserve">, qui peut donc encore poser des actes juridiques bien qu’il en soit factuellement incapable. Cette protection extrajudiciaire n’a donc de protection que le nom puisqu’en réalité, le mandant n’est pas protégé contre ses propres actes – le mandant peut ainsi, par exemple, valablement vendre un immeuble lui </w:t>
      </w:r>
      <w:r w:rsidRPr="000256FA">
        <w:rPr>
          <w:rFonts w:ascii="Times New Roman" w:hAnsi="Times New Roman" w:cs="Times New Roman"/>
          <w:sz w:val="24"/>
          <w:szCs w:val="24"/>
          <w:lang w:val="fr-FR"/>
        </w:rPr>
        <w:lastRenderedPageBreak/>
        <w:t>appartenant – ni contre les actes de tiers qui abuseraient de sa vulnérabilité – le mandant peut ainsi valablement prêter une somme d’argent à un tiers</w:t>
      </w:r>
      <w:r w:rsidRPr="000256FA">
        <w:rPr>
          <w:rStyle w:val="Appelnotedebasdep"/>
          <w:rFonts w:ascii="Times New Roman" w:hAnsi="Times New Roman" w:cs="Times New Roman"/>
          <w:sz w:val="24"/>
          <w:szCs w:val="24"/>
          <w:lang w:val="fr-FR"/>
        </w:rPr>
        <w:footnoteReference w:id="56"/>
      </w:r>
      <w:r w:rsidRPr="000256FA">
        <w:rPr>
          <w:rFonts w:ascii="Times New Roman" w:hAnsi="Times New Roman" w:cs="Times New Roman"/>
          <w:sz w:val="24"/>
          <w:szCs w:val="24"/>
          <w:lang w:val="fr-FR"/>
        </w:rPr>
        <w:t>.</w:t>
      </w:r>
    </w:p>
    <w:p w14:paraId="34D6F45D" w14:textId="77777777" w:rsidR="00AD2FBC" w:rsidRPr="000256FA" w:rsidRDefault="00AD2FBC" w:rsidP="00AD2FBC">
      <w:pPr>
        <w:contextualSpacing/>
        <w:jc w:val="both"/>
        <w:rPr>
          <w:rFonts w:ascii="Times New Roman" w:hAnsi="Times New Roman" w:cs="Times New Roman"/>
          <w:sz w:val="24"/>
          <w:szCs w:val="24"/>
          <w:lang w:val="fr-FR"/>
        </w:rPr>
      </w:pPr>
    </w:p>
    <w:p w14:paraId="356976B1" w14:textId="5E8BE0A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b/>
          <w:sz w:val="24"/>
          <w:szCs w:val="24"/>
          <w:lang w:val="fr-FR"/>
        </w:rPr>
        <w:t>1</w:t>
      </w:r>
      <w:r w:rsidR="00BD1CC3" w:rsidRPr="000256FA">
        <w:rPr>
          <w:rFonts w:ascii="Times New Roman" w:hAnsi="Times New Roman" w:cs="Times New Roman"/>
          <w:b/>
          <w:sz w:val="24"/>
          <w:szCs w:val="24"/>
          <w:lang w:val="fr-FR"/>
        </w:rPr>
        <w:t>3</w:t>
      </w:r>
      <w:r w:rsidRPr="000256FA">
        <w:rPr>
          <w:rFonts w:ascii="Times New Roman" w:hAnsi="Times New Roman" w:cs="Times New Roman"/>
          <w:b/>
          <w:sz w:val="24"/>
          <w:szCs w:val="24"/>
          <w:lang w:val="fr-FR"/>
        </w:rPr>
        <w:t>. Assistance judiciaire –</w:t>
      </w:r>
      <w:r w:rsidRPr="000256FA">
        <w:rPr>
          <w:rFonts w:ascii="Times New Roman" w:hAnsi="Times New Roman" w:cs="Times New Roman"/>
          <w:sz w:val="24"/>
          <w:szCs w:val="24"/>
          <w:lang w:val="fr-FR"/>
        </w:rPr>
        <w:t xml:space="preserve"> L’assistance est définie par l’article 491, f) </w:t>
      </w:r>
      <w:r w:rsidR="00655846" w:rsidRPr="000256FA">
        <w:rPr>
          <w:rFonts w:ascii="Times New Roman" w:hAnsi="Times New Roman" w:cs="Times New Roman"/>
          <w:sz w:val="24"/>
          <w:szCs w:val="24"/>
          <w:lang w:val="fr-FR"/>
        </w:rPr>
        <w:t>de l’ancien</w:t>
      </w:r>
      <w:r w:rsidRPr="000256FA">
        <w:rPr>
          <w:rFonts w:ascii="Times New Roman" w:hAnsi="Times New Roman" w:cs="Times New Roman"/>
          <w:sz w:val="24"/>
          <w:szCs w:val="24"/>
          <w:lang w:val="fr-FR"/>
        </w:rPr>
        <w:t xml:space="preserve"> Code civil comme étant </w:t>
      </w:r>
      <w:r w:rsidRPr="000256FA">
        <w:rPr>
          <w:rFonts w:ascii="Times New Roman" w:hAnsi="Times New Roman" w:cs="Times New Roman"/>
          <w:i/>
          <w:sz w:val="24"/>
          <w:szCs w:val="24"/>
          <w:lang w:val="fr-FR"/>
        </w:rPr>
        <w:t>« la manière de prendre en charge l'incapacité visée au chapitre II/1, section 4, sous-section 2, la personne protégée pouvant accomplir elle-même, mais pas de façon autonome, un acte déterminé »</w:t>
      </w:r>
      <w:r w:rsidRPr="000256FA">
        <w:rPr>
          <w:rFonts w:ascii="Times New Roman" w:hAnsi="Times New Roman" w:cs="Times New Roman"/>
          <w:sz w:val="24"/>
          <w:szCs w:val="24"/>
          <w:lang w:val="fr-FR"/>
        </w:rPr>
        <w:t>. L’assistant ne représente donc pas la personne protégée et agit à l’initiative de celle-ci, soit pour donner préalablement son accord à l’acte envisagé, soit pour cosigner ledit acte</w:t>
      </w:r>
      <w:r w:rsidRPr="000256FA">
        <w:rPr>
          <w:rStyle w:val="Appelnotedebasdep"/>
          <w:rFonts w:ascii="Times New Roman" w:hAnsi="Times New Roman" w:cs="Times New Roman"/>
          <w:sz w:val="24"/>
          <w:szCs w:val="24"/>
          <w:lang w:val="fr-FR"/>
        </w:rPr>
        <w:footnoteReference w:id="57"/>
      </w:r>
      <w:r w:rsidRPr="000256FA">
        <w:rPr>
          <w:rFonts w:ascii="Times New Roman" w:hAnsi="Times New Roman" w:cs="Times New Roman"/>
          <w:sz w:val="24"/>
          <w:szCs w:val="24"/>
          <w:lang w:val="fr-FR"/>
        </w:rPr>
        <w:t xml:space="preserve">. </w:t>
      </w:r>
    </w:p>
    <w:p w14:paraId="29FB40A7" w14:textId="77777777" w:rsidR="00AD2FBC" w:rsidRPr="000256FA" w:rsidRDefault="00AD2FBC" w:rsidP="00AD2FBC">
      <w:pPr>
        <w:contextualSpacing/>
        <w:jc w:val="both"/>
        <w:rPr>
          <w:rFonts w:ascii="Times New Roman" w:hAnsi="Times New Roman" w:cs="Times New Roman"/>
          <w:sz w:val="24"/>
          <w:szCs w:val="24"/>
          <w:lang w:val="fr-FR"/>
        </w:rPr>
      </w:pPr>
    </w:p>
    <w:p w14:paraId="26EC0875"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L’assistance peut être ordonnée tant pour des actes concernant les biens de la personne protégée que pour des actes concernant sa personne</w:t>
      </w:r>
      <w:r w:rsidRPr="000256FA">
        <w:rPr>
          <w:rStyle w:val="Appelnotedebasdep"/>
          <w:rFonts w:ascii="Times New Roman" w:hAnsi="Times New Roman" w:cs="Times New Roman"/>
          <w:sz w:val="24"/>
          <w:szCs w:val="24"/>
          <w:lang w:val="fr-FR"/>
        </w:rPr>
        <w:footnoteReference w:id="58"/>
      </w:r>
      <w:r w:rsidRPr="000256FA">
        <w:rPr>
          <w:rFonts w:ascii="Times New Roman" w:hAnsi="Times New Roman" w:cs="Times New Roman"/>
          <w:sz w:val="24"/>
          <w:szCs w:val="24"/>
          <w:lang w:val="fr-FR"/>
        </w:rPr>
        <w:t>.</w:t>
      </w:r>
    </w:p>
    <w:p w14:paraId="480D3669" w14:textId="77777777" w:rsidR="00AD2FBC" w:rsidRPr="000256FA" w:rsidRDefault="00AD2FBC" w:rsidP="00AD2FBC">
      <w:pPr>
        <w:contextualSpacing/>
        <w:jc w:val="both"/>
        <w:rPr>
          <w:rFonts w:ascii="Times New Roman" w:hAnsi="Times New Roman" w:cs="Times New Roman"/>
          <w:sz w:val="24"/>
          <w:szCs w:val="24"/>
          <w:lang w:val="fr-FR"/>
        </w:rPr>
      </w:pPr>
    </w:p>
    <w:p w14:paraId="3DED460B" w14:textId="7BB2F9F2"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b/>
          <w:sz w:val="24"/>
          <w:szCs w:val="24"/>
          <w:lang w:val="fr-FR"/>
        </w:rPr>
        <w:t>1</w:t>
      </w:r>
      <w:r w:rsidR="00BD1CC3" w:rsidRPr="000256FA">
        <w:rPr>
          <w:rFonts w:ascii="Times New Roman" w:hAnsi="Times New Roman" w:cs="Times New Roman"/>
          <w:b/>
          <w:sz w:val="24"/>
          <w:szCs w:val="24"/>
          <w:lang w:val="fr-FR"/>
        </w:rPr>
        <w:t>4</w:t>
      </w:r>
      <w:r w:rsidRPr="000256FA">
        <w:rPr>
          <w:rFonts w:ascii="Times New Roman" w:hAnsi="Times New Roman" w:cs="Times New Roman"/>
          <w:b/>
          <w:sz w:val="24"/>
          <w:szCs w:val="24"/>
          <w:lang w:val="fr-FR"/>
        </w:rPr>
        <w:t>. Représentation judiciaire –</w:t>
      </w:r>
      <w:r w:rsidRPr="000256FA">
        <w:rPr>
          <w:rFonts w:ascii="Times New Roman" w:hAnsi="Times New Roman" w:cs="Times New Roman"/>
          <w:sz w:val="24"/>
          <w:szCs w:val="24"/>
          <w:lang w:val="fr-FR"/>
        </w:rPr>
        <w:t xml:space="preserve"> Si le juge de paix estime qu’un mandat </w:t>
      </w:r>
      <w:r w:rsidR="00655846" w:rsidRPr="000256FA">
        <w:rPr>
          <w:rFonts w:ascii="Times New Roman" w:hAnsi="Times New Roman" w:cs="Times New Roman"/>
          <w:sz w:val="24"/>
          <w:szCs w:val="24"/>
          <w:lang w:val="fr-FR"/>
        </w:rPr>
        <w:t xml:space="preserve">de protection </w:t>
      </w:r>
      <w:r w:rsidRPr="000256FA">
        <w:rPr>
          <w:rFonts w:ascii="Times New Roman" w:hAnsi="Times New Roman" w:cs="Times New Roman"/>
          <w:sz w:val="24"/>
          <w:szCs w:val="24"/>
          <w:lang w:val="fr-FR"/>
        </w:rPr>
        <w:t>extrajudiciaire ou une mesure d’assistance ne suffisent pas, il peut ordonner une mesure de représentation, qui peut être générale ou limitée et concerner les biens et/ou la personne de la personne protégée</w:t>
      </w:r>
      <w:r w:rsidRPr="000256FA">
        <w:rPr>
          <w:rStyle w:val="Appelnotedebasdep"/>
          <w:rFonts w:ascii="Times New Roman" w:hAnsi="Times New Roman" w:cs="Times New Roman"/>
          <w:sz w:val="24"/>
          <w:szCs w:val="24"/>
          <w:lang w:val="fr-FR"/>
        </w:rPr>
        <w:footnoteReference w:id="59"/>
      </w:r>
      <w:r w:rsidRPr="000256FA">
        <w:rPr>
          <w:rFonts w:ascii="Times New Roman" w:hAnsi="Times New Roman" w:cs="Times New Roman"/>
          <w:sz w:val="24"/>
          <w:szCs w:val="24"/>
          <w:lang w:val="fr-FR"/>
        </w:rPr>
        <w:t>.</w:t>
      </w:r>
    </w:p>
    <w:p w14:paraId="52A4DD0D" w14:textId="77777777" w:rsidR="00AD2FBC" w:rsidRPr="000256FA" w:rsidRDefault="00AD2FBC" w:rsidP="00AD2FBC">
      <w:pPr>
        <w:contextualSpacing/>
        <w:jc w:val="both"/>
        <w:rPr>
          <w:rFonts w:ascii="Times New Roman" w:hAnsi="Times New Roman" w:cs="Times New Roman"/>
          <w:sz w:val="24"/>
          <w:szCs w:val="24"/>
          <w:lang w:val="fr-FR"/>
        </w:rPr>
      </w:pPr>
    </w:p>
    <w:p w14:paraId="19C11963" w14:textId="257FBE9C" w:rsidR="00AD2FBC" w:rsidRPr="00F6759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 xml:space="preserve">L’article 492/1 </w:t>
      </w:r>
      <w:r w:rsidR="001D3D09" w:rsidRPr="00F6759A">
        <w:rPr>
          <w:rFonts w:ascii="Times New Roman" w:hAnsi="Times New Roman" w:cs="Times New Roman"/>
          <w:sz w:val="24"/>
          <w:szCs w:val="24"/>
          <w:lang w:val="fr-FR"/>
        </w:rPr>
        <w:t>de l’ancien</w:t>
      </w:r>
      <w:r w:rsidRPr="00F6759A">
        <w:rPr>
          <w:rFonts w:ascii="Times New Roman" w:hAnsi="Times New Roman" w:cs="Times New Roman"/>
          <w:sz w:val="24"/>
          <w:szCs w:val="24"/>
          <w:lang w:val="fr-FR"/>
        </w:rPr>
        <w:t xml:space="preserve"> Code civil impose au juge de paix de lister, dans son ordonnance, les actes relatifs aux biens et/ou à la personne visés par la mesure de protection</w:t>
      </w:r>
      <w:r w:rsidRPr="00F6759A">
        <w:rPr>
          <w:rStyle w:val="Appelnotedebasdep"/>
          <w:rFonts w:ascii="Times New Roman" w:hAnsi="Times New Roman" w:cs="Times New Roman"/>
          <w:sz w:val="24"/>
          <w:szCs w:val="24"/>
          <w:lang w:val="fr-FR"/>
        </w:rPr>
        <w:footnoteReference w:id="60"/>
      </w:r>
      <w:r w:rsidRPr="00F6759A">
        <w:rPr>
          <w:rFonts w:ascii="Times New Roman" w:hAnsi="Times New Roman" w:cs="Times New Roman"/>
          <w:sz w:val="24"/>
          <w:szCs w:val="24"/>
          <w:lang w:val="fr-FR"/>
        </w:rPr>
        <w:t>. A défaut d’indication, la personne protégée est présumée capable de les poser</w:t>
      </w:r>
      <w:r w:rsidRPr="00F6759A">
        <w:rPr>
          <w:rStyle w:val="Appelnotedebasdep"/>
          <w:rFonts w:ascii="Times New Roman" w:hAnsi="Times New Roman" w:cs="Times New Roman"/>
          <w:sz w:val="24"/>
          <w:szCs w:val="24"/>
          <w:lang w:val="fr-FR"/>
        </w:rPr>
        <w:footnoteReference w:id="61"/>
      </w:r>
      <w:r w:rsidRPr="00F6759A">
        <w:rPr>
          <w:rFonts w:ascii="Times New Roman" w:hAnsi="Times New Roman" w:cs="Times New Roman"/>
          <w:sz w:val="24"/>
          <w:szCs w:val="24"/>
          <w:lang w:val="fr-FR"/>
        </w:rPr>
        <w:t>. L’administrateur agit, pour ces actes, de manière autonome par rapport au juge de paix, sauf dans les cas où une autorisation spéciale est nécessaire</w:t>
      </w:r>
      <w:r w:rsidRPr="00F6759A">
        <w:rPr>
          <w:rStyle w:val="Appelnotedebasdep"/>
          <w:rFonts w:ascii="Times New Roman" w:hAnsi="Times New Roman" w:cs="Times New Roman"/>
          <w:sz w:val="24"/>
          <w:szCs w:val="24"/>
          <w:lang w:val="fr-FR"/>
        </w:rPr>
        <w:footnoteReference w:id="62"/>
      </w:r>
      <w:r w:rsidRPr="00F6759A">
        <w:rPr>
          <w:rFonts w:ascii="Times New Roman" w:hAnsi="Times New Roman" w:cs="Times New Roman"/>
          <w:sz w:val="24"/>
          <w:szCs w:val="24"/>
          <w:lang w:val="fr-FR"/>
        </w:rPr>
        <w:t xml:space="preserve">. L’article 497/2 du même code liste, quant à lui, une série d’actes pour lesquels la personne protégée ne peut jamais être sujette à une mesure d’assistance ou de représentation judiciaire, tels que le consentement à mariage ou la fixation de la résidence conjugale. </w:t>
      </w:r>
    </w:p>
    <w:p w14:paraId="1FF7A064" w14:textId="77777777" w:rsidR="00AD2FBC" w:rsidRPr="00F6759A" w:rsidRDefault="00AD2FBC" w:rsidP="00AD2FBC">
      <w:pPr>
        <w:contextualSpacing/>
        <w:jc w:val="both"/>
        <w:rPr>
          <w:rFonts w:ascii="Times New Roman" w:hAnsi="Times New Roman" w:cs="Times New Roman"/>
          <w:sz w:val="24"/>
          <w:szCs w:val="24"/>
          <w:lang w:val="fr-FR"/>
        </w:rPr>
      </w:pPr>
    </w:p>
    <w:p w14:paraId="79D0E35B" w14:textId="0CCC19EE" w:rsidR="00AD2FBC" w:rsidRPr="000256FA" w:rsidRDefault="00AD2FBC" w:rsidP="00AD2FBC">
      <w:pPr>
        <w:contextualSpacing/>
        <w:jc w:val="both"/>
        <w:rPr>
          <w:rFonts w:ascii="Times New Roman" w:hAnsi="Times New Roman" w:cs="Times New Roman"/>
          <w:sz w:val="24"/>
          <w:szCs w:val="24"/>
          <w:lang w:val="fr-FR"/>
        </w:rPr>
      </w:pPr>
      <w:r w:rsidRPr="00F6759A">
        <w:rPr>
          <w:rFonts w:ascii="Times New Roman" w:hAnsi="Times New Roman" w:cs="Times New Roman"/>
          <w:b/>
          <w:sz w:val="24"/>
          <w:szCs w:val="24"/>
          <w:lang w:val="fr-FR"/>
        </w:rPr>
        <w:t>1</w:t>
      </w:r>
      <w:r w:rsidR="00BD1CC3" w:rsidRPr="00F6759A">
        <w:rPr>
          <w:rFonts w:ascii="Times New Roman" w:hAnsi="Times New Roman" w:cs="Times New Roman"/>
          <w:b/>
          <w:sz w:val="24"/>
          <w:szCs w:val="24"/>
          <w:lang w:val="fr-FR"/>
        </w:rPr>
        <w:t>5</w:t>
      </w:r>
      <w:r w:rsidRPr="00F6759A">
        <w:rPr>
          <w:rFonts w:ascii="Times New Roman" w:hAnsi="Times New Roman" w:cs="Times New Roman"/>
          <w:b/>
          <w:sz w:val="24"/>
          <w:szCs w:val="24"/>
          <w:lang w:val="fr-FR"/>
        </w:rPr>
        <w:t>. Sanctions pour les actes relatifs à la personne –</w:t>
      </w:r>
      <w:r w:rsidRPr="00F6759A">
        <w:rPr>
          <w:rFonts w:ascii="Times New Roman" w:hAnsi="Times New Roman" w:cs="Times New Roman"/>
          <w:sz w:val="24"/>
          <w:szCs w:val="24"/>
          <w:lang w:val="fr-FR"/>
        </w:rPr>
        <w:t xml:space="preserve"> Si la personne protégée accomplit elle-même des actes relatifs à sa personne pour lesquels elle a été déclarée incapable, ceux-ci sont, en vertu de l’article 493, §1, alinéa 1 </w:t>
      </w:r>
      <w:r w:rsidR="001D3D09" w:rsidRPr="00F6759A">
        <w:rPr>
          <w:rFonts w:ascii="Times New Roman" w:hAnsi="Times New Roman" w:cs="Times New Roman"/>
          <w:sz w:val="24"/>
          <w:szCs w:val="24"/>
          <w:lang w:val="fr-FR"/>
        </w:rPr>
        <w:t>de l’ancien</w:t>
      </w:r>
      <w:r w:rsidRPr="00F6759A">
        <w:rPr>
          <w:rFonts w:ascii="Times New Roman" w:hAnsi="Times New Roman" w:cs="Times New Roman"/>
          <w:sz w:val="24"/>
          <w:szCs w:val="24"/>
          <w:lang w:val="fr-FR"/>
        </w:rPr>
        <w:t xml:space="preserve"> Code civil, </w:t>
      </w:r>
      <w:r w:rsidRPr="00F6759A">
        <w:rPr>
          <w:rFonts w:ascii="Times New Roman" w:hAnsi="Times New Roman" w:cs="Times New Roman"/>
          <w:i/>
          <w:sz w:val="24"/>
          <w:szCs w:val="24"/>
          <w:lang w:val="fr-FR"/>
        </w:rPr>
        <w:t>« nuls de droit »</w:t>
      </w:r>
      <w:r w:rsidRPr="00F6759A">
        <w:rPr>
          <w:rFonts w:ascii="Times New Roman" w:hAnsi="Times New Roman" w:cs="Times New Roman"/>
          <w:sz w:val="24"/>
          <w:szCs w:val="24"/>
          <w:lang w:val="fr-FR"/>
        </w:rPr>
        <w:t>. La nullité de ces actes doit donc être demandée au juge de paix, qui</w:t>
      </w:r>
      <w:r w:rsidRPr="000256FA">
        <w:rPr>
          <w:rFonts w:ascii="Times New Roman" w:hAnsi="Times New Roman" w:cs="Times New Roman"/>
          <w:sz w:val="24"/>
          <w:szCs w:val="24"/>
          <w:lang w:val="fr-FR"/>
        </w:rPr>
        <w:t xml:space="preserve"> devra la prononcer sans disposer d’un quelconque pouvoir d’appréciation</w:t>
      </w:r>
      <w:r w:rsidRPr="000256FA">
        <w:rPr>
          <w:rStyle w:val="Appelnotedebasdep"/>
          <w:rFonts w:ascii="Times New Roman" w:hAnsi="Times New Roman" w:cs="Times New Roman"/>
          <w:sz w:val="24"/>
          <w:szCs w:val="24"/>
          <w:lang w:val="fr-FR"/>
        </w:rPr>
        <w:footnoteReference w:id="63"/>
      </w:r>
      <w:r w:rsidRPr="000256FA">
        <w:rPr>
          <w:rFonts w:ascii="Times New Roman" w:hAnsi="Times New Roman" w:cs="Times New Roman"/>
          <w:sz w:val="24"/>
          <w:szCs w:val="24"/>
          <w:lang w:val="fr-FR"/>
        </w:rPr>
        <w:t>.</w:t>
      </w:r>
    </w:p>
    <w:p w14:paraId="5DAF21C1" w14:textId="77777777" w:rsidR="00AD2FBC" w:rsidRPr="000256FA" w:rsidRDefault="00AD2FBC" w:rsidP="00AD2FBC">
      <w:pPr>
        <w:contextualSpacing/>
        <w:jc w:val="both"/>
        <w:rPr>
          <w:rFonts w:ascii="Times New Roman" w:hAnsi="Times New Roman" w:cs="Times New Roman"/>
          <w:sz w:val="24"/>
          <w:szCs w:val="24"/>
          <w:lang w:val="fr-FR"/>
        </w:rPr>
      </w:pPr>
    </w:p>
    <w:p w14:paraId="22AEC128"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 xml:space="preserve">Par contre, dans le cas où le juge de paix avait autorisé la personne protégée à poser un acte précis moyennant le respect de certaines conditions qui n’ont, finalement, pas été respectées par la personne protégée, le second alinéa du premier paragraphe de l’article 493 dispose que </w:t>
      </w:r>
      <w:r w:rsidRPr="000256FA">
        <w:rPr>
          <w:rFonts w:ascii="Times New Roman" w:hAnsi="Times New Roman" w:cs="Times New Roman"/>
          <w:i/>
          <w:sz w:val="24"/>
          <w:szCs w:val="24"/>
          <w:lang w:val="fr-FR"/>
        </w:rPr>
        <w:t>« la nullité de ces actes peut être invoquée »</w:t>
      </w:r>
      <w:r w:rsidRPr="000256FA">
        <w:rPr>
          <w:rFonts w:ascii="Times New Roman" w:hAnsi="Times New Roman" w:cs="Times New Roman"/>
          <w:sz w:val="24"/>
          <w:szCs w:val="24"/>
          <w:lang w:val="fr-FR"/>
        </w:rPr>
        <w:t xml:space="preserve">. La doctrine déduit de ces termes que le juge de </w:t>
      </w:r>
      <w:r w:rsidRPr="000256FA">
        <w:rPr>
          <w:rFonts w:ascii="Times New Roman" w:hAnsi="Times New Roman" w:cs="Times New Roman"/>
          <w:sz w:val="24"/>
          <w:szCs w:val="24"/>
          <w:lang w:val="fr-FR"/>
        </w:rPr>
        <w:lastRenderedPageBreak/>
        <w:t>paix a, dans ce cas, un pouvoir d’appréciation et n’est pas obligé de prononcer la nullité de l’acte posé</w:t>
      </w:r>
      <w:r w:rsidRPr="000256FA">
        <w:rPr>
          <w:rStyle w:val="Appelnotedebasdep"/>
          <w:rFonts w:ascii="Times New Roman" w:hAnsi="Times New Roman" w:cs="Times New Roman"/>
          <w:sz w:val="24"/>
          <w:szCs w:val="24"/>
          <w:lang w:val="fr-FR"/>
        </w:rPr>
        <w:footnoteReference w:id="64"/>
      </w:r>
      <w:r w:rsidRPr="000256FA">
        <w:rPr>
          <w:rFonts w:ascii="Times New Roman" w:hAnsi="Times New Roman" w:cs="Times New Roman"/>
          <w:sz w:val="24"/>
          <w:szCs w:val="24"/>
          <w:lang w:val="fr-FR"/>
        </w:rPr>
        <w:t>.</w:t>
      </w:r>
    </w:p>
    <w:p w14:paraId="2534DF6B" w14:textId="77777777" w:rsidR="00AD2FBC" w:rsidRPr="000256FA" w:rsidRDefault="00AD2FBC" w:rsidP="00AD2FBC">
      <w:pPr>
        <w:contextualSpacing/>
        <w:jc w:val="both"/>
        <w:rPr>
          <w:rFonts w:ascii="Times New Roman" w:hAnsi="Times New Roman" w:cs="Times New Roman"/>
          <w:sz w:val="24"/>
          <w:szCs w:val="24"/>
          <w:lang w:val="fr-FR"/>
        </w:rPr>
      </w:pPr>
    </w:p>
    <w:p w14:paraId="786BD513"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 xml:space="preserve">Néanmoins, l’on peut s’interroger sur la pertinence de la sanction de nullité en cas d’actes relatifs à la personne. Imaginons en effet qu’une personne protégée ait accepté que soit posé, sur elle, un acte médical. La nullité ne permet pas, dans ce cas, d’apporter une réponse adéquate puisqu’il est en effet impossible (ou très compliqué) de remettre les choses dans leur </w:t>
      </w:r>
      <w:proofErr w:type="spellStart"/>
      <w:r w:rsidRPr="000256FA">
        <w:rPr>
          <w:rFonts w:ascii="Times New Roman" w:hAnsi="Times New Roman" w:cs="Times New Roman"/>
          <w:sz w:val="24"/>
          <w:szCs w:val="24"/>
          <w:lang w:val="fr-FR"/>
        </w:rPr>
        <w:t>pristin</w:t>
      </w:r>
      <w:proofErr w:type="spellEnd"/>
      <w:r w:rsidRPr="000256FA">
        <w:rPr>
          <w:rFonts w:ascii="Times New Roman" w:hAnsi="Times New Roman" w:cs="Times New Roman"/>
          <w:sz w:val="24"/>
          <w:szCs w:val="24"/>
          <w:lang w:val="fr-FR"/>
        </w:rPr>
        <w:t xml:space="preserve"> état, si ce n’est à poser éventuellement un acte médical en sens contraire…</w:t>
      </w:r>
      <w:r w:rsidRPr="000256FA">
        <w:rPr>
          <w:rStyle w:val="Appelnotedebasdep"/>
          <w:rFonts w:ascii="Times New Roman" w:hAnsi="Times New Roman" w:cs="Times New Roman"/>
          <w:sz w:val="24"/>
          <w:szCs w:val="24"/>
          <w:lang w:val="fr-FR"/>
        </w:rPr>
        <w:footnoteReference w:id="65"/>
      </w:r>
    </w:p>
    <w:p w14:paraId="5BDA257F" w14:textId="77777777" w:rsidR="00AD2FBC" w:rsidRPr="000256FA" w:rsidRDefault="00AD2FBC" w:rsidP="00AD2FBC">
      <w:pPr>
        <w:contextualSpacing/>
        <w:jc w:val="both"/>
        <w:rPr>
          <w:rFonts w:ascii="Times New Roman" w:hAnsi="Times New Roman" w:cs="Times New Roman"/>
          <w:sz w:val="24"/>
          <w:szCs w:val="24"/>
          <w:lang w:val="fr-FR"/>
        </w:rPr>
      </w:pPr>
    </w:p>
    <w:p w14:paraId="5ADD730B" w14:textId="0373E608" w:rsidR="00AD2FBC" w:rsidRPr="000256FA" w:rsidRDefault="00AD2FBC" w:rsidP="00AD2FBC">
      <w:pPr>
        <w:contextualSpacing/>
        <w:jc w:val="both"/>
        <w:rPr>
          <w:rFonts w:ascii="Times New Roman" w:hAnsi="Times New Roman" w:cs="Times New Roman"/>
          <w:i/>
          <w:sz w:val="24"/>
          <w:szCs w:val="24"/>
          <w:lang w:val="fr-FR"/>
        </w:rPr>
      </w:pPr>
      <w:r w:rsidRPr="000256FA">
        <w:rPr>
          <w:rFonts w:ascii="Times New Roman" w:hAnsi="Times New Roman" w:cs="Times New Roman"/>
          <w:b/>
          <w:sz w:val="24"/>
          <w:szCs w:val="24"/>
          <w:lang w:val="fr-FR"/>
        </w:rPr>
        <w:t>1</w:t>
      </w:r>
      <w:r w:rsidR="00BD1CC3" w:rsidRPr="000256FA">
        <w:rPr>
          <w:rFonts w:ascii="Times New Roman" w:hAnsi="Times New Roman" w:cs="Times New Roman"/>
          <w:b/>
          <w:sz w:val="24"/>
          <w:szCs w:val="24"/>
          <w:lang w:val="fr-FR"/>
        </w:rPr>
        <w:t>6</w:t>
      </w:r>
      <w:r w:rsidRPr="000256FA">
        <w:rPr>
          <w:rFonts w:ascii="Times New Roman" w:hAnsi="Times New Roman" w:cs="Times New Roman"/>
          <w:b/>
          <w:sz w:val="24"/>
          <w:szCs w:val="24"/>
          <w:lang w:val="fr-FR"/>
        </w:rPr>
        <w:t>. Sanctions pour les actes relatifs aux biens –</w:t>
      </w:r>
      <w:r w:rsidRPr="000256FA">
        <w:rPr>
          <w:rFonts w:ascii="Times New Roman" w:hAnsi="Times New Roman" w:cs="Times New Roman"/>
          <w:sz w:val="24"/>
          <w:szCs w:val="24"/>
          <w:lang w:val="fr-FR"/>
        </w:rPr>
        <w:t xml:space="preserve"> En cas d’accomplissement par la personne protégée d’actes patrimoniaux pour lesquels elle a été déclarée incapable, diverses sanctions sont prévues par l’article 493, §2 d</w:t>
      </w:r>
      <w:r w:rsidR="00401DB3" w:rsidRPr="000256FA">
        <w:rPr>
          <w:rFonts w:ascii="Times New Roman" w:hAnsi="Times New Roman" w:cs="Times New Roman"/>
          <w:sz w:val="24"/>
          <w:szCs w:val="24"/>
          <w:lang w:val="fr-FR"/>
        </w:rPr>
        <w:t>e l’ancien</w:t>
      </w:r>
      <w:r w:rsidRPr="000256FA">
        <w:rPr>
          <w:rFonts w:ascii="Times New Roman" w:hAnsi="Times New Roman" w:cs="Times New Roman"/>
          <w:sz w:val="24"/>
          <w:szCs w:val="24"/>
          <w:lang w:val="fr-FR"/>
        </w:rPr>
        <w:t xml:space="preserve"> Code civil, à savoir la nullité, la rescision pour lésion et la réduction pour excès. Cet article dispose que </w:t>
      </w:r>
      <w:r w:rsidRPr="000256FA">
        <w:rPr>
          <w:rFonts w:ascii="Times New Roman" w:hAnsi="Times New Roman" w:cs="Times New Roman"/>
          <w:i/>
          <w:sz w:val="24"/>
          <w:szCs w:val="24"/>
          <w:lang w:val="fr-FR"/>
        </w:rPr>
        <w:t>« Les actes visés aux articles 499/7, § 2, 784/1, 905</w:t>
      </w:r>
      <w:r w:rsidRPr="000256FA">
        <w:rPr>
          <w:rStyle w:val="Appelnotedebasdep"/>
          <w:rFonts w:ascii="Times New Roman" w:hAnsi="Times New Roman" w:cs="Times New Roman"/>
          <w:i/>
          <w:sz w:val="24"/>
          <w:szCs w:val="24"/>
          <w:lang w:val="fr-FR"/>
        </w:rPr>
        <w:footnoteReference w:id="66"/>
      </w:r>
      <w:r w:rsidRPr="000256FA">
        <w:rPr>
          <w:rFonts w:ascii="Times New Roman" w:hAnsi="Times New Roman" w:cs="Times New Roman"/>
          <w:i/>
          <w:sz w:val="24"/>
          <w:szCs w:val="24"/>
          <w:lang w:val="fr-FR"/>
        </w:rPr>
        <w:t>, 1397/1</w:t>
      </w:r>
      <w:r w:rsidRPr="000256FA">
        <w:rPr>
          <w:rStyle w:val="Appelnotedebasdep"/>
          <w:rFonts w:ascii="Times New Roman" w:hAnsi="Times New Roman" w:cs="Times New Roman"/>
          <w:i/>
          <w:sz w:val="24"/>
          <w:szCs w:val="24"/>
          <w:lang w:val="fr-FR"/>
        </w:rPr>
        <w:footnoteReference w:id="67"/>
      </w:r>
      <w:r w:rsidRPr="000256FA">
        <w:rPr>
          <w:rFonts w:ascii="Times New Roman" w:hAnsi="Times New Roman" w:cs="Times New Roman"/>
          <w:i/>
          <w:sz w:val="24"/>
          <w:szCs w:val="24"/>
          <w:lang w:val="fr-FR"/>
        </w:rPr>
        <w:t xml:space="preserve"> et 1478, alinéa 4</w:t>
      </w:r>
      <w:r w:rsidRPr="000256FA">
        <w:rPr>
          <w:rStyle w:val="Appelnotedebasdep"/>
          <w:rFonts w:ascii="Times New Roman" w:hAnsi="Times New Roman" w:cs="Times New Roman"/>
          <w:i/>
          <w:sz w:val="24"/>
          <w:szCs w:val="24"/>
          <w:lang w:val="fr-FR"/>
        </w:rPr>
        <w:footnoteReference w:id="68"/>
      </w:r>
      <w:r w:rsidRPr="000256FA">
        <w:rPr>
          <w:rFonts w:ascii="Times New Roman" w:hAnsi="Times New Roman" w:cs="Times New Roman"/>
          <w:i/>
          <w:sz w:val="24"/>
          <w:szCs w:val="24"/>
          <w:lang w:val="fr-FR"/>
        </w:rPr>
        <w:t xml:space="preserve"> ainsi que les pactes successoraux autorisés par la loi, accomplis par la personne protégée en violation de son incapacité à l'égard de ses biens, établie conformément à l'article 492/1, § 2, sont nuls de droit.</w:t>
      </w:r>
    </w:p>
    <w:p w14:paraId="7C935B23" w14:textId="77777777" w:rsidR="00AD2FBC" w:rsidRPr="000256FA" w:rsidRDefault="00AD2FBC" w:rsidP="00AD2FBC">
      <w:pPr>
        <w:contextualSpacing/>
        <w:jc w:val="both"/>
        <w:rPr>
          <w:rFonts w:ascii="Times New Roman" w:hAnsi="Times New Roman" w:cs="Times New Roman"/>
          <w:i/>
          <w:sz w:val="24"/>
          <w:szCs w:val="24"/>
          <w:lang w:val="fr-FR"/>
        </w:rPr>
      </w:pPr>
      <w:r w:rsidRPr="000256FA">
        <w:rPr>
          <w:rFonts w:ascii="Times New Roman" w:hAnsi="Times New Roman" w:cs="Times New Roman"/>
          <w:i/>
          <w:sz w:val="24"/>
          <w:szCs w:val="24"/>
          <w:lang w:val="fr-FR"/>
        </w:rPr>
        <w:t xml:space="preserve">   Sous réserve de l'alinéa 1er, les actes accomplis par la personne protégée en violation de son incapacité à l'égard de ses biens, établie conformément à l'article 492/1, § 2, sont nuls en cas de lésion</w:t>
      </w:r>
      <w:r w:rsidRPr="000256FA">
        <w:rPr>
          <w:rStyle w:val="Appelnotedebasdep"/>
          <w:rFonts w:ascii="Times New Roman" w:hAnsi="Times New Roman" w:cs="Times New Roman"/>
          <w:i/>
          <w:sz w:val="24"/>
          <w:szCs w:val="24"/>
          <w:lang w:val="fr-FR"/>
        </w:rPr>
        <w:footnoteReference w:id="69"/>
      </w:r>
      <w:r w:rsidRPr="000256FA">
        <w:rPr>
          <w:rFonts w:ascii="Times New Roman" w:hAnsi="Times New Roman" w:cs="Times New Roman"/>
          <w:i/>
          <w:sz w:val="24"/>
          <w:szCs w:val="24"/>
          <w:lang w:val="fr-FR"/>
        </w:rPr>
        <w:t>. La nullité est appréciée par le juge compte tenu des droits des tiers de bonne foi. Toutefois, le juge peut également, en cas d'excès, réduire les obligations que la personne protégée aurait contractées par voie d'achats ou autrement ; à cet égard, le juge prend en considération la fortune de la personne protégée, la bonne foi des personnes qui ont contracté avec elle, ainsi que l'utilité ou l'inutilité des dépenses.</w:t>
      </w:r>
    </w:p>
    <w:p w14:paraId="3C1C4E5E"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i/>
          <w:sz w:val="24"/>
          <w:szCs w:val="24"/>
          <w:lang w:val="fr-FR"/>
        </w:rPr>
        <w:t xml:space="preserve">   Si des actes visés aux articles 905, 1397/1 et 1478, alinéa 4, ainsi que les pactes successoraux autorisés par la loi ont été autorisés par le juge de paix sous conditions, mais ont été accomplis par la personne protégée sans respecter celles-ci, ils sont nuls de droit. Il en va de même si l'acte posé est un testament qui ne satisfait pas aux conditions visées à l'article 905, alinéa 3, ou, le cas échéant, visées à l'article 905, alinéa 4 »</w:t>
      </w:r>
      <w:r w:rsidRPr="000256FA">
        <w:rPr>
          <w:rFonts w:ascii="Times New Roman" w:hAnsi="Times New Roman" w:cs="Times New Roman"/>
          <w:sz w:val="24"/>
          <w:szCs w:val="24"/>
          <w:lang w:val="fr-FR"/>
        </w:rPr>
        <w:t>.</w:t>
      </w:r>
    </w:p>
    <w:p w14:paraId="24F74158" w14:textId="77777777" w:rsidR="00AD2FBC" w:rsidRPr="000256FA" w:rsidRDefault="00AD2FBC" w:rsidP="00AD2FBC">
      <w:pPr>
        <w:contextualSpacing/>
        <w:jc w:val="both"/>
        <w:rPr>
          <w:rFonts w:ascii="Times New Roman" w:hAnsi="Times New Roman" w:cs="Times New Roman"/>
          <w:sz w:val="24"/>
          <w:szCs w:val="24"/>
          <w:lang w:val="fr-FR"/>
        </w:rPr>
      </w:pPr>
    </w:p>
    <w:p w14:paraId="3C92949A"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Etant donné que la nullité prévue par cette disposition vise à protéger les intérêts privés de la personne placée sous protection, elle est relative et ne peut donc être invoquée que par la personne protégée et son administrateur</w:t>
      </w:r>
      <w:r w:rsidRPr="000256FA">
        <w:rPr>
          <w:rStyle w:val="Appelnotedebasdep"/>
          <w:rFonts w:ascii="Times New Roman" w:hAnsi="Times New Roman" w:cs="Times New Roman"/>
          <w:sz w:val="24"/>
          <w:szCs w:val="24"/>
          <w:lang w:val="fr-FR"/>
        </w:rPr>
        <w:footnoteReference w:id="70"/>
      </w:r>
      <w:r w:rsidRPr="000256FA">
        <w:rPr>
          <w:rFonts w:ascii="Times New Roman" w:hAnsi="Times New Roman" w:cs="Times New Roman"/>
          <w:sz w:val="24"/>
          <w:szCs w:val="24"/>
          <w:lang w:val="fr-FR"/>
        </w:rPr>
        <w:t xml:space="preserve">. La relativité de la nullité a pour conséquence qu’après la levée de la mesure de protection, la personne protégée peut la couvrir. Pendant la mesure de protection, la nullité peut également être couverte à condition de demander (et d’obtenir) </w:t>
      </w:r>
      <w:r w:rsidRPr="000256FA">
        <w:rPr>
          <w:rFonts w:ascii="Times New Roman" w:hAnsi="Times New Roman" w:cs="Times New Roman"/>
          <w:i/>
          <w:sz w:val="24"/>
          <w:szCs w:val="24"/>
          <w:lang w:val="fr-FR"/>
        </w:rPr>
        <w:t xml:space="preserve">a posteriori </w:t>
      </w:r>
      <w:r w:rsidRPr="000256FA">
        <w:rPr>
          <w:rFonts w:ascii="Times New Roman" w:hAnsi="Times New Roman" w:cs="Times New Roman"/>
          <w:sz w:val="24"/>
          <w:szCs w:val="24"/>
          <w:lang w:val="fr-FR"/>
        </w:rPr>
        <w:t xml:space="preserve">l’autorisation du juge de paix pour les actes visés aux articles 499/7, § 2, 784/1, 905, 1397/1 et 1478, alinéa 4, lesquels requièrent en principe une autorisation </w:t>
      </w:r>
      <w:r w:rsidRPr="000256FA">
        <w:rPr>
          <w:rFonts w:ascii="Times New Roman" w:hAnsi="Times New Roman" w:cs="Times New Roman"/>
          <w:sz w:val="24"/>
          <w:szCs w:val="24"/>
          <w:lang w:val="fr-FR"/>
        </w:rPr>
        <w:lastRenderedPageBreak/>
        <w:t>préalable du juge de paix. La nullité des actes qui ne requièrent pas une autorisation préalable du juge de paix peut être couverte sans qu’aucune homologation ne soit nécessaire</w:t>
      </w:r>
      <w:r w:rsidRPr="000256FA">
        <w:rPr>
          <w:rStyle w:val="Appelnotedebasdep"/>
          <w:rFonts w:ascii="Times New Roman" w:hAnsi="Times New Roman" w:cs="Times New Roman"/>
          <w:sz w:val="24"/>
          <w:szCs w:val="24"/>
          <w:lang w:val="fr-FR"/>
        </w:rPr>
        <w:footnoteReference w:id="71"/>
      </w:r>
      <w:r w:rsidRPr="000256FA">
        <w:rPr>
          <w:rFonts w:ascii="Times New Roman" w:hAnsi="Times New Roman" w:cs="Times New Roman"/>
          <w:sz w:val="24"/>
          <w:szCs w:val="24"/>
          <w:lang w:val="fr-FR"/>
        </w:rPr>
        <w:t>.</w:t>
      </w:r>
    </w:p>
    <w:p w14:paraId="5E5BA44C" w14:textId="77777777" w:rsidR="00AD2FBC" w:rsidRPr="000256FA" w:rsidRDefault="00AD2FBC" w:rsidP="00AD2FBC">
      <w:pPr>
        <w:contextualSpacing/>
        <w:jc w:val="both"/>
        <w:rPr>
          <w:rFonts w:ascii="Times New Roman" w:hAnsi="Times New Roman" w:cs="Times New Roman"/>
          <w:sz w:val="24"/>
          <w:szCs w:val="24"/>
          <w:lang w:val="fr-FR"/>
        </w:rPr>
      </w:pPr>
    </w:p>
    <w:p w14:paraId="7CBAD4F7" w14:textId="595B884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b/>
          <w:sz w:val="24"/>
          <w:szCs w:val="24"/>
          <w:lang w:val="fr-FR"/>
        </w:rPr>
        <w:t>1</w:t>
      </w:r>
      <w:r w:rsidR="00BD1CC3" w:rsidRPr="000256FA">
        <w:rPr>
          <w:rFonts w:ascii="Times New Roman" w:hAnsi="Times New Roman" w:cs="Times New Roman"/>
          <w:b/>
          <w:sz w:val="24"/>
          <w:szCs w:val="24"/>
          <w:lang w:val="fr-FR"/>
        </w:rPr>
        <w:t>7</w:t>
      </w:r>
      <w:r w:rsidRPr="000256FA">
        <w:rPr>
          <w:rFonts w:ascii="Times New Roman" w:hAnsi="Times New Roman" w:cs="Times New Roman"/>
          <w:b/>
          <w:sz w:val="24"/>
          <w:szCs w:val="24"/>
          <w:lang w:val="fr-FR"/>
        </w:rPr>
        <w:t xml:space="preserve">. </w:t>
      </w:r>
      <w:r w:rsidR="00401DB3" w:rsidRPr="000256FA">
        <w:rPr>
          <w:rFonts w:ascii="Times New Roman" w:hAnsi="Times New Roman" w:cs="Times New Roman"/>
          <w:b/>
          <w:sz w:val="24"/>
          <w:szCs w:val="24"/>
          <w:lang w:val="fr-FR"/>
        </w:rPr>
        <w:t xml:space="preserve">Option héréditaire et représentation judiciaire </w:t>
      </w:r>
      <w:r w:rsidRPr="000256FA">
        <w:rPr>
          <w:rFonts w:ascii="Times New Roman" w:hAnsi="Times New Roman" w:cs="Times New Roman"/>
          <w:b/>
          <w:sz w:val="24"/>
          <w:szCs w:val="24"/>
          <w:lang w:val="fr-FR"/>
        </w:rPr>
        <w:t>–</w:t>
      </w:r>
      <w:r w:rsidRPr="000256FA">
        <w:rPr>
          <w:rFonts w:ascii="Times New Roman" w:hAnsi="Times New Roman" w:cs="Times New Roman"/>
          <w:sz w:val="24"/>
          <w:szCs w:val="24"/>
          <w:lang w:val="fr-FR"/>
        </w:rPr>
        <w:t xml:space="preserve"> En l’espèce, la question est de savoir si une personne placée sous le régime de la représentation judiciaire quant à ses biens devra, ou non, être préalablement autorisée par le juge de paix pour </w:t>
      </w:r>
      <w:r w:rsidR="001772F5" w:rsidRPr="000256FA">
        <w:rPr>
          <w:rFonts w:ascii="Times New Roman" w:hAnsi="Times New Roman" w:cs="Times New Roman"/>
          <w:sz w:val="24"/>
          <w:szCs w:val="24"/>
          <w:lang w:val="fr-FR"/>
        </w:rPr>
        <w:t>accepter (sous bénéfice d’inventaire) ou renoncer à une succession ou à un legs universel ou à titre universel</w:t>
      </w:r>
      <w:r w:rsidRPr="000256FA">
        <w:rPr>
          <w:rFonts w:ascii="Times New Roman" w:hAnsi="Times New Roman" w:cs="Times New Roman"/>
          <w:sz w:val="24"/>
          <w:szCs w:val="24"/>
          <w:lang w:val="fr-FR"/>
        </w:rPr>
        <w:t>.</w:t>
      </w:r>
    </w:p>
    <w:p w14:paraId="2689145F" w14:textId="77777777" w:rsidR="00AD2FBC" w:rsidRPr="000256FA" w:rsidRDefault="00AD2FBC" w:rsidP="00AD2FBC">
      <w:pPr>
        <w:contextualSpacing/>
        <w:jc w:val="both"/>
        <w:rPr>
          <w:rFonts w:ascii="Times New Roman" w:hAnsi="Times New Roman" w:cs="Times New Roman"/>
          <w:sz w:val="24"/>
          <w:szCs w:val="24"/>
          <w:lang w:val="fr-FR"/>
        </w:rPr>
      </w:pPr>
    </w:p>
    <w:p w14:paraId="73DF581A" w14:textId="1C1A2112"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La réponse à cette question est clairement apportée par l’article 499/7, §2, 5° d</w:t>
      </w:r>
      <w:r w:rsidR="00655846" w:rsidRPr="000256FA">
        <w:rPr>
          <w:rFonts w:ascii="Times New Roman" w:hAnsi="Times New Roman" w:cs="Times New Roman"/>
          <w:sz w:val="24"/>
          <w:szCs w:val="24"/>
          <w:lang w:val="fr-FR"/>
        </w:rPr>
        <w:t>e l’ancien</w:t>
      </w:r>
      <w:r w:rsidRPr="000256FA">
        <w:rPr>
          <w:rFonts w:ascii="Times New Roman" w:hAnsi="Times New Roman" w:cs="Times New Roman"/>
          <w:sz w:val="24"/>
          <w:szCs w:val="24"/>
          <w:lang w:val="fr-FR"/>
        </w:rPr>
        <w:t xml:space="preserve"> Code civil. Celui-ci dispose en effet que </w:t>
      </w:r>
      <w:r w:rsidRPr="000256FA">
        <w:rPr>
          <w:rFonts w:ascii="Times New Roman" w:hAnsi="Times New Roman" w:cs="Times New Roman"/>
          <w:i/>
          <w:sz w:val="24"/>
          <w:szCs w:val="24"/>
          <w:lang w:val="fr-FR"/>
        </w:rPr>
        <w:t xml:space="preserve">« L'administrateur des biens doit être spécialement autorisé par le juge de paix pour […] </w:t>
      </w:r>
      <w:r w:rsidR="00401DB3" w:rsidRPr="000256FA">
        <w:rPr>
          <w:rFonts w:ascii="Times New Roman" w:hAnsi="Times New Roman" w:cs="Times New Roman"/>
          <w:i/>
          <w:sz w:val="24"/>
          <w:szCs w:val="24"/>
          <w:lang w:val="fr-FR"/>
        </w:rPr>
        <w:t>renoncer à une succession ou à un legs universel ou à titre universel, sans préjudice de l'article 784/1, ou l'accepter, ce qui ne pourra se faire que sous bénéfice d'inventaire. Le juge de paix peut, par une ordonnance motivée, octroyer l'autorisation d'accepter une succession, un legs universel ou à titre universel purement et simplement, compte tenu de la nature et de la consistance du patrimoine hérité et pour autant que les bénéfices soient manifestement supérieurs aux charges du patrimoine hérité »</w:t>
      </w:r>
      <w:r w:rsidRPr="000256FA">
        <w:rPr>
          <w:rFonts w:ascii="Times New Roman" w:hAnsi="Times New Roman" w:cs="Times New Roman"/>
          <w:sz w:val="24"/>
          <w:szCs w:val="24"/>
          <w:lang w:val="fr-FR"/>
        </w:rPr>
        <w:t>.</w:t>
      </w:r>
    </w:p>
    <w:p w14:paraId="5A43C43F" w14:textId="77777777" w:rsidR="00AD2FBC" w:rsidRPr="000256FA" w:rsidRDefault="00AD2FBC" w:rsidP="00AD2FBC">
      <w:pPr>
        <w:contextualSpacing/>
        <w:jc w:val="both"/>
        <w:rPr>
          <w:rFonts w:ascii="Times New Roman" w:hAnsi="Times New Roman" w:cs="Times New Roman"/>
          <w:sz w:val="24"/>
          <w:szCs w:val="24"/>
          <w:lang w:val="fr-FR"/>
        </w:rPr>
      </w:pPr>
    </w:p>
    <w:p w14:paraId="13C8DB86" w14:textId="63ED07C2" w:rsidR="003112EB" w:rsidRPr="000256FA" w:rsidRDefault="003112EB"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Il est à noter qu’en principe, le juge de paix ne pourra autoriser la personne protégée (ou plutôt, son administrateur) qu’à renoncer ou accepter</w:t>
      </w:r>
      <w:r w:rsidR="001772F5" w:rsidRPr="000256FA">
        <w:rPr>
          <w:rFonts w:ascii="Times New Roman" w:hAnsi="Times New Roman" w:cs="Times New Roman"/>
          <w:sz w:val="24"/>
          <w:szCs w:val="24"/>
          <w:lang w:val="fr-FR"/>
        </w:rPr>
        <w:t xml:space="preserve"> sous bénéfice d’inventaire</w:t>
      </w:r>
      <w:r w:rsidRPr="000256FA">
        <w:rPr>
          <w:rFonts w:ascii="Times New Roman" w:hAnsi="Times New Roman" w:cs="Times New Roman"/>
          <w:sz w:val="24"/>
          <w:szCs w:val="24"/>
          <w:lang w:val="fr-FR"/>
        </w:rPr>
        <w:t xml:space="preserve"> une succession</w:t>
      </w:r>
      <w:r w:rsidR="001772F5" w:rsidRPr="000256FA">
        <w:rPr>
          <w:rFonts w:ascii="Times New Roman" w:hAnsi="Times New Roman" w:cs="Times New Roman"/>
          <w:sz w:val="24"/>
          <w:szCs w:val="24"/>
          <w:lang w:val="fr-FR"/>
        </w:rPr>
        <w:t xml:space="preserve"> ou un legs universel ou à titre universel</w:t>
      </w:r>
      <w:r w:rsidRPr="000256FA">
        <w:rPr>
          <w:rFonts w:ascii="Times New Roman" w:hAnsi="Times New Roman" w:cs="Times New Roman"/>
          <w:sz w:val="24"/>
          <w:szCs w:val="24"/>
          <w:lang w:val="fr-FR"/>
        </w:rPr>
        <w:t>. Néanmoins, à certaines conditions</w:t>
      </w:r>
      <w:r w:rsidRPr="000256FA">
        <w:rPr>
          <w:rStyle w:val="Appelnotedebasdep"/>
          <w:rFonts w:ascii="Times New Roman" w:hAnsi="Times New Roman" w:cs="Times New Roman"/>
          <w:sz w:val="24"/>
          <w:szCs w:val="24"/>
          <w:lang w:val="fr-FR"/>
        </w:rPr>
        <w:footnoteReference w:id="72"/>
      </w:r>
      <w:r w:rsidRPr="000256FA">
        <w:rPr>
          <w:rFonts w:ascii="Times New Roman" w:hAnsi="Times New Roman" w:cs="Times New Roman"/>
          <w:sz w:val="24"/>
          <w:szCs w:val="24"/>
          <w:lang w:val="fr-FR"/>
        </w:rPr>
        <w:t>, le juge de paix pourrait autoriser l’administrateur à accepter une succession</w:t>
      </w:r>
      <w:r w:rsidR="001772F5" w:rsidRPr="000256FA">
        <w:rPr>
          <w:rFonts w:ascii="Times New Roman" w:hAnsi="Times New Roman" w:cs="Times New Roman"/>
          <w:sz w:val="24"/>
          <w:szCs w:val="24"/>
          <w:lang w:val="fr-FR"/>
        </w:rPr>
        <w:t xml:space="preserve"> ou un legs universel ou à titre universel</w:t>
      </w:r>
      <w:r w:rsidRPr="000256FA">
        <w:rPr>
          <w:rFonts w:ascii="Times New Roman" w:hAnsi="Times New Roman" w:cs="Times New Roman"/>
          <w:sz w:val="24"/>
          <w:szCs w:val="24"/>
          <w:lang w:val="fr-FR"/>
        </w:rPr>
        <w:t xml:space="preserve"> purement et simplement.</w:t>
      </w:r>
    </w:p>
    <w:p w14:paraId="174F8601" w14:textId="60D496C0" w:rsidR="001772F5" w:rsidRPr="000256FA" w:rsidRDefault="001772F5" w:rsidP="00AD2FBC">
      <w:pPr>
        <w:contextualSpacing/>
        <w:jc w:val="both"/>
        <w:rPr>
          <w:rFonts w:ascii="Times New Roman" w:hAnsi="Times New Roman" w:cs="Times New Roman"/>
          <w:sz w:val="24"/>
          <w:szCs w:val="24"/>
          <w:lang w:val="fr-FR"/>
        </w:rPr>
      </w:pPr>
    </w:p>
    <w:p w14:paraId="56A81B0A" w14:textId="64792EFC" w:rsidR="001772F5" w:rsidRPr="000256FA" w:rsidRDefault="001772F5"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Il doit également être signalé que la disposition ne prévoit pas d’autorisation du juge de paix pour accepter ou renoncer un legs particulier.</w:t>
      </w:r>
    </w:p>
    <w:p w14:paraId="0E306720" w14:textId="77777777" w:rsidR="003112EB" w:rsidRPr="000256FA" w:rsidRDefault="003112EB" w:rsidP="00AD2FBC">
      <w:pPr>
        <w:contextualSpacing/>
        <w:jc w:val="both"/>
        <w:rPr>
          <w:rFonts w:ascii="Times New Roman" w:hAnsi="Times New Roman" w:cs="Times New Roman"/>
          <w:sz w:val="24"/>
          <w:szCs w:val="24"/>
          <w:lang w:val="fr-FR"/>
        </w:rPr>
      </w:pPr>
    </w:p>
    <w:p w14:paraId="74CC86D1" w14:textId="5AE95EF7" w:rsidR="00AD2FBC" w:rsidRPr="000256FA" w:rsidRDefault="003112EB"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En tout état de cause, a</w:t>
      </w:r>
      <w:r w:rsidR="00AD2FBC" w:rsidRPr="000256FA">
        <w:rPr>
          <w:rFonts w:ascii="Times New Roman" w:hAnsi="Times New Roman" w:cs="Times New Roman"/>
          <w:sz w:val="24"/>
          <w:szCs w:val="24"/>
          <w:lang w:val="fr-FR"/>
        </w:rPr>
        <w:t xml:space="preserve">vant d’accepter une succession, même bénéficiaire, </w:t>
      </w:r>
      <w:r w:rsidRPr="000256FA">
        <w:rPr>
          <w:rFonts w:ascii="Times New Roman" w:hAnsi="Times New Roman" w:cs="Times New Roman"/>
          <w:sz w:val="24"/>
          <w:szCs w:val="24"/>
          <w:lang w:val="fr-FR"/>
        </w:rPr>
        <w:t xml:space="preserve">l’administrateur de </w:t>
      </w:r>
      <w:r w:rsidR="00AD2FBC" w:rsidRPr="000256FA">
        <w:rPr>
          <w:rFonts w:ascii="Times New Roman" w:hAnsi="Times New Roman" w:cs="Times New Roman"/>
          <w:sz w:val="24"/>
          <w:szCs w:val="24"/>
          <w:lang w:val="fr-FR"/>
        </w:rPr>
        <w:t>la personne protégée devra donc obtenir l’autorisation du juge de paix de ce faire</w:t>
      </w:r>
      <w:r w:rsidR="00401A08" w:rsidRPr="000256FA">
        <w:rPr>
          <w:rStyle w:val="Appelnotedebasdep"/>
          <w:rFonts w:ascii="Times New Roman" w:hAnsi="Times New Roman" w:cs="Times New Roman"/>
          <w:sz w:val="24"/>
          <w:szCs w:val="24"/>
          <w:lang w:val="fr-FR"/>
        </w:rPr>
        <w:footnoteReference w:id="73"/>
      </w:r>
      <w:r w:rsidR="00AD2FBC" w:rsidRPr="000256FA">
        <w:rPr>
          <w:rFonts w:ascii="Times New Roman" w:hAnsi="Times New Roman" w:cs="Times New Roman"/>
          <w:sz w:val="24"/>
          <w:szCs w:val="24"/>
          <w:lang w:val="fr-FR"/>
        </w:rPr>
        <w:t>. A défaut de ce faire, l’acceptation de la succession sera nulle de droit</w:t>
      </w:r>
      <w:r w:rsidR="00AD2FBC" w:rsidRPr="000256FA">
        <w:rPr>
          <w:rStyle w:val="Appelnotedebasdep"/>
          <w:rFonts w:ascii="Times New Roman" w:hAnsi="Times New Roman" w:cs="Times New Roman"/>
          <w:sz w:val="24"/>
          <w:szCs w:val="24"/>
          <w:lang w:val="fr-FR"/>
        </w:rPr>
        <w:footnoteReference w:id="74"/>
      </w:r>
      <w:r w:rsidR="00AD2FBC" w:rsidRPr="000256FA">
        <w:rPr>
          <w:rFonts w:ascii="Times New Roman" w:hAnsi="Times New Roman" w:cs="Times New Roman"/>
          <w:sz w:val="24"/>
          <w:szCs w:val="24"/>
          <w:lang w:val="fr-FR"/>
        </w:rPr>
        <w:t xml:space="preserve">, cette nullité ne pouvant être invoquée que par la personne protégée ou un administrateur </w:t>
      </w:r>
      <w:r w:rsidR="00AD2FBC" w:rsidRPr="000256FA">
        <w:rPr>
          <w:rFonts w:ascii="Times New Roman" w:hAnsi="Times New Roman" w:cs="Times New Roman"/>
          <w:i/>
          <w:sz w:val="24"/>
          <w:szCs w:val="24"/>
          <w:lang w:val="fr-FR"/>
        </w:rPr>
        <w:t>ad hoc</w:t>
      </w:r>
      <w:r w:rsidR="00AD2FBC" w:rsidRPr="000256FA">
        <w:rPr>
          <w:rFonts w:ascii="Times New Roman" w:hAnsi="Times New Roman" w:cs="Times New Roman"/>
          <w:sz w:val="24"/>
          <w:szCs w:val="24"/>
          <w:lang w:val="fr-FR"/>
        </w:rPr>
        <w:t xml:space="preserve"> et pouvant être couverte à condition d’obtenir, </w:t>
      </w:r>
      <w:r w:rsidR="00AD2FBC" w:rsidRPr="000256FA">
        <w:rPr>
          <w:rFonts w:ascii="Times New Roman" w:hAnsi="Times New Roman" w:cs="Times New Roman"/>
          <w:i/>
          <w:sz w:val="24"/>
          <w:szCs w:val="24"/>
          <w:lang w:val="fr-FR"/>
        </w:rPr>
        <w:t>a posteriori</w:t>
      </w:r>
      <w:r w:rsidR="00AD2FBC" w:rsidRPr="000256FA">
        <w:rPr>
          <w:rFonts w:ascii="Times New Roman" w:hAnsi="Times New Roman" w:cs="Times New Roman"/>
          <w:sz w:val="24"/>
          <w:szCs w:val="24"/>
          <w:lang w:val="fr-FR"/>
        </w:rPr>
        <w:t>, l’autorisation du juge de paix.</w:t>
      </w:r>
    </w:p>
    <w:p w14:paraId="655CE946" w14:textId="77777777" w:rsidR="00AD2FBC" w:rsidRPr="000256FA" w:rsidRDefault="00AD2FBC" w:rsidP="00AD2FBC">
      <w:pPr>
        <w:contextualSpacing/>
        <w:jc w:val="both"/>
        <w:rPr>
          <w:rFonts w:ascii="Times New Roman" w:hAnsi="Times New Roman" w:cs="Times New Roman"/>
          <w:sz w:val="24"/>
          <w:szCs w:val="24"/>
          <w:lang w:val="fr-FR"/>
        </w:rPr>
      </w:pPr>
    </w:p>
    <w:p w14:paraId="386E0B41" w14:textId="77777777" w:rsidR="00AD2FBC" w:rsidRPr="000256FA" w:rsidRDefault="00AD2FBC" w:rsidP="00AD2FBC">
      <w:pPr>
        <w:ind w:firstLine="708"/>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IV. Conclusion</w:t>
      </w:r>
    </w:p>
    <w:p w14:paraId="70B29ADF" w14:textId="77777777" w:rsidR="00AD2FBC" w:rsidRPr="000256FA" w:rsidRDefault="00AD2FBC" w:rsidP="00AD2FBC">
      <w:pPr>
        <w:contextualSpacing/>
        <w:jc w:val="both"/>
        <w:rPr>
          <w:rFonts w:ascii="Times New Roman" w:hAnsi="Times New Roman" w:cs="Times New Roman"/>
          <w:sz w:val="24"/>
          <w:szCs w:val="24"/>
          <w:lang w:val="fr-FR"/>
        </w:rPr>
      </w:pPr>
    </w:p>
    <w:p w14:paraId="0EEC4A30" w14:textId="1212EB7D"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b/>
          <w:sz w:val="24"/>
          <w:szCs w:val="24"/>
          <w:lang w:val="fr-FR"/>
        </w:rPr>
        <w:t>1</w:t>
      </w:r>
      <w:r w:rsidR="00BD1CC3" w:rsidRPr="000256FA">
        <w:rPr>
          <w:rFonts w:ascii="Times New Roman" w:hAnsi="Times New Roman" w:cs="Times New Roman"/>
          <w:b/>
          <w:sz w:val="24"/>
          <w:szCs w:val="24"/>
          <w:lang w:val="fr-FR"/>
        </w:rPr>
        <w:t>8</w:t>
      </w:r>
      <w:r w:rsidRPr="000256FA">
        <w:rPr>
          <w:rFonts w:ascii="Times New Roman" w:hAnsi="Times New Roman" w:cs="Times New Roman"/>
          <w:b/>
          <w:sz w:val="24"/>
          <w:szCs w:val="24"/>
          <w:lang w:val="fr-FR"/>
        </w:rPr>
        <w:t>. Conclusion –</w:t>
      </w:r>
      <w:r w:rsidRPr="000256FA">
        <w:rPr>
          <w:rFonts w:ascii="Times New Roman" w:hAnsi="Times New Roman" w:cs="Times New Roman"/>
          <w:sz w:val="24"/>
          <w:szCs w:val="24"/>
          <w:lang w:val="fr-FR"/>
        </w:rPr>
        <w:t xml:space="preserve"> Ces quelques lignes permettent de mettre en lumière quelques différences existant entre les régimes du règlement collectif de dettes, de la minorité et du placement d’une personne majeure sous protection.</w:t>
      </w:r>
    </w:p>
    <w:p w14:paraId="19E6B994" w14:textId="77777777" w:rsidR="00AD2FBC" w:rsidRPr="000256FA" w:rsidRDefault="00AD2FBC" w:rsidP="00AD2FBC">
      <w:pPr>
        <w:contextualSpacing/>
        <w:jc w:val="both"/>
        <w:rPr>
          <w:rFonts w:ascii="Times New Roman" w:hAnsi="Times New Roman" w:cs="Times New Roman"/>
          <w:sz w:val="24"/>
          <w:szCs w:val="24"/>
          <w:lang w:val="fr-FR"/>
        </w:rPr>
      </w:pPr>
    </w:p>
    <w:p w14:paraId="436A27B3"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lastRenderedPageBreak/>
        <w:t>Tout d’abord, le règlement collectif de dettes n’a aucunement pour conséquence de rendre le médié incapable de poser certains actes, au contraire du régime de la minorité et de celui de la protection des personnes majeures.</w:t>
      </w:r>
    </w:p>
    <w:p w14:paraId="5A81DC10" w14:textId="77777777" w:rsidR="00AD2FBC" w:rsidRPr="000256FA" w:rsidRDefault="00AD2FBC" w:rsidP="00AD2FBC">
      <w:pPr>
        <w:contextualSpacing/>
        <w:jc w:val="both"/>
        <w:rPr>
          <w:rFonts w:ascii="Times New Roman" w:hAnsi="Times New Roman" w:cs="Times New Roman"/>
          <w:sz w:val="24"/>
          <w:szCs w:val="24"/>
          <w:lang w:val="fr-FR"/>
        </w:rPr>
      </w:pPr>
    </w:p>
    <w:p w14:paraId="42E42A14" w14:textId="2BABD9A3"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 xml:space="preserve">Quant à la question de savoir si une autorisation doit, ou non, être demandée pour accepter une succession bénéficiaire, les réponses sont, là aussi, différentes. La réponse est affirmative dans le cas de la minorité. Dans le cas de la protection d’une personne majeure, </w:t>
      </w:r>
      <w:r w:rsidR="00D45B8F" w:rsidRPr="000256FA">
        <w:rPr>
          <w:rFonts w:ascii="Times New Roman" w:hAnsi="Times New Roman" w:cs="Times New Roman"/>
          <w:sz w:val="24"/>
          <w:szCs w:val="24"/>
          <w:lang w:val="fr-FR"/>
        </w:rPr>
        <w:t>il en est de même</w:t>
      </w:r>
      <w:r w:rsidRPr="000256FA">
        <w:rPr>
          <w:rFonts w:ascii="Times New Roman" w:hAnsi="Times New Roman" w:cs="Times New Roman"/>
          <w:sz w:val="24"/>
          <w:szCs w:val="24"/>
          <w:lang w:val="fr-FR"/>
        </w:rPr>
        <w:t xml:space="preserve"> lorsque cette personne a été placée sous le statut de la représentation judiciaire quant à ses biens. La réponse à la question est</w:t>
      </w:r>
      <w:r w:rsidR="00655846" w:rsidRPr="000256FA">
        <w:rPr>
          <w:rFonts w:ascii="Times New Roman" w:hAnsi="Times New Roman" w:cs="Times New Roman"/>
          <w:sz w:val="24"/>
          <w:szCs w:val="24"/>
          <w:lang w:val="fr-FR"/>
        </w:rPr>
        <w:t>,</w:t>
      </w:r>
      <w:r w:rsidRPr="000256FA">
        <w:rPr>
          <w:rFonts w:ascii="Times New Roman" w:hAnsi="Times New Roman" w:cs="Times New Roman"/>
          <w:sz w:val="24"/>
          <w:szCs w:val="24"/>
          <w:lang w:val="fr-FR"/>
        </w:rPr>
        <w:t xml:space="preserve"> par contre</w:t>
      </w:r>
      <w:r w:rsidR="00655846" w:rsidRPr="000256FA">
        <w:rPr>
          <w:rFonts w:ascii="Times New Roman" w:hAnsi="Times New Roman" w:cs="Times New Roman"/>
          <w:sz w:val="24"/>
          <w:szCs w:val="24"/>
          <w:lang w:val="fr-FR"/>
        </w:rPr>
        <w:t>,</w:t>
      </w:r>
      <w:r w:rsidRPr="000256FA">
        <w:rPr>
          <w:rFonts w:ascii="Times New Roman" w:hAnsi="Times New Roman" w:cs="Times New Roman"/>
          <w:sz w:val="24"/>
          <w:szCs w:val="24"/>
          <w:lang w:val="fr-FR"/>
        </w:rPr>
        <w:t xml:space="preserve"> moins nette en ce qui concerne le règlement collectif de dettes. Au contraire de ce qu’il a fait pour la minorité et la protection </w:t>
      </w:r>
      <w:r w:rsidR="00655846" w:rsidRPr="000256FA">
        <w:rPr>
          <w:rFonts w:ascii="Times New Roman" w:hAnsi="Times New Roman" w:cs="Times New Roman"/>
          <w:sz w:val="24"/>
          <w:szCs w:val="24"/>
          <w:lang w:val="fr-FR"/>
        </w:rPr>
        <w:t xml:space="preserve">judiciaire </w:t>
      </w:r>
      <w:r w:rsidRPr="000256FA">
        <w:rPr>
          <w:rFonts w:ascii="Times New Roman" w:hAnsi="Times New Roman" w:cs="Times New Roman"/>
          <w:sz w:val="24"/>
          <w:szCs w:val="24"/>
          <w:lang w:val="fr-FR"/>
        </w:rPr>
        <w:t>des personnes majeures, le législateur n’a</w:t>
      </w:r>
      <w:r w:rsidR="00655846" w:rsidRPr="000256FA">
        <w:rPr>
          <w:rFonts w:ascii="Times New Roman" w:hAnsi="Times New Roman" w:cs="Times New Roman"/>
          <w:sz w:val="24"/>
          <w:szCs w:val="24"/>
          <w:lang w:val="fr-FR"/>
        </w:rPr>
        <w:t>,</w:t>
      </w:r>
      <w:r w:rsidRPr="000256FA">
        <w:rPr>
          <w:rFonts w:ascii="Times New Roman" w:hAnsi="Times New Roman" w:cs="Times New Roman"/>
          <w:sz w:val="24"/>
          <w:szCs w:val="24"/>
          <w:lang w:val="fr-FR"/>
        </w:rPr>
        <w:t xml:space="preserve"> en effet</w:t>
      </w:r>
      <w:r w:rsidR="00655846" w:rsidRPr="000256FA">
        <w:rPr>
          <w:rFonts w:ascii="Times New Roman" w:hAnsi="Times New Roman" w:cs="Times New Roman"/>
          <w:sz w:val="24"/>
          <w:szCs w:val="24"/>
          <w:lang w:val="fr-FR"/>
        </w:rPr>
        <w:t>,</w:t>
      </w:r>
      <w:r w:rsidRPr="000256FA">
        <w:rPr>
          <w:rFonts w:ascii="Times New Roman" w:hAnsi="Times New Roman" w:cs="Times New Roman"/>
          <w:sz w:val="24"/>
          <w:szCs w:val="24"/>
          <w:lang w:val="fr-FR"/>
        </w:rPr>
        <w:t xml:space="preserve"> pas listé, pour le règlement collectif de dettes, d’actes précis requérant une autorisation préalable du tribunal du travail et s’est contenté d’une formule générale (« tout acte étranger à la gestion normale du patrimoine »). Comme nous avons pu le préciser, une autorisation d’accepter une succession bénéficiaire peut évidemment être sollicitée, mais elle nous semble superflue car elle n’entraîne aucun inconvénient pour le médié.</w:t>
      </w:r>
    </w:p>
    <w:p w14:paraId="7AC905F2" w14:textId="0CF61CEA" w:rsidR="00B814D0" w:rsidRPr="000256FA" w:rsidRDefault="00B814D0" w:rsidP="00AD2FBC">
      <w:pPr>
        <w:contextualSpacing/>
        <w:jc w:val="both"/>
        <w:rPr>
          <w:rFonts w:ascii="Times New Roman" w:hAnsi="Times New Roman" w:cs="Times New Roman"/>
          <w:sz w:val="24"/>
          <w:szCs w:val="24"/>
          <w:lang w:val="fr-FR"/>
        </w:rPr>
      </w:pPr>
    </w:p>
    <w:p w14:paraId="58BFE432" w14:textId="11E7D985" w:rsidR="00B814D0" w:rsidRPr="000256FA" w:rsidRDefault="00B814D0"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 xml:space="preserve">L’acceptation d’un legs universel ou à titre universel est, elle aussi, soumise à une autorisation préalable du juge de paix dans le cas d’une personne majeure placée sous protection et dans le cas d’un mineur. Un médié devra également nécessairement solliciter l’autorisation du tribunal du travail de ce faire puisqu’il s’agit, là aussi, d’un acte étranger à la gestion normale du patrimoine. En cas de minorité, un legs particulier ne pourra être accepté que si le juge de paix a donné l’autorisation de ce faire. </w:t>
      </w:r>
      <w:proofErr w:type="gramStart"/>
      <w:r w:rsidRPr="000256FA">
        <w:rPr>
          <w:rFonts w:ascii="Times New Roman" w:hAnsi="Times New Roman" w:cs="Times New Roman"/>
          <w:sz w:val="24"/>
          <w:szCs w:val="24"/>
          <w:lang w:val="fr-FR"/>
        </w:rPr>
        <w:t>Il en est, par contre, autrement en cas de personne</w:t>
      </w:r>
      <w:proofErr w:type="gramEnd"/>
      <w:r w:rsidRPr="000256FA">
        <w:rPr>
          <w:rFonts w:ascii="Times New Roman" w:hAnsi="Times New Roman" w:cs="Times New Roman"/>
          <w:sz w:val="24"/>
          <w:szCs w:val="24"/>
          <w:lang w:val="fr-FR"/>
        </w:rPr>
        <w:t xml:space="preserve"> majeure placée sous protection. De même, il est, selon nous, superflu de solliciter cette autorisation auprès du tribunal du travail en cas de règlement collectif de dettes dans la mesure où l’acceptation d’un legs particulier n’entraîne en principe que des avantages.</w:t>
      </w:r>
    </w:p>
    <w:p w14:paraId="462F1A0E" w14:textId="77777777" w:rsidR="00AD2FBC" w:rsidRPr="000256FA" w:rsidRDefault="00AD2FBC" w:rsidP="00AD2FBC">
      <w:pPr>
        <w:contextualSpacing/>
        <w:jc w:val="both"/>
        <w:rPr>
          <w:rFonts w:ascii="Times New Roman" w:hAnsi="Times New Roman" w:cs="Times New Roman"/>
          <w:sz w:val="24"/>
          <w:szCs w:val="24"/>
          <w:lang w:val="fr-FR"/>
        </w:rPr>
      </w:pPr>
    </w:p>
    <w:p w14:paraId="18076E4B" w14:textId="77777777" w:rsidR="00AD2FBC" w:rsidRPr="000256FA" w:rsidRDefault="00AD2FBC" w:rsidP="00AD2FBC">
      <w:pPr>
        <w:contextualSpacing/>
        <w:jc w:val="both"/>
        <w:rPr>
          <w:rFonts w:ascii="Times New Roman" w:hAnsi="Times New Roman" w:cs="Times New Roman"/>
          <w:sz w:val="24"/>
          <w:szCs w:val="24"/>
          <w:lang w:val="fr-FR"/>
        </w:rPr>
      </w:pPr>
      <w:r w:rsidRPr="000256FA">
        <w:rPr>
          <w:rFonts w:ascii="Times New Roman" w:hAnsi="Times New Roman" w:cs="Times New Roman"/>
          <w:sz w:val="24"/>
          <w:szCs w:val="24"/>
          <w:lang w:val="fr-FR"/>
        </w:rPr>
        <w:t xml:space="preserve">Enfin, des différences existent également sur le plan des sanctions apportées aux actes posés en violation de l’autorisation préalable à obtenir. En cas de minorité et de protection </w:t>
      </w:r>
      <w:r w:rsidR="00655846" w:rsidRPr="000256FA">
        <w:rPr>
          <w:rFonts w:ascii="Times New Roman" w:hAnsi="Times New Roman" w:cs="Times New Roman"/>
          <w:sz w:val="24"/>
          <w:szCs w:val="24"/>
          <w:lang w:val="fr-FR"/>
        </w:rPr>
        <w:t xml:space="preserve">judiciaire </w:t>
      </w:r>
      <w:r w:rsidRPr="000256FA">
        <w:rPr>
          <w:rFonts w:ascii="Times New Roman" w:hAnsi="Times New Roman" w:cs="Times New Roman"/>
          <w:sz w:val="24"/>
          <w:szCs w:val="24"/>
          <w:lang w:val="fr-FR"/>
        </w:rPr>
        <w:t xml:space="preserve">d’une personne majeure, la sanction est la nullité relative de l’acte posé tandis que le législateur a opté pour une inopposabilité aux créanciers de l’acte posé par le médié en violation de la demande d’autorisation préalable. </w:t>
      </w:r>
    </w:p>
    <w:p w14:paraId="701EF99A" w14:textId="77777777" w:rsidR="00AD2FBC" w:rsidRPr="000256FA" w:rsidRDefault="00AD2FBC" w:rsidP="00AD2FBC">
      <w:pPr>
        <w:contextualSpacing/>
        <w:jc w:val="both"/>
        <w:rPr>
          <w:rFonts w:ascii="Times New Roman" w:hAnsi="Times New Roman" w:cs="Times New Roman"/>
          <w:sz w:val="24"/>
          <w:szCs w:val="24"/>
          <w:lang w:val="fr-FR"/>
        </w:rPr>
      </w:pPr>
    </w:p>
    <w:p w14:paraId="6F5A7849" w14:textId="77777777" w:rsidR="00AD2FBC" w:rsidRPr="000256FA" w:rsidRDefault="00AD2FBC" w:rsidP="00AD2FBC">
      <w:pPr>
        <w:contextualSpacing/>
        <w:jc w:val="both"/>
        <w:rPr>
          <w:rFonts w:ascii="Times New Roman" w:hAnsi="Times New Roman" w:cs="Times New Roman"/>
          <w:sz w:val="24"/>
          <w:szCs w:val="24"/>
          <w:lang w:val="fr-FR"/>
        </w:rPr>
      </w:pPr>
    </w:p>
    <w:p w14:paraId="7CC585B9" w14:textId="77777777" w:rsidR="00AD2FBC" w:rsidRPr="000256FA" w:rsidRDefault="00AD2FBC" w:rsidP="00AD2FBC">
      <w:pPr>
        <w:contextualSpacing/>
        <w:jc w:val="right"/>
        <w:rPr>
          <w:rFonts w:ascii="Times New Roman" w:hAnsi="Times New Roman" w:cs="Times New Roman"/>
          <w:smallCaps/>
          <w:sz w:val="24"/>
          <w:szCs w:val="24"/>
          <w:lang w:val="fr-FR"/>
        </w:rPr>
      </w:pPr>
      <w:r w:rsidRPr="000256FA">
        <w:rPr>
          <w:rFonts w:ascii="Times New Roman" w:hAnsi="Times New Roman" w:cs="Times New Roman"/>
          <w:sz w:val="24"/>
          <w:szCs w:val="24"/>
          <w:lang w:val="fr-FR"/>
        </w:rPr>
        <w:t xml:space="preserve">Albane </w:t>
      </w:r>
      <w:r w:rsidRPr="000256FA">
        <w:rPr>
          <w:rFonts w:ascii="Times New Roman" w:hAnsi="Times New Roman" w:cs="Times New Roman"/>
          <w:smallCaps/>
          <w:sz w:val="24"/>
          <w:szCs w:val="24"/>
          <w:lang w:val="fr-FR"/>
        </w:rPr>
        <w:t>Toussaint</w:t>
      </w:r>
    </w:p>
    <w:p w14:paraId="40A7F821" w14:textId="77777777" w:rsidR="00AD2FBC" w:rsidRPr="000256FA" w:rsidRDefault="00AD2FBC" w:rsidP="00AD2FBC">
      <w:pPr>
        <w:contextualSpacing/>
        <w:jc w:val="right"/>
        <w:rPr>
          <w:rFonts w:ascii="Times New Roman" w:hAnsi="Times New Roman" w:cs="Times New Roman"/>
          <w:sz w:val="24"/>
          <w:szCs w:val="24"/>
          <w:lang w:val="fr-FR"/>
        </w:rPr>
      </w:pPr>
      <w:r w:rsidRPr="000256FA">
        <w:rPr>
          <w:rFonts w:ascii="Times New Roman" w:hAnsi="Times New Roman" w:cs="Times New Roman"/>
          <w:sz w:val="24"/>
          <w:szCs w:val="24"/>
          <w:lang w:val="fr-FR"/>
        </w:rPr>
        <w:t>Assistante au Centre de droit privé de l’UCLouvain</w:t>
      </w:r>
    </w:p>
    <w:p w14:paraId="06E6CF73" w14:textId="77777777" w:rsidR="00AD2FBC" w:rsidRPr="00BA765A" w:rsidRDefault="00AD2FBC" w:rsidP="00AD2FBC">
      <w:pPr>
        <w:contextualSpacing/>
        <w:jc w:val="right"/>
        <w:rPr>
          <w:rFonts w:ascii="Times New Roman" w:hAnsi="Times New Roman" w:cs="Times New Roman"/>
          <w:sz w:val="24"/>
          <w:szCs w:val="24"/>
          <w:lang w:val="fr-FR"/>
        </w:rPr>
      </w:pPr>
      <w:r w:rsidRPr="000256FA">
        <w:rPr>
          <w:rFonts w:ascii="Times New Roman" w:hAnsi="Times New Roman" w:cs="Times New Roman"/>
          <w:sz w:val="24"/>
          <w:szCs w:val="24"/>
          <w:lang w:val="fr-FR"/>
        </w:rPr>
        <w:t>Avocate au Barreau de Mons</w:t>
      </w:r>
    </w:p>
    <w:p w14:paraId="5FB130DD" w14:textId="77777777" w:rsidR="00AD2FBC" w:rsidRDefault="00AD2FBC" w:rsidP="00AD2FBC">
      <w:pPr>
        <w:contextualSpacing/>
        <w:jc w:val="both"/>
        <w:rPr>
          <w:rFonts w:ascii="Times New Roman" w:hAnsi="Times New Roman" w:cs="Times New Roman"/>
          <w:sz w:val="24"/>
          <w:szCs w:val="24"/>
          <w:lang w:val="fr-FR"/>
        </w:rPr>
      </w:pPr>
    </w:p>
    <w:p w14:paraId="2BAC7011" w14:textId="77777777" w:rsidR="00CB73B3" w:rsidRDefault="00CB73B3"/>
    <w:sectPr w:rsidR="00CB73B3">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DA68EB" w14:textId="77777777" w:rsidR="00575AF6" w:rsidRDefault="00575AF6" w:rsidP="00AD2FBC">
      <w:pPr>
        <w:spacing w:after="0" w:line="240" w:lineRule="auto"/>
      </w:pPr>
      <w:r>
        <w:separator/>
      </w:r>
    </w:p>
  </w:endnote>
  <w:endnote w:type="continuationSeparator" w:id="0">
    <w:p w14:paraId="194F2A0F" w14:textId="77777777" w:rsidR="00575AF6" w:rsidRDefault="00575AF6" w:rsidP="00AD2F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6959347"/>
      <w:docPartObj>
        <w:docPartGallery w:val="Page Numbers (Bottom of Page)"/>
        <w:docPartUnique/>
      </w:docPartObj>
    </w:sdtPr>
    <w:sdtEndPr/>
    <w:sdtContent>
      <w:p w14:paraId="6982D6B1" w14:textId="77777777" w:rsidR="00896030" w:rsidRDefault="00AD2FBC">
        <w:pPr>
          <w:pStyle w:val="Pieddepage"/>
          <w:jc w:val="right"/>
        </w:pPr>
        <w:r>
          <w:fldChar w:fldCharType="begin"/>
        </w:r>
        <w:r>
          <w:instrText>PAGE   \* MERGEFORMAT</w:instrText>
        </w:r>
        <w:r>
          <w:fldChar w:fldCharType="separate"/>
        </w:r>
        <w:r>
          <w:rPr>
            <w:lang w:val="fr-FR"/>
          </w:rPr>
          <w:t>2</w:t>
        </w:r>
        <w:r>
          <w:fldChar w:fldCharType="end"/>
        </w:r>
      </w:p>
    </w:sdtContent>
  </w:sdt>
  <w:p w14:paraId="5B733A9C" w14:textId="77777777" w:rsidR="00896030" w:rsidRDefault="00575AF6">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CE58A0" w14:textId="77777777" w:rsidR="00575AF6" w:rsidRDefault="00575AF6" w:rsidP="00AD2FBC">
      <w:pPr>
        <w:spacing w:after="0" w:line="240" w:lineRule="auto"/>
      </w:pPr>
      <w:r>
        <w:separator/>
      </w:r>
    </w:p>
  </w:footnote>
  <w:footnote w:type="continuationSeparator" w:id="0">
    <w:p w14:paraId="15A082C3" w14:textId="77777777" w:rsidR="00575AF6" w:rsidRDefault="00575AF6" w:rsidP="00AD2FBC">
      <w:pPr>
        <w:spacing w:after="0" w:line="240" w:lineRule="auto"/>
      </w:pPr>
      <w:r>
        <w:continuationSeparator/>
      </w:r>
    </w:p>
  </w:footnote>
  <w:footnote w:id="1">
    <w:p w14:paraId="7BEBFF6D" w14:textId="5C54E73B" w:rsidR="00AD2FBC" w:rsidRPr="000256FA" w:rsidRDefault="00AD2FBC" w:rsidP="00AD2FBC">
      <w:pPr>
        <w:pStyle w:val="Notedebasdepage"/>
        <w:jc w:val="both"/>
        <w:rPr>
          <w:rFonts w:ascii="Times New Roman" w:hAnsi="Times New Roman" w:cs="Times New Roman"/>
          <w:lang w:val="fr-FR"/>
        </w:rPr>
      </w:pPr>
      <w:r w:rsidRPr="00F6759A">
        <w:rPr>
          <w:rStyle w:val="Appelnotedebasdep"/>
          <w:rFonts w:ascii="Times New Roman" w:hAnsi="Times New Roman" w:cs="Times New Roman"/>
        </w:rPr>
        <w:footnoteRef/>
      </w:r>
      <w:r w:rsidRPr="00F6759A">
        <w:rPr>
          <w:rFonts w:ascii="Times New Roman" w:hAnsi="Times New Roman" w:cs="Times New Roman"/>
        </w:rPr>
        <w:t xml:space="preserve"> </w:t>
      </w:r>
      <w:r w:rsidR="001D3D09" w:rsidRPr="00F6759A">
        <w:rPr>
          <w:rFonts w:ascii="Times New Roman" w:hAnsi="Times New Roman" w:cs="Times New Roman"/>
        </w:rPr>
        <w:t>Il faut lire</w:t>
      </w:r>
      <w:r w:rsidRPr="00F6759A">
        <w:rPr>
          <w:rFonts w:ascii="Times New Roman" w:hAnsi="Times New Roman" w:cs="Times New Roman"/>
        </w:rPr>
        <w:t xml:space="preserve"> maintenant</w:t>
      </w:r>
      <w:r w:rsidRPr="000256FA">
        <w:rPr>
          <w:rFonts w:ascii="Times New Roman" w:hAnsi="Times New Roman" w:cs="Times New Roman"/>
        </w:rPr>
        <w:t xml:space="preserve"> « entreprise ».</w:t>
      </w:r>
    </w:p>
  </w:footnote>
  <w:footnote w:id="2">
    <w:p w14:paraId="27B2F62E" w14:textId="77777777" w:rsidR="00AD2FBC" w:rsidRPr="000256FA" w:rsidRDefault="00AD2FBC" w:rsidP="00AD2FBC">
      <w:pPr>
        <w:pStyle w:val="Notedebasdepage"/>
        <w:jc w:val="both"/>
        <w:rPr>
          <w:rFonts w:ascii="Times New Roman" w:hAnsi="Times New Roman" w:cs="Times New Roman"/>
          <w:lang w:val="fr-FR"/>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r w:rsidRPr="000256FA">
        <w:rPr>
          <w:rFonts w:ascii="Times New Roman" w:hAnsi="Times New Roman" w:cs="Times New Roman"/>
          <w:lang w:val="fr-FR"/>
        </w:rPr>
        <w:t xml:space="preserve">Art. 1675/7, §1, al. 1, C. </w:t>
      </w:r>
      <w:proofErr w:type="spellStart"/>
      <w:r w:rsidRPr="000256FA">
        <w:rPr>
          <w:rFonts w:ascii="Times New Roman" w:hAnsi="Times New Roman" w:cs="Times New Roman"/>
          <w:lang w:val="fr-FR"/>
        </w:rPr>
        <w:t>jud</w:t>
      </w:r>
      <w:proofErr w:type="spellEnd"/>
      <w:r w:rsidRPr="000256FA">
        <w:rPr>
          <w:rFonts w:ascii="Times New Roman" w:hAnsi="Times New Roman" w:cs="Times New Roman"/>
          <w:lang w:val="fr-FR"/>
        </w:rPr>
        <w:t xml:space="preserve">.  </w:t>
      </w:r>
    </w:p>
  </w:footnote>
  <w:footnote w:id="3">
    <w:p w14:paraId="179B1DC0" w14:textId="77777777" w:rsidR="00AD2FBC" w:rsidRPr="000256FA" w:rsidRDefault="00AD2FBC" w:rsidP="00AD2FBC">
      <w:pPr>
        <w:pStyle w:val="Notedebasdepage"/>
        <w:jc w:val="both"/>
      </w:pPr>
      <w:r w:rsidRPr="000256FA">
        <w:rPr>
          <w:rStyle w:val="Appelnotedebasdep"/>
          <w:rFonts w:ascii="Times New Roman" w:hAnsi="Times New Roman" w:cs="Times New Roman"/>
        </w:rPr>
        <w:footnoteRef/>
      </w:r>
      <w:r w:rsidRPr="000256FA">
        <w:rPr>
          <w:rFonts w:ascii="Times New Roman" w:hAnsi="Times New Roman" w:cs="Times New Roman"/>
        </w:rPr>
        <w:t xml:space="preserve"> D. </w:t>
      </w:r>
      <w:proofErr w:type="spellStart"/>
      <w:r w:rsidRPr="000256FA">
        <w:rPr>
          <w:rFonts w:ascii="Times New Roman" w:hAnsi="Times New Roman" w:cs="Times New Roman"/>
          <w:smallCaps/>
        </w:rPr>
        <w:t>Patart</w:t>
      </w:r>
      <w:proofErr w:type="spellEnd"/>
      <w:r w:rsidRPr="000256FA">
        <w:rPr>
          <w:rFonts w:ascii="Times New Roman" w:hAnsi="Times New Roman" w:cs="Times New Roman"/>
        </w:rPr>
        <w:t xml:space="preserve">, </w:t>
      </w:r>
      <w:proofErr w:type="spellStart"/>
      <w:r w:rsidRPr="000256FA">
        <w:rPr>
          <w:rFonts w:ascii="Times New Roman" w:hAnsi="Times New Roman" w:cs="Times New Roman"/>
          <w:i/>
        </w:rPr>
        <w:t>Rép</w:t>
      </w:r>
      <w:proofErr w:type="spellEnd"/>
      <w:r w:rsidRPr="000256FA">
        <w:rPr>
          <w:rFonts w:ascii="Times New Roman" w:hAnsi="Times New Roman" w:cs="Times New Roman"/>
          <w:i/>
        </w:rPr>
        <w:t>. Not.</w:t>
      </w:r>
      <w:r w:rsidRPr="000256FA">
        <w:rPr>
          <w:rFonts w:ascii="Times New Roman" w:hAnsi="Times New Roman" w:cs="Times New Roman"/>
        </w:rPr>
        <w:t xml:space="preserve">, t. XIII, La procédure notariale, Livre 4/12, Le règlement collectif de dettes, </w:t>
      </w:r>
      <w:r w:rsidR="00D46019" w:rsidRPr="000256FA">
        <w:rPr>
          <w:rFonts w:ascii="Times New Roman" w:hAnsi="Times New Roman" w:cs="Times New Roman"/>
        </w:rPr>
        <w:t>2008,</w:t>
      </w:r>
      <w:r w:rsidR="00FF09B8" w:rsidRPr="000256FA">
        <w:rPr>
          <w:rFonts w:ascii="Times New Roman" w:hAnsi="Times New Roman" w:cs="Times New Roman"/>
        </w:rPr>
        <w:t xml:space="preserve"> </w:t>
      </w:r>
      <w:r w:rsidRPr="000256FA">
        <w:rPr>
          <w:rFonts w:ascii="Times New Roman" w:hAnsi="Times New Roman" w:cs="Times New Roman"/>
        </w:rPr>
        <w:t>p. 164, n° 135.</w:t>
      </w:r>
    </w:p>
  </w:footnote>
  <w:footnote w:id="4">
    <w:p w14:paraId="34D11CD4" w14:textId="77777777" w:rsidR="00AD2FBC" w:rsidRPr="000256FA" w:rsidRDefault="00AD2FBC" w:rsidP="00AD2FBC">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J. </w:t>
      </w:r>
      <w:r w:rsidRPr="000256FA">
        <w:rPr>
          <w:rFonts w:ascii="Times New Roman" w:hAnsi="Times New Roman" w:cs="Times New Roman"/>
          <w:smallCaps/>
        </w:rPr>
        <w:t>Denis</w:t>
      </w:r>
      <w:r w:rsidRPr="000256FA">
        <w:rPr>
          <w:rFonts w:ascii="Times New Roman" w:hAnsi="Times New Roman" w:cs="Times New Roman"/>
        </w:rPr>
        <w:t xml:space="preserve">, M. </w:t>
      </w:r>
      <w:r w:rsidRPr="000256FA">
        <w:rPr>
          <w:rFonts w:ascii="Times New Roman" w:hAnsi="Times New Roman" w:cs="Times New Roman"/>
          <w:smallCaps/>
        </w:rPr>
        <w:t>Boonen</w:t>
      </w:r>
      <w:r w:rsidRPr="000256FA">
        <w:rPr>
          <w:rFonts w:ascii="Times New Roman" w:hAnsi="Times New Roman" w:cs="Times New Roman"/>
        </w:rPr>
        <w:t xml:space="preserve"> et S. </w:t>
      </w:r>
      <w:r w:rsidRPr="000256FA">
        <w:rPr>
          <w:rFonts w:ascii="Times New Roman" w:hAnsi="Times New Roman" w:cs="Times New Roman"/>
          <w:smallCaps/>
        </w:rPr>
        <w:t>Duquesnoy</w:t>
      </w:r>
      <w:r w:rsidRPr="000256FA">
        <w:rPr>
          <w:rFonts w:ascii="Times New Roman" w:hAnsi="Times New Roman" w:cs="Times New Roman"/>
        </w:rPr>
        <w:t xml:space="preserve">, </w:t>
      </w:r>
      <w:r w:rsidRPr="000256FA">
        <w:rPr>
          <w:rFonts w:ascii="Times New Roman" w:hAnsi="Times New Roman" w:cs="Times New Roman"/>
          <w:i/>
        </w:rPr>
        <w:t>Le règlement collectif de dettes</w:t>
      </w:r>
      <w:r w:rsidRPr="000256FA">
        <w:rPr>
          <w:rFonts w:ascii="Times New Roman" w:hAnsi="Times New Roman" w:cs="Times New Roman"/>
        </w:rPr>
        <w:t>, Waterloo, Kluwer, 2010, p. 149.</w:t>
      </w:r>
    </w:p>
  </w:footnote>
  <w:footnote w:id="5">
    <w:p w14:paraId="554BAED5" w14:textId="77777777" w:rsidR="00AD2FBC" w:rsidRPr="000256FA" w:rsidRDefault="00AD2FBC" w:rsidP="00AD2FBC">
      <w:pPr>
        <w:pStyle w:val="Notedebasdepage"/>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r w:rsidRPr="000256FA">
        <w:rPr>
          <w:rFonts w:ascii="Times New Roman" w:hAnsi="Times New Roman" w:cs="Times New Roman"/>
          <w:i/>
        </w:rPr>
        <w:t>Ibid.</w:t>
      </w:r>
      <w:r w:rsidRPr="000256FA">
        <w:rPr>
          <w:rFonts w:ascii="Times New Roman" w:hAnsi="Times New Roman" w:cs="Times New Roman"/>
        </w:rPr>
        <w:t>, p. 149.</w:t>
      </w:r>
    </w:p>
  </w:footnote>
  <w:footnote w:id="6">
    <w:p w14:paraId="537EF599" w14:textId="77777777" w:rsidR="00AD2FBC" w:rsidRPr="000256FA" w:rsidRDefault="00AD2FBC" w:rsidP="00AD2FBC">
      <w:pPr>
        <w:pStyle w:val="Notedebasdepage"/>
        <w:jc w:val="both"/>
        <w:rPr>
          <w:lang w:val="fr-FR"/>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r w:rsidRPr="000256FA">
        <w:rPr>
          <w:rFonts w:ascii="Times New Roman" w:hAnsi="Times New Roman" w:cs="Times New Roman"/>
          <w:lang w:val="fr-FR"/>
        </w:rPr>
        <w:t xml:space="preserve">Projet de loi relatif au règlement collectif de dettes et à la possibilité de vente à gré des biens immeubles saisis, </w:t>
      </w:r>
      <w:r w:rsidRPr="000256FA">
        <w:rPr>
          <w:rFonts w:ascii="Times New Roman" w:hAnsi="Times New Roman" w:cs="Times New Roman"/>
          <w:i/>
          <w:lang w:val="fr-FR"/>
        </w:rPr>
        <w:t xml:space="preserve">Doc. </w:t>
      </w:r>
      <w:proofErr w:type="spellStart"/>
      <w:proofErr w:type="gramStart"/>
      <w:r w:rsidRPr="000256FA">
        <w:rPr>
          <w:rFonts w:ascii="Times New Roman" w:hAnsi="Times New Roman" w:cs="Times New Roman"/>
          <w:i/>
          <w:lang w:val="fr-FR"/>
        </w:rPr>
        <w:t>parl</w:t>
      </w:r>
      <w:proofErr w:type="spellEnd"/>
      <w:proofErr w:type="gramEnd"/>
      <w:r w:rsidRPr="000256FA">
        <w:rPr>
          <w:rFonts w:ascii="Times New Roman" w:hAnsi="Times New Roman" w:cs="Times New Roman"/>
          <w:i/>
          <w:lang w:val="fr-FR"/>
        </w:rPr>
        <w:t>.</w:t>
      </w:r>
      <w:r w:rsidRPr="000256FA">
        <w:rPr>
          <w:rFonts w:ascii="Times New Roman" w:hAnsi="Times New Roman" w:cs="Times New Roman"/>
          <w:lang w:val="fr-FR"/>
        </w:rPr>
        <w:t xml:space="preserve">, Ch. </w:t>
      </w:r>
      <w:proofErr w:type="spellStart"/>
      <w:r w:rsidRPr="000256FA">
        <w:rPr>
          <w:rFonts w:ascii="Times New Roman" w:hAnsi="Times New Roman" w:cs="Times New Roman"/>
          <w:lang w:val="fr-FR"/>
        </w:rPr>
        <w:t>repr</w:t>
      </w:r>
      <w:proofErr w:type="spellEnd"/>
      <w:r w:rsidRPr="000256FA">
        <w:rPr>
          <w:rFonts w:ascii="Times New Roman" w:hAnsi="Times New Roman" w:cs="Times New Roman"/>
          <w:lang w:val="fr-FR"/>
        </w:rPr>
        <w:t xml:space="preserve">., </w:t>
      </w:r>
      <w:proofErr w:type="spellStart"/>
      <w:r w:rsidRPr="000256FA">
        <w:rPr>
          <w:rFonts w:ascii="Times New Roman" w:hAnsi="Times New Roman" w:cs="Times New Roman"/>
          <w:lang w:val="fr-FR"/>
        </w:rPr>
        <w:t>sess</w:t>
      </w:r>
      <w:proofErr w:type="spellEnd"/>
      <w:r w:rsidRPr="000256FA">
        <w:rPr>
          <w:rFonts w:ascii="Times New Roman" w:hAnsi="Times New Roman" w:cs="Times New Roman"/>
          <w:lang w:val="fr-FR"/>
        </w:rPr>
        <w:t xml:space="preserve">. </w:t>
      </w:r>
      <w:proofErr w:type="gramStart"/>
      <w:r w:rsidRPr="000256FA">
        <w:rPr>
          <w:rFonts w:ascii="Times New Roman" w:hAnsi="Times New Roman" w:cs="Times New Roman"/>
          <w:lang w:val="fr-FR"/>
        </w:rPr>
        <w:t>ord</w:t>
      </w:r>
      <w:proofErr w:type="gramEnd"/>
      <w:r w:rsidRPr="000256FA">
        <w:rPr>
          <w:rFonts w:ascii="Times New Roman" w:hAnsi="Times New Roman" w:cs="Times New Roman"/>
          <w:lang w:val="fr-FR"/>
        </w:rPr>
        <w:t>. 1996-1997, n° 1073/1 et 1074/1, p. 32.</w:t>
      </w:r>
    </w:p>
  </w:footnote>
  <w:footnote w:id="7">
    <w:p w14:paraId="48A0CEB7"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D. </w:t>
      </w:r>
      <w:proofErr w:type="spellStart"/>
      <w:r w:rsidRPr="000256FA">
        <w:rPr>
          <w:rFonts w:ascii="Times New Roman" w:hAnsi="Times New Roman" w:cs="Times New Roman"/>
          <w:smallCaps/>
          <w:lang w:val="en-US"/>
        </w:rPr>
        <w:t>Patart</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 164, n° 136.</w:t>
      </w:r>
    </w:p>
  </w:footnote>
  <w:footnote w:id="8">
    <w:p w14:paraId="5C271E0B" w14:textId="77777777" w:rsidR="00AD2FBC" w:rsidRPr="000256FA" w:rsidRDefault="00AD2FBC" w:rsidP="00AD2FBC">
      <w:pPr>
        <w:pStyle w:val="Notedebasdepage"/>
        <w:jc w:val="both"/>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r w:rsidRPr="000256FA">
        <w:rPr>
          <w:rFonts w:ascii="Times New Roman" w:hAnsi="Times New Roman" w:cs="Times New Roman"/>
          <w:i/>
        </w:rPr>
        <w:t>Ibid.</w:t>
      </w:r>
      <w:r w:rsidRPr="000256FA">
        <w:rPr>
          <w:rFonts w:ascii="Times New Roman" w:hAnsi="Times New Roman" w:cs="Times New Roman"/>
        </w:rPr>
        <w:t>, p. 166, n° 137.</w:t>
      </w:r>
    </w:p>
  </w:footnote>
  <w:footnote w:id="9">
    <w:p w14:paraId="63B8647C" w14:textId="77777777" w:rsidR="00AD2FBC" w:rsidRPr="000256FA" w:rsidRDefault="00AD2FBC" w:rsidP="00AD2FBC">
      <w:pPr>
        <w:pStyle w:val="Notedebasdepage"/>
        <w:jc w:val="both"/>
        <w:rPr>
          <w:rFonts w:ascii="Times New Roman" w:hAnsi="Times New Roman" w:cs="Times New Roman"/>
          <w:lang w:val="fr-FR"/>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proofErr w:type="spellStart"/>
      <w:r w:rsidRPr="000256FA">
        <w:rPr>
          <w:rFonts w:ascii="Times New Roman" w:hAnsi="Times New Roman" w:cs="Times New Roman"/>
          <w:lang w:val="fr-FR"/>
        </w:rPr>
        <w:t>Civ</w:t>
      </w:r>
      <w:proofErr w:type="spellEnd"/>
      <w:r w:rsidRPr="000256FA">
        <w:rPr>
          <w:rFonts w:ascii="Times New Roman" w:hAnsi="Times New Roman" w:cs="Times New Roman"/>
          <w:lang w:val="fr-FR"/>
        </w:rPr>
        <w:t xml:space="preserve">. Mons (sais.), 21 mai 2001, </w:t>
      </w:r>
      <w:r w:rsidRPr="000256FA">
        <w:rPr>
          <w:rFonts w:ascii="Times New Roman" w:hAnsi="Times New Roman" w:cs="Times New Roman"/>
          <w:i/>
          <w:lang w:val="fr-FR"/>
        </w:rPr>
        <w:t>Annuaire juridique du crédit</w:t>
      </w:r>
      <w:r w:rsidRPr="000256FA">
        <w:rPr>
          <w:rFonts w:ascii="Times New Roman" w:hAnsi="Times New Roman" w:cs="Times New Roman"/>
          <w:lang w:val="fr-FR"/>
        </w:rPr>
        <w:t>, 2001, p. 360.</w:t>
      </w:r>
    </w:p>
  </w:footnote>
  <w:footnote w:id="10">
    <w:p w14:paraId="33F3D6BE" w14:textId="77777777" w:rsidR="00AD2FBC" w:rsidRPr="000256FA" w:rsidRDefault="00AD2FBC" w:rsidP="00AD2FBC">
      <w:pPr>
        <w:pStyle w:val="Notedebasdepage"/>
        <w:jc w:val="both"/>
        <w:rPr>
          <w:rFonts w:ascii="Times New Roman" w:hAnsi="Times New Roman" w:cs="Times New Roman"/>
          <w:lang w:val="fr-FR"/>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proofErr w:type="spellStart"/>
      <w:r w:rsidRPr="000256FA">
        <w:rPr>
          <w:rFonts w:ascii="Times New Roman" w:hAnsi="Times New Roman" w:cs="Times New Roman"/>
          <w:lang w:val="fr-FR"/>
        </w:rPr>
        <w:t>Civ</w:t>
      </w:r>
      <w:proofErr w:type="spellEnd"/>
      <w:r w:rsidRPr="000256FA">
        <w:rPr>
          <w:rFonts w:ascii="Times New Roman" w:hAnsi="Times New Roman" w:cs="Times New Roman"/>
          <w:lang w:val="fr-FR"/>
        </w:rPr>
        <w:t xml:space="preserve">. Charleroi (sais.), 19 décembre 2007, </w:t>
      </w:r>
      <w:r w:rsidRPr="000256FA">
        <w:rPr>
          <w:rFonts w:ascii="Times New Roman" w:hAnsi="Times New Roman" w:cs="Times New Roman"/>
          <w:i/>
          <w:lang w:val="fr-FR"/>
        </w:rPr>
        <w:t>Annuaire juridique du crédit</w:t>
      </w:r>
      <w:r w:rsidRPr="000256FA">
        <w:rPr>
          <w:rFonts w:ascii="Times New Roman" w:hAnsi="Times New Roman" w:cs="Times New Roman"/>
          <w:lang w:val="fr-FR"/>
        </w:rPr>
        <w:t>, 2001, p. 261.</w:t>
      </w:r>
    </w:p>
  </w:footnote>
  <w:footnote w:id="11">
    <w:p w14:paraId="2C820DDE" w14:textId="77777777" w:rsidR="00AD2FBC" w:rsidRPr="000256FA" w:rsidRDefault="00AD2FBC" w:rsidP="00AD2FBC">
      <w:pPr>
        <w:pStyle w:val="Notedebasdepage"/>
        <w:jc w:val="both"/>
        <w:rPr>
          <w:rFonts w:ascii="Times New Roman" w:hAnsi="Times New Roman" w:cs="Times New Roman"/>
          <w:lang w:val="fr-FR"/>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r w:rsidRPr="000256FA">
        <w:rPr>
          <w:rFonts w:ascii="Times New Roman" w:hAnsi="Times New Roman" w:cs="Times New Roman"/>
          <w:lang w:val="fr-FR"/>
        </w:rPr>
        <w:t xml:space="preserve">Cass., 17 février 2011, </w:t>
      </w:r>
      <w:r w:rsidRPr="000256FA">
        <w:rPr>
          <w:rFonts w:ascii="Times New Roman" w:hAnsi="Times New Roman" w:cs="Times New Roman"/>
          <w:i/>
          <w:lang w:val="fr-FR"/>
        </w:rPr>
        <w:t>Arr. Cass.</w:t>
      </w:r>
      <w:r w:rsidRPr="000256FA">
        <w:rPr>
          <w:rFonts w:ascii="Times New Roman" w:hAnsi="Times New Roman" w:cs="Times New Roman"/>
          <w:lang w:val="fr-FR"/>
        </w:rPr>
        <w:t xml:space="preserve">, 2011, p. 546 ; </w:t>
      </w:r>
      <w:r w:rsidRPr="000256FA">
        <w:rPr>
          <w:rFonts w:ascii="Times New Roman" w:hAnsi="Times New Roman" w:cs="Times New Roman"/>
          <w:i/>
          <w:lang w:val="fr-FR"/>
        </w:rPr>
        <w:t>J.L.M.B.</w:t>
      </w:r>
      <w:r w:rsidRPr="000256FA">
        <w:rPr>
          <w:rFonts w:ascii="Times New Roman" w:hAnsi="Times New Roman" w:cs="Times New Roman"/>
          <w:lang w:val="fr-FR"/>
        </w:rPr>
        <w:t xml:space="preserve">, 2012, p. 608 ; </w:t>
      </w:r>
      <w:r w:rsidRPr="000256FA">
        <w:rPr>
          <w:rFonts w:ascii="Times New Roman" w:hAnsi="Times New Roman" w:cs="Times New Roman"/>
          <w:i/>
          <w:lang w:val="fr-FR"/>
        </w:rPr>
        <w:t>Pas.</w:t>
      </w:r>
      <w:r w:rsidRPr="000256FA">
        <w:rPr>
          <w:rFonts w:ascii="Times New Roman" w:hAnsi="Times New Roman" w:cs="Times New Roman"/>
          <w:lang w:val="fr-FR"/>
        </w:rPr>
        <w:t xml:space="preserve">, 2011, p. 566 ; </w:t>
      </w:r>
      <w:proofErr w:type="spellStart"/>
      <w:r w:rsidRPr="000256FA">
        <w:rPr>
          <w:rFonts w:ascii="Times New Roman" w:hAnsi="Times New Roman" w:cs="Times New Roman"/>
          <w:i/>
          <w:lang w:val="fr-FR"/>
        </w:rPr>
        <w:t>Chron</w:t>
      </w:r>
      <w:proofErr w:type="spellEnd"/>
      <w:r w:rsidRPr="000256FA">
        <w:rPr>
          <w:rFonts w:ascii="Times New Roman" w:hAnsi="Times New Roman" w:cs="Times New Roman"/>
          <w:i/>
          <w:lang w:val="fr-FR"/>
        </w:rPr>
        <w:t>. D.S.</w:t>
      </w:r>
      <w:r w:rsidRPr="000256FA">
        <w:rPr>
          <w:rFonts w:ascii="Times New Roman" w:hAnsi="Times New Roman" w:cs="Times New Roman"/>
          <w:lang w:val="fr-FR"/>
        </w:rPr>
        <w:t xml:space="preserve">, 2011, p. 174 ; </w:t>
      </w:r>
      <w:r w:rsidRPr="000256FA">
        <w:rPr>
          <w:rFonts w:ascii="Times New Roman" w:hAnsi="Times New Roman" w:cs="Times New Roman"/>
          <w:i/>
          <w:lang w:val="fr-FR"/>
        </w:rPr>
        <w:t>R.D.J.P.</w:t>
      </w:r>
      <w:r w:rsidRPr="000256FA">
        <w:rPr>
          <w:rFonts w:ascii="Times New Roman" w:hAnsi="Times New Roman" w:cs="Times New Roman"/>
          <w:lang w:val="fr-FR"/>
        </w:rPr>
        <w:t>, 2011, p. 132.</w:t>
      </w:r>
    </w:p>
  </w:footnote>
  <w:footnote w:id="12">
    <w:p w14:paraId="145AC522" w14:textId="77777777" w:rsidR="00AD2FBC" w:rsidRPr="000256FA" w:rsidRDefault="00AD2FBC" w:rsidP="00AD2FBC">
      <w:pPr>
        <w:pStyle w:val="Notedebasdepage"/>
        <w:jc w:val="both"/>
        <w:rPr>
          <w:rFonts w:ascii="Times New Roman" w:hAnsi="Times New Roman" w:cs="Times New Roman"/>
          <w:lang w:val="fr-FR"/>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r w:rsidRPr="000256FA">
        <w:rPr>
          <w:rFonts w:ascii="Times New Roman" w:hAnsi="Times New Roman" w:cs="Times New Roman"/>
          <w:lang w:val="fr-FR"/>
        </w:rPr>
        <w:t xml:space="preserve">Mons, 12 octobre 2009, </w:t>
      </w:r>
      <w:r w:rsidRPr="000256FA">
        <w:rPr>
          <w:rFonts w:ascii="Times New Roman" w:hAnsi="Times New Roman" w:cs="Times New Roman"/>
          <w:i/>
          <w:lang w:val="fr-FR"/>
        </w:rPr>
        <w:t xml:space="preserve">For. </w:t>
      </w:r>
      <w:proofErr w:type="spellStart"/>
      <w:r w:rsidRPr="000256FA">
        <w:rPr>
          <w:rFonts w:ascii="Times New Roman" w:hAnsi="Times New Roman" w:cs="Times New Roman"/>
          <w:i/>
          <w:lang w:val="fr-FR"/>
        </w:rPr>
        <w:t>ass</w:t>
      </w:r>
      <w:proofErr w:type="spellEnd"/>
      <w:r w:rsidRPr="000256FA">
        <w:rPr>
          <w:rFonts w:ascii="Times New Roman" w:hAnsi="Times New Roman" w:cs="Times New Roman"/>
          <w:i/>
          <w:lang w:val="fr-FR"/>
        </w:rPr>
        <w:t>.</w:t>
      </w:r>
      <w:r w:rsidRPr="000256FA">
        <w:rPr>
          <w:rFonts w:ascii="Times New Roman" w:hAnsi="Times New Roman" w:cs="Times New Roman"/>
          <w:lang w:val="fr-FR"/>
        </w:rPr>
        <w:t xml:space="preserve">, 2010, p. 47, note C. </w:t>
      </w:r>
      <w:r w:rsidRPr="000256FA">
        <w:rPr>
          <w:rFonts w:ascii="Times New Roman" w:hAnsi="Times New Roman" w:cs="Times New Roman"/>
          <w:smallCaps/>
          <w:lang w:val="fr-FR"/>
        </w:rPr>
        <w:t>Verdure</w:t>
      </w:r>
      <w:r w:rsidRPr="000256FA">
        <w:rPr>
          <w:rFonts w:ascii="Times New Roman" w:hAnsi="Times New Roman" w:cs="Times New Roman"/>
          <w:lang w:val="fr-FR"/>
        </w:rPr>
        <w:t xml:space="preserve">. </w:t>
      </w:r>
    </w:p>
  </w:footnote>
  <w:footnote w:id="13">
    <w:p w14:paraId="794967C3" w14:textId="77777777" w:rsidR="00AD2FBC" w:rsidRPr="000256FA" w:rsidRDefault="00AD2FBC" w:rsidP="00AD2FBC">
      <w:pPr>
        <w:pStyle w:val="Notedebasdepage"/>
        <w:jc w:val="both"/>
        <w:rPr>
          <w:rFonts w:ascii="Times New Roman" w:hAnsi="Times New Roman" w:cs="Times New Roman"/>
          <w:lang w:val="fr-FR"/>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proofErr w:type="spellStart"/>
      <w:r w:rsidRPr="000256FA">
        <w:rPr>
          <w:rFonts w:ascii="Times New Roman" w:hAnsi="Times New Roman" w:cs="Times New Roman"/>
          <w:lang w:val="fr-FR"/>
        </w:rPr>
        <w:t>Voy</w:t>
      </w:r>
      <w:proofErr w:type="spellEnd"/>
      <w:r w:rsidRPr="000256FA">
        <w:rPr>
          <w:rFonts w:ascii="Times New Roman" w:hAnsi="Times New Roman" w:cs="Times New Roman"/>
          <w:lang w:val="fr-FR"/>
        </w:rPr>
        <w:t xml:space="preserve">. </w:t>
      </w:r>
      <w:proofErr w:type="gramStart"/>
      <w:r w:rsidRPr="000256FA">
        <w:rPr>
          <w:rFonts w:ascii="Times New Roman" w:hAnsi="Times New Roman" w:cs="Times New Roman"/>
          <w:lang w:val="fr-FR"/>
        </w:rPr>
        <w:t>au</w:t>
      </w:r>
      <w:proofErr w:type="gramEnd"/>
      <w:r w:rsidRPr="000256FA">
        <w:rPr>
          <w:rFonts w:ascii="Times New Roman" w:hAnsi="Times New Roman" w:cs="Times New Roman"/>
          <w:lang w:val="fr-FR"/>
        </w:rPr>
        <w:t xml:space="preserve"> sujet du bien-fondé de la position de la Cour d’appel de Mons quant à la qualification du moyen soulevé par la compagnie d’assurance, Ch. </w:t>
      </w:r>
      <w:proofErr w:type="spellStart"/>
      <w:r w:rsidRPr="000256FA">
        <w:rPr>
          <w:rFonts w:ascii="Times New Roman" w:hAnsi="Times New Roman" w:cs="Times New Roman"/>
          <w:smallCaps/>
          <w:lang w:val="fr-FR"/>
        </w:rPr>
        <w:t>Bedoret</w:t>
      </w:r>
      <w:proofErr w:type="spellEnd"/>
      <w:r w:rsidRPr="000256FA">
        <w:rPr>
          <w:rFonts w:ascii="Times New Roman" w:hAnsi="Times New Roman" w:cs="Times New Roman"/>
          <w:lang w:val="fr-FR"/>
        </w:rPr>
        <w:t xml:space="preserve">, « Le R.C.D. et… l’absence d’autorisation du juge (1) », </w:t>
      </w:r>
      <w:r w:rsidRPr="000256FA">
        <w:rPr>
          <w:rFonts w:ascii="Times New Roman" w:hAnsi="Times New Roman" w:cs="Times New Roman"/>
          <w:i/>
          <w:lang w:val="fr-FR"/>
        </w:rPr>
        <w:t>B.J.S.</w:t>
      </w:r>
      <w:r w:rsidRPr="000256FA">
        <w:rPr>
          <w:rFonts w:ascii="Times New Roman" w:hAnsi="Times New Roman" w:cs="Times New Roman"/>
          <w:lang w:val="fr-FR"/>
        </w:rPr>
        <w:t>, 2011, n° 451, p. 3.</w:t>
      </w:r>
    </w:p>
  </w:footnote>
  <w:footnote w:id="14">
    <w:p w14:paraId="101EAFCF" w14:textId="77777777" w:rsidR="00AD2FBC" w:rsidRPr="000256FA" w:rsidRDefault="00AD2FBC" w:rsidP="00AD2FBC">
      <w:pPr>
        <w:pStyle w:val="Notedebasdepage"/>
        <w:jc w:val="both"/>
        <w:rPr>
          <w:rFonts w:ascii="Times New Roman" w:hAnsi="Times New Roman" w:cs="Times New Roman"/>
          <w:lang w:val="fr-FR"/>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r w:rsidRPr="000256FA">
        <w:rPr>
          <w:rFonts w:ascii="Times New Roman" w:hAnsi="Times New Roman" w:cs="Times New Roman"/>
          <w:lang w:val="fr-FR"/>
        </w:rPr>
        <w:t xml:space="preserve">Ch. </w:t>
      </w:r>
      <w:proofErr w:type="spellStart"/>
      <w:r w:rsidRPr="000256FA">
        <w:rPr>
          <w:rFonts w:ascii="Times New Roman" w:hAnsi="Times New Roman" w:cs="Times New Roman"/>
          <w:smallCaps/>
          <w:lang w:val="fr-FR"/>
        </w:rPr>
        <w:t>Bedoret</w:t>
      </w:r>
      <w:proofErr w:type="spellEnd"/>
      <w:r w:rsidRPr="000256FA">
        <w:rPr>
          <w:rFonts w:ascii="Times New Roman" w:hAnsi="Times New Roman" w:cs="Times New Roman"/>
          <w:lang w:val="fr-FR"/>
        </w:rPr>
        <w:t xml:space="preserve">, « Le R.C.D. et… l’absence d’autorisation du juge (II) », </w:t>
      </w:r>
      <w:r w:rsidRPr="000256FA">
        <w:rPr>
          <w:rFonts w:ascii="Times New Roman" w:hAnsi="Times New Roman" w:cs="Times New Roman"/>
          <w:i/>
          <w:lang w:val="fr-FR"/>
        </w:rPr>
        <w:t>B.J.S.</w:t>
      </w:r>
      <w:r w:rsidRPr="000256FA">
        <w:rPr>
          <w:rFonts w:ascii="Times New Roman" w:hAnsi="Times New Roman" w:cs="Times New Roman"/>
          <w:lang w:val="fr-FR"/>
        </w:rPr>
        <w:t>, 2011, n° 452, p. 3.</w:t>
      </w:r>
    </w:p>
  </w:footnote>
  <w:footnote w:id="15">
    <w:p w14:paraId="044B575E" w14:textId="77777777" w:rsidR="00AD2FBC" w:rsidRPr="000256FA" w:rsidRDefault="00AD2FBC" w:rsidP="00AD2FBC">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r w:rsidRPr="000256FA">
        <w:rPr>
          <w:rFonts w:ascii="Times New Roman" w:hAnsi="Times New Roman" w:cs="Times New Roman"/>
          <w:i/>
          <w:lang w:val="fr-FR"/>
        </w:rPr>
        <w:t>Ibid.</w:t>
      </w:r>
    </w:p>
  </w:footnote>
  <w:footnote w:id="16">
    <w:p w14:paraId="59636958" w14:textId="77777777" w:rsidR="00AD2FBC" w:rsidRPr="000256FA" w:rsidRDefault="00AD2FBC" w:rsidP="00AD2FBC">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Liège (3</w:t>
      </w:r>
      <w:r w:rsidRPr="000256FA">
        <w:rPr>
          <w:rFonts w:ascii="Times New Roman" w:hAnsi="Times New Roman" w:cs="Times New Roman"/>
          <w:vertAlign w:val="superscript"/>
        </w:rPr>
        <w:t>ème</w:t>
      </w:r>
      <w:r w:rsidRPr="000256FA">
        <w:rPr>
          <w:rFonts w:ascii="Times New Roman" w:hAnsi="Times New Roman" w:cs="Times New Roman"/>
        </w:rPr>
        <w:t xml:space="preserve"> ch.), 25 novembre 2015, </w:t>
      </w:r>
      <w:r w:rsidRPr="000256FA">
        <w:rPr>
          <w:rFonts w:ascii="Times New Roman" w:hAnsi="Times New Roman" w:cs="Times New Roman"/>
          <w:i/>
        </w:rPr>
        <w:t>J.L.M.B.</w:t>
      </w:r>
      <w:r w:rsidRPr="000256FA">
        <w:rPr>
          <w:rFonts w:ascii="Times New Roman" w:hAnsi="Times New Roman" w:cs="Times New Roman"/>
        </w:rPr>
        <w:t xml:space="preserve">, 2016, pp. 1564-1566.  </w:t>
      </w:r>
    </w:p>
  </w:footnote>
  <w:footnote w:id="17">
    <w:p w14:paraId="41B26827" w14:textId="42390C8A" w:rsidR="00F6759A" w:rsidRPr="000256FA" w:rsidRDefault="00F6759A" w:rsidP="00F6759A">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Pour plus d’informations sur l’option héréditaire, </w:t>
      </w:r>
      <w:proofErr w:type="spellStart"/>
      <w:r w:rsidRPr="000256FA">
        <w:rPr>
          <w:rFonts w:ascii="Times New Roman" w:hAnsi="Times New Roman" w:cs="Times New Roman"/>
        </w:rPr>
        <w:t>voy</w:t>
      </w:r>
      <w:proofErr w:type="spellEnd"/>
      <w:r w:rsidRPr="000256FA">
        <w:rPr>
          <w:rFonts w:ascii="Times New Roman" w:hAnsi="Times New Roman" w:cs="Times New Roman"/>
        </w:rPr>
        <w:t xml:space="preserve">. P. </w:t>
      </w:r>
      <w:proofErr w:type="spellStart"/>
      <w:r w:rsidRPr="000256FA">
        <w:rPr>
          <w:rFonts w:ascii="Times New Roman" w:hAnsi="Times New Roman" w:cs="Times New Roman"/>
          <w:smallCaps/>
        </w:rPr>
        <w:t>Delnoy</w:t>
      </w:r>
      <w:proofErr w:type="spellEnd"/>
      <w:r w:rsidRPr="000256FA">
        <w:rPr>
          <w:rFonts w:ascii="Times New Roman" w:hAnsi="Times New Roman" w:cs="Times New Roman"/>
        </w:rPr>
        <w:t xml:space="preserve">, </w:t>
      </w:r>
      <w:proofErr w:type="spellStart"/>
      <w:r w:rsidRPr="000256FA">
        <w:rPr>
          <w:rFonts w:ascii="Times New Roman" w:hAnsi="Times New Roman" w:cs="Times New Roman"/>
          <w:i/>
          <w:iCs/>
        </w:rPr>
        <w:t>Rép</w:t>
      </w:r>
      <w:proofErr w:type="spellEnd"/>
      <w:r w:rsidRPr="000256FA">
        <w:rPr>
          <w:rFonts w:ascii="Times New Roman" w:hAnsi="Times New Roman" w:cs="Times New Roman"/>
          <w:i/>
          <w:iCs/>
        </w:rPr>
        <w:t>. Not.</w:t>
      </w:r>
      <w:r w:rsidRPr="000256FA">
        <w:rPr>
          <w:rFonts w:ascii="Times New Roman" w:hAnsi="Times New Roman" w:cs="Times New Roman"/>
        </w:rPr>
        <w:t>, t. III, Les successions, donations et testaments, liv. 1/2, Option héréditaire, Bruxelles, Larcier, 1994</w:t>
      </w:r>
      <w:r>
        <w:rPr>
          <w:rFonts w:ascii="Times New Roman" w:hAnsi="Times New Roman" w:cs="Times New Roman"/>
        </w:rPr>
        <w:t xml:space="preserve"> et Fr. </w:t>
      </w:r>
      <w:proofErr w:type="spellStart"/>
      <w:r>
        <w:rPr>
          <w:rFonts w:ascii="Times New Roman" w:hAnsi="Times New Roman" w:cs="Times New Roman"/>
          <w:smallCaps/>
        </w:rPr>
        <w:t>Lalliere</w:t>
      </w:r>
      <w:proofErr w:type="spellEnd"/>
      <w:r>
        <w:rPr>
          <w:rFonts w:ascii="Times New Roman" w:hAnsi="Times New Roman" w:cs="Times New Roman"/>
        </w:rPr>
        <w:t xml:space="preserve">, « Option héréditaire », </w:t>
      </w:r>
      <w:r>
        <w:rPr>
          <w:rFonts w:ascii="Times New Roman" w:hAnsi="Times New Roman" w:cs="Times New Roman"/>
          <w:i/>
          <w:iCs/>
        </w:rPr>
        <w:t>in R.P.D.B.</w:t>
      </w:r>
      <w:r>
        <w:rPr>
          <w:rFonts w:ascii="Times New Roman" w:hAnsi="Times New Roman" w:cs="Times New Roman"/>
        </w:rPr>
        <w:t>, 2016</w:t>
      </w:r>
      <w:r w:rsidRPr="000256FA">
        <w:rPr>
          <w:rFonts w:ascii="Times New Roman" w:hAnsi="Times New Roman" w:cs="Times New Roman"/>
        </w:rPr>
        <w:t>.</w:t>
      </w:r>
    </w:p>
  </w:footnote>
  <w:footnote w:id="18">
    <w:p w14:paraId="6DAB6999" w14:textId="0B4A89F0" w:rsidR="00130684" w:rsidRPr="000256FA" w:rsidRDefault="00130684" w:rsidP="00130684">
      <w:pPr>
        <w:pStyle w:val="Notedebasdepage"/>
        <w:jc w:val="both"/>
      </w:pPr>
      <w:r w:rsidRPr="000256FA">
        <w:rPr>
          <w:rStyle w:val="Appelnotedebasdep"/>
        </w:rPr>
        <w:footnoteRef/>
      </w:r>
      <w:r w:rsidRPr="000256FA">
        <w:t xml:space="preserve"> </w:t>
      </w:r>
      <w:r w:rsidRPr="000256FA">
        <w:rPr>
          <w:rFonts w:ascii="Times New Roman" w:hAnsi="Times New Roman" w:cs="Times New Roman"/>
        </w:rPr>
        <w:t xml:space="preserve">Fr. </w:t>
      </w:r>
      <w:proofErr w:type="spellStart"/>
      <w:r w:rsidRPr="000256FA">
        <w:rPr>
          <w:rFonts w:ascii="Times New Roman" w:hAnsi="Times New Roman" w:cs="Times New Roman"/>
          <w:smallCaps/>
        </w:rPr>
        <w:t>Lalliere</w:t>
      </w:r>
      <w:proofErr w:type="spellEnd"/>
      <w:r w:rsidRPr="000256FA">
        <w:rPr>
          <w:rFonts w:ascii="Times New Roman" w:hAnsi="Times New Roman" w:cs="Times New Roman"/>
        </w:rPr>
        <w:t xml:space="preserve">, </w:t>
      </w:r>
      <w:r w:rsidR="00F6759A">
        <w:rPr>
          <w:rFonts w:ascii="Times New Roman" w:hAnsi="Times New Roman" w:cs="Times New Roman"/>
          <w:i/>
          <w:iCs/>
        </w:rPr>
        <w:t>ibid.</w:t>
      </w:r>
      <w:r w:rsidRPr="000256FA">
        <w:rPr>
          <w:rFonts w:ascii="Times New Roman" w:hAnsi="Times New Roman" w:cs="Times New Roman"/>
        </w:rPr>
        <w:t>, p. 68, n° 77.</w:t>
      </w:r>
    </w:p>
  </w:footnote>
  <w:footnote w:id="19">
    <w:p w14:paraId="09CC841A" w14:textId="5E2A6731" w:rsidR="00130684" w:rsidRPr="000256FA" w:rsidRDefault="00130684" w:rsidP="00130684">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proofErr w:type="spellStart"/>
      <w:r w:rsidRPr="000256FA">
        <w:rPr>
          <w:rFonts w:ascii="Times New Roman" w:hAnsi="Times New Roman" w:cs="Times New Roman"/>
        </w:rPr>
        <w:t>Voy</w:t>
      </w:r>
      <w:proofErr w:type="spellEnd"/>
      <w:r w:rsidRPr="000256FA">
        <w:rPr>
          <w:rFonts w:ascii="Times New Roman" w:hAnsi="Times New Roman" w:cs="Times New Roman"/>
        </w:rPr>
        <w:t xml:space="preserve">. </w:t>
      </w:r>
      <w:proofErr w:type="gramStart"/>
      <w:r w:rsidRPr="000256FA">
        <w:rPr>
          <w:rFonts w:ascii="Times New Roman" w:hAnsi="Times New Roman" w:cs="Times New Roman"/>
        </w:rPr>
        <w:t>toutefois</w:t>
      </w:r>
      <w:proofErr w:type="gramEnd"/>
      <w:r w:rsidRPr="000256FA">
        <w:rPr>
          <w:rFonts w:ascii="Times New Roman" w:hAnsi="Times New Roman" w:cs="Times New Roman"/>
        </w:rPr>
        <w:t xml:space="preserve"> Fr. </w:t>
      </w:r>
      <w:proofErr w:type="spellStart"/>
      <w:r w:rsidRPr="000256FA">
        <w:rPr>
          <w:rFonts w:ascii="Times New Roman" w:hAnsi="Times New Roman" w:cs="Times New Roman"/>
          <w:smallCaps/>
        </w:rPr>
        <w:t>Lalliere</w:t>
      </w:r>
      <w:proofErr w:type="spellEnd"/>
      <w:r w:rsidRPr="000256FA">
        <w:rPr>
          <w:rFonts w:ascii="Times New Roman" w:hAnsi="Times New Roman" w:cs="Times New Roman"/>
        </w:rPr>
        <w:t xml:space="preserve">, </w:t>
      </w:r>
      <w:r w:rsidR="00A53B3C" w:rsidRPr="000256FA">
        <w:rPr>
          <w:rFonts w:ascii="Times New Roman" w:hAnsi="Times New Roman" w:cs="Times New Roman"/>
          <w:i/>
          <w:iCs/>
        </w:rPr>
        <w:t xml:space="preserve">op. </w:t>
      </w:r>
      <w:proofErr w:type="spellStart"/>
      <w:proofErr w:type="gramStart"/>
      <w:r w:rsidR="00A53B3C" w:rsidRPr="000256FA">
        <w:rPr>
          <w:rFonts w:ascii="Times New Roman" w:hAnsi="Times New Roman" w:cs="Times New Roman"/>
          <w:i/>
          <w:iCs/>
        </w:rPr>
        <w:t>cit</w:t>
      </w:r>
      <w:proofErr w:type="spellEnd"/>
      <w:proofErr w:type="gramEnd"/>
      <w:r w:rsidR="00A53B3C" w:rsidRPr="000256FA">
        <w:rPr>
          <w:rFonts w:ascii="Times New Roman" w:hAnsi="Times New Roman" w:cs="Times New Roman"/>
          <w:i/>
          <w:iCs/>
        </w:rPr>
        <w:t>.</w:t>
      </w:r>
      <w:r w:rsidRPr="000256FA">
        <w:rPr>
          <w:rFonts w:ascii="Times New Roman" w:hAnsi="Times New Roman" w:cs="Times New Roman"/>
        </w:rPr>
        <w:t>, pp. 93-100 qui cite des cas dans lesquels il n’est pas toujours opportun d’accepter une succession, même si celle-ci est bénéficiaire.</w:t>
      </w:r>
    </w:p>
  </w:footnote>
  <w:footnote w:id="20">
    <w:p w14:paraId="5DF59F3E" w14:textId="03B6740A" w:rsidR="00E10FEA" w:rsidRPr="000256FA" w:rsidRDefault="00E10FEA" w:rsidP="00E10FEA">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 Le legs universel est la disposition testamentaire par laquelle le testateur donne à une ou plusieurs personnes l'universalité des biens qu'il laissera à son décès » (art. 1003, ancien C. civ.).</w:t>
      </w:r>
    </w:p>
  </w:footnote>
  <w:footnote w:id="21">
    <w:p w14:paraId="31D0BFF4" w14:textId="2E18B531" w:rsidR="00E10FEA" w:rsidRPr="000256FA" w:rsidRDefault="00E10FEA" w:rsidP="00E10FEA">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 Le legs à titre universel est celui par lequel le testateur lègue une quote-part des biens dont la loi lui permet de disposer, telle qu'une moitié, un tiers, ou tous ses immeubles, ou tout son mobilier, ou une quotité fixe de tous ses immeubles ou de tout son mobilier » (art. 1010, ancien C. civ.).</w:t>
      </w:r>
    </w:p>
  </w:footnote>
  <w:footnote w:id="22">
    <w:p w14:paraId="33C8538B" w14:textId="1FBAB65E" w:rsidR="00E10FEA" w:rsidRPr="000256FA" w:rsidRDefault="00E10FEA" w:rsidP="00E10FEA">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Le legs particulier est celui par lequel le testateur lègue uniquement certains biens déterminés ou individualisés comme, par exemple, un bijou, un bien immobilier déterminé, etc. </w:t>
      </w:r>
    </w:p>
  </w:footnote>
  <w:footnote w:id="23">
    <w:p w14:paraId="7024AC45" w14:textId="5E506367" w:rsidR="00191F89" w:rsidRPr="000256FA" w:rsidRDefault="00191F89" w:rsidP="00191F89">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C. </w:t>
      </w:r>
      <w:r w:rsidRPr="000256FA">
        <w:rPr>
          <w:rFonts w:ascii="Times New Roman" w:hAnsi="Times New Roman" w:cs="Times New Roman"/>
          <w:smallCaps/>
        </w:rPr>
        <w:t>De Wulf</w:t>
      </w:r>
      <w:r w:rsidRPr="000256FA">
        <w:rPr>
          <w:rFonts w:ascii="Times New Roman" w:hAnsi="Times New Roman" w:cs="Times New Roman"/>
        </w:rPr>
        <w:t xml:space="preserve">, </w:t>
      </w:r>
      <w:r w:rsidRPr="000256FA">
        <w:rPr>
          <w:rFonts w:ascii="Times New Roman" w:hAnsi="Times New Roman" w:cs="Times New Roman"/>
          <w:i/>
          <w:iCs/>
        </w:rPr>
        <w:t>La rédaction d’actes notariés. Droit des personnes et droit patrimonial de la famille</w:t>
      </w:r>
      <w:r w:rsidRPr="000256FA">
        <w:rPr>
          <w:rFonts w:ascii="Times New Roman" w:hAnsi="Times New Roman" w:cs="Times New Roman"/>
        </w:rPr>
        <w:t>, Waterloo, Kluwer, 2013, p. 565, n° 1023.</w:t>
      </w:r>
    </w:p>
  </w:footnote>
  <w:footnote w:id="24">
    <w:p w14:paraId="5583A117" w14:textId="69F6C004" w:rsidR="006575B0" w:rsidRPr="001D3D09" w:rsidRDefault="006575B0" w:rsidP="006575B0">
      <w:pPr>
        <w:pStyle w:val="Notedebasdepage"/>
        <w:jc w:val="both"/>
        <w:rPr>
          <w:rFonts w:ascii="Times New Roman" w:hAnsi="Times New Roman" w:cs="Times New Roman"/>
          <w:i/>
          <w:iCs/>
          <w:lang w:val="en-US"/>
        </w:rPr>
      </w:pPr>
      <w:r w:rsidRPr="000256FA">
        <w:rPr>
          <w:rStyle w:val="Appelnotedebasdep"/>
          <w:rFonts w:ascii="Times New Roman" w:hAnsi="Times New Roman" w:cs="Times New Roman"/>
        </w:rPr>
        <w:footnoteRef/>
      </w:r>
      <w:r w:rsidRPr="001D3D09">
        <w:rPr>
          <w:rFonts w:ascii="Times New Roman" w:hAnsi="Times New Roman" w:cs="Times New Roman"/>
          <w:lang w:val="en-US"/>
        </w:rPr>
        <w:t xml:space="preserve"> </w:t>
      </w:r>
      <w:r w:rsidRPr="001D3D09">
        <w:rPr>
          <w:rFonts w:ascii="Times New Roman" w:hAnsi="Times New Roman" w:cs="Times New Roman"/>
          <w:i/>
          <w:iCs/>
          <w:lang w:val="en-US"/>
        </w:rPr>
        <w:t>Ibid.</w:t>
      </w:r>
    </w:p>
  </w:footnote>
  <w:footnote w:id="25">
    <w:p w14:paraId="35854C57" w14:textId="51548ACF" w:rsidR="006575B0" w:rsidRPr="001D3D09" w:rsidRDefault="006575B0" w:rsidP="006575B0">
      <w:pPr>
        <w:pStyle w:val="Notedebasdepage"/>
        <w:jc w:val="both"/>
        <w:rPr>
          <w:rFonts w:ascii="Times New Roman" w:hAnsi="Times New Roman" w:cs="Times New Roman"/>
          <w:lang w:val="en-US"/>
        </w:rPr>
      </w:pPr>
      <w:r w:rsidRPr="000256FA">
        <w:rPr>
          <w:rStyle w:val="Appelnotedebasdep"/>
          <w:rFonts w:ascii="Times New Roman" w:hAnsi="Times New Roman" w:cs="Times New Roman"/>
        </w:rPr>
        <w:footnoteRef/>
      </w:r>
      <w:r w:rsidRPr="001D3D09">
        <w:rPr>
          <w:rFonts w:ascii="Times New Roman" w:hAnsi="Times New Roman" w:cs="Times New Roman"/>
          <w:lang w:val="en-US"/>
        </w:rPr>
        <w:t xml:space="preserve"> </w:t>
      </w:r>
      <w:r w:rsidRPr="001D3D09">
        <w:rPr>
          <w:rFonts w:ascii="Times New Roman" w:hAnsi="Times New Roman" w:cs="Times New Roman"/>
          <w:i/>
          <w:iCs/>
          <w:lang w:val="en-US"/>
        </w:rPr>
        <w:t>Ibid</w:t>
      </w:r>
      <w:r w:rsidRPr="001D3D09">
        <w:rPr>
          <w:rFonts w:ascii="Times New Roman" w:hAnsi="Times New Roman" w:cs="Times New Roman"/>
          <w:lang w:val="en-US"/>
        </w:rPr>
        <w:t>., p. 566, n° 1023.</w:t>
      </w:r>
    </w:p>
  </w:footnote>
  <w:footnote w:id="26">
    <w:p w14:paraId="55CD37A6"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D. </w:t>
      </w:r>
      <w:proofErr w:type="spellStart"/>
      <w:r w:rsidRPr="000256FA">
        <w:rPr>
          <w:rFonts w:ascii="Times New Roman" w:hAnsi="Times New Roman" w:cs="Times New Roman"/>
          <w:smallCaps/>
          <w:lang w:val="en-US"/>
        </w:rPr>
        <w:t>Patart</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 167, n° 138.</w:t>
      </w:r>
    </w:p>
  </w:footnote>
  <w:footnote w:id="27">
    <w:p w14:paraId="3CDCBD9C" w14:textId="77777777" w:rsidR="00AD2FBC" w:rsidRPr="000256FA" w:rsidRDefault="00AD2FBC" w:rsidP="00AD2FBC">
      <w:pPr>
        <w:pStyle w:val="Notedebasdepage"/>
        <w:jc w:val="both"/>
        <w:rPr>
          <w:rFonts w:ascii="Times New Roman" w:hAnsi="Times New Roman" w:cs="Times New Roman"/>
          <w:lang w:val="fr-FR"/>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r w:rsidRPr="000256FA">
        <w:rPr>
          <w:rFonts w:ascii="Times New Roman" w:hAnsi="Times New Roman" w:cs="Times New Roman"/>
          <w:lang w:val="fr-FR"/>
        </w:rPr>
        <w:t>Th</w:t>
      </w:r>
      <w:r w:rsidRPr="000256FA">
        <w:rPr>
          <w:rFonts w:ascii="Times New Roman" w:hAnsi="Times New Roman" w:cs="Times New Roman"/>
          <w:smallCaps/>
          <w:lang w:val="fr-FR"/>
        </w:rPr>
        <w:t xml:space="preserve">. Van </w:t>
      </w:r>
      <w:proofErr w:type="spellStart"/>
      <w:r w:rsidRPr="000256FA">
        <w:rPr>
          <w:rFonts w:ascii="Times New Roman" w:hAnsi="Times New Roman" w:cs="Times New Roman"/>
          <w:smallCaps/>
          <w:lang w:val="fr-FR"/>
        </w:rPr>
        <w:t>Halteren</w:t>
      </w:r>
      <w:proofErr w:type="spellEnd"/>
      <w:r w:rsidRPr="000256FA">
        <w:rPr>
          <w:rFonts w:ascii="Times New Roman" w:hAnsi="Times New Roman" w:cs="Times New Roman"/>
          <w:lang w:val="fr-FR"/>
        </w:rPr>
        <w:t xml:space="preserve">, </w:t>
      </w:r>
      <w:r w:rsidRPr="000256FA">
        <w:rPr>
          <w:rFonts w:ascii="Times New Roman" w:hAnsi="Times New Roman" w:cs="Times New Roman"/>
          <w:i/>
          <w:lang w:val="fr-FR"/>
        </w:rPr>
        <w:t>La protection des personnes majeures vulnérables et mineures. Redéfinition du concept de capacité juridique au regard de celui du discernement</w:t>
      </w:r>
      <w:r w:rsidRPr="000256FA">
        <w:rPr>
          <w:rFonts w:ascii="Times New Roman" w:hAnsi="Times New Roman" w:cs="Times New Roman"/>
          <w:lang w:val="fr-FR"/>
        </w:rPr>
        <w:t>, Thèse de doctorat défendue à l’Université Libre de Bruxelles le 16 mars 2018, Liège, Wolters Kluwer, 2018, p. 275, n° 149.</w:t>
      </w:r>
    </w:p>
  </w:footnote>
  <w:footnote w:id="28">
    <w:p w14:paraId="7B62EF7F" w14:textId="77777777" w:rsidR="00AD2FBC" w:rsidRPr="000256FA" w:rsidRDefault="00AD2FBC" w:rsidP="00AD2FBC">
      <w:pPr>
        <w:pStyle w:val="Notedebasdepage"/>
        <w:jc w:val="both"/>
        <w:rPr>
          <w:rFonts w:ascii="Times New Roman" w:hAnsi="Times New Roman" w:cs="Times New Roman"/>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Art. 388, </w:t>
      </w:r>
      <w:proofErr w:type="spellStart"/>
      <w:r w:rsidR="00FF09B8" w:rsidRPr="000256FA">
        <w:rPr>
          <w:rFonts w:ascii="Times New Roman" w:hAnsi="Times New Roman" w:cs="Times New Roman"/>
          <w:lang w:val="en-US"/>
        </w:rPr>
        <w:t>ancien</w:t>
      </w:r>
      <w:proofErr w:type="spellEnd"/>
      <w:r w:rsidR="00FF09B8" w:rsidRPr="000256FA">
        <w:rPr>
          <w:rFonts w:ascii="Times New Roman" w:hAnsi="Times New Roman" w:cs="Times New Roman"/>
          <w:lang w:val="en-US"/>
        </w:rPr>
        <w:t xml:space="preserve"> </w:t>
      </w:r>
      <w:r w:rsidRPr="000256FA">
        <w:rPr>
          <w:rFonts w:ascii="Times New Roman" w:hAnsi="Times New Roman" w:cs="Times New Roman"/>
          <w:lang w:val="en-US"/>
        </w:rPr>
        <w:t>C. civ.</w:t>
      </w:r>
    </w:p>
  </w:footnote>
  <w:footnote w:id="29">
    <w:p w14:paraId="1D8AD592"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w:t>
      </w:r>
      <w:r w:rsidRPr="000256FA">
        <w:rPr>
          <w:rFonts w:ascii="Times New Roman" w:hAnsi="Times New Roman" w:cs="Times New Roman"/>
          <w:smallCaps/>
          <w:lang w:val="en-US"/>
        </w:rPr>
        <w:t>T</w:t>
      </w:r>
      <w:r w:rsidRPr="000256FA">
        <w:rPr>
          <w:rFonts w:ascii="Times New Roman" w:hAnsi="Times New Roman" w:cs="Times New Roman"/>
          <w:lang w:val="en-US"/>
        </w:rPr>
        <w:t>h</w:t>
      </w:r>
      <w:r w:rsidRPr="000256FA">
        <w:rPr>
          <w:rFonts w:ascii="Times New Roman" w:hAnsi="Times New Roman" w:cs="Times New Roman"/>
          <w:smallCaps/>
          <w:lang w:val="en-US"/>
        </w:rPr>
        <w:t xml:space="preserve">. Van </w:t>
      </w:r>
      <w:proofErr w:type="spellStart"/>
      <w:r w:rsidRPr="000256FA">
        <w:rPr>
          <w:rFonts w:ascii="Times New Roman" w:hAnsi="Times New Roman" w:cs="Times New Roman"/>
          <w:smallCaps/>
          <w:lang w:val="en-US"/>
        </w:rPr>
        <w:t>Halteren</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 276, n° 149.</w:t>
      </w:r>
    </w:p>
  </w:footnote>
  <w:footnote w:id="30">
    <w:p w14:paraId="72301462" w14:textId="77777777" w:rsidR="00AD2FBC" w:rsidRPr="000256FA" w:rsidRDefault="00AD2FBC" w:rsidP="00AD2FBC">
      <w:pPr>
        <w:pStyle w:val="Notedebasdepage"/>
        <w:jc w:val="both"/>
        <w:rPr>
          <w:lang w:val="en-US"/>
        </w:rPr>
      </w:pPr>
      <w:r w:rsidRPr="000256FA">
        <w:rPr>
          <w:rStyle w:val="Appelnotedebasdep"/>
        </w:rPr>
        <w:footnoteRef/>
      </w:r>
      <w:r w:rsidRPr="000256FA">
        <w:rPr>
          <w:lang w:val="en-US"/>
        </w:rPr>
        <w:t xml:space="preserve"> </w:t>
      </w:r>
      <w:r w:rsidRPr="000256FA">
        <w:rPr>
          <w:rFonts w:ascii="Times New Roman" w:hAnsi="Times New Roman" w:cs="Times New Roman"/>
          <w:i/>
          <w:lang w:val="en-US"/>
        </w:rPr>
        <w:t>Ibid</w:t>
      </w:r>
      <w:r w:rsidRPr="000256FA">
        <w:rPr>
          <w:rFonts w:ascii="Times New Roman" w:hAnsi="Times New Roman" w:cs="Times New Roman"/>
          <w:i/>
          <w:smallCaps/>
          <w:lang w:val="en-US"/>
        </w:rPr>
        <w:t>.</w:t>
      </w:r>
      <w:r w:rsidRPr="000256FA">
        <w:rPr>
          <w:rFonts w:ascii="Times New Roman" w:hAnsi="Times New Roman" w:cs="Times New Roman"/>
          <w:lang w:val="en-US"/>
        </w:rPr>
        <w:t>, p. 278, n° 150.</w:t>
      </w:r>
    </w:p>
  </w:footnote>
  <w:footnote w:id="31">
    <w:p w14:paraId="398AE558"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w:t>
      </w:r>
      <w:r w:rsidRPr="000256FA">
        <w:rPr>
          <w:rFonts w:ascii="Times New Roman" w:hAnsi="Times New Roman" w:cs="Times New Roman"/>
          <w:i/>
          <w:lang w:val="en-US"/>
        </w:rPr>
        <w:t>Ibid</w:t>
      </w:r>
      <w:r w:rsidRPr="000256FA">
        <w:rPr>
          <w:rFonts w:ascii="Times New Roman" w:hAnsi="Times New Roman" w:cs="Times New Roman"/>
          <w:i/>
          <w:smallCaps/>
          <w:lang w:val="en-US"/>
        </w:rPr>
        <w:t>.</w:t>
      </w:r>
      <w:r w:rsidRPr="000256FA">
        <w:rPr>
          <w:rFonts w:ascii="Times New Roman" w:hAnsi="Times New Roman" w:cs="Times New Roman"/>
          <w:lang w:val="en-US"/>
        </w:rPr>
        <w:t>, p. 326, n° 183.</w:t>
      </w:r>
    </w:p>
  </w:footnote>
  <w:footnote w:id="32">
    <w:p w14:paraId="208D309F" w14:textId="77777777" w:rsidR="00AD2FBC" w:rsidRPr="000256FA" w:rsidRDefault="00AD2FBC" w:rsidP="00AD2FBC">
      <w:pPr>
        <w:pStyle w:val="Notedebasdepage"/>
        <w:jc w:val="both"/>
        <w:rPr>
          <w:rFonts w:ascii="Times New Roman" w:hAnsi="Times New Roman" w:cs="Times New Roman"/>
          <w:lang w:val="en-US"/>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proofErr w:type="spellStart"/>
      <w:r w:rsidRPr="000256FA">
        <w:rPr>
          <w:rFonts w:ascii="Times New Roman" w:hAnsi="Times New Roman" w:cs="Times New Roman"/>
          <w:lang w:val="fr-FR"/>
        </w:rPr>
        <w:t>Voy</w:t>
      </w:r>
      <w:proofErr w:type="spellEnd"/>
      <w:r w:rsidRPr="000256FA">
        <w:rPr>
          <w:rFonts w:ascii="Times New Roman" w:hAnsi="Times New Roman" w:cs="Times New Roman"/>
          <w:lang w:val="fr-FR"/>
        </w:rPr>
        <w:t xml:space="preserve">. </w:t>
      </w:r>
      <w:proofErr w:type="gramStart"/>
      <w:r w:rsidRPr="000256FA">
        <w:rPr>
          <w:rFonts w:ascii="Times New Roman" w:hAnsi="Times New Roman" w:cs="Times New Roman"/>
          <w:lang w:val="fr-FR"/>
        </w:rPr>
        <w:t>à</w:t>
      </w:r>
      <w:proofErr w:type="gramEnd"/>
      <w:r w:rsidRPr="000256FA">
        <w:rPr>
          <w:rFonts w:ascii="Times New Roman" w:hAnsi="Times New Roman" w:cs="Times New Roman"/>
          <w:lang w:val="fr-FR"/>
        </w:rPr>
        <w:t xml:space="preserve"> ce sujet Th</w:t>
      </w:r>
      <w:r w:rsidRPr="000256FA">
        <w:rPr>
          <w:rFonts w:ascii="Times New Roman" w:hAnsi="Times New Roman" w:cs="Times New Roman"/>
          <w:smallCaps/>
          <w:lang w:val="fr-FR"/>
        </w:rPr>
        <w:t xml:space="preserve">. </w:t>
      </w:r>
      <w:r w:rsidRPr="000256FA">
        <w:rPr>
          <w:rFonts w:ascii="Times New Roman" w:hAnsi="Times New Roman" w:cs="Times New Roman"/>
          <w:smallCaps/>
          <w:lang w:val="en-US"/>
        </w:rPr>
        <w:t xml:space="preserve">Van </w:t>
      </w:r>
      <w:proofErr w:type="spellStart"/>
      <w:r w:rsidRPr="000256FA">
        <w:rPr>
          <w:rFonts w:ascii="Times New Roman" w:hAnsi="Times New Roman" w:cs="Times New Roman"/>
          <w:smallCaps/>
          <w:lang w:val="en-US"/>
        </w:rPr>
        <w:t>Halteren</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pp. 278 et s.</w:t>
      </w:r>
    </w:p>
  </w:footnote>
  <w:footnote w:id="33">
    <w:p w14:paraId="638EFA75"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Th</w:t>
      </w:r>
      <w:r w:rsidRPr="000256FA">
        <w:rPr>
          <w:rFonts w:ascii="Times New Roman" w:hAnsi="Times New Roman" w:cs="Times New Roman"/>
          <w:smallCaps/>
          <w:lang w:val="en-US"/>
        </w:rPr>
        <w:t xml:space="preserve">. Van </w:t>
      </w:r>
      <w:proofErr w:type="spellStart"/>
      <w:r w:rsidRPr="000256FA">
        <w:rPr>
          <w:rFonts w:ascii="Times New Roman" w:hAnsi="Times New Roman" w:cs="Times New Roman"/>
          <w:smallCaps/>
          <w:lang w:val="en-US"/>
        </w:rPr>
        <w:t>Halteren</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 327, n° 184.</w:t>
      </w:r>
    </w:p>
  </w:footnote>
  <w:footnote w:id="34">
    <w:p w14:paraId="7F2B4B44" w14:textId="77777777" w:rsidR="00AD2FBC" w:rsidRPr="000256FA" w:rsidRDefault="00AD2FBC" w:rsidP="00AD2FBC">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Art. 389, </w:t>
      </w:r>
      <w:r w:rsidR="00FF09B8" w:rsidRPr="000256FA">
        <w:rPr>
          <w:rFonts w:ascii="Times New Roman" w:hAnsi="Times New Roman" w:cs="Times New Roman"/>
        </w:rPr>
        <w:t xml:space="preserve">ancien </w:t>
      </w:r>
      <w:r w:rsidRPr="000256FA">
        <w:rPr>
          <w:rFonts w:ascii="Times New Roman" w:hAnsi="Times New Roman" w:cs="Times New Roman"/>
        </w:rPr>
        <w:t>C. civ.</w:t>
      </w:r>
    </w:p>
  </w:footnote>
  <w:footnote w:id="35">
    <w:p w14:paraId="3AF37E11" w14:textId="77777777" w:rsidR="00AD2FBC" w:rsidRPr="000256FA" w:rsidRDefault="00AD2FBC" w:rsidP="00AD2FBC">
      <w:pPr>
        <w:pStyle w:val="Notedebasdepage"/>
        <w:jc w:val="both"/>
        <w:rPr>
          <w:lang w:val="fr-FR"/>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S. </w:t>
      </w:r>
      <w:r w:rsidRPr="000256FA">
        <w:rPr>
          <w:rFonts w:ascii="Times New Roman" w:hAnsi="Times New Roman" w:cs="Times New Roman"/>
          <w:smallCaps/>
          <w:lang w:val="en-US"/>
        </w:rPr>
        <w:t>Timmermans</w:t>
      </w:r>
      <w:r w:rsidRPr="000256FA">
        <w:rPr>
          <w:rFonts w:ascii="Times New Roman" w:hAnsi="Times New Roman" w:cs="Times New Roman"/>
          <w:lang w:val="en-US"/>
        </w:rPr>
        <w:t>, « </w:t>
      </w:r>
      <w:proofErr w:type="spellStart"/>
      <w:r w:rsidRPr="000256FA">
        <w:rPr>
          <w:rFonts w:ascii="Times New Roman" w:hAnsi="Times New Roman" w:cs="Times New Roman"/>
          <w:lang w:val="en-US"/>
        </w:rPr>
        <w:t>Naar</w:t>
      </w:r>
      <w:proofErr w:type="spellEnd"/>
      <w:r w:rsidRPr="000256FA">
        <w:rPr>
          <w:rFonts w:ascii="Times New Roman" w:hAnsi="Times New Roman" w:cs="Times New Roman"/>
          <w:lang w:val="en-US"/>
        </w:rPr>
        <w:t xml:space="preserve"> </w:t>
      </w:r>
      <w:proofErr w:type="spellStart"/>
      <w:r w:rsidRPr="000256FA">
        <w:rPr>
          <w:rFonts w:ascii="Times New Roman" w:hAnsi="Times New Roman" w:cs="Times New Roman"/>
          <w:lang w:val="en-US"/>
        </w:rPr>
        <w:t>een</w:t>
      </w:r>
      <w:proofErr w:type="spellEnd"/>
      <w:r w:rsidRPr="000256FA">
        <w:rPr>
          <w:rFonts w:ascii="Times New Roman" w:hAnsi="Times New Roman" w:cs="Times New Roman"/>
          <w:lang w:val="en-US"/>
        </w:rPr>
        <w:t xml:space="preserve"> </w:t>
      </w:r>
      <w:proofErr w:type="spellStart"/>
      <w:r w:rsidRPr="000256FA">
        <w:rPr>
          <w:rFonts w:ascii="Times New Roman" w:hAnsi="Times New Roman" w:cs="Times New Roman"/>
          <w:lang w:val="en-US"/>
        </w:rPr>
        <w:t>optimalisering</w:t>
      </w:r>
      <w:proofErr w:type="spellEnd"/>
      <w:r w:rsidRPr="000256FA">
        <w:rPr>
          <w:rFonts w:ascii="Times New Roman" w:hAnsi="Times New Roman" w:cs="Times New Roman"/>
          <w:lang w:val="en-US"/>
        </w:rPr>
        <w:t xml:space="preserve"> van het </w:t>
      </w:r>
      <w:proofErr w:type="spellStart"/>
      <w:r w:rsidRPr="000256FA">
        <w:rPr>
          <w:rFonts w:ascii="Times New Roman" w:hAnsi="Times New Roman" w:cs="Times New Roman"/>
          <w:lang w:val="en-US"/>
        </w:rPr>
        <w:t>ouderlijk</w:t>
      </w:r>
      <w:proofErr w:type="spellEnd"/>
      <w:r w:rsidRPr="000256FA">
        <w:rPr>
          <w:rFonts w:ascii="Times New Roman" w:hAnsi="Times New Roman" w:cs="Times New Roman"/>
          <w:lang w:val="en-US"/>
        </w:rPr>
        <w:t xml:space="preserve"> </w:t>
      </w:r>
      <w:proofErr w:type="spellStart"/>
      <w:r w:rsidRPr="000256FA">
        <w:rPr>
          <w:rFonts w:ascii="Times New Roman" w:hAnsi="Times New Roman" w:cs="Times New Roman"/>
          <w:lang w:val="en-US"/>
        </w:rPr>
        <w:t>goederenbeheer</w:t>
      </w:r>
      <w:proofErr w:type="spellEnd"/>
      <w:r w:rsidRPr="000256FA">
        <w:rPr>
          <w:rFonts w:ascii="Times New Roman" w:hAnsi="Times New Roman" w:cs="Times New Roman"/>
          <w:lang w:val="en-US"/>
        </w:rPr>
        <w:t xml:space="preserve"> », </w:t>
      </w:r>
      <w:r w:rsidRPr="000256FA">
        <w:rPr>
          <w:rFonts w:ascii="Times New Roman" w:hAnsi="Times New Roman" w:cs="Times New Roman"/>
          <w:i/>
          <w:lang w:val="en-US"/>
        </w:rPr>
        <w:t>T. Fam.</w:t>
      </w:r>
      <w:r w:rsidRPr="000256FA">
        <w:rPr>
          <w:rFonts w:ascii="Times New Roman" w:hAnsi="Times New Roman" w:cs="Times New Roman"/>
          <w:lang w:val="en-US"/>
        </w:rPr>
        <w:t xml:space="preserve">, 2021, p. 6, n° </w:t>
      </w:r>
      <w:proofErr w:type="gramStart"/>
      <w:r w:rsidRPr="000256FA">
        <w:rPr>
          <w:rFonts w:ascii="Times New Roman" w:hAnsi="Times New Roman" w:cs="Times New Roman"/>
          <w:lang w:val="en-US"/>
        </w:rPr>
        <w:t>2 ;</w:t>
      </w:r>
      <w:proofErr w:type="gramEnd"/>
      <w:r w:rsidRPr="000256FA">
        <w:rPr>
          <w:rFonts w:ascii="Times New Roman" w:hAnsi="Times New Roman" w:cs="Times New Roman"/>
          <w:smallCaps/>
          <w:lang w:val="en-US"/>
        </w:rPr>
        <w:t xml:space="preserve"> T. Van </w:t>
      </w:r>
      <w:proofErr w:type="spellStart"/>
      <w:r w:rsidRPr="000256FA">
        <w:rPr>
          <w:rFonts w:ascii="Times New Roman" w:hAnsi="Times New Roman" w:cs="Times New Roman"/>
          <w:smallCaps/>
          <w:lang w:val="en-US"/>
        </w:rPr>
        <w:t>Halteren</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xml:space="preserve">, p. 330, n° 185 ; G. </w:t>
      </w:r>
      <w:r w:rsidRPr="000256FA">
        <w:rPr>
          <w:rFonts w:ascii="Times New Roman" w:hAnsi="Times New Roman" w:cs="Times New Roman"/>
          <w:smallCaps/>
          <w:lang w:val="en-US"/>
        </w:rPr>
        <w:t xml:space="preserve">Verschelden, I. Boone, S. Brouwers, L. De Schrijver, A. Van </w:t>
      </w:r>
      <w:proofErr w:type="spellStart"/>
      <w:r w:rsidRPr="000256FA">
        <w:rPr>
          <w:rFonts w:ascii="Times New Roman" w:hAnsi="Times New Roman" w:cs="Times New Roman"/>
          <w:smallCaps/>
          <w:lang w:val="en-US"/>
        </w:rPr>
        <w:t>Thienen</w:t>
      </w:r>
      <w:proofErr w:type="spellEnd"/>
      <w:r w:rsidRPr="000256FA">
        <w:rPr>
          <w:rFonts w:ascii="Times New Roman" w:hAnsi="Times New Roman" w:cs="Times New Roman"/>
          <w:lang w:val="en-US"/>
        </w:rPr>
        <w:t>, « </w:t>
      </w:r>
      <w:proofErr w:type="spellStart"/>
      <w:r w:rsidRPr="000256FA">
        <w:rPr>
          <w:rFonts w:ascii="Times New Roman" w:hAnsi="Times New Roman" w:cs="Times New Roman"/>
          <w:lang w:val="en-US"/>
        </w:rPr>
        <w:t>Overzicht</w:t>
      </w:r>
      <w:proofErr w:type="spellEnd"/>
      <w:r w:rsidRPr="000256FA">
        <w:rPr>
          <w:rFonts w:ascii="Times New Roman" w:hAnsi="Times New Roman" w:cs="Times New Roman"/>
          <w:lang w:val="en-US"/>
        </w:rPr>
        <w:t xml:space="preserve"> van </w:t>
      </w:r>
      <w:proofErr w:type="spellStart"/>
      <w:r w:rsidRPr="000256FA">
        <w:rPr>
          <w:rFonts w:ascii="Times New Roman" w:hAnsi="Times New Roman" w:cs="Times New Roman"/>
          <w:lang w:val="en-US"/>
        </w:rPr>
        <w:t>rechtspraak</w:t>
      </w:r>
      <w:proofErr w:type="spellEnd"/>
      <w:r w:rsidRPr="000256FA">
        <w:rPr>
          <w:rFonts w:ascii="Times New Roman" w:hAnsi="Times New Roman" w:cs="Times New Roman"/>
          <w:lang w:val="en-US"/>
        </w:rPr>
        <w:t xml:space="preserve">. </w:t>
      </w:r>
      <w:proofErr w:type="spellStart"/>
      <w:r w:rsidRPr="000256FA">
        <w:rPr>
          <w:rFonts w:ascii="Times New Roman" w:hAnsi="Times New Roman" w:cs="Times New Roman"/>
        </w:rPr>
        <w:t>Familierect</w:t>
      </w:r>
      <w:proofErr w:type="spellEnd"/>
      <w:r w:rsidRPr="000256FA">
        <w:rPr>
          <w:rFonts w:ascii="Times New Roman" w:hAnsi="Times New Roman" w:cs="Times New Roman"/>
        </w:rPr>
        <w:t xml:space="preserve"> (2012-216), </w:t>
      </w:r>
      <w:r w:rsidRPr="000256FA">
        <w:rPr>
          <w:rFonts w:ascii="Times New Roman" w:hAnsi="Times New Roman" w:cs="Times New Roman"/>
          <w:i/>
        </w:rPr>
        <w:t>T.P.R.</w:t>
      </w:r>
      <w:r w:rsidRPr="000256FA">
        <w:rPr>
          <w:rFonts w:ascii="Times New Roman" w:hAnsi="Times New Roman" w:cs="Times New Roman"/>
        </w:rPr>
        <w:t>, 2017, p. 1086, n° 667</w:t>
      </w:r>
      <w:r w:rsidRPr="000256FA">
        <w:rPr>
          <w:rFonts w:ascii="Times New Roman" w:hAnsi="Times New Roman" w:cs="Times New Roman"/>
          <w:lang w:val="fr-FR"/>
        </w:rPr>
        <w:t>.</w:t>
      </w:r>
    </w:p>
  </w:footnote>
  <w:footnote w:id="36">
    <w:p w14:paraId="0F79DA01" w14:textId="1CC605BD" w:rsidR="0013074C" w:rsidRPr="000256FA" w:rsidRDefault="0013074C" w:rsidP="003B718F">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Dont la compétence territoriale est régie par l’article 629</w:t>
      </w:r>
      <w:r w:rsidRPr="000256FA">
        <w:rPr>
          <w:rFonts w:ascii="Times New Roman" w:hAnsi="Times New Roman" w:cs="Times New Roman"/>
          <w:i/>
          <w:iCs/>
        </w:rPr>
        <w:t>quater</w:t>
      </w:r>
      <w:r w:rsidRPr="000256FA">
        <w:rPr>
          <w:rFonts w:ascii="Times New Roman" w:hAnsi="Times New Roman" w:cs="Times New Roman"/>
        </w:rPr>
        <w:t xml:space="preserve"> du Code judiciaire.</w:t>
      </w:r>
    </w:p>
  </w:footnote>
  <w:footnote w:id="37">
    <w:p w14:paraId="2A383083"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rPr>
        <w:t xml:space="preserve"> A. </w:t>
      </w:r>
      <w:proofErr w:type="spellStart"/>
      <w:r w:rsidRPr="000256FA">
        <w:rPr>
          <w:rFonts w:ascii="Times New Roman" w:hAnsi="Times New Roman" w:cs="Times New Roman"/>
          <w:smallCaps/>
        </w:rPr>
        <w:t>Nottet</w:t>
      </w:r>
      <w:proofErr w:type="spellEnd"/>
      <w:r w:rsidRPr="000256FA">
        <w:rPr>
          <w:rFonts w:ascii="Times New Roman" w:hAnsi="Times New Roman" w:cs="Times New Roman"/>
        </w:rPr>
        <w:t xml:space="preserve">, </w:t>
      </w:r>
      <w:r w:rsidRPr="000256FA">
        <w:rPr>
          <w:rFonts w:ascii="Times New Roman" w:hAnsi="Times New Roman" w:cs="Times New Roman"/>
          <w:i/>
        </w:rPr>
        <w:t>Le consommateur mineur. Analyse juridique de la protection d’une personne doublement vulnérable</w:t>
      </w:r>
      <w:r w:rsidRPr="000256FA">
        <w:rPr>
          <w:rFonts w:ascii="Times New Roman" w:hAnsi="Times New Roman" w:cs="Times New Roman"/>
        </w:rPr>
        <w:t xml:space="preserve">, Waterloo, Kluwer, 2013, p. 42, n° 28 ; </w:t>
      </w:r>
      <w:r w:rsidRPr="000256FA">
        <w:rPr>
          <w:rFonts w:ascii="Times New Roman" w:hAnsi="Times New Roman" w:cs="Times New Roman"/>
          <w:lang w:val="fr-FR"/>
        </w:rPr>
        <w:t>Th</w:t>
      </w:r>
      <w:r w:rsidRPr="000256FA">
        <w:rPr>
          <w:rFonts w:ascii="Times New Roman" w:hAnsi="Times New Roman" w:cs="Times New Roman"/>
          <w:smallCaps/>
          <w:lang w:val="fr-FR"/>
        </w:rPr>
        <w:t xml:space="preserve">. </w:t>
      </w:r>
      <w:r w:rsidRPr="000256FA">
        <w:rPr>
          <w:rFonts w:ascii="Times New Roman" w:hAnsi="Times New Roman" w:cs="Times New Roman"/>
          <w:smallCaps/>
          <w:lang w:val="en-US"/>
        </w:rPr>
        <w:t xml:space="preserve">Van </w:t>
      </w:r>
      <w:proofErr w:type="spellStart"/>
      <w:r w:rsidRPr="000256FA">
        <w:rPr>
          <w:rFonts w:ascii="Times New Roman" w:hAnsi="Times New Roman" w:cs="Times New Roman"/>
          <w:smallCaps/>
          <w:lang w:val="en-US"/>
        </w:rPr>
        <w:t>Halteren</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 338, n° 191.</w:t>
      </w:r>
    </w:p>
  </w:footnote>
  <w:footnote w:id="38">
    <w:p w14:paraId="48A9DF5D"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Th</w:t>
      </w:r>
      <w:r w:rsidRPr="000256FA">
        <w:rPr>
          <w:rFonts w:ascii="Times New Roman" w:hAnsi="Times New Roman" w:cs="Times New Roman"/>
          <w:smallCaps/>
          <w:lang w:val="en-US"/>
        </w:rPr>
        <w:t xml:space="preserve">. Van </w:t>
      </w:r>
      <w:proofErr w:type="spellStart"/>
      <w:r w:rsidRPr="000256FA">
        <w:rPr>
          <w:rFonts w:ascii="Times New Roman" w:hAnsi="Times New Roman" w:cs="Times New Roman"/>
          <w:smallCaps/>
          <w:lang w:val="en-US"/>
        </w:rPr>
        <w:t>Halteren</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 339, n° 191.</w:t>
      </w:r>
    </w:p>
  </w:footnote>
  <w:footnote w:id="39">
    <w:p w14:paraId="6E996721" w14:textId="3855B181" w:rsidR="00A95D6F" w:rsidRPr="000256FA" w:rsidRDefault="00A95D6F" w:rsidP="00A95D6F">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La requête en vue de solliciter cette autorisation peut être signée par les parents eux-mêmes ou par un avocat (art. 378, §1, al. 4, C. civ.).</w:t>
      </w:r>
    </w:p>
  </w:footnote>
  <w:footnote w:id="40">
    <w:p w14:paraId="6A03D25A" w14:textId="3E431FC7" w:rsidR="007A58BE" w:rsidRPr="000256FA" w:rsidRDefault="007A58BE" w:rsidP="007A58BE">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Le juge de paix statuera sur la demande sur base d’un état du patrimoine successoral, qui ne doit pas nécessairement être un inventaire authentique puisqu’il précède l’option</w:t>
      </w:r>
      <w:r w:rsidR="001D3D09">
        <w:rPr>
          <w:rFonts w:ascii="Times New Roman" w:hAnsi="Times New Roman" w:cs="Times New Roman"/>
        </w:rPr>
        <w:t xml:space="preserve"> (</w:t>
      </w:r>
      <w:r w:rsidRPr="000256FA">
        <w:rPr>
          <w:rFonts w:ascii="Times New Roman" w:hAnsi="Times New Roman" w:cs="Times New Roman"/>
        </w:rPr>
        <w:t xml:space="preserve">Y.-H. </w:t>
      </w:r>
      <w:r w:rsidRPr="000256FA">
        <w:rPr>
          <w:rFonts w:ascii="Times New Roman" w:hAnsi="Times New Roman" w:cs="Times New Roman"/>
          <w:smallCaps/>
        </w:rPr>
        <w:t>Leleu</w:t>
      </w:r>
      <w:r w:rsidRPr="000256FA">
        <w:rPr>
          <w:rFonts w:ascii="Times New Roman" w:hAnsi="Times New Roman" w:cs="Times New Roman"/>
        </w:rPr>
        <w:t xml:space="preserve">, </w:t>
      </w:r>
      <w:r w:rsidRPr="000256FA">
        <w:rPr>
          <w:rFonts w:ascii="Times New Roman" w:hAnsi="Times New Roman" w:cs="Times New Roman"/>
          <w:i/>
          <w:iCs/>
        </w:rPr>
        <w:t>Droit des personnes et des familles</w:t>
      </w:r>
      <w:r w:rsidRPr="000256FA">
        <w:rPr>
          <w:rFonts w:ascii="Times New Roman" w:hAnsi="Times New Roman" w:cs="Times New Roman"/>
        </w:rPr>
        <w:t xml:space="preserve">, </w:t>
      </w:r>
      <w:r w:rsidR="00A53B3C" w:rsidRPr="000256FA">
        <w:rPr>
          <w:rFonts w:ascii="Times New Roman" w:hAnsi="Times New Roman" w:cs="Times New Roman"/>
        </w:rPr>
        <w:t>4</w:t>
      </w:r>
      <w:r w:rsidRPr="000256FA">
        <w:rPr>
          <w:rFonts w:ascii="Times New Roman" w:hAnsi="Times New Roman" w:cs="Times New Roman"/>
          <w:vertAlign w:val="superscript"/>
        </w:rPr>
        <w:t>ème</w:t>
      </w:r>
      <w:r w:rsidRPr="000256FA">
        <w:rPr>
          <w:rFonts w:ascii="Times New Roman" w:hAnsi="Times New Roman" w:cs="Times New Roman"/>
        </w:rPr>
        <w:t xml:space="preserve"> éd., Bruxelles, Larcier, </w:t>
      </w:r>
      <w:r w:rsidR="00A53B3C" w:rsidRPr="000256FA">
        <w:rPr>
          <w:rFonts w:ascii="Times New Roman" w:hAnsi="Times New Roman" w:cs="Times New Roman"/>
        </w:rPr>
        <w:t>2020</w:t>
      </w:r>
      <w:r w:rsidRPr="000256FA">
        <w:rPr>
          <w:rFonts w:ascii="Times New Roman" w:hAnsi="Times New Roman" w:cs="Times New Roman"/>
        </w:rPr>
        <w:t xml:space="preserve">, p. </w:t>
      </w:r>
      <w:r w:rsidR="00A53B3C" w:rsidRPr="000256FA">
        <w:rPr>
          <w:rFonts w:ascii="Times New Roman" w:hAnsi="Times New Roman" w:cs="Times New Roman"/>
        </w:rPr>
        <w:t>295</w:t>
      </w:r>
      <w:r w:rsidRPr="000256FA">
        <w:rPr>
          <w:rFonts w:ascii="Times New Roman" w:hAnsi="Times New Roman" w:cs="Times New Roman"/>
        </w:rPr>
        <w:t>, n° 291</w:t>
      </w:r>
      <w:r w:rsidR="001D3D09">
        <w:rPr>
          <w:rFonts w:ascii="Times New Roman" w:hAnsi="Times New Roman" w:cs="Times New Roman"/>
        </w:rPr>
        <w:t>)</w:t>
      </w:r>
      <w:r w:rsidRPr="000256FA">
        <w:rPr>
          <w:rFonts w:ascii="Times New Roman" w:hAnsi="Times New Roman" w:cs="Times New Roman"/>
        </w:rPr>
        <w:t xml:space="preserve">. </w:t>
      </w:r>
      <w:r w:rsidR="00916F4C" w:rsidRPr="000256FA">
        <w:rPr>
          <w:rFonts w:ascii="Times New Roman" w:hAnsi="Times New Roman" w:cs="Times New Roman"/>
        </w:rPr>
        <w:t>L’acceptation d’une succession sous bénéfice d’inventaire devra se faire devant notaire via un acte authentique (art. 793, al. 1</w:t>
      </w:r>
      <w:r w:rsidR="00916F4C" w:rsidRPr="000256FA">
        <w:rPr>
          <w:rFonts w:ascii="Times New Roman" w:hAnsi="Times New Roman" w:cs="Times New Roman"/>
          <w:vertAlign w:val="superscript"/>
        </w:rPr>
        <w:t>er</w:t>
      </w:r>
      <w:r w:rsidR="00916F4C" w:rsidRPr="000256FA">
        <w:rPr>
          <w:rFonts w:ascii="Times New Roman" w:hAnsi="Times New Roman" w:cs="Times New Roman"/>
        </w:rPr>
        <w:t>, ancien C. civ.).</w:t>
      </w:r>
    </w:p>
  </w:footnote>
  <w:footnote w:id="41">
    <w:p w14:paraId="37EAE174" w14:textId="77777777" w:rsidR="00AD2FBC" w:rsidRPr="000256FA" w:rsidRDefault="00AD2FBC" w:rsidP="00AD2FBC">
      <w:pPr>
        <w:pStyle w:val="Notedebasdepage"/>
        <w:jc w:val="both"/>
        <w:rPr>
          <w:rFonts w:ascii="Times New Roman" w:hAnsi="Times New Roman" w:cs="Times New Roman"/>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A. </w:t>
      </w:r>
      <w:proofErr w:type="spellStart"/>
      <w:r w:rsidRPr="000256FA">
        <w:rPr>
          <w:rFonts w:ascii="Times New Roman" w:hAnsi="Times New Roman" w:cs="Times New Roman"/>
          <w:smallCaps/>
          <w:lang w:val="en-US"/>
        </w:rPr>
        <w:t>Nottet</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xml:space="preserve">, p. 42, n° </w:t>
      </w:r>
      <w:proofErr w:type="gramStart"/>
      <w:r w:rsidRPr="000256FA">
        <w:rPr>
          <w:rFonts w:ascii="Times New Roman" w:hAnsi="Times New Roman" w:cs="Times New Roman"/>
          <w:lang w:val="en-US"/>
        </w:rPr>
        <w:t>28 ;</w:t>
      </w:r>
      <w:proofErr w:type="gramEnd"/>
      <w:r w:rsidRPr="000256FA">
        <w:rPr>
          <w:rFonts w:ascii="Times New Roman" w:hAnsi="Times New Roman" w:cs="Times New Roman"/>
          <w:lang w:val="en-US"/>
        </w:rPr>
        <w:t xml:space="preserve"> S. </w:t>
      </w:r>
      <w:r w:rsidRPr="000256FA">
        <w:rPr>
          <w:rFonts w:ascii="Times New Roman" w:hAnsi="Times New Roman" w:cs="Times New Roman"/>
          <w:smallCaps/>
          <w:lang w:val="en-US"/>
        </w:rPr>
        <w:t>Timmermans</w:t>
      </w:r>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 10, n° 19.</w:t>
      </w:r>
    </w:p>
  </w:footnote>
  <w:footnote w:id="42">
    <w:p w14:paraId="48D803D8"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G. </w:t>
      </w:r>
      <w:r w:rsidRPr="000256FA">
        <w:rPr>
          <w:rFonts w:ascii="Times New Roman" w:hAnsi="Times New Roman" w:cs="Times New Roman"/>
          <w:smallCaps/>
          <w:lang w:val="en-US"/>
        </w:rPr>
        <w:t xml:space="preserve">Verschelden, I. Boone, S. Brouwers, L. De Schrijver, A. Van </w:t>
      </w:r>
      <w:proofErr w:type="spellStart"/>
      <w:r w:rsidRPr="000256FA">
        <w:rPr>
          <w:rFonts w:ascii="Times New Roman" w:hAnsi="Times New Roman" w:cs="Times New Roman"/>
          <w:smallCaps/>
          <w:lang w:val="en-US"/>
        </w:rPr>
        <w:t>Thienen</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 1088, n° 669.</w:t>
      </w:r>
    </w:p>
  </w:footnote>
  <w:footnote w:id="43">
    <w:p w14:paraId="2218541B" w14:textId="77777777" w:rsidR="00AD2FBC" w:rsidRPr="000256FA" w:rsidRDefault="00AD2FBC" w:rsidP="00AD2FBC">
      <w:pPr>
        <w:pStyle w:val="Notedebasdepage"/>
        <w:jc w:val="both"/>
        <w:rPr>
          <w:rFonts w:ascii="Times New Roman" w:hAnsi="Times New Roman" w:cs="Times New Roman"/>
          <w:lang w:val="fr-FR"/>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r w:rsidRPr="000256FA">
        <w:rPr>
          <w:rFonts w:ascii="Times New Roman" w:hAnsi="Times New Roman" w:cs="Times New Roman"/>
          <w:lang w:val="fr-FR"/>
        </w:rPr>
        <w:t xml:space="preserve">Ch.-E. </w:t>
      </w:r>
      <w:r w:rsidRPr="000256FA">
        <w:rPr>
          <w:rFonts w:ascii="Times New Roman" w:hAnsi="Times New Roman" w:cs="Times New Roman"/>
          <w:smallCaps/>
          <w:lang w:val="fr-FR"/>
        </w:rPr>
        <w:t xml:space="preserve">de </w:t>
      </w:r>
      <w:proofErr w:type="spellStart"/>
      <w:r w:rsidRPr="000256FA">
        <w:rPr>
          <w:rFonts w:ascii="Times New Roman" w:hAnsi="Times New Roman" w:cs="Times New Roman"/>
          <w:smallCaps/>
          <w:lang w:val="fr-FR"/>
        </w:rPr>
        <w:t>Frésart</w:t>
      </w:r>
      <w:proofErr w:type="spellEnd"/>
      <w:r w:rsidRPr="000256FA">
        <w:rPr>
          <w:rFonts w:ascii="Times New Roman" w:hAnsi="Times New Roman" w:cs="Times New Roman"/>
          <w:lang w:val="fr-FR"/>
        </w:rPr>
        <w:t xml:space="preserve"> et M. </w:t>
      </w:r>
      <w:r w:rsidRPr="000256FA">
        <w:rPr>
          <w:rFonts w:ascii="Times New Roman" w:hAnsi="Times New Roman" w:cs="Times New Roman"/>
          <w:smallCaps/>
          <w:lang w:val="fr-FR"/>
        </w:rPr>
        <w:t xml:space="preserve">de </w:t>
      </w:r>
      <w:proofErr w:type="spellStart"/>
      <w:r w:rsidRPr="000256FA">
        <w:rPr>
          <w:rFonts w:ascii="Times New Roman" w:hAnsi="Times New Roman" w:cs="Times New Roman"/>
          <w:smallCaps/>
          <w:lang w:val="fr-FR"/>
        </w:rPr>
        <w:t>Fresart</w:t>
      </w:r>
      <w:proofErr w:type="spellEnd"/>
      <w:r w:rsidRPr="000256FA">
        <w:rPr>
          <w:rFonts w:ascii="Times New Roman" w:hAnsi="Times New Roman" w:cs="Times New Roman"/>
          <w:lang w:val="fr-FR"/>
        </w:rPr>
        <w:t xml:space="preserve">, « Le mineur, héritier malgré lui – Points d’attention pratiques en présence d’un héritier mineur », </w:t>
      </w:r>
      <w:r w:rsidRPr="000256FA">
        <w:rPr>
          <w:rFonts w:ascii="Times New Roman" w:hAnsi="Times New Roman" w:cs="Times New Roman"/>
          <w:i/>
          <w:lang w:val="fr-FR"/>
        </w:rPr>
        <w:t>in Le notaire : de conseiller à confident, de 7 à 77 ans</w:t>
      </w:r>
      <w:r w:rsidRPr="000256FA">
        <w:rPr>
          <w:rFonts w:ascii="Times New Roman" w:hAnsi="Times New Roman" w:cs="Times New Roman"/>
          <w:lang w:val="fr-FR"/>
        </w:rPr>
        <w:t xml:space="preserve">, Bruxelles, Larcier, 2017, p. 13 ; </w:t>
      </w:r>
      <w:r w:rsidRPr="000256FA">
        <w:rPr>
          <w:rFonts w:ascii="Times New Roman" w:hAnsi="Times New Roman" w:cs="Times New Roman"/>
        </w:rPr>
        <w:t xml:space="preserve">A. </w:t>
      </w:r>
      <w:proofErr w:type="spellStart"/>
      <w:r w:rsidRPr="000256FA">
        <w:rPr>
          <w:rFonts w:ascii="Times New Roman" w:hAnsi="Times New Roman" w:cs="Times New Roman"/>
          <w:smallCaps/>
        </w:rPr>
        <w:t>Nottet</w:t>
      </w:r>
      <w:proofErr w:type="spellEnd"/>
      <w:r w:rsidRPr="000256FA">
        <w:rPr>
          <w:rFonts w:ascii="Times New Roman" w:hAnsi="Times New Roman" w:cs="Times New Roman"/>
        </w:rPr>
        <w:t xml:space="preserve">, </w:t>
      </w:r>
      <w:r w:rsidRPr="000256FA">
        <w:rPr>
          <w:rFonts w:ascii="Times New Roman" w:hAnsi="Times New Roman" w:cs="Times New Roman"/>
          <w:i/>
        </w:rPr>
        <w:t xml:space="preserve">op. </w:t>
      </w:r>
      <w:proofErr w:type="spellStart"/>
      <w:proofErr w:type="gramStart"/>
      <w:r w:rsidRPr="000256FA">
        <w:rPr>
          <w:rFonts w:ascii="Times New Roman" w:hAnsi="Times New Roman" w:cs="Times New Roman"/>
          <w:i/>
        </w:rPr>
        <w:t>cit</w:t>
      </w:r>
      <w:proofErr w:type="spellEnd"/>
      <w:proofErr w:type="gramEnd"/>
      <w:r w:rsidRPr="000256FA">
        <w:rPr>
          <w:rFonts w:ascii="Times New Roman" w:hAnsi="Times New Roman" w:cs="Times New Roman"/>
          <w:i/>
        </w:rPr>
        <w:t>.</w:t>
      </w:r>
      <w:r w:rsidRPr="000256FA">
        <w:rPr>
          <w:rFonts w:ascii="Times New Roman" w:hAnsi="Times New Roman" w:cs="Times New Roman"/>
        </w:rPr>
        <w:t>, p. 42, n° 28</w:t>
      </w:r>
      <w:r w:rsidRPr="000256FA">
        <w:rPr>
          <w:rFonts w:ascii="Times New Roman" w:hAnsi="Times New Roman" w:cs="Times New Roman"/>
          <w:lang w:val="fr-FR"/>
        </w:rPr>
        <w:t>.</w:t>
      </w:r>
    </w:p>
  </w:footnote>
  <w:footnote w:id="44">
    <w:p w14:paraId="1A5F5319"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A. </w:t>
      </w:r>
      <w:proofErr w:type="spellStart"/>
      <w:r w:rsidRPr="000256FA">
        <w:rPr>
          <w:rFonts w:ascii="Times New Roman" w:hAnsi="Times New Roman" w:cs="Times New Roman"/>
          <w:smallCaps/>
          <w:lang w:val="en-US"/>
        </w:rPr>
        <w:t>Nottet</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 68, n° 59.</w:t>
      </w:r>
    </w:p>
  </w:footnote>
  <w:footnote w:id="45">
    <w:p w14:paraId="56039DE7"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w:t>
      </w:r>
      <w:r w:rsidRPr="000256FA">
        <w:rPr>
          <w:rFonts w:ascii="Times New Roman" w:hAnsi="Times New Roman" w:cs="Times New Roman"/>
          <w:i/>
          <w:lang w:val="en-US"/>
        </w:rPr>
        <w:t>Ibid.</w:t>
      </w:r>
      <w:r w:rsidRPr="000256FA">
        <w:rPr>
          <w:rFonts w:ascii="Times New Roman" w:hAnsi="Times New Roman" w:cs="Times New Roman"/>
          <w:lang w:val="en-US"/>
        </w:rPr>
        <w:t>, p. 71, n° 61.</w:t>
      </w:r>
    </w:p>
  </w:footnote>
  <w:footnote w:id="46">
    <w:p w14:paraId="63CD8D1E" w14:textId="77777777" w:rsidR="00AD2FBC" w:rsidRPr="000256FA" w:rsidRDefault="00AD2FBC" w:rsidP="00AD2FBC">
      <w:pPr>
        <w:pStyle w:val="Notedebasdepage"/>
        <w:jc w:val="both"/>
        <w:rPr>
          <w:rFonts w:ascii="Times New Roman" w:hAnsi="Times New Roman" w:cs="Times New Roman"/>
          <w:lang w:val="fr-FR"/>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r w:rsidRPr="000256FA">
        <w:rPr>
          <w:rFonts w:ascii="Times New Roman" w:hAnsi="Times New Roman" w:cs="Times New Roman"/>
          <w:i/>
        </w:rPr>
        <w:t>M.B.</w:t>
      </w:r>
      <w:r w:rsidRPr="000256FA">
        <w:rPr>
          <w:rFonts w:ascii="Times New Roman" w:hAnsi="Times New Roman" w:cs="Times New Roman"/>
        </w:rPr>
        <w:t>, 14 juin 2013, p. 38132.</w:t>
      </w:r>
    </w:p>
  </w:footnote>
  <w:footnote w:id="47">
    <w:p w14:paraId="5FABAECF" w14:textId="77777777" w:rsidR="00AD2FBC" w:rsidRPr="000256FA" w:rsidRDefault="00AD2FBC" w:rsidP="00AD2FBC">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Il est également possible d’introduire de telles demandes pour un mineur de 17 ans accomplis s’il est établi qu’à sa majorité, il se trouvera incapable d’assumer la gestion de ses intérêts patrimoniaux ou extrapatrimoniaux, la mesure prenant alors effet au jour de son dix-huitième anniversaire (art. 488, al. 2, </w:t>
      </w:r>
      <w:r w:rsidR="00FF09B8" w:rsidRPr="000256FA">
        <w:rPr>
          <w:rFonts w:ascii="Times New Roman" w:hAnsi="Times New Roman" w:cs="Times New Roman"/>
        </w:rPr>
        <w:t xml:space="preserve">ancien </w:t>
      </w:r>
      <w:r w:rsidRPr="000256FA">
        <w:rPr>
          <w:rFonts w:ascii="Times New Roman" w:hAnsi="Times New Roman" w:cs="Times New Roman"/>
        </w:rPr>
        <w:t>C. civ.).</w:t>
      </w:r>
    </w:p>
  </w:footnote>
  <w:footnote w:id="48">
    <w:p w14:paraId="585E1F27" w14:textId="77777777" w:rsidR="00AD2FBC" w:rsidRPr="000256FA" w:rsidRDefault="00AD2FBC" w:rsidP="00AD2FBC">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K. </w:t>
      </w:r>
      <w:proofErr w:type="spellStart"/>
      <w:r w:rsidRPr="000256FA">
        <w:rPr>
          <w:rFonts w:ascii="Times New Roman" w:hAnsi="Times New Roman" w:cs="Times New Roman"/>
          <w:smallCaps/>
          <w:lang w:val="en-US"/>
        </w:rPr>
        <w:t>Rotthier</w:t>
      </w:r>
      <w:proofErr w:type="spellEnd"/>
      <w:r w:rsidRPr="000256FA">
        <w:rPr>
          <w:rFonts w:ascii="Times New Roman" w:hAnsi="Times New Roman" w:cs="Times New Roman"/>
          <w:lang w:val="en-US"/>
        </w:rPr>
        <w:t>, « </w:t>
      </w:r>
      <w:proofErr w:type="spellStart"/>
      <w:r w:rsidRPr="000256FA">
        <w:rPr>
          <w:rFonts w:ascii="Times New Roman" w:hAnsi="Times New Roman" w:cs="Times New Roman"/>
          <w:lang w:val="en-US"/>
        </w:rPr>
        <w:t>Deel</w:t>
      </w:r>
      <w:proofErr w:type="spellEnd"/>
      <w:r w:rsidRPr="000256FA">
        <w:rPr>
          <w:rFonts w:ascii="Times New Roman" w:hAnsi="Times New Roman" w:cs="Times New Roman"/>
          <w:lang w:val="en-US"/>
        </w:rPr>
        <w:t xml:space="preserve"> I – Wie </w:t>
      </w:r>
      <w:proofErr w:type="spellStart"/>
      <w:r w:rsidRPr="000256FA">
        <w:rPr>
          <w:rFonts w:ascii="Times New Roman" w:hAnsi="Times New Roman" w:cs="Times New Roman"/>
          <w:lang w:val="en-US"/>
        </w:rPr>
        <w:t>kan</w:t>
      </w:r>
      <w:proofErr w:type="spellEnd"/>
      <w:r w:rsidRPr="000256FA">
        <w:rPr>
          <w:rFonts w:ascii="Times New Roman" w:hAnsi="Times New Roman" w:cs="Times New Roman"/>
          <w:lang w:val="en-US"/>
        </w:rPr>
        <w:t xml:space="preserve"> </w:t>
      </w:r>
      <w:proofErr w:type="spellStart"/>
      <w:r w:rsidRPr="000256FA">
        <w:rPr>
          <w:rFonts w:ascii="Times New Roman" w:hAnsi="Times New Roman" w:cs="Times New Roman"/>
          <w:lang w:val="en-US"/>
        </w:rPr>
        <w:t>worden</w:t>
      </w:r>
      <w:proofErr w:type="spellEnd"/>
      <w:r w:rsidRPr="000256FA">
        <w:rPr>
          <w:rFonts w:ascii="Times New Roman" w:hAnsi="Times New Roman" w:cs="Times New Roman"/>
          <w:lang w:val="en-US"/>
        </w:rPr>
        <w:t xml:space="preserve"> </w:t>
      </w:r>
      <w:proofErr w:type="spellStart"/>
      <w:proofErr w:type="gramStart"/>
      <w:r w:rsidRPr="000256FA">
        <w:rPr>
          <w:rFonts w:ascii="Times New Roman" w:hAnsi="Times New Roman" w:cs="Times New Roman"/>
          <w:lang w:val="en-US"/>
        </w:rPr>
        <w:t>beschermd</w:t>
      </w:r>
      <w:proofErr w:type="spellEnd"/>
      <w:r w:rsidRPr="000256FA">
        <w:rPr>
          <w:rFonts w:ascii="Times New Roman" w:hAnsi="Times New Roman" w:cs="Times New Roman"/>
          <w:lang w:val="en-US"/>
        </w:rPr>
        <w:t xml:space="preserve"> ?</w:t>
      </w:r>
      <w:proofErr w:type="gramEnd"/>
      <w:r w:rsidRPr="000256FA">
        <w:rPr>
          <w:rFonts w:ascii="Times New Roman" w:hAnsi="Times New Roman" w:cs="Times New Roman"/>
          <w:lang w:val="en-US"/>
        </w:rPr>
        <w:t xml:space="preserve"> », </w:t>
      </w:r>
      <w:r w:rsidRPr="000256FA">
        <w:rPr>
          <w:rFonts w:ascii="Times New Roman" w:hAnsi="Times New Roman" w:cs="Times New Roman"/>
          <w:i/>
          <w:lang w:val="en-US"/>
        </w:rPr>
        <w:t xml:space="preserve">in </w:t>
      </w:r>
      <w:proofErr w:type="spellStart"/>
      <w:r w:rsidRPr="000256FA">
        <w:rPr>
          <w:rFonts w:ascii="Times New Roman" w:hAnsi="Times New Roman" w:cs="Times New Roman"/>
          <w:i/>
          <w:lang w:val="en-US"/>
        </w:rPr>
        <w:t>Handboek</w:t>
      </w:r>
      <w:proofErr w:type="spellEnd"/>
      <w:r w:rsidRPr="000256FA">
        <w:rPr>
          <w:rFonts w:ascii="Times New Roman" w:hAnsi="Times New Roman" w:cs="Times New Roman"/>
          <w:i/>
          <w:lang w:val="en-US"/>
        </w:rPr>
        <w:t xml:space="preserve"> </w:t>
      </w:r>
      <w:proofErr w:type="spellStart"/>
      <w:r w:rsidRPr="000256FA">
        <w:rPr>
          <w:rFonts w:ascii="Times New Roman" w:hAnsi="Times New Roman" w:cs="Times New Roman"/>
          <w:i/>
          <w:lang w:val="en-US"/>
        </w:rPr>
        <w:t>bescherming</w:t>
      </w:r>
      <w:proofErr w:type="spellEnd"/>
      <w:r w:rsidRPr="000256FA">
        <w:rPr>
          <w:rFonts w:ascii="Times New Roman" w:hAnsi="Times New Roman" w:cs="Times New Roman"/>
          <w:i/>
          <w:lang w:val="en-US"/>
        </w:rPr>
        <w:t xml:space="preserve"> </w:t>
      </w:r>
      <w:proofErr w:type="spellStart"/>
      <w:r w:rsidRPr="000256FA">
        <w:rPr>
          <w:rFonts w:ascii="Times New Roman" w:hAnsi="Times New Roman" w:cs="Times New Roman"/>
          <w:i/>
          <w:lang w:val="en-US"/>
        </w:rPr>
        <w:t>onbekwamen</w:t>
      </w:r>
      <w:proofErr w:type="spellEnd"/>
      <w:r w:rsidRPr="000256FA">
        <w:rPr>
          <w:rFonts w:ascii="Times New Roman" w:hAnsi="Times New Roman" w:cs="Times New Roman"/>
          <w:i/>
          <w:lang w:val="en-US"/>
        </w:rPr>
        <w:t xml:space="preserve">. </w:t>
      </w:r>
      <w:proofErr w:type="spellStart"/>
      <w:r w:rsidRPr="000256FA">
        <w:rPr>
          <w:rFonts w:ascii="Times New Roman" w:hAnsi="Times New Roman" w:cs="Times New Roman"/>
          <w:i/>
        </w:rPr>
        <w:t>Zorgvolmacht</w:t>
      </w:r>
      <w:proofErr w:type="spellEnd"/>
      <w:r w:rsidRPr="000256FA">
        <w:rPr>
          <w:rFonts w:ascii="Times New Roman" w:hAnsi="Times New Roman" w:cs="Times New Roman"/>
          <w:i/>
        </w:rPr>
        <w:t xml:space="preserve"> en </w:t>
      </w:r>
      <w:proofErr w:type="spellStart"/>
      <w:r w:rsidRPr="000256FA">
        <w:rPr>
          <w:rFonts w:ascii="Times New Roman" w:hAnsi="Times New Roman" w:cs="Times New Roman"/>
          <w:i/>
        </w:rPr>
        <w:t>bewind</w:t>
      </w:r>
      <w:proofErr w:type="spellEnd"/>
      <w:r w:rsidRPr="000256FA">
        <w:rPr>
          <w:rFonts w:ascii="Times New Roman" w:hAnsi="Times New Roman" w:cs="Times New Roman"/>
          <w:i/>
        </w:rPr>
        <w:t xml:space="preserve"> na de </w:t>
      </w:r>
      <w:proofErr w:type="spellStart"/>
      <w:r w:rsidRPr="000256FA">
        <w:rPr>
          <w:rFonts w:ascii="Times New Roman" w:hAnsi="Times New Roman" w:cs="Times New Roman"/>
          <w:i/>
        </w:rPr>
        <w:t>wet</w:t>
      </w:r>
      <w:proofErr w:type="spellEnd"/>
      <w:r w:rsidRPr="000256FA">
        <w:rPr>
          <w:rFonts w:ascii="Times New Roman" w:hAnsi="Times New Roman" w:cs="Times New Roman"/>
          <w:i/>
        </w:rPr>
        <w:t xml:space="preserve"> van 21 </w:t>
      </w:r>
      <w:proofErr w:type="spellStart"/>
      <w:r w:rsidRPr="000256FA">
        <w:rPr>
          <w:rFonts w:ascii="Times New Roman" w:hAnsi="Times New Roman" w:cs="Times New Roman"/>
          <w:i/>
        </w:rPr>
        <w:t>december</w:t>
      </w:r>
      <w:proofErr w:type="spellEnd"/>
      <w:r w:rsidRPr="000256FA">
        <w:rPr>
          <w:rFonts w:ascii="Times New Roman" w:hAnsi="Times New Roman" w:cs="Times New Roman"/>
          <w:i/>
        </w:rPr>
        <w:t xml:space="preserve"> 2018</w:t>
      </w:r>
      <w:r w:rsidRPr="000256FA">
        <w:rPr>
          <w:rFonts w:ascii="Times New Roman" w:hAnsi="Times New Roman" w:cs="Times New Roman"/>
        </w:rPr>
        <w:t>, Malines, Wolters Kluwer, mis à jour au 31 décembre 2019, p. 6, n° 7.</w:t>
      </w:r>
    </w:p>
  </w:footnote>
  <w:footnote w:id="49">
    <w:p w14:paraId="2DDE00D9" w14:textId="77777777" w:rsidR="00AD2FBC" w:rsidRPr="000256FA" w:rsidRDefault="00AD2FBC" w:rsidP="00AD2FBC">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T. </w:t>
      </w:r>
      <w:r w:rsidRPr="000256FA">
        <w:rPr>
          <w:rFonts w:ascii="Times New Roman" w:hAnsi="Times New Roman" w:cs="Times New Roman"/>
          <w:smallCaps/>
        </w:rPr>
        <w:t>Delahaye</w:t>
      </w:r>
      <w:r w:rsidRPr="000256FA">
        <w:rPr>
          <w:rFonts w:ascii="Times New Roman" w:hAnsi="Times New Roman" w:cs="Times New Roman"/>
        </w:rPr>
        <w:t xml:space="preserve">, « La loi du 17 mars 2013 réformant les régimes d’incapacité et instaurant un nouveau statut de protection conforme à la dignité humaine », </w:t>
      </w:r>
      <w:r w:rsidRPr="000256FA">
        <w:rPr>
          <w:rFonts w:ascii="Times New Roman" w:hAnsi="Times New Roman" w:cs="Times New Roman"/>
          <w:i/>
        </w:rPr>
        <w:t>J.T.</w:t>
      </w:r>
      <w:r w:rsidRPr="000256FA">
        <w:rPr>
          <w:rFonts w:ascii="Times New Roman" w:hAnsi="Times New Roman" w:cs="Times New Roman"/>
        </w:rPr>
        <w:t>, 2013, p. 466.</w:t>
      </w:r>
    </w:p>
  </w:footnote>
  <w:footnote w:id="50">
    <w:p w14:paraId="38D34AF7" w14:textId="77777777" w:rsidR="00AD2FBC" w:rsidRPr="000256FA" w:rsidRDefault="00AD2FBC" w:rsidP="00AD2FBC">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Art. 490, al. 1</w:t>
      </w:r>
      <w:r w:rsidR="00655846" w:rsidRPr="000256FA">
        <w:rPr>
          <w:rFonts w:ascii="Times New Roman" w:hAnsi="Times New Roman" w:cs="Times New Roman"/>
          <w:vertAlign w:val="superscript"/>
        </w:rPr>
        <w:t>er</w:t>
      </w:r>
      <w:r w:rsidRPr="000256FA">
        <w:rPr>
          <w:rFonts w:ascii="Times New Roman" w:hAnsi="Times New Roman" w:cs="Times New Roman"/>
        </w:rPr>
        <w:t>,</w:t>
      </w:r>
      <w:r w:rsidR="00655846" w:rsidRPr="000256FA">
        <w:rPr>
          <w:rFonts w:ascii="Times New Roman" w:hAnsi="Times New Roman" w:cs="Times New Roman"/>
        </w:rPr>
        <w:t xml:space="preserve"> ancien</w:t>
      </w:r>
      <w:r w:rsidRPr="000256FA">
        <w:rPr>
          <w:rFonts w:ascii="Times New Roman" w:hAnsi="Times New Roman" w:cs="Times New Roman"/>
        </w:rPr>
        <w:t xml:space="preserve"> C. civ.</w:t>
      </w:r>
    </w:p>
  </w:footnote>
  <w:footnote w:id="51">
    <w:p w14:paraId="1CEFC02C" w14:textId="77777777" w:rsidR="00AD2FBC" w:rsidRPr="000256FA" w:rsidRDefault="00AD2FBC" w:rsidP="00AD2FBC">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Cet article définit la gestion comme étant </w:t>
      </w:r>
      <w:r w:rsidRPr="000256FA">
        <w:rPr>
          <w:rFonts w:ascii="Times New Roman" w:hAnsi="Times New Roman" w:cs="Times New Roman"/>
          <w:i/>
        </w:rPr>
        <w:t>« l'intervention de l'administrateur consistant à accomplir des actes relatifs aux biens qui ne peuvent pas donner lieu à une représentation »</w:t>
      </w:r>
      <w:r w:rsidRPr="000256FA">
        <w:rPr>
          <w:rFonts w:ascii="Times New Roman" w:hAnsi="Times New Roman" w:cs="Times New Roman"/>
        </w:rPr>
        <w:t>.</w:t>
      </w:r>
    </w:p>
  </w:footnote>
  <w:footnote w:id="52">
    <w:p w14:paraId="34AC14AD" w14:textId="77777777" w:rsidR="00AD2FBC" w:rsidRPr="000256FA" w:rsidRDefault="00AD2FBC" w:rsidP="00AD2FBC">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Art. 489, </w:t>
      </w:r>
      <w:r w:rsidR="00655846" w:rsidRPr="000256FA">
        <w:rPr>
          <w:rFonts w:ascii="Times New Roman" w:hAnsi="Times New Roman" w:cs="Times New Roman"/>
        </w:rPr>
        <w:t xml:space="preserve">ancien </w:t>
      </w:r>
      <w:r w:rsidRPr="000256FA">
        <w:rPr>
          <w:rFonts w:ascii="Times New Roman" w:hAnsi="Times New Roman" w:cs="Times New Roman"/>
        </w:rPr>
        <w:t>C. civ.</w:t>
      </w:r>
    </w:p>
  </w:footnote>
  <w:footnote w:id="53">
    <w:p w14:paraId="48A20FA2" w14:textId="77777777" w:rsidR="00AD2FBC" w:rsidRPr="000256FA" w:rsidRDefault="00AD2FBC" w:rsidP="00AD2FBC">
      <w:pPr>
        <w:pStyle w:val="Notedebasdepage"/>
        <w:jc w:val="both"/>
        <w:rPr>
          <w:rFonts w:ascii="Times New Roman" w:hAnsi="Times New Roman" w:cs="Times New Roman"/>
          <w:i/>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T. </w:t>
      </w:r>
      <w:proofErr w:type="spellStart"/>
      <w:r w:rsidRPr="000256FA">
        <w:rPr>
          <w:rFonts w:ascii="Times New Roman" w:hAnsi="Times New Roman" w:cs="Times New Roman"/>
          <w:smallCaps/>
          <w:lang w:val="en-US"/>
        </w:rPr>
        <w:t>Delahaye</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xml:space="preserve">, p. </w:t>
      </w:r>
      <w:proofErr w:type="gramStart"/>
      <w:r w:rsidRPr="000256FA">
        <w:rPr>
          <w:rFonts w:ascii="Times New Roman" w:hAnsi="Times New Roman" w:cs="Times New Roman"/>
          <w:lang w:val="en-US"/>
        </w:rPr>
        <w:t>466 ;</w:t>
      </w:r>
      <w:proofErr w:type="gramEnd"/>
      <w:r w:rsidRPr="000256FA">
        <w:rPr>
          <w:rFonts w:ascii="Times New Roman" w:hAnsi="Times New Roman" w:cs="Times New Roman"/>
          <w:lang w:val="en-US"/>
        </w:rPr>
        <w:t xml:space="preserve"> T. </w:t>
      </w:r>
      <w:proofErr w:type="spellStart"/>
      <w:r w:rsidRPr="000256FA">
        <w:rPr>
          <w:rFonts w:ascii="Times New Roman" w:hAnsi="Times New Roman" w:cs="Times New Roman"/>
          <w:lang w:val="en-US"/>
        </w:rPr>
        <w:t>W</w:t>
      </w:r>
      <w:r w:rsidRPr="000256FA">
        <w:rPr>
          <w:rFonts w:ascii="Times New Roman" w:hAnsi="Times New Roman" w:cs="Times New Roman"/>
          <w:smallCaps/>
          <w:lang w:val="en-US"/>
        </w:rPr>
        <w:t>uyts</w:t>
      </w:r>
      <w:proofErr w:type="spellEnd"/>
      <w:r w:rsidRPr="000256FA">
        <w:rPr>
          <w:rFonts w:ascii="Times New Roman" w:hAnsi="Times New Roman" w:cs="Times New Roman"/>
          <w:lang w:val="en-US"/>
        </w:rPr>
        <w:t>, « </w:t>
      </w:r>
      <w:proofErr w:type="spellStart"/>
      <w:r w:rsidRPr="000256FA">
        <w:rPr>
          <w:rFonts w:ascii="Times New Roman" w:hAnsi="Times New Roman" w:cs="Times New Roman"/>
          <w:lang w:val="en-US"/>
        </w:rPr>
        <w:t>Deel</w:t>
      </w:r>
      <w:proofErr w:type="spellEnd"/>
      <w:r w:rsidRPr="000256FA">
        <w:rPr>
          <w:rFonts w:ascii="Times New Roman" w:hAnsi="Times New Roman" w:cs="Times New Roman"/>
          <w:lang w:val="en-US"/>
        </w:rPr>
        <w:t xml:space="preserve"> II – </w:t>
      </w:r>
      <w:proofErr w:type="spellStart"/>
      <w:r w:rsidRPr="000256FA">
        <w:rPr>
          <w:rFonts w:ascii="Times New Roman" w:hAnsi="Times New Roman" w:cs="Times New Roman"/>
          <w:lang w:val="en-US"/>
        </w:rPr>
        <w:t>Buitengerechtelijke</w:t>
      </w:r>
      <w:proofErr w:type="spellEnd"/>
      <w:r w:rsidRPr="000256FA">
        <w:rPr>
          <w:rFonts w:ascii="Times New Roman" w:hAnsi="Times New Roman" w:cs="Times New Roman"/>
          <w:lang w:val="en-US"/>
        </w:rPr>
        <w:t xml:space="preserve"> </w:t>
      </w:r>
      <w:proofErr w:type="spellStart"/>
      <w:r w:rsidRPr="000256FA">
        <w:rPr>
          <w:rFonts w:ascii="Times New Roman" w:hAnsi="Times New Roman" w:cs="Times New Roman"/>
          <w:lang w:val="en-US"/>
        </w:rPr>
        <w:t>bescherming</w:t>
      </w:r>
      <w:proofErr w:type="spellEnd"/>
      <w:r w:rsidRPr="000256FA">
        <w:rPr>
          <w:rFonts w:ascii="Times New Roman" w:hAnsi="Times New Roman" w:cs="Times New Roman"/>
          <w:lang w:val="en-US"/>
        </w:rPr>
        <w:t xml:space="preserve"> », </w:t>
      </w:r>
      <w:r w:rsidRPr="000256FA">
        <w:rPr>
          <w:rFonts w:ascii="Times New Roman" w:hAnsi="Times New Roman" w:cs="Times New Roman"/>
          <w:i/>
          <w:lang w:val="en-US"/>
        </w:rPr>
        <w:t xml:space="preserve">in </w:t>
      </w:r>
      <w:proofErr w:type="spellStart"/>
      <w:r w:rsidRPr="000256FA">
        <w:rPr>
          <w:rFonts w:ascii="Times New Roman" w:hAnsi="Times New Roman" w:cs="Times New Roman"/>
          <w:i/>
          <w:lang w:val="en-US"/>
        </w:rPr>
        <w:t>Handboek</w:t>
      </w:r>
      <w:proofErr w:type="spellEnd"/>
      <w:r w:rsidRPr="000256FA">
        <w:rPr>
          <w:rFonts w:ascii="Times New Roman" w:hAnsi="Times New Roman" w:cs="Times New Roman"/>
          <w:i/>
          <w:lang w:val="en-US"/>
        </w:rPr>
        <w:t xml:space="preserve"> </w:t>
      </w:r>
      <w:proofErr w:type="spellStart"/>
      <w:r w:rsidRPr="000256FA">
        <w:rPr>
          <w:rFonts w:ascii="Times New Roman" w:hAnsi="Times New Roman" w:cs="Times New Roman"/>
          <w:i/>
          <w:lang w:val="en-US"/>
        </w:rPr>
        <w:t>bescherming</w:t>
      </w:r>
      <w:proofErr w:type="spellEnd"/>
      <w:r w:rsidRPr="000256FA">
        <w:rPr>
          <w:rFonts w:ascii="Times New Roman" w:hAnsi="Times New Roman" w:cs="Times New Roman"/>
          <w:i/>
          <w:lang w:val="en-US"/>
        </w:rPr>
        <w:t xml:space="preserve"> </w:t>
      </w:r>
      <w:proofErr w:type="spellStart"/>
      <w:r w:rsidRPr="000256FA">
        <w:rPr>
          <w:rFonts w:ascii="Times New Roman" w:hAnsi="Times New Roman" w:cs="Times New Roman"/>
          <w:i/>
          <w:lang w:val="en-US"/>
        </w:rPr>
        <w:t>onbekwamen</w:t>
      </w:r>
      <w:proofErr w:type="spellEnd"/>
      <w:r w:rsidRPr="000256FA">
        <w:rPr>
          <w:rFonts w:ascii="Times New Roman" w:hAnsi="Times New Roman" w:cs="Times New Roman"/>
          <w:i/>
          <w:lang w:val="en-US"/>
        </w:rPr>
        <w:t xml:space="preserve">. </w:t>
      </w:r>
      <w:proofErr w:type="spellStart"/>
      <w:r w:rsidRPr="000256FA">
        <w:rPr>
          <w:rFonts w:ascii="Times New Roman" w:hAnsi="Times New Roman" w:cs="Times New Roman"/>
          <w:i/>
        </w:rPr>
        <w:t>Zorgvolmacht</w:t>
      </w:r>
      <w:proofErr w:type="spellEnd"/>
      <w:r w:rsidRPr="000256FA">
        <w:rPr>
          <w:rFonts w:ascii="Times New Roman" w:hAnsi="Times New Roman" w:cs="Times New Roman"/>
          <w:i/>
        </w:rPr>
        <w:t xml:space="preserve"> en </w:t>
      </w:r>
      <w:proofErr w:type="spellStart"/>
      <w:r w:rsidRPr="000256FA">
        <w:rPr>
          <w:rFonts w:ascii="Times New Roman" w:hAnsi="Times New Roman" w:cs="Times New Roman"/>
          <w:i/>
        </w:rPr>
        <w:t>bewind</w:t>
      </w:r>
      <w:proofErr w:type="spellEnd"/>
      <w:r w:rsidRPr="000256FA">
        <w:rPr>
          <w:rFonts w:ascii="Times New Roman" w:hAnsi="Times New Roman" w:cs="Times New Roman"/>
          <w:i/>
        </w:rPr>
        <w:t xml:space="preserve"> na de </w:t>
      </w:r>
      <w:proofErr w:type="spellStart"/>
      <w:r w:rsidRPr="000256FA">
        <w:rPr>
          <w:rFonts w:ascii="Times New Roman" w:hAnsi="Times New Roman" w:cs="Times New Roman"/>
          <w:i/>
        </w:rPr>
        <w:t>wet</w:t>
      </w:r>
      <w:proofErr w:type="spellEnd"/>
      <w:r w:rsidRPr="000256FA">
        <w:rPr>
          <w:rFonts w:ascii="Times New Roman" w:hAnsi="Times New Roman" w:cs="Times New Roman"/>
          <w:i/>
        </w:rPr>
        <w:t xml:space="preserve"> van 21 </w:t>
      </w:r>
      <w:proofErr w:type="spellStart"/>
      <w:r w:rsidRPr="000256FA">
        <w:rPr>
          <w:rFonts w:ascii="Times New Roman" w:hAnsi="Times New Roman" w:cs="Times New Roman"/>
          <w:i/>
        </w:rPr>
        <w:t>december</w:t>
      </w:r>
      <w:proofErr w:type="spellEnd"/>
      <w:r w:rsidRPr="000256FA">
        <w:rPr>
          <w:rFonts w:ascii="Times New Roman" w:hAnsi="Times New Roman" w:cs="Times New Roman"/>
          <w:i/>
        </w:rPr>
        <w:t xml:space="preserve"> 2018</w:t>
      </w:r>
      <w:r w:rsidRPr="000256FA">
        <w:rPr>
          <w:rFonts w:ascii="Times New Roman" w:hAnsi="Times New Roman" w:cs="Times New Roman"/>
        </w:rPr>
        <w:t>, Malines, Wolters Kluwer, mis à jour au 30 septembre 2019, p. 59, n° 82.</w:t>
      </w:r>
    </w:p>
  </w:footnote>
  <w:footnote w:id="54">
    <w:p w14:paraId="0C3E8B14"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T. W</w:t>
      </w:r>
      <w:r w:rsidRPr="000256FA">
        <w:rPr>
          <w:rFonts w:ascii="Times New Roman" w:hAnsi="Times New Roman" w:cs="Times New Roman"/>
          <w:smallCaps/>
          <w:lang w:val="en-US"/>
        </w:rPr>
        <w:t>uyts</w:t>
      </w:r>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 59, n° 82.</w:t>
      </w:r>
    </w:p>
  </w:footnote>
  <w:footnote w:id="55">
    <w:p w14:paraId="566A2DD8"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T. </w:t>
      </w:r>
      <w:proofErr w:type="spellStart"/>
      <w:r w:rsidRPr="000256FA">
        <w:rPr>
          <w:rFonts w:ascii="Times New Roman" w:hAnsi="Times New Roman" w:cs="Times New Roman"/>
          <w:smallCaps/>
          <w:lang w:val="en-US"/>
        </w:rPr>
        <w:t>Delahaye</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xml:space="preserve">, p. </w:t>
      </w:r>
      <w:proofErr w:type="gramStart"/>
      <w:r w:rsidRPr="000256FA">
        <w:rPr>
          <w:rFonts w:ascii="Times New Roman" w:hAnsi="Times New Roman" w:cs="Times New Roman"/>
          <w:lang w:val="en-US"/>
        </w:rPr>
        <w:t>466 ;</w:t>
      </w:r>
      <w:proofErr w:type="gramEnd"/>
      <w:r w:rsidRPr="000256FA">
        <w:rPr>
          <w:rFonts w:ascii="Times New Roman" w:hAnsi="Times New Roman" w:cs="Times New Roman"/>
          <w:lang w:val="en-US"/>
        </w:rPr>
        <w:t xml:space="preserve"> T. W</w:t>
      </w:r>
      <w:r w:rsidRPr="000256FA">
        <w:rPr>
          <w:rFonts w:ascii="Times New Roman" w:hAnsi="Times New Roman" w:cs="Times New Roman"/>
          <w:smallCaps/>
          <w:lang w:val="en-US"/>
        </w:rPr>
        <w:t>uyts</w:t>
      </w:r>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 55, n° 77.</w:t>
      </w:r>
    </w:p>
  </w:footnote>
  <w:footnote w:id="56">
    <w:p w14:paraId="426D9E6C"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T. </w:t>
      </w:r>
      <w:proofErr w:type="spellStart"/>
      <w:r w:rsidRPr="000256FA">
        <w:rPr>
          <w:rFonts w:ascii="Times New Roman" w:hAnsi="Times New Roman" w:cs="Times New Roman"/>
          <w:smallCaps/>
          <w:lang w:val="en-US"/>
        </w:rPr>
        <w:t>Delahaye</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 466.</w:t>
      </w:r>
    </w:p>
  </w:footnote>
  <w:footnote w:id="57">
    <w:p w14:paraId="02635EBE"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w:t>
      </w:r>
      <w:proofErr w:type="gramStart"/>
      <w:r w:rsidRPr="000256FA">
        <w:rPr>
          <w:rFonts w:ascii="Times New Roman" w:hAnsi="Times New Roman" w:cs="Times New Roman"/>
          <w:i/>
          <w:lang w:val="en-US"/>
        </w:rPr>
        <w:t>Ibid.</w:t>
      </w:r>
      <w:r w:rsidRPr="000256FA">
        <w:rPr>
          <w:rFonts w:ascii="Times New Roman" w:hAnsi="Times New Roman" w:cs="Times New Roman"/>
          <w:lang w:val="en-US"/>
        </w:rPr>
        <w:t> ;</w:t>
      </w:r>
      <w:proofErr w:type="gramEnd"/>
      <w:r w:rsidRPr="000256FA">
        <w:rPr>
          <w:rFonts w:ascii="Times New Roman" w:hAnsi="Times New Roman" w:cs="Times New Roman"/>
          <w:lang w:val="en-US"/>
        </w:rPr>
        <w:t xml:space="preserve"> art. 498/1, C. civ.</w:t>
      </w:r>
    </w:p>
  </w:footnote>
  <w:footnote w:id="58">
    <w:p w14:paraId="393659C5"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T. </w:t>
      </w:r>
      <w:proofErr w:type="spellStart"/>
      <w:r w:rsidRPr="000256FA">
        <w:rPr>
          <w:rFonts w:ascii="Times New Roman" w:hAnsi="Times New Roman" w:cs="Times New Roman"/>
          <w:smallCaps/>
          <w:lang w:val="en-US"/>
        </w:rPr>
        <w:t>Delahaye</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 465.</w:t>
      </w:r>
    </w:p>
  </w:footnote>
  <w:footnote w:id="59">
    <w:p w14:paraId="751E9DA0"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w:t>
      </w:r>
      <w:r w:rsidRPr="000256FA">
        <w:rPr>
          <w:rFonts w:ascii="Times New Roman" w:hAnsi="Times New Roman" w:cs="Times New Roman"/>
          <w:i/>
          <w:lang w:val="en-US"/>
        </w:rPr>
        <w:t>Ibid.</w:t>
      </w:r>
      <w:r w:rsidRPr="000256FA">
        <w:rPr>
          <w:rFonts w:ascii="Times New Roman" w:hAnsi="Times New Roman" w:cs="Times New Roman"/>
          <w:lang w:val="en-US"/>
        </w:rPr>
        <w:t>, p. 466.</w:t>
      </w:r>
    </w:p>
  </w:footnote>
  <w:footnote w:id="60">
    <w:p w14:paraId="329209C6"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w:t>
      </w:r>
      <w:proofErr w:type="gramStart"/>
      <w:r w:rsidRPr="000256FA">
        <w:rPr>
          <w:rFonts w:ascii="Times New Roman" w:hAnsi="Times New Roman" w:cs="Times New Roman"/>
          <w:i/>
          <w:lang w:val="en-US"/>
        </w:rPr>
        <w:t>Ibid.</w:t>
      </w:r>
      <w:r w:rsidRPr="000256FA">
        <w:rPr>
          <w:rFonts w:ascii="Times New Roman" w:hAnsi="Times New Roman" w:cs="Times New Roman"/>
          <w:lang w:val="en-US"/>
        </w:rPr>
        <w:t> ;</w:t>
      </w:r>
      <w:proofErr w:type="gramEnd"/>
      <w:r w:rsidRPr="000256FA">
        <w:rPr>
          <w:rFonts w:ascii="Times New Roman" w:hAnsi="Times New Roman" w:cs="Times New Roman"/>
          <w:lang w:val="en-US"/>
        </w:rPr>
        <w:t xml:space="preserve"> K. </w:t>
      </w:r>
      <w:proofErr w:type="spellStart"/>
      <w:r w:rsidRPr="000256FA">
        <w:rPr>
          <w:rFonts w:ascii="Times New Roman" w:hAnsi="Times New Roman" w:cs="Times New Roman"/>
          <w:smallCaps/>
          <w:lang w:val="en-US"/>
        </w:rPr>
        <w:t>Rotthier</w:t>
      </w:r>
      <w:proofErr w:type="spellEnd"/>
      <w:r w:rsidRPr="000256FA">
        <w:rPr>
          <w:rFonts w:ascii="Times New Roman" w:hAnsi="Times New Roman" w:cs="Times New Roman"/>
          <w:lang w:val="en-US"/>
        </w:rPr>
        <w:t xml:space="preserve">, « De </w:t>
      </w:r>
      <w:proofErr w:type="spellStart"/>
      <w:r w:rsidRPr="000256FA">
        <w:rPr>
          <w:rFonts w:ascii="Times New Roman" w:hAnsi="Times New Roman" w:cs="Times New Roman"/>
          <w:lang w:val="en-US"/>
        </w:rPr>
        <w:t>regeling</w:t>
      </w:r>
      <w:proofErr w:type="spellEnd"/>
      <w:r w:rsidRPr="000256FA">
        <w:rPr>
          <w:rFonts w:ascii="Times New Roman" w:hAnsi="Times New Roman" w:cs="Times New Roman"/>
          <w:lang w:val="en-US"/>
        </w:rPr>
        <w:t xml:space="preserve"> </w:t>
      </w:r>
      <w:proofErr w:type="spellStart"/>
      <w:r w:rsidRPr="000256FA">
        <w:rPr>
          <w:rFonts w:ascii="Times New Roman" w:hAnsi="Times New Roman" w:cs="Times New Roman"/>
          <w:lang w:val="en-US"/>
        </w:rPr>
        <w:t>inzake</w:t>
      </w:r>
      <w:proofErr w:type="spellEnd"/>
      <w:r w:rsidRPr="000256FA">
        <w:rPr>
          <w:rFonts w:ascii="Times New Roman" w:hAnsi="Times New Roman" w:cs="Times New Roman"/>
          <w:lang w:val="en-US"/>
        </w:rPr>
        <w:t xml:space="preserve"> </w:t>
      </w:r>
      <w:proofErr w:type="spellStart"/>
      <w:r w:rsidRPr="000256FA">
        <w:rPr>
          <w:rFonts w:ascii="Times New Roman" w:hAnsi="Times New Roman" w:cs="Times New Roman"/>
          <w:lang w:val="en-US"/>
        </w:rPr>
        <w:t>onbekwaamheid</w:t>
      </w:r>
      <w:proofErr w:type="spellEnd"/>
      <w:r w:rsidRPr="000256FA">
        <w:rPr>
          <w:rFonts w:ascii="Times New Roman" w:hAnsi="Times New Roman" w:cs="Times New Roman"/>
          <w:lang w:val="en-US"/>
        </w:rPr>
        <w:t xml:space="preserve"> : </w:t>
      </w:r>
      <w:proofErr w:type="spellStart"/>
      <w:r w:rsidRPr="000256FA">
        <w:rPr>
          <w:rFonts w:ascii="Times New Roman" w:hAnsi="Times New Roman" w:cs="Times New Roman"/>
          <w:lang w:val="en-US"/>
        </w:rPr>
        <w:t>na</w:t>
      </w:r>
      <w:proofErr w:type="spellEnd"/>
      <w:r w:rsidRPr="000256FA">
        <w:rPr>
          <w:rFonts w:ascii="Times New Roman" w:hAnsi="Times New Roman" w:cs="Times New Roman"/>
          <w:lang w:val="en-US"/>
        </w:rPr>
        <w:t xml:space="preserve"> 4 </w:t>
      </w:r>
      <w:proofErr w:type="spellStart"/>
      <w:r w:rsidRPr="000256FA">
        <w:rPr>
          <w:rFonts w:ascii="Times New Roman" w:hAnsi="Times New Roman" w:cs="Times New Roman"/>
          <w:lang w:val="en-US"/>
        </w:rPr>
        <w:t>jaar</w:t>
      </w:r>
      <w:proofErr w:type="spellEnd"/>
      <w:r w:rsidRPr="000256FA">
        <w:rPr>
          <w:rFonts w:ascii="Times New Roman" w:hAnsi="Times New Roman" w:cs="Times New Roman"/>
          <w:lang w:val="en-US"/>
        </w:rPr>
        <w:t xml:space="preserve"> </w:t>
      </w:r>
      <w:proofErr w:type="spellStart"/>
      <w:r w:rsidRPr="000256FA">
        <w:rPr>
          <w:rFonts w:ascii="Times New Roman" w:hAnsi="Times New Roman" w:cs="Times New Roman"/>
          <w:lang w:val="en-US"/>
        </w:rPr>
        <w:t>toepassing</w:t>
      </w:r>
      <w:proofErr w:type="spellEnd"/>
      <w:r w:rsidRPr="000256FA">
        <w:rPr>
          <w:rFonts w:ascii="Times New Roman" w:hAnsi="Times New Roman" w:cs="Times New Roman"/>
          <w:lang w:val="en-US"/>
        </w:rPr>
        <w:t xml:space="preserve"> </w:t>
      </w:r>
      <w:proofErr w:type="spellStart"/>
      <w:r w:rsidRPr="000256FA">
        <w:rPr>
          <w:rFonts w:ascii="Times New Roman" w:hAnsi="Times New Roman" w:cs="Times New Roman"/>
          <w:lang w:val="en-US"/>
        </w:rPr>
        <w:t>een</w:t>
      </w:r>
      <w:proofErr w:type="spellEnd"/>
      <w:r w:rsidRPr="000256FA">
        <w:rPr>
          <w:rFonts w:ascii="Times New Roman" w:hAnsi="Times New Roman" w:cs="Times New Roman"/>
          <w:lang w:val="en-US"/>
        </w:rPr>
        <w:t xml:space="preserve"> facelift ! », </w:t>
      </w:r>
      <w:proofErr w:type="spellStart"/>
      <w:r w:rsidRPr="000256FA">
        <w:rPr>
          <w:rFonts w:ascii="Times New Roman" w:hAnsi="Times New Roman" w:cs="Times New Roman"/>
          <w:i/>
          <w:lang w:val="en-US"/>
        </w:rPr>
        <w:t>Notariaat</w:t>
      </w:r>
      <w:proofErr w:type="spellEnd"/>
      <w:r w:rsidRPr="000256FA">
        <w:rPr>
          <w:rFonts w:ascii="Times New Roman" w:hAnsi="Times New Roman" w:cs="Times New Roman"/>
          <w:lang w:val="en-US"/>
        </w:rPr>
        <w:t>, liv. 2, 2019, p. 3, n° 10.</w:t>
      </w:r>
    </w:p>
  </w:footnote>
  <w:footnote w:id="61">
    <w:p w14:paraId="278DB424"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T. </w:t>
      </w:r>
      <w:proofErr w:type="spellStart"/>
      <w:r w:rsidRPr="000256FA">
        <w:rPr>
          <w:rFonts w:ascii="Times New Roman" w:hAnsi="Times New Roman" w:cs="Times New Roman"/>
          <w:smallCaps/>
          <w:lang w:val="en-US"/>
        </w:rPr>
        <w:t>Delahaye</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 466.</w:t>
      </w:r>
    </w:p>
  </w:footnote>
  <w:footnote w:id="62">
    <w:p w14:paraId="0244A04C" w14:textId="77777777" w:rsidR="00AD2FBC" w:rsidRPr="000256FA" w:rsidRDefault="00AD2FBC" w:rsidP="00AD2FBC">
      <w:pPr>
        <w:pStyle w:val="Notedebasdepage"/>
        <w:jc w:val="both"/>
        <w:rPr>
          <w:rFonts w:ascii="Times New Roman" w:hAnsi="Times New Roman" w:cs="Times New Roman"/>
          <w:i/>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Art. 499/7, </w:t>
      </w:r>
      <w:proofErr w:type="spellStart"/>
      <w:r w:rsidR="00655846" w:rsidRPr="000256FA">
        <w:rPr>
          <w:rFonts w:ascii="Times New Roman" w:hAnsi="Times New Roman" w:cs="Times New Roman"/>
          <w:lang w:val="en-US"/>
        </w:rPr>
        <w:t>ancien</w:t>
      </w:r>
      <w:proofErr w:type="spellEnd"/>
      <w:r w:rsidR="00655846" w:rsidRPr="000256FA">
        <w:rPr>
          <w:rFonts w:ascii="Times New Roman" w:hAnsi="Times New Roman" w:cs="Times New Roman"/>
          <w:lang w:val="en-US"/>
        </w:rPr>
        <w:t xml:space="preserve"> </w:t>
      </w:r>
      <w:r w:rsidRPr="000256FA">
        <w:rPr>
          <w:rFonts w:ascii="Times New Roman" w:hAnsi="Times New Roman" w:cs="Times New Roman"/>
          <w:lang w:val="en-US"/>
        </w:rPr>
        <w:t xml:space="preserve">C. </w:t>
      </w:r>
      <w:proofErr w:type="gramStart"/>
      <w:r w:rsidRPr="000256FA">
        <w:rPr>
          <w:rFonts w:ascii="Times New Roman" w:hAnsi="Times New Roman" w:cs="Times New Roman"/>
          <w:lang w:val="en-US"/>
        </w:rPr>
        <w:t>civ. ;</w:t>
      </w:r>
      <w:proofErr w:type="gramEnd"/>
      <w:r w:rsidRPr="000256FA">
        <w:rPr>
          <w:rFonts w:ascii="Times New Roman" w:hAnsi="Times New Roman" w:cs="Times New Roman"/>
          <w:lang w:val="en-US"/>
        </w:rPr>
        <w:t xml:space="preserve"> K. </w:t>
      </w:r>
      <w:proofErr w:type="spellStart"/>
      <w:r w:rsidRPr="000256FA">
        <w:rPr>
          <w:rFonts w:ascii="Times New Roman" w:hAnsi="Times New Roman" w:cs="Times New Roman"/>
          <w:smallCaps/>
          <w:lang w:val="en-US"/>
        </w:rPr>
        <w:t>Rotthier</w:t>
      </w:r>
      <w:proofErr w:type="spellEnd"/>
      <w:r w:rsidRPr="000256FA">
        <w:rPr>
          <w:rFonts w:ascii="Times New Roman" w:hAnsi="Times New Roman" w:cs="Times New Roman"/>
          <w:lang w:val="en-US"/>
        </w:rPr>
        <w:t>, « </w:t>
      </w:r>
      <w:proofErr w:type="spellStart"/>
      <w:r w:rsidRPr="000256FA">
        <w:rPr>
          <w:rFonts w:ascii="Times New Roman" w:hAnsi="Times New Roman" w:cs="Times New Roman"/>
          <w:lang w:val="en-US"/>
        </w:rPr>
        <w:t>Hoofdstuk</w:t>
      </w:r>
      <w:proofErr w:type="spellEnd"/>
      <w:r w:rsidRPr="000256FA">
        <w:rPr>
          <w:rFonts w:ascii="Times New Roman" w:hAnsi="Times New Roman" w:cs="Times New Roman"/>
          <w:lang w:val="en-US"/>
        </w:rPr>
        <w:t xml:space="preserve"> 1bis – De </w:t>
      </w:r>
      <w:proofErr w:type="spellStart"/>
      <w:r w:rsidRPr="000256FA">
        <w:rPr>
          <w:rFonts w:ascii="Times New Roman" w:hAnsi="Times New Roman" w:cs="Times New Roman"/>
          <w:lang w:val="en-US"/>
        </w:rPr>
        <w:t>machtigingen</w:t>
      </w:r>
      <w:proofErr w:type="spellEnd"/>
      <w:r w:rsidRPr="000256FA">
        <w:rPr>
          <w:rFonts w:ascii="Times New Roman" w:hAnsi="Times New Roman" w:cs="Times New Roman"/>
          <w:lang w:val="en-US"/>
        </w:rPr>
        <w:t xml:space="preserve"> », </w:t>
      </w:r>
      <w:r w:rsidRPr="000256FA">
        <w:rPr>
          <w:rFonts w:ascii="Times New Roman" w:hAnsi="Times New Roman" w:cs="Times New Roman"/>
          <w:i/>
          <w:lang w:val="en-US"/>
        </w:rPr>
        <w:t xml:space="preserve">in in </w:t>
      </w:r>
      <w:proofErr w:type="spellStart"/>
      <w:r w:rsidRPr="000256FA">
        <w:rPr>
          <w:rFonts w:ascii="Times New Roman" w:hAnsi="Times New Roman" w:cs="Times New Roman"/>
          <w:i/>
          <w:lang w:val="en-US"/>
        </w:rPr>
        <w:t>Handboek</w:t>
      </w:r>
      <w:proofErr w:type="spellEnd"/>
      <w:r w:rsidRPr="000256FA">
        <w:rPr>
          <w:rFonts w:ascii="Times New Roman" w:hAnsi="Times New Roman" w:cs="Times New Roman"/>
          <w:i/>
          <w:lang w:val="en-US"/>
        </w:rPr>
        <w:t xml:space="preserve"> </w:t>
      </w:r>
      <w:proofErr w:type="spellStart"/>
      <w:r w:rsidRPr="000256FA">
        <w:rPr>
          <w:rFonts w:ascii="Times New Roman" w:hAnsi="Times New Roman" w:cs="Times New Roman"/>
          <w:i/>
          <w:lang w:val="en-US"/>
        </w:rPr>
        <w:t>bescherming</w:t>
      </w:r>
      <w:proofErr w:type="spellEnd"/>
      <w:r w:rsidRPr="000256FA">
        <w:rPr>
          <w:rFonts w:ascii="Times New Roman" w:hAnsi="Times New Roman" w:cs="Times New Roman"/>
          <w:i/>
          <w:lang w:val="en-US"/>
        </w:rPr>
        <w:t xml:space="preserve"> </w:t>
      </w:r>
      <w:proofErr w:type="spellStart"/>
      <w:r w:rsidRPr="000256FA">
        <w:rPr>
          <w:rFonts w:ascii="Times New Roman" w:hAnsi="Times New Roman" w:cs="Times New Roman"/>
          <w:i/>
          <w:lang w:val="en-US"/>
        </w:rPr>
        <w:t>onbekwamen</w:t>
      </w:r>
      <w:proofErr w:type="spellEnd"/>
      <w:r w:rsidRPr="000256FA">
        <w:rPr>
          <w:rFonts w:ascii="Times New Roman" w:hAnsi="Times New Roman" w:cs="Times New Roman"/>
          <w:i/>
          <w:lang w:val="en-US"/>
        </w:rPr>
        <w:t xml:space="preserve">. </w:t>
      </w:r>
      <w:proofErr w:type="spellStart"/>
      <w:r w:rsidRPr="000256FA">
        <w:rPr>
          <w:rFonts w:ascii="Times New Roman" w:hAnsi="Times New Roman" w:cs="Times New Roman"/>
          <w:i/>
        </w:rPr>
        <w:t>Zorgvolmacht</w:t>
      </w:r>
      <w:proofErr w:type="spellEnd"/>
      <w:r w:rsidRPr="000256FA">
        <w:rPr>
          <w:rFonts w:ascii="Times New Roman" w:hAnsi="Times New Roman" w:cs="Times New Roman"/>
          <w:i/>
        </w:rPr>
        <w:t xml:space="preserve"> en </w:t>
      </w:r>
      <w:proofErr w:type="spellStart"/>
      <w:r w:rsidRPr="000256FA">
        <w:rPr>
          <w:rFonts w:ascii="Times New Roman" w:hAnsi="Times New Roman" w:cs="Times New Roman"/>
          <w:i/>
        </w:rPr>
        <w:t>bewind</w:t>
      </w:r>
      <w:proofErr w:type="spellEnd"/>
      <w:r w:rsidRPr="000256FA">
        <w:rPr>
          <w:rFonts w:ascii="Times New Roman" w:hAnsi="Times New Roman" w:cs="Times New Roman"/>
          <w:i/>
        </w:rPr>
        <w:t xml:space="preserve"> na de </w:t>
      </w:r>
      <w:proofErr w:type="spellStart"/>
      <w:r w:rsidRPr="000256FA">
        <w:rPr>
          <w:rFonts w:ascii="Times New Roman" w:hAnsi="Times New Roman" w:cs="Times New Roman"/>
          <w:i/>
        </w:rPr>
        <w:t>wet</w:t>
      </w:r>
      <w:proofErr w:type="spellEnd"/>
      <w:r w:rsidRPr="000256FA">
        <w:rPr>
          <w:rFonts w:ascii="Times New Roman" w:hAnsi="Times New Roman" w:cs="Times New Roman"/>
          <w:i/>
        </w:rPr>
        <w:t xml:space="preserve"> van 21 </w:t>
      </w:r>
      <w:proofErr w:type="spellStart"/>
      <w:r w:rsidRPr="000256FA">
        <w:rPr>
          <w:rFonts w:ascii="Times New Roman" w:hAnsi="Times New Roman" w:cs="Times New Roman"/>
          <w:i/>
        </w:rPr>
        <w:t>december</w:t>
      </w:r>
      <w:proofErr w:type="spellEnd"/>
      <w:r w:rsidRPr="000256FA">
        <w:rPr>
          <w:rFonts w:ascii="Times New Roman" w:hAnsi="Times New Roman" w:cs="Times New Roman"/>
          <w:i/>
        </w:rPr>
        <w:t xml:space="preserve"> 2018</w:t>
      </w:r>
      <w:r w:rsidRPr="000256FA">
        <w:rPr>
          <w:rFonts w:ascii="Times New Roman" w:hAnsi="Times New Roman" w:cs="Times New Roman"/>
        </w:rPr>
        <w:t>, Malines, Wolters Kluwer, mis à jour au 31 décembre 2019, p. 133, n° 234.</w:t>
      </w:r>
    </w:p>
  </w:footnote>
  <w:footnote w:id="63">
    <w:p w14:paraId="1DC64792" w14:textId="77777777" w:rsidR="00AD2FBC" w:rsidRPr="000256FA" w:rsidRDefault="00AD2FBC" w:rsidP="00AD2FBC">
      <w:pPr>
        <w:pStyle w:val="Notedebasdepage"/>
        <w:jc w:val="both"/>
        <w:rPr>
          <w:rFonts w:ascii="Times New Roman" w:hAnsi="Times New Roman" w:cs="Times New Roman"/>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Th. </w:t>
      </w:r>
      <w:r w:rsidRPr="000256FA">
        <w:rPr>
          <w:rFonts w:ascii="Times New Roman" w:hAnsi="Times New Roman" w:cs="Times New Roman"/>
          <w:smallCaps/>
          <w:lang w:val="en-US"/>
        </w:rPr>
        <w:t xml:space="preserve">Van </w:t>
      </w:r>
      <w:proofErr w:type="spellStart"/>
      <w:r w:rsidRPr="000256FA">
        <w:rPr>
          <w:rFonts w:ascii="Times New Roman" w:hAnsi="Times New Roman" w:cs="Times New Roman"/>
          <w:smallCaps/>
          <w:lang w:val="en-US"/>
        </w:rPr>
        <w:t>Halteren</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 366, n° 207.</w:t>
      </w:r>
    </w:p>
  </w:footnote>
  <w:footnote w:id="64">
    <w:p w14:paraId="5AB47C37" w14:textId="77777777" w:rsidR="00AD2FBC" w:rsidRPr="000256FA" w:rsidRDefault="00AD2FBC" w:rsidP="00AD2FBC">
      <w:pPr>
        <w:pStyle w:val="Notedebasdepage"/>
        <w:jc w:val="both"/>
        <w:rPr>
          <w:lang w:val="fr-FR"/>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r w:rsidRPr="000256FA">
        <w:rPr>
          <w:rFonts w:ascii="Times New Roman" w:hAnsi="Times New Roman" w:cs="Times New Roman"/>
          <w:i/>
        </w:rPr>
        <w:t>Ibid.</w:t>
      </w:r>
      <w:r w:rsidRPr="000256FA">
        <w:rPr>
          <w:rFonts w:ascii="Times New Roman" w:hAnsi="Times New Roman" w:cs="Times New Roman"/>
        </w:rPr>
        <w:t>, p. 367, n° 208.</w:t>
      </w:r>
    </w:p>
  </w:footnote>
  <w:footnote w:id="65">
    <w:p w14:paraId="590E2218"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proofErr w:type="spellStart"/>
      <w:r w:rsidRPr="000256FA">
        <w:rPr>
          <w:rFonts w:ascii="Times New Roman" w:hAnsi="Times New Roman" w:cs="Times New Roman"/>
          <w:lang w:val="fr-FR"/>
        </w:rPr>
        <w:t>Voy</w:t>
      </w:r>
      <w:proofErr w:type="spellEnd"/>
      <w:r w:rsidRPr="000256FA">
        <w:rPr>
          <w:rFonts w:ascii="Times New Roman" w:hAnsi="Times New Roman" w:cs="Times New Roman"/>
          <w:lang w:val="fr-FR"/>
        </w:rPr>
        <w:t xml:space="preserve">. </w:t>
      </w:r>
      <w:proofErr w:type="gramStart"/>
      <w:r w:rsidRPr="000256FA">
        <w:rPr>
          <w:rFonts w:ascii="Times New Roman" w:hAnsi="Times New Roman" w:cs="Times New Roman"/>
          <w:lang w:val="fr-FR"/>
        </w:rPr>
        <w:t>à</w:t>
      </w:r>
      <w:proofErr w:type="gramEnd"/>
      <w:r w:rsidRPr="000256FA">
        <w:rPr>
          <w:rFonts w:ascii="Times New Roman" w:hAnsi="Times New Roman" w:cs="Times New Roman"/>
          <w:lang w:val="fr-FR"/>
        </w:rPr>
        <w:t xml:space="preserve"> ce sujet </w:t>
      </w:r>
      <w:r w:rsidRPr="000256FA">
        <w:rPr>
          <w:rFonts w:ascii="Times New Roman" w:hAnsi="Times New Roman" w:cs="Times New Roman"/>
        </w:rPr>
        <w:t xml:space="preserve">Th. </w:t>
      </w:r>
      <w:r w:rsidRPr="000256FA">
        <w:rPr>
          <w:rFonts w:ascii="Times New Roman" w:hAnsi="Times New Roman" w:cs="Times New Roman"/>
          <w:smallCaps/>
          <w:lang w:val="en-US"/>
        </w:rPr>
        <w:t xml:space="preserve">Van </w:t>
      </w:r>
      <w:proofErr w:type="spellStart"/>
      <w:r w:rsidRPr="000256FA">
        <w:rPr>
          <w:rFonts w:ascii="Times New Roman" w:hAnsi="Times New Roman" w:cs="Times New Roman"/>
          <w:smallCaps/>
          <w:lang w:val="en-US"/>
        </w:rPr>
        <w:t>Halteren</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pp. 374-376, n° 213.</w:t>
      </w:r>
    </w:p>
  </w:footnote>
  <w:footnote w:id="66">
    <w:p w14:paraId="0E3EE3F0" w14:textId="77777777" w:rsidR="00AD2FBC" w:rsidRPr="000256FA" w:rsidRDefault="00AD2FBC" w:rsidP="00AD2FBC">
      <w:pPr>
        <w:pStyle w:val="Notedebasdepage"/>
        <w:jc w:val="both"/>
        <w:rPr>
          <w:rFonts w:ascii="Times New Roman" w:hAnsi="Times New Roman" w:cs="Times New Roman"/>
          <w:lang w:val="fr-FR"/>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r w:rsidRPr="000256FA">
        <w:rPr>
          <w:rFonts w:ascii="Times New Roman" w:hAnsi="Times New Roman" w:cs="Times New Roman"/>
          <w:lang w:val="fr-FR"/>
        </w:rPr>
        <w:t>Donation et testament.</w:t>
      </w:r>
    </w:p>
  </w:footnote>
  <w:footnote w:id="67">
    <w:p w14:paraId="1DBB3346" w14:textId="77777777" w:rsidR="00AD2FBC" w:rsidRPr="000256FA" w:rsidRDefault="00AD2FBC" w:rsidP="00AD2FBC">
      <w:pPr>
        <w:pStyle w:val="Notedebasdepage"/>
        <w:jc w:val="both"/>
        <w:rPr>
          <w:rFonts w:ascii="Times New Roman" w:hAnsi="Times New Roman" w:cs="Times New Roman"/>
          <w:lang w:val="fr-FR"/>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r w:rsidRPr="000256FA">
        <w:rPr>
          <w:rFonts w:ascii="Times New Roman" w:hAnsi="Times New Roman" w:cs="Times New Roman"/>
          <w:lang w:val="fr-FR"/>
        </w:rPr>
        <w:t>Contrat de mariage.</w:t>
      </w:r>
    </w:p>
  </w:footnote>
  <w:footnote w:id="68">
    <w:p w14:paraId="31AACA0A" w14:textId="77777777" w:rsidR="00AD2FBC" w:rsidRPr="000256FA" w:rsidRDefault="00AD2FBC" w:rsidP="00AD2FBC">
      <w:pPr>
        <w:pStyle w:val="Notedebasdepage"/>
        <w:jc w:val="both"/>
        <w:rPr>
          <w:rFonts w:ascii="Times New Roman" w:hAnsi="Times New Roman" w:cs="Times New Roman"/>
          <w:lang w:val="fr-FR"/>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r w:rsidRPr="000256FA">
        <w:rPr>
          <w:rFonts w:ascii="Times New Roman" w:hAnsi="Times New Roman" w:cs="Times New Roman"/>
          <w:lang w:val="fr-FR"/>
        </w:rPr>
        <w:t>Convention de cohabitation légale.</w:t>
      </w:r>
    </w:p>
  </w:footnote>
  <w:footnote w:id="69">
    <w:p w14:paraId="0015B1A9" w14:textId="77777777" w:rsidR="00AD2FBC" w:rsidRPr="000256FA" w:rsidRDefault="00AD2FBC" w:rsidP="00AD2FBC">
      <w:pPr>
        <w:pStyle w:val="Notedebasdepage"/>
        <w:jc w:val="both"/>
        <w:rPr>
          <w:rFonts w:ascii="Times New Roman" w:hAnsi="Times New Roman" w:cs="Times New Roman"/>
          <w:lang w:val="en-US"/>
        </w:rPr>
      </w:pPr>
      <w:r w:rsidRPr="000256FA">
        <w:rPr>
          <w:rStyle w:val="Appelnotedebasdep"/>
          <w:rFonts w:ascii="Times New Roman" w:hAnsi="Times New Roman" w:cs="Times New Roman"/>
        </w:rPr>
        <w:footnoteRef/>
      </w:r>
      <w:r w:rsidRPr="000256FA">
        <w:rPr>
          <w:rFonts w:ascii="Times New Roman" w:hAnsi="Times New Roman" w:cs="Times New Roman"/>
        </w:rPr>
        <w:t xml:space="preserve"> La lésion visée par l’article 493, §2 d</w:t>
      </w:r>
      <w:r w:rsidR="00655846" w:rsidRPr="000256FA">
        <w:rPr>
          <w:rFonts w:ascii="Times New Roman" w:hAnsi="Times New Roman" w:cs="Times New Roman"/>
        </w:rPr>
        <w:t>e l’ancien</w:t>
      </w:r>
      <w:r w:rsidRPr="000256FA">
        <w:rPr>
          <w:rFonts w:ascii="Times New Roman" w:hAnsi="Times New Roman" w:cs="Times New Roman"/>
        </w:rPr>
        <w:t xml:space="preserve"> Code civil n’est pas la lésion objective, telle qu’on la retrouve en cas de vente ou de partage, mais la lésion qualifiée. Le juge appelé à statuer sur la demande de rescision devra donc tenir compte du caractère avantageux que présente l’acte pour la personne protégée ainsi que de la bonne ou mauvaise foi des tiers contractants. </w:t>
      </w:r>
      <w:r w:rsidRPr="000256FA">
        <w:rPr>
          <w:rFonts w:ascii="Times New Roman" w:hAnsi="Times New Roman" w:cs="Times New Roman"/>
          <w:lang w:val="en-US"/>
        </w:rPr>
        <w:t xml:space="preserve">Th. </w:t>
      </w:r>
      <w:r w:rsidRPr="000256FA">
        <w:rPr>
          <w:rFonts w:ascii="Times New Roman" w:hAnsi="Times New Roman" w:cs="Times New Roman"/>
          <w:smallCaps/>
          <w:lang w:val="en-US"/>
        </w:rPr>
        <w:t xml:space="preserve">Van </w:t>
      </w:r>
      <w:proofErr w:type="spellStart"/>
      <w:r w:rsidRPr="000256FA">
        <w:rPr>
          <w:rFonts w:ascii="Times New Roman" w:hAnsi="Times New Roman" w:cs="Times New Roman"/>
          <w:smallCaps/>
          <w:lang w:val="en-US"/>
        </w:rPr>
        <w:t>Halteren</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pp. 379-380, n° 218.</w:t>
      </w:r>
    </w:p>
  </w:footnote>
  <w:footnote w:id="70">
    <w:p w14:paraId="5B4D5392" w14:textId="77777777" w:rsidR="00AD2FBC" w:rsidRPr="000256FA" w:rsidRDefault="00AD2FBC" w:rsidP="00AD2FBC">
      <w:pPr>
        <w:pStyle w:val="Notedebasdepage"/>
        <w:jc w:val="both"/>
        <w:rPr>
          <w:rFonts w:ascii="Times New Roman" w:hAnsi="Times New Roman" w:cs="Times New Roman"/>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Art. 493, §3, </w:t>
      </w:r>
      <w:r w:rsidR="00655846" w:rsidRPr="000256FA">
        <w:rPr>
          <w:rFonts w:ascii="Times New Roman" w:hAnsi="Times New Roman" w:cs="Times New Roman"/>
          <w:lang w:val="en-US"/>
        </w:rPr>
        <w:t xml:space="preserve">ancient </w:t>
      </w:r>
      <w:r w:rsidRPr="000256FA">
        <w:rPr>
          <w:rFonts w:ascii="Times New Roman" w:hAnsi="Times New Roman" w:cs="Times New Roman"/>
          <w:lang w:val="en-US"/>
        </w:rPr>
        <w:t>C. civ.</w:t>
      </w:r>
    </w:p>
  </w:footnote>
  <w:footnote w:id="71">
    <w:p w14:paraId="408BE434" w14:textId="77777777" w:rsidR="00AD2FBC" w:rsidRPr="000256FA" w:rsidRDefault="00AD2FBC" w:rsidP="00AD2FBC">
      <w:pPr>
        <w:pStyle w:val="Notedebasdepage"/>
        <w:jc w:val="both"/>
        <w:rPr>
          <w:lang w:val="en-US"/>
        </w:rPr>
      </w:pPr>
      <w:r w:rsidRPr="000256FA">
        <w:rPr>
          <w:rStyle w:val="Appelnotedebasdep"/>
          <w:rFonts w:ascii="Times New Roman" w:hAnsi="Times New Roman" w:cs="Times New Roman"/>
        </w:rPr>
        <w:footnoteRef/>
      </w:r>
      <w:r w:rsidRPr="000256FA">
        <w:rPr>
          <w:rFonts w:ascii="Times New Roman" w:hAnsi="Times New Roman" w:cs="Times New Roman"/>
          <w:lang w:val="en-US"/>
        </w:rPr>
        <w:t xml:space="preserve"> Th. </w:t>
      </w:r>
      <w:r w:rsidRPr="000256FA">
        <w:rPr>
          <w:rFonts w:ascii="Times New Roman" w:hAnsi="Times New Roman" w:cs="Times New Roman"/>
          <w:smallCaps/>
          <w:lang w:val="en-US"/>
        </w:rPr>
        <w:t xml:space="preserve">Van </w:t>
      </w:r>
      <w:proofErr w:type="spellStart"/>
      <w:r w:rsidRPr="000256FA">
        <w:rPr>
          <w:rFonts w:ascii="Times New Roman" w:hAnsi="Times New Roman" w:cs="Times New Roman"/>
          <w:smallCaps/>
          <w:lang w:val="en-US"/>
        </w:rPr>
        <w:t>Halteren</w:t>
      </w:r>
      <w:proofErr w:type="spellEnd"/>
      <w:r w:rsidRPr="000256FA">
        <w:rPr>
          <w:rFonts w:ascii="Times New Roman" w:hAnsi="Times New Roman" w:cs="Times New Roman"/>
          <w:lang w:val="en-US"/>
        </w:rPr>
        <w:t xml:space="preserve">, </w:t>
      </w:r>
      <w:r w:rsidRPr="000256FA">
        <w:rPr>
          <w:rFonts w:ascii="Times New Roman" w:hAnsi="Times New Roman" w:cs="Times New Roman"/>
          <w:i/>
          <w:lang w:val="en-US"/>
        </w:rPr>
        <w:t>op. cit.</w:t>
      </w:r>
      <w:r w:rsidRPr="000256FA">
        <w:rPr>
          <w:rFonts w:ascii="Times New Roman" w:hAnsi="Times New Roman" w:cs="Times New Roman"/>
          <w:lang w:val="en-US"/>
        </w:rPr>
        <w:t>, p. 402, n° 232.</w:t>
      </w:r>
    </w:p>
  </w:footnote>
  <w:footnote w:id="72">
    <w:p w14:paraId="33680E22" w14:textId="7CEEAAE8" w:rsidR="003112EB" w:rsidRPr="000256FA" w:rsidRDefault="003112EB" w:rsidP="003112EB">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Ordonnance motivée, nature et consistance du patrimoine hérité et bénéfices manifestement supérieurs aux charges du patrimoine hérité.</w:t>
      </w:r>
    </w:p>
  </w:footnote>
  <w:footnote w:id="73">
    <w:p w14:paraId="1DA53BB6" w14:textId="56605A83" w:rsidR="00401A08" w:rsidRPr="000256FA" w:rsidRDefault="00401A08" w:rsidP="00401A08">
      <w:pPr>
        <w:pStyle w:val="Notedebasdepage"/>
        <w:jc w:val="both"/>
        <w:rPr>
          <w:rFonts w:ascii="Times New Roman" w:hAnsi="Times New Roman" w:cs="Times New Roman"/>
        </w:rPr>
      </w:pPr>
      <w:r w:rsidRPr="000256FA">
        <w:rPr>
          <w:rStyle w:val="Appelnotedebasdep"/>
          <w:rFonts w:ascii="Times New Roman" w:hAnsi="Times New Roman" w:cs="Times New Roman"/>
        </w:rPr>
        <w:footnoteRef/>
      </w:r>
      <w:r w:rsidRPr="000256FA">
        <w:rPr>
          <w:rFonts w:ascii="Times New Roman" w:hAnsi="Times New Roman" w:cs="Times New Roman"/>
        </w:rPr>
        <w:t xml:space="preserve"> Fr. </w:t>
      </w:r>
      <w:proofErr w:type="spellStart"/>
      <w:r w:rsidRPr="000256FA">
        <w:rPr>
          <w:rFonts w:ascii="Times New Roman" w:hAnsi="Times New Roman" w:cs="Times New Roman"/>
          <w:smallCaps/>
        </w:rPr>
        <w:t>Lalliere</w:t>
      </w:r>
      <w:proofErr w:type="spellEnd"/>
      <w:r w:rsidRPr="000256FA">
        <w:rPr>
          <w:rFonts w:ascii="Times New Roman" w:hAnsi="Times New Roman" w:cs="Times New Roman"/>
        </w:rPr>
        <w:t xml:space="preserve">, </w:t>
      </w:r>
      <w:r w:rsidR="007F4A03" w:rsidRPr="000256FA">
        <w:rPr>
          <w:rFonts w:ascii="Times New Roman" w:hAnsi="Times New Roman" w:cs="Times New Roman"/>
          <w:i/>
          <w:iCs/>
        </w:rPr>
        <w:t xml:space="preserve">op. </w:t>
      </w:r>
      <w:proofErr w:type="spellStart"/>
      <w:proofErr w:type="gramStart"/>
      <w:r w:rsidR="007F4A03" w:rsidRPr="000256FA">
        <w:rPr>
          <w:rFonts w:ascii="Times New Roman" w:hAnsi="Times New Roman" w:cs="Times New Roman"/>
          <w:i/>
          <w:iCs/>
        </w:rPr>
        <w:t>cit</w:t>
      </w:r>
      <w:proofErr w:type="spellEnd"/>
      <w:proofErr w:type="gramEnd"/>
      <w:r w:rsidR="007F4A03" w:rsidRPr="000256FA">
        <w:rPr>
          <w:rFonts w:ascii="Times New Roman" w:hAnsi="Times New Roman" w:cs="Times New Roman"/>
          <w:i/>
          <w:iCs/>
        </w:rPr>
        <w:t>.</w:t>
      </w:r>
      <w:r w:rsidRPr="000256FA">
        <w:rPr>
          <w:rFonts w:ascii="Times New Roman" w:hAnsi="Times New Roman" w:cs="Times New Roman"/>
        </w:rPr>
        <w:t xml:space="preserve">, p. 104, n° 140. </w:t>
      </w:r>
      <w:proofErr w:type="gramStart"/>
      <w:r w:rsidRPr="000256FA">
        <w:rPr>
          <w:rFonts w:ascii="Times New Roman" w:hAnsi="Times New Roman" w:cs="Times New Roman"/>
        </w:rPr>
        <w:t>a</w:t>
      </w:r>
      <w:proofErr w:type="gramEnd"/>
    </w:p>
  </w:footnote>
  <w:footnote w:id="74">
    <w:p w14:paraId="51BE700A" w14:textId="77777777" w:rsidR="00AD2FBC" w:rsidRPr="00571D24" w:rsidRDefault="00AD2FBC" w:rsidP="00AD2FBC">
      <w:pPr>
        <w:pStyle w:val="Notedebasdepage"/>
        <w:jc w:val="both"/>
        <w:rPr>
          <w:rFonts w:ascii="Times New Roman" w:hAnsi="Times New Roman" w:cs="Times New Roman"/>
          <w:lang w:val="fr-FR"/>
        </w:rPr>
      </w:pPr>
      <w:r w:rsidRPr="000256FA">
        <w:rPr>
          <w:rStyle w:val="Appelnotedebasdep"/>
          <w:rFonts w:ascii="Times New Roman" w:hAnsi="Times New Roman" w:cs="Times New Roman"/>
        </w:rPr>
        <w:footnoteRef/>
      </w:r>
      <w:r w:rsidRPr="000256FA">
        <w:rPr>
          <w:rFonts w:ascii="Times New Roman" w:hAnsi="Times New Roman" w:cs="Times New Roman"/>
        </w:rPr>
        <w:t xml:space="preserve"> </w:t>
      </w:r>
      <w:r w:rsidRPr="000256FA">
        <w:rPr>
          <w:rFonts w:ascii="Times New Roman" w:hAnsi="Times New Roman" w:cs="Times New Roman"/>
          <w:lang w:val="fr-FR"/>
        </w:rPr>
        <w:t xml:space="preserve">Art. 493, §2, </w:t>
      </w:r>
      <w:r w:rsidR="00655846" w:rsidRPr="000256FA">
        <w:rPr>
          <w:rFonts w:ascii="Times New Roman" w:hAnsi="Times New Roman" w:cs="Times New Roman"/>
          <w:lang w:val="fr-FR"/>
        </w:rPr>
        <w:t xml:space="preserve">ancien </w:t>
      </w:r>
      <w:r w:rsidRPr="000256FA">
        <w:rPr>
          <w:rFonts w:ascii="Times New Roman" w:hAnsi="Times New Roman" w:cs="Times New Roman"/>
          <w:lang w:val="fr-FR"/>
        </w:rPr>
        <w:t xml:space="preserve">C. civ. dans le cas où c’est la personne protégée qui accepte la succession en violation de son incapacité et art. 499/13, </w:t>
      </w:r>
      <w:r w:rsidR="00655846" w:rsidRPr="000256FA">
        <w:rPr>
          <w:rFonts w:ascii="Times New Roman" w:hAnsi="Times New Roman" w:cs="Times New Roman"/>
          <w:lang w:val="fr-FR"/>
        </w:rPr>
        <w:t xml:space="preserve">ancien </w:t>
      </w:r>
      <w:r w:rsidRPr="000256FA">
        <w:rPr>
          <w:rFonts w:ascii="Times New Roman" w:hAnsi="Times New Roman" w:cs="Times New Roman"/>
          <w:lang w:val="fr-FR"/>
        </w:rPr>
        <w:t>C. civ. dans le cas où c’est l’administrateur qui accepte la succession sans avoir obtenu d’autorisation préalable de la part du juge de paix.</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5F10C8"/>
    <w:multiLevelType w:val="hybridMultilevel"/>
    <w:tmpl w:val="DDD276BE"/>
    <w:lvl w:ilvl="0" w:tplc="E5F807CE">
      <w:start w:val="4"/>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FBC"/>
    <w:rsid w:val="000256FA"/>
    <w:rsid w:val="00130684"/>
    <w:rsid w:val="0013074C"/>
    <w:rsid w:val="001772F5"/>
    <w:rsid w:val="00191F89"/>
    <w:rsid w:val="001D3D09"/>
    <w:rsid w:val="00234E51"/>
    <w:rsid w:val="00272C57"/>
    <w:rsid w:val="002C2903"/>
    <w:rsid w:val="003112EB"/>
    <w:rsid w:val="003B718F"/>
    <w:rsid w:val="00401A08"/>
    <w:rsid w:val="00401DB3"/>
    <w:rsid w:val="0055429D"/>
    <w:rsid w:val="00575AF6"/>
    <w:rsid w:val="005E3E28"/>
    <w:rsid w:val="00655846"/>
    <w:rsid w:val="006575B0"/>
    <w:rsid w:val="00771537"/>
    <w:rsid w:val="007A58BE"/>
    <w:rsid w:val="007B6FA3"/>
    <w:rsid w:val="007F4A03"/>
    <w:rsid w:val="00916F4C"/>
    <w:rsid w:val="009C39C5"/>
    <w:rsid w:val="00A53B3C"/>
    <w:rsid w:val="00A95D6F"/>
    <w:rsid w:val="00AB324B"/>
    <w:rsid w:val="00AD2FBC"/>
    <w:rsid w:val="00AF3F6B"/>
    <w:rsid w:val="00B814D0"/>
    <w:rsid w:val="00BD1CC3"/>
    <w:rsid w:val="00C034BB"/>
    <w:rsid w:val="00CB73B3"/>
    <w:rsid w:val="00CF0A40"/>
    <w:rsid w:val="00D45B8F"/>
    <w:rsid w:val="00D46019"/>
    <w:rsid w:val="00D619F6"/>
    <w:rsid w:val="00E10FEA"/>
    <w:rsid w:val="00E3389F"/>
    <w:rsid w:val="00EC16D5"/>
    <w:rsid w:val="00F6759A"/>
    <w:rsid w:val="00FF09B8"/>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C457BC"/>
  <w15:chartTrackingRefBased/>
  <w15:docId w15:val="{B3441C1A-2AEA-49B9-93AE-9B573AAFE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2FBC"/>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D2FBC"/>
    <w:pPr>
      <w:ind w:left="720"/>
      <w:contextualSpacing/>
    </w:pPr>
  </w:style>
  <w:style w:type="paragraph" w:styleId="Notedebasdepage">
    <w:name w:val="footnote text"/>
    <w:basedOn w:val="Normal"/>
    <w:link w:val="NotedebasdepageCar"/>
    <w:uiPriority w:val="99"/>
    <w:semiHidden/>
    <w:unhideWhenUsed/>
    <w:rsid w:val="00AD2FB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AD2FBC"/>
    <w:rPr>
      <w:sz w:val="20"/>
      <w:szCs w:val="20"/>
    </w:rPr>
  </w:style>
  <w:style w:type="character" w:styleId="Appelnotedebasdep">
    <w:name w:val="footnote reference"/>
    <w:basedOn w:val="Policepardfaut"/>
    <w:uiPriority w:val="99"/>
    <w:semiHidden/>
    <w:unhideWhenUsed/>
    <w:rsid w:val="00AD2FBC"/>
    <w:rPr>
      <w:vertAlign w:val="superscript"/>
    </w:rPr>
  </w:style>
  <w:style w:type="paragraph" w:styleId="Pieddepage">
    <w:name w:val="footer"/>
    <w:basedOn w:val="Normal"/>
    <w:link w:val="PieddepageCar"/>
    <w:uiPriority w:val="99"/>
    <w:unhideWhenUsed/>
    <w:rsid w:val="00AD2FB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D2FBC"/>
  </w:style>
  <w:style w:type="paragraph" w:styleId="En-tte">
    <w:name w:val="header"/>
    <w:basedOn w:val="Normal"/>
    <w:link w:val="En-tteCar"/>
    <w:uiPriority w:val="99"/>
    <w:unhideWhenUsed/>
    <w:rsid w:val="00234E51"/>
    <w:pPr>
      <w:tabs>
        <w:tab w:val="center" w:pos="4536"/>
        <w:tab w:val="right" w:pos="9072"/>
      </w:tabs>
      <w:spacing w:after="0" w:line="240" w:lineRule="auto"/>
    </w:pPr>
  </w:style>
  <w:style w:type="character" w:customStyle="1" w:styleId="En-tteCar">
    <w:name w:val="En-tête Car"/>
    <w:basedOn w:val="Policepardfaut"/>
    <w:link w:val="En-tte"/>
    <w:uiPriority w:val="99"/>
    <w:rsid w:val="00234E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12</Pages>
  <Words>4825</Words>
  <Characters>26538</Characters>
  <Application>Microsoft Office Word</Application>
  <DocSecurity>0</DocSecurity>
  <Lines>221</Lines>
  <Paragraphs>62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Albane Toussaint</dc:creator>
  <cp:keywords/>
  <dc:description/>
  <cp:lastModifiedBy>Albane Toussaint</cp:lastModifiedBy>
  <cp:revision>2</cp:revision>
  <dcterms:created xsi:type="dcterms:W3CDTF">2021-09-06T17:41:00Z</dcterms:created>
  <dcterms:modified xsi:type="dcterms:W3CDTF">2021-09-06T17:41:00Z</dcterms:modified>
</cp:coreProperties>
</file>