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5C4F2" w14:textId="22CA9DBA" w:rsidR="00593BB5" w:rsidRPr="00C70EB4" w:rsidRDefault="00593BB5" w:rsidP="00C70EB4">
      <w:pPr>
        <w:jc w:val="center"/>
        <w:rPr>
          <w:rFonts w:ascii="Times New Roman" w:hAnsi="Times New Roman" w:cs="Times New Roman"/>
          <w:b/>
          <w:bCs/>
          <w:sz w:val="28"/>
          <w:szCs w:val="28"/>
        </w:rPr>
      </w:pPr>
      <w:r w:rsidRPr="00C70EB4">
        <w:rPr>
          <w:rFonts w:ascii="Times New Roman" w:hAnsi="Times New Roman" w:cs="Times New Roman"/>
          <w:b/>
          <w:bCs/>
          <w:sz w:val="28"/>
          <w:szCs w:val="28"/>
        </w:rPr>
        <w:t>L’inapplicabilité du droit des marchés publics dans le domaine de la Défense sur la base de l’article 346 du TFUE</w:t>
      </w:r>
    </w:p>
    <w:p w14:paraId="7CCEDE19" w14:textId="63928EB3" w:rsidR="00593BB5" w:rsidRPr="00C70EB4" w:rsidRDefault="00C70EB4" w:rsidP="00C70EB4">
      <w:pPr>
        <w:jc w:val="center"/>
        <w:rPr>
          <w:rFonts w:ascii="Times New Roman" w:hAnsi="Times New Roman" w:cs="Times New Roman"/>
          <w:b/>
          <w:bCs/>
          <w:sz w:val="24"/>
          <w:szCs w:val="24"/>
        </w:rPr>
      </w:pPr>
      <w:r>
        <w:rPr>
          <w:rFonts w:ascii="Times New Roman" w:hAnsi="Times New Roman" w:cs="Times New Roman"/>
          <w:b/>
          <w:bCs/>
          <w:sz w:val="24"/>
          <w:szCs w:val="24"/>
        </w:rPr>
        <w:t>Note sous C</w:t>
      </w:r>
      <w:r w:rsidRPr="00C70EB4">
        <w:rPr>
          <w:rFonts w:ascii="Times New Roman" w:hAnsi="Times New Roman" w:cs="Times New Roman"/>
          <w:b/>
          <w:bCs/>
          <w:sz w:val="24"/>
          <w:szCs w:val="24"/>
        </w:rPr>
        <w:t xml:space="preserve">.E., 10 janvier 2024, n° 248.383, </w:t>
      </w:r>
      <w:proofErr w:type="spellStart"/>
      <w:r w:rsidRPr="00C70EB4">
        <w:rPr>
          <w:rFonts w:ascii="Times New Roman" w:hAnsi="Times New Roman" w:cs="Times New Roman"/>
          <w:b/>
          <w:bCs/>
          <w:i/>
          <w:iCs/>
          <w:sz w:val="24"/>
          <w:szCs w:val="24"/>
        </w:rPr>
        <w:t>Heckler</w:t>
      </w:r>
      <w:proofErr w:type="spellEnd"/>
      <w:r w:rsidRPr="00C70EB4">
        <w:rPr>
          <w:rFonts w:ascii="Times New Roman" w:hAnsi="Times New Roman" w:cs="Times New Roman"/>
          <w:b/>
          <w:bCs/>
          <w:i/>
          <w:iCs/>
          <w:sz w:val="24"/>
          <w:szCs w:val="24"/>
        </w:rPr>
        <w:t xml:space="preserve"> &amp; Koch</w:t>
      </w:r>
    </w:p>
    <w:p w14:paraId="0A8FF316" w14:textId="77777777" w:rsidR="00C70EB4" w:rsidRDefault="00C70EB4" w:rsidP="00C70EB4">
      <w:pPr>
        <w:spacing w:after="0" w:line="276" w:lineRule="auto"/>
        <w:jc w:val="both"/>
        <w:rPr>
          <w:rFonts w:ascii="Times New Roman" w:hAnsi="Times New Roman" w:cs="Times New Roman"/>
          <w:b/>
          <w:bCs/>
          <w:sz w:val="24"/>
          <w:szCs w:val="24"/>
        </w:rPr>
      </w:pPr>
    </w:p>
    <w:p w14:paraId="5B294B09" w14:textId="71643896" w:rsidR="00C35B67" w:rsidRDefault="00C35B67" w:rsidP="00C70EB4">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106284AA" w14:textId="77777777" w:rsidR="00C35B67" w:rsidRDefault="00C35B67" w:rsidP="00C70EB4">
      <w:pPr>
        <w:spacing w:after="0" w:line="276" w:lineRule="auto"/>
        <w:jc w:val="both"/>
        <w:rPr>
          <w:rFonts w:ascii="Times New Roman" w:hAnsi="Times New Roman" w:cs="Times New Roman"/>
          <w:b/>
          <w:bCs/>
          <w:sz w:val="24"/>
          <w:szCs w:val="24"/>
        </w:rPr>
      </w:pPr>
    </w:p>
    <w:p w14:paraId="46FC7C1C" w14:textId="04A00943" w:rsidR="00C27D91" w:rsidRPr="00C70EB4" w:rsidRDefault="006C6312"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b/>
          <w:bCs/>
          <w:sz w:val="24"/>
          <w:szCs w:val="24"/>
        </w:rPr>
        <w:t>1</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w:t>
      </w:r>
      <w:r w:rsidR="005702D4" w:rsidRPr="00C70EB4">
        <w:rPr>
          <w:rFonts w:ascii="Times New Roman" w:hAnsi="Times New Roman" w:cs="Times New Roman"/>
          <w:sz w:val="24"/>
          <w:szCs w:val="24"/>
        </w:rPr>
        <w:t xml:space="preserve">Le 10 janvier </w:t>
      </w:r>
      <w:r w:rsidR="00101B43" w:rsidRPr="00C70EB4">
        <w:rPr>
          <w:rFonts w:ascii="Times New Roman" w:hAnsi="Times New Roman" w:cs="Times New Roman"/>
          <w:sz w:val="24"/>
          <w:szCs w:val="24"/>
        </w:rPr>
        <w:t>2024</w:t>
      </w:r>
      <w:r w:rsidR="005702D4" w:rsidRPr="00C70EB4">
        <w:rPr>
          <w:rFonts w:ascii="Times New Roman" w:hAnsi="Times New Roman" w:cs="Times New Roman"/>
          <w:sz w:val="24"/>
          <w:szCs w:val="24"/>
        </w:rPr>
        <w:t>, le Conseil d’Etat a rendu un arrêt historique puisque, pour la première fois, il s’est prononcé sur l’application de l’article 346 du Traité sur le fonctionnement de l’Union européenne</w:t>
      </w:r>
      <w:r w:rsidR="008B5E61" w:rsidRPr="00C70EB4">
        <w:rPr>
          <w:rFonts w:ascii="Times New Roman" w:hAnsi="Times New Roman" w:cs="Times New Roman"/>
          <w:sz w:val="24"/>
          <w:szCs w:val="24"/>
        </w:rPr>
        <w:t xml:space="preserve"> (TFUE)</w:t>
      </w:r>
      <w:r w:rsidR="0090495C" w:rsidRPr="00C70EB4">
        <w:rPr>
          <w:rFonts w:ascii="Times New Roman" w:hAnsi="Times New Roman" w:cs="Times New Roman"/>
          <w:sz w:val="24"/>
          <w:szCs w:val="24"/>
        </w:rPr>
        <w:t xml:space="preserve"> qui permet aux Etats d’exclure l’application du droit communautaire pour certaines activités</w:t>
      </w:r>
      <w:r w:rsidR="008849C2" w:rsidRPr="00C70EB4">
        <w:rPr>
          <w:rFonts w:ascii="Times New Roman" w:hAnsi="Times New Roman" w:cs="Times New Roman"/>
          <w:sz w:val="24"/>
          <w:szCs w:val="24"/>
        </w:rPr>
        <w:t xml:space="preserve"> et par conséquent de déroger au droit </w:t>
      </w:r>
      <w:r w:rsidR="00101B43" w:rsidRPr="00C70EB4">
        <w:rPr>
          <w:rFonts w:ascii="Times New Roman" w:hAnsi="Times New Roman" w:cs="Times New Roman"/>
          <w:sz w:val="24"/>
          <w:szCs w:val="24"/>
        </w:rPr>
        <w:t xml:space="preserve">européen </w:t>
      </w:r>
      <w:r w:rsidR="008849C2" w:rsidRPr="00C70EB4">
        <w:rPr>
          <w:rFonts w:ascii="Times New Roman" w:hAnsi="Times New Roman" w:cs="Times New Roman"/>
          <w:sz w:val="24"/>
          <w:szCs w:val="24"/>
        </w:rPr>
        <w:t>des marchés publics</w:t>
      </w:r>
      <w:r w:rsidR="00593BB5">
        <w:rPr>
          <w:rStyle w:val="Appelnotedebasdep"/>
          <w:rFonts w:ascii="Times New Roman" w:hAnsi="Times New Roman" w:cs="Times New Roman"/>
          <w:sz w:val="24"/>
          <w:szCs w:val="24"/>
        </w:rPr>
        <w:footnoteReference w:id="1"/>
      </w:r>
      <w:r w:rsidR="008849C2" w:rsidRPr="00C70EB4">
        <w:rPr>
          <w:rFonts w:ascii="Times New Roman" w:hAnsi="Times New Roman" w:cs="Times New Roman"/>
          <w:sz w:val="24"/>
          <w:szCs w:val="24"/>
        </w:rPr>
        <w:t>. Fin décembre 2023, l</w:t>
      </w:r>
      <w:r w:rsidR="005702D4" w:rsidRPr="00C70EB4">
        <w:rPr>
          <w:rFonts w:ascii="Times New Roman" w:hAnsi="Times New Roman" w:cs="Times New Roman"/>
          <w:sz w:val="24"/>
          <w:szCs w:val="24"/>
        </w:rPr>
        <w:t xml:space="preserve">a </w:t>
      </w:r>
      <w:r w:rsidR="00101B43" w:rsidRPr="00C70EB4">
        <w:rPr>
          <w:rFonts w:ascii="Times New Roman" w:hAnsi="Times New Roman" w:cs="Times New Roman"/>
          <w:sz w:val="24"/>
          <w:szCs w:val="24"/>
        </w:rPr>
        <w:t xml:space="preserve">Haute </w:t>
      </w:r>
      <w:r w:rsidR="005702D4" w:rsidRPr="00C70EB4">
        <w:rPr>
          <w:rFonts w:ascii="Times New Roman" w:hAnsi="Times New Roman" w:cs="Times New Roman"/>
          <w:sz w:val="24"/>
          <w:szCs w:val="24"/>
        </w:rPr>
        <w:t xml:space="preserve">juridiction </w:t>
      </w:r>
      <w:r w:rsidR="00EC0354" w:rsidRPr="00C70EB4">
        <w:rPr>
          <w:rFonts w:ascii="Times New Roman" w:hAnsi="Times New Roman" w:cs="Times New Roman"/>
          <w:sz w:val="24"/>
          <w:szCs w:val="24"/>
        </w:rPr>
        <w:t xml:space="preserve">administrative </w:t>
      </w:r>
      <w:r w:rsidR="008849C2" w:rsidRPr="00C70EB4">
        <w:rPr>
          <w:rFonts w:ascii="Times New Roman" w:hAnsi="Times New Roman" w:cs="Times New Roman"/>
          <w:sz w:val="24"/>
          <w:szCs w:val="24"/>
        </w:rPr>
        <w:t>a</w:t>
      </w:r>
      <w:r w:rsidR="005702D4" w:rsidRPr="00C70EB4">
        <w:rPr>
          <w:rFonts w:ascii="Times New Roman" w:hAnsi="Times New Roman" w:cs="Times New Roman"/>
          <w:sz w:val="24"/>
          <w:szCs w:val="24"/>
        </w:rPr>
        <w:t xml:space="preserve"> en effet </w:t>
      </w:r>
      <w:r w:rsidR="008849C2" w:rsidRPr="00C70EB4">
        <w:rPr>
          <w:rFonts w:ascii="Times New Roman" w:hAnsi="Times New Roman" w:cs="Times New Roman"/>
          <w:sz w:val="24"/>
          <w:szCs w:val="24"/>
        </w:rPr>
        <w:t xml:space="preserve">été </w:t>
      </w:r>
      <w:r w:rsidR="005702D4" w:rsidRPr="00C70EB4">
        <w:rPr>
          <w:rFonts w:ascii="Times New Roman" w:hAnsi="Times New Roman" w:cs="Times New Roman"/>
          <w:sz w:val="24"/>
          <w:szCs w:val="24"/>
        </w:rPr>
        <w:t xml:space="preserve">saisie par </w:t>
      </w:r>
      <w:r w:rsidR="008B5E61" w:rsidRPr="00C70EB4">
        <w:rPr>
          <w:rFonts w:ascii="Times New Roman" w:hAnsi="Times New Roman" w:cs="Times New Roman"/>
          <w:sz w:val="24"/>
          <w:szCs w:val="24"/>
        </w:rPr>
        <w:t xml:space="preserve">une société allemande d’une demande de suspension contre la décision du Conseil de ministres du 17 novembre 2023 permettant </w:t>
      </w:r>
      <w:r w:rsidR="00EC0354" w:rsidRPr="00C70EB4">
        <w:rPr>
          <w:rFonts w:ascii="Times New Roman" w:hAnsi="Times New Roman" w:cs="Times New Roman"/>
          <w:sz w:val="24"/>
          <w:szCs w:val="24"/>
        </w:rPr>
        <w:t xml:space="preserve">au </w:t>
      </w:r>
      <w:r w:rsidR="008B5E61" w:rsidRPr="00C70EB4">
        <w:rPr>
          <w:rFonts w:ascii="Times New Roman" w:hAnsi="Times New Roman" w:cs="Times New Roman"/>
          <w:sz w:val="24"/>
          <w:szCs w:val="24"/>
        </w:rPr>
        <w:t xml:space="preserve"> </w:t>
      </w:r>
      <w:r w:rsidR="00EC0354" w:rsidRPr="00C70EB4">
        <w:rPr>
          <w:rFonts w:ascii="Times New Roman" w:hAnsi="Times New Roman" w:cs="Times New Roman"/>
          <w:sz w:val="24"/>
          <w:szCs w:val="24"/>
        </w:rPr>
        <w:t>Ministère</w:t>
      </w:r>
      <w:r w:rsidR="008B5E61" w:rsidRPr="00C70EB4">
        <w:rPr>
          <w:rFonts w:ascii="Times New Roman" w:hAnsi="Times New Roman" w:cs="Times New Roman"/>
          <w:sz w:val="24"/>
          <w:szCs w:val="24"/>
        </w:rPr>
        <w:t xml:space="preserve"> de la Défense, sur la base de la disposition européenne précitée, de lancer une procédure négociée sans publicité en vue de l’établissement d’un partenariat stratégique multinational</w:t>
      </w:r>
      <w:r w:rsidR="00D239CA" w:rsidRPr="00C70EB4">
        <w:rPr>
          <w:rFonts w:ascii="Times New Roman" w:hAnsi="Times New Roman" w:cs="Times New Roman"/>
          <w:sz w:val="24"/>
          <w:szCs w:val="24"/>
        </w:rPr>
        <w:t>,</w:t>
      </w:r>
      <w:r w:rsidR="008B5E61" w:rsidRPr="00C70EB4">
        <w:rPr>
          <w:rFonts w:ascii="Times New Roman" w:hAnsi="Times New Roman" w:cs="Times New Roman"/>
          <w:sz w:val="24"/>
          <w:szCs w:val="24"/>
        </w:rPr>
        <w:t xml:space="preserve"> </w:t>
      </w:r>
      <w:r w:rsidR="00D239CA" w:rsidRPr="00C70EB4">
        <w:rPr>
          <w:rFonts w:ascii="Times New Roman" w:hAnsi="Times New Roman" w:cs="Times New Roman"/>
          <w:sz w:val="24"/>
          <w:szCs w:val="24"/>
        </w:rPr>
        <w:t>pour une période vingt ans et un montant de 1,7 milliards d’euros,</w:t>
      </w:r>
      <w:r w:rsidR="00C00D1C" w:rsidRPr="00C70EB4">
        <w:rPr>
          <w:rFonts w:ascii="Times New Roman" w:hAnsi="Times New Roman" w:cs="Times New Roman"/>
          <w:sz w:val="24"/>
          <w:szCs w:val="24"/>
        </w:rPr>
        <w:t xml:space="preserve"> </w:t>
      </w:r>
      <w:r w:rsidR="008B5E61" w:rsidRPr="00C70EB4">
        <w:rPr>
          <w:rFonts w:ascii="Times New Roman" w:hAnsi="Times New Roman" w:cs="Times New Roman"/>
          <w:sz w:val="24"/>
          <w:szCs w:val="24"/>
        </w:rPr>
        <w:t>avec la FN Herstal relatif aux systèmes d’armement léger</w:t>
      </w:r>
      <w:r w:rsidR="00BF438B" w:rsidRPr="00C70EB4">
        <w:rPr>
          <w:rFonts w:ascii="Times New Roman" w:hAnsi="Times New Roman" w:cs="Times New Roman"/>
          <w:sz w:val="24"/>
          <w:szCs w:val="24"/>
        </w:rPr>
        <w:t>.</w:t>
      </w:r>
      <w:r w:rsidR="00DD13DD" w:rsidRPr="00C70EB4">
        <w:rPr>
          <w:rFonts w:ascii="Times New Roman" w:hAnsi="Times New Roman" w:cs="Times New Roman"/>
          <w:sz w:val="24"/>
          <w:szCs w:val="24"/>
        </w:rPr>
        <w:t xml:space="preserve"> Par ce partenariat, l’Etat belge souhaite </w:t>
      </w:r>
      <w:r w:rsidR="00094078" w:rsidRPr="00C70EB4">
        <w:rPr>
          <w:rFonts w:ascii="Times New Roman" w:eastAsia="Times New Roman" w:hAnsi="Times New Roman" w:cs="Times New Roman"/>
          <w:sz w:val="24"/>
          <w:szCs w:val="24"/>
        </w:rPr>
        <w:t>acquérir</w:t>
      </w:r>
      <w:r w:rsidR="00DD13DD" w:rsidRPr="00C70EB4">
        <w:rPr>
          <w:rFonts w:ascii="Times New Roman" w:eastAsia="Times New Roman" w:hAnsi="Times New Roman" w:cs="Times New Roman"/>
          <w:sz w:val="24"/>
          <w:szCs w:val="24"/>
        </w:rPr>
        <w:t xml:space="preserve"> d</w:t>
      </w:r>
      <w:r w:rsidR="00094078" w:rsidRPr="00C70EB4">
        <w:rPr>
          <w:rFonts w:ascii="Times New Roman" w:eastAsia="Times New Roman" w:hAnsi="Times New Roman" w:cs="Times New Roman"/>
          <w:sz w:val="24"/>
          <w:szCs w:val="24"/>
        </w:rPr>
        <w:t xml:space="preserve">es </w:t>
      </w:r>
      <w:r w:rsidR="00DD13DD" w:rsidRPr="00C70EB4">
        <w:rPr>
          <w:rFonts w:ascii="Times New Roman" w:eastAsia="Times New Roman" w:hAnsi="Times New Roman" w:cs="Times New Roman"/>
          <w:sz w:val="24"/>
          <w:szCs w:val="24"/>
        </w:rPr>
        <w:t>armes et de munitions avec une garantie</w:t>
      </w:r>
      <w:r w:rsidR="00094078" w:rsidRPr="00C70EB4">
        <w:rPr>
          <w:rFonts w:ascii="Times New Roman" w:eastAsia="Times New Roman" w:hAnsi="Times New Roman" w:cs="Times New Roman"/>
          <w:sz w:val="24"/>
          <w:szCs w:val="24"/>
        </w:rPr>
        <w:t xml:space="preserve"> de pouvoir en disposer avec certitude en temps de crise</w:t>
      </w:r>
      <w:r w:rsidR="00DD13DD" w:rsidRPr="00C70EB4">
        <w:rPr>
          <w:rFonts w:ascii="Times New Roman" w:eastAsia="Times New Roman" w:hAnsi="Times New Roman" w:cs="Times New Roman"/>
          <w:sz w:val="24"/>
          <w:szCs w:val="24"/>
        </w:rPr>
        <w:t xml:space="preserve">, mais également rester à la pointe des connaissances dans le domaine des </w:t>
      </w:r>
      <w:r w:rsidR="00094078" w:rsidRPr="00C70EB4">
        <w:rPr>
          <w:rFonts w:ascii="Times New Roman" w:eastAsia="Times New Roman" w:hAnsi="Times New Roman" w:cs="Times New Roman"/>
          <w:sz w:val="24"/>
          <w:szCs w:val="24"/>
        </w:rPr>
        <w:t xml:space="preserve">armes </w:t>
      </w:r>
      <w:r w:rsidR="00DD13DD" w:rsidRPr="00C70EB4">
        <w:rPr>
          <w:rFonts w:ascii="Times New Roman" w:eastAsia="Times New Roman" w:hAnsi="Times New Roman" w:cs="Times New Roman"/>
          <w:sz w:val="24"/>
          <w:szCs w:val="24"/>
        </w:rPr>
        <w:t>petits calibres</w:t>
      </w:r>
      <w:r w:rsidR="00094078" w:rsidRPr="00C70EB4">
        <w:rPr>
          <w:rFonts w:ascii="Times New Roman" w:eastAsia="Times New Roman" w:hAnsi="Times New Roman" w:cs="Times New Roman"/>
          <w:sz w:val="24"/>
          <w:szCs w:val="24"/>
        </w:rPr>
        <w:t>.</w:t>
      </w:r>
    </w:p>
    <w:p w14:paraId="2DBE5399" w14:textId="207C7501" w:rsidR="008B5E61" w:rsidRPr="00C70EB4" w:rsidRDefault="008B5E61" w:rsidP="00C70EB4">
      <w:pPr>
        <w:spacing w:after="0" w:line="276" w:lineRule="auto"/>
        <w:jc w:val="both"/>
        <w:rPr>
          <w:rFonts w:ascii="Times New Roman" w:hAnsi="Times New Roman" w:cs="Times New Roman"/>
          <w:sz w:val="24"/>
          <w:szCs w:val="24"/>
        </w:rPr>
      </w:pPr>
    </w:p>
    <w:p w14:paraId="61A16FAB" w14:textId="1C79A2DE" w:rsidR="00C27D91" w:rsidRPr="00C70EB4" w:rsidRDefault="00D42582"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Selon une étude, plus de la moitié des achats militaires sont exemptés du droit de l’Union sur la base de l’article 346 du TFUE et de l’article 13(f) de la directive</w:t>
      </w:r>
      <w:r w:rsidR="006C6312" w:rsidRPr="00C70EB4">
        <w:rPr>
          <w:rFonts w:ascii="Times New Roman" w:hAnsi="Times New Roman" w:cs="Times New Roman"/>
          <w:sz w:val="24"/>
          <w:szCs w:val="24"/>
        </w:rPr>
        <w:t xml:space="preserve"> 2009/81/CE</w:t>
      </w:r>
      <w:r w:rsidRPr="00C70EB4">
        <w:rPr>
          <w:rFonts w:ascii="Times New Roman" w:hAnsi="Times New Roman" w:cs="Times New Roman"/>
          <w:sz w:val="24"/>
          <w:szCs w:val="24"/>
        </w:rPr>
        <w:t xml:space="preserve"> du 13 juillet 2009</w:t>
      </w:r>
      <w:r w:rsidRPr="00C70EB4">
        <w:rPr>
          <w:rStyle w:val="Appelnotedebasdep"/>
          <w:rFonts w:ascii="Times New Roman" w:hAnsi="Times New Roman" w:cs="Times New Roman"/>
          <w:sz w:val="24"/>
          <w:szCs w:val="24"/>
        </w:rPr>
        <w:footnoteReference w:id="2"/>
      </w:r>
      <w:r w:rsidRPr="00C70EB4">
        <w:rPr>
          <w:rFonts w:ascii="Times New Roman" w:hAnsi="Times New Roman" w:cs="Times New Roman"/>
          <w:sz w:val="24"/>
          <w:szCs w:val="24"/>
        </w:rPr>
        <w:t xml:space="preserve">. Il n’est dès lors pas étonnant qu’une décision de justice belge intervienne en la matière. Ce qui est </w:t>
      </w:r>
      <w:r w:rsidR="004E3050" w:rsidRPr="00C70EB4">
        <w:rPr>
          <w:rFonts w:ascii="Times New Roman" w:hAnsi="Times New Roman" w:cs="Times New Roman"/>
          <w:sz w:val="24"/>
          <w:szCs w:val="24"/>
        </w:rPr>
        <w:t>en revanche plus</w:t>
      </w:r>
      <w:r w:rsidRPr="00C70EB4">
        <w:rPr>
          <w:rFonts w:ascii="Times New Roman" w:hAnsi="Times New Roman" w:cs="Times New Roman"/>
          <w:sz w:val="24"/>
          <w:szCs w:val="24"/>
        </w:rPr>
        <w:t xml:space="preserve"> surprenant, c’est qu’elle n’intervienne que maintenant.</w:t>
      </w:r>
    </w:p>
    <w:p w14:paraId="64BA7410" w14:textId="57759849" w:rsidR="0090495C" w:rsidRPr="00C70EB4" w:rsidRDefault="0090495C" w:rsidP="00C70EB4">
      <w:pPr>
        <w:spacing w:after="0" w:line="276" w:lineRule="auto"/>
        <w:jc w:val="both"/>
        <w:rPr>
          <w:rFonts w:ascii="Times New Roman" w:hAnsi="Times New Roman" w:cs="Times New Roman"/>
          <w:sz w:val="24"/>
          <w:szCs w:val="24"/>
          <w:lang w:eastAsia="fr-BE"/>
        </w:rPr>
      </w:pPr>
    </w:p>
    <w:p w14:paraId="7999DBFC" w14:textId="465264AA" w:rsidR="005702D4" w:rsidRDefault="006C6312" w:rsidP="00E9508A">
      <w:pPr>
        <w:spacing w:after="0" w:line="276" w:lineRule="auto"/>
        <w:jc w:val="both"/>
        <w:rPr>
          <w:rFonts w:ascii="Times New Roman" w:hAnsi="Times New Roman" w:cs="Times New Roman"/>
          <w:sz w:val="24"/>
          <w:szCs w:val="24"/>
        </w:rPr>
      </w:pPr>
      <w:r w:rsidRPr="00C70EB4">
        <w:rPr>
          <w:rFonts w:ascii="Times New Roman" w:hAnsi="Times New Roman" w:cs="Times New Roman"/>
          <w:b/>
          <w:bCs/>
          <w:sz w:val="24"/>
          <w:szCs w:val="24"/>
        </w:rPr>
        <w:t>2</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w:t>
      </w:r>
      <w:r w:rsidR="00F02BA8" w:rsidRPr="00C70EB4">
        <w:rPr>
          <w:rFonts w:ascii="Times New Roman" w:hAnsi="Times New Roman" w:cs="Times New Roman"/>
          <w:sz w:val="24"/>
          <w:szCs w:val="24"/>
        </w:rPr>
        <w:t xml:space="preserve">Outre l’application de l’article </w:t>
      </w:r>
      <w:r w:rsidR="00101B43" w:rsidRPr="00C70EB4">
        <w:rPr>
          <w:rFonts w:ascii="Times New Roman" w:hAnsi="Times New Roman" w:cs="Times New Roman"/>
          <w:sz w:val="24"/>
          <w:szCs w:val="24"/>
        </w:rPr>
        <w:t xml:space="preserve">346 </w:t>
      </w:r>
      <w:r w:rsidR="00E47F65" w:rsidRPr="00C70EB4">
        <w:rPr>
          <w:rFonts w:ascii="Times New Roman" w:hAnsi="Times New Roman" w:cs="Times New Roman"/>
          <w:sz w:val="24"/>
          <w:szCs w:val="24"/>
        </w:rPr>
        <w:t xml:space="preserve">du </w:t>
      </w:r>
      <w:r w:rsidR="00F02BA8" w:rsidRPr="00C70EB4">
        <w:rPr>
          <w:rFonts w:ascii="Times New Roman" w:hAnsi="Times New Roman" w:cs="Times New Roman"/>
          <w:sz w:val="24"/>
          <w:szCs w:val="24"/>
        </w:rPr>
        <w:t>TFUE, l</w:t>
      </w:r>
      <w:r w:rsidR="004E3050" w:rsidRPr="00C70EB4">
        <w:rPr>
          <w:rFonts w:ascii="Times New Roman" w:hAnsi="Times New Roman" w:cs="Times New Roman"/>
          <w:sz w:val="24"/>
          <w:szCs w:val="24"/>
        </w:rPr>
        <w:t xml:space="preserve">’arrêt du Conseil d’Etat du 10 janvier </w:t>
      </w:r>
      <w:r w:rsidR="00F02BA8" w:rsidRPr="00C70EB4">
        <w:rPr>
          <w:rFonts w:ascii="Times New Roman" w:hAnsi="Times New Roman" w:cs="Times New Roman"/>
          <w:sz w:val="24"/>
          <w:szCs w:val="24"/>
        </w:rPr>
        <w:t>2024 rend des décisions de principe dans deux domaines</w:t>
      </w:r>
      <w:r w:rsidR="00693848" w:rsidRPr="00C70EB4">
        <w:rPr>
          <w:rFonts w:ascii="Times New Roman" w:hAnsi="Times New Roman" w:cs="Times New Roman"/>
          <w:sz w:val="24"/>
          <w:szCs w:val="24"/>
        </w:rPr>
        <w:t xml:space="preserve">. </w:t>
      </w:r>
      <w:r w:rsidR="00EA0B58" w:rsidRPr="00C70EB4">
        <w:rPr>
          <w:rFonts w:ascii="Times New Roman" w:hAnsi="Times New Roman" w:cs="Times New Roman"/>
          <w:sz w:val="24"/>
          <w:szCs w:val="24"/>
        </w:rPr>
        <w:t>Tout d’abord, e</w:t>
      </w:r>
      <w:r w:rsidR="00693848" w:rsidRPr="00C70EB4">
        <w:rPr>
          <w:rFonts w:ascii="Times New Roman" w:hAnsi="Times New Roman" w:cs="Times New Roman"/>
          <w:sz w:val="24"/>
          <w:szCs w:val="24"/>
        </w:rPr>
        <w:t xml:space="preserve">n matière de recevabilité, il confirme sa jurisprudence bien établie depuis les arrêts </w:t>
      </w:r>
      <w:proofErr w:type="spellStart"/>
      <w:r w:rsidR="00693848" w:rsidRPr="00C70EB4">
        <w:rPr>
          <w:rFonts w:ascii="Times New Roman" w:hAnsi="Times New Roman" w:cs="Times New Roman"/>
          <w:i/>
          <w:iCs/>
          <w:sz w:val="24"/>
          <w:szCs w:val="24"/>
        </w:rPr>
        <w:t>Laborn</w:t>
      </w:r>
      <w:r w:rsidR="00094078" w:rsidRPr="00C70EB4">
        <w:rPr>
          <w:rFonts w:ascii="Times New Roman" w:hAnsi="Times New Roman" w:cs="Times New Roman"/>
          <w:i/>
          <w:iCs/>
          <w:sz w:val="24"/>
          <w:szCs w:val="24"/>
        </w:rPr>
        <w:t>om</w:t>
      </w:r>
      <w:proofErr w:type="spellEnd"/>
      <w:r w:rsidR="00EA0B58" w:rsidRPr="00C70EB4">
        <w:rPr>
          <w:rFonts w:ascii="Times New Roman" w:hAnsi="Times New Roman" w:cs="Times New Roman"/>
          <w:sz w:val="24"/>
          <w:szCs w:val="24"/>
        </w:rPr>
        <w:t xml:space="preserve"> </w:t>
      </w:r>
      <w:r w:rsidR="00094078" w:rsidRPr="00C70EB4">
        <w:rPr>
          <w:rFonts w:ascii="Times New Roman" w:hAnsi="Times New Roman" w:cs="Times New Roman"/>
          <w:sz w:val="24"/>
          <w:szCs w:val="24"/>
        </w:rPr>
        <w:t xml:space="preserve">et </w:t>
      </w:r>
      <w:r w:rsidR="00094078" w:rsidRPr="00C70EB4">
        <w:rPr>
          <w:rFonts w:ascii="Times New Roman" w:hAnsi="Times New Roman" w:cs="Times New Roman"/>
          <w:i/>
          <w:iCs/>
          <w:sz w:val="24"/>
          <w:szCs w:val="24"/>
        </w:rPr>
        <w:t xml:space="preserve">Amec Spie </w:t>
      </w:r>
      <w:proofErr w:type="spellStart"/>
      <w:r w:rsidR="00094078" w:rsidRPr="00C70EB4">
        <w:rPr>
          <w:rFonts w:ascii="Times New Roman" w:hAnsi="Times New Roman" w:cs="Times New Roman"/>
          <w:i/>
          <w:iCs/>
          <w:sz w:val="24"/>
          <w:szCs w:val="24"/>
        </w:rPr>
        <w:t>Belgium</w:t>
      </w:r>
      <w:proofErr w:type="spellEnd"/>
      <w:r w:rsidR="00094078" w:rsidRPr="00C70EB4">
        <w:rPr>
          <w:rStyle w:val="Appelnotedebasdep"/>
          <w:rFonts w:ascii="Times New Roman" w:hAnsi="Times New Roman" w:cs="Times New Roman"/>
          <w:sz w:val="24"/>
          <w:szCs w:val="24"/>
        </w:rPr>
        <w:footnoteReference w:id="3"/>
      </w:r>
      <w:r w:rsidR="00094078" w:rsidRPr="00C70EB4">
        <w:rPr>
          <w:rFonts w:ascii="Times New Roman" w:hAnsi="Times New Roman" w:cs="Times New Roman"/>
          <w:sz w:val="24"/>
          <w:szCs w:val="24"/>
        </w:rPr>
        <w:t xml:space="preserve"> </w:t>
      </w:r>
      <w:r w:rsidR="00EA0B58" w:rsidRPr="00C70EB4">
        <w:rPr>
          <w:rFonts w:ascii="Times New Roman" w:hAnsi="Times New Roman" w:cs="Times New Roman"/>
          <w:sz w:val="24"/>
          <w:szCs w:val="24"/>
        </w:rPr>
        <w:t>de 20</w:t>
      </w:r>
      <w:r w:rsidR="000C1630" w:rsidRPr="00C70EB4">
        <w:rPr>
          <w:rFonts w:ascii="Times New Roman" w:hAnsi="Times New Roman" w:cs="Times New Roman"/>
          <w:sz w:val="24"/>
          <w:szCs w:val="24"/>
        </w:rPr>
        <w:t>0</w:t>
      </w:r>
      <w:r w:rsidR="00EA0B58" w:rsidRPr="00C70EB4">
        <w:rPr>
          <w:rFonts w:ascii="Times New Roman" w:hAnsi="Times New Roman" w:cs="Times New Roman"/>
          <w:sz w:val="24"/>
          <w:szCs w:val="24"/>
        </w:rPr>
        <w:t xml:space="preserve">5 </w:t>
      </w:r>
      <w:r w:rsidR="00693848" w:rsidRPr="00C70EB4">
        <w:rPr>
          <w:rFonts w:ascii="Times New Roman" w:hAnsi="Times New Roman" w:cs="Times New Roman"/>
          <w:sz w:val="24"/>
          <w:szCs w:val="24"/>
        </w:rPr>
        <w:t xml:space="preserve">selon </w:t>
      </w:r>
      <w:r w:rsidR="00B42A64" w:rsidRPr="00C70EB4">
        <w:rPr>
          <w:rFonts w:ascii="Times New Roman" w:hAnsi="Times New Roman" w:cs="Times New Roman"/>
          <w:sz w:val="24"/>
          <w:szCs w:val="24"/>
        </w:rPr>
        <w:t>laquelle, dans le cadre d’une opération complexe, une partie pour laquelle un acte préparatoire fait grief peut immédiatement introduire un recours contre celui-ci. C’est ainsi que c’est à bon droit que la requérante pouvait attaquer la décision du Conseil des ministres autorisant le Ministère de la Défense à passer le contrat par une procédure négociée sans publication</w:t>
      </w:r>
      <w:r w:rsidR="00EA0B58" w:rsidRPr="00C70EB4">
        <w:rPr>
          <w:rFonts w:ascii="Times New Roman" w:hAnsi="Times New Roman" w:cs="Times New Roman"/>
          <w:sz w:val="24"/>
          <w:szCs w:val="24"/>
        </w:rPr>
        <w:t>, à laquelle seule la FN Herstal était invitée, sans devoir attendre que la procédure soit conduite à son terme</w:t>
      </w:r>
      <w:r w:rsidR="00EA0B58" w:rsidRPr="00C70EB4">
        <w:rPr>
          <w:rStyle w:val="Appelnotedebasdep"/>
          <w:rFonts w:ascii="Times New Roman" w:hAnsi="Times New Roman" w:cs="Times New Roman"/>
          <w:sz w:val="24"/>
          <w:szCs w:val="24"/>
        </w:rPr>
        <w:footnoteReference w:id="4"/>
      </w:r>
      <w:r w:rsidR="00EA0B58" w:rsidRPr="00C70EB4">
        <w:rPr>
          <w:rFonts w:ascii="Times New Roman" w:hAnsi="Times New Roman" w:cs="Times New Roman"/>
          <w:sz w:val="24"/>
          <w:szCs w:val="24"/>
        </w:rPr>
        <w:t>.</w:t>
      </w:r>
      <w:r w:rsidR="00B42A64" w:rsidRPr="00C70EB4">
        <w:rPr>
          <w:rFonts w:ascii="Times New Roman" w:hAnsi="Times New Roman" w:cs="Times New Roman"/>
          <w:sz w:val="24"/>
          <w:szCs w:val="24"/>
        </w:rPr>
        <w:t xml:space="preserve"> </w:t>
      </w:r>
      <w:r w:rsidR="00F02BA8" w:rsidRPr="00C70EB4">
        <w:rPr>
          <w:rFonts w:ascii="Times New Roman" w:hAnsi="Times New Roman" w:cs="Times New Roman"/>
          <w:sz w:val="24"/>
          <w:szCs w:val="24"/>
        </w:rPr>
        <w:t xml:space="preserve"> </w:t>
      </w:r>
      <w:r w:rsidR="00EA0B58" w:rsidRPr="00C70EB4">
        <w:rPr>
          <w:rFonts w:ascii="Times New Roman" w:hAnsi="Times New Roman" w:cs="Times New Roman"/>
          <w:sz w:val="24"/>
          <w:szCs w:val="24"/>
        </w:rPr>
        <w:t xml:space="preserve">Ensuite, </w:t>
      </w:r>
      <w:r w:rsidR="008303FD" w:rsidRPr="00C70EB4">
        <w:rPr>
          <w:rFonts w:ascii="Times New Roman" w:hAnsi="Times New Roman" w:cs="Times New Roman"/>
          <w:sz w:val="24"/>
          <w:szCs w:val="24"/>
        </w:rPr>
        <w:t>e</w:t>
      </w:r>
      <w:r w:rsidR="00F02BA8" w:rsidRPr="00C70EB4">
        <w:rPr>
          <w:rFonts w:ascii="Times New Roman" w:hAnsi="Times New Roman" w:cs="Times New Roman"/>
          <w:sz w:val="24"/>
          <w:szCs w:val="24"/>
        </w:rPr>
        <w:t xml:space="preserve">n matière </w:t>
      </w:r>
      <w:r w:rsidR="008303FD" w:rsidRPr="00C70EB4">
        <w:rPr>
          <w:rFonts w:ascii="Times New Roman" w:hAnsi="Times New Roman" w:cs="Times New Roman"/>
          <w:sz w:val="24"/>
          <w:szCs w:val="24"/>
        </w:rPr>
        <w:t>de confidentialité des pièces</w:t>
      </w:r>
      <w:r w:rsidR="00F02BA8" w:rsidRPr="00C70EB4">
        <w:rPr>
          <w:rFonts w:ascii="Times New Roman" w:hAnsi="Times New Roman" w:cs="Times New Roman"/>
          <w:sz w:val="24"/>
          <w:szCs w:val="24"/>
        </w:rPr>
        <w:t xml:space="preserve">, le Conseil d’Etat </w:t>
      </w:r>
      <w:r w:rsidR="00F02BA8" w:rsidRPr="00C70EB4">
        <w:rPr>
          <w:rFonts w:ascii="Times New Roman" w:hAnsi="Times New Roman" w:cs="Times New Roman"/>
          <w:sz w:val="24"/>
          <w:szCs w:val="24"/>
        </w:rPr>
        <w:lastRenderedPageBreak/>
        <w:t>maintient sa jurisprudence</w:t>
      </w:r>
      <w:r w:rsidR="008303FD" w:rsidRPr="00C70EB4">
        <w:rPr>
          <w:rFonts w:ascii="Times New Roman" w:hAnsi="Times New Roman" w:cs="Times New Roman"/>
          <w:sz w:val="24"/>
          <w:szCs w:val="24"/>
        </w:rPr>
        <w:t xml:space="preserve"> selon laquelle, sur la base de l’article 58 de la loi </w:t>
      </w:r>
      <w:r w:rsidR="000C1630" w:rsidRPr="00C70EB4">
        <w:rPr>
          <w:rFonts w:ascii="Times New Roman" w:hAnsi="Times New Roman" w:cs="Times New Roman"/>
          <w:sz w:val="24"/>
          <w:szCs w:val="24"/>
        </w:rPr>
        <w:t>du 17 juin 2013</w:t>
      </w:r>
      <w:r w:rsidR="000C1630" w:rsidRPr="00C70EB4">
        <w:rPr>
          <w:rStyle w:val="Appelnotedebasdep"/>
          <w:rFonts w:ascii="Times New Roman" w:hAnsi="Times New Roman" w:cs="Times New Roman"/>
          <w:sz w:val="24"/>
          <w:szCs w:val="24"/>
        </w:rPr>
        <w:footnoteReference w:id="5"/>
      </w:r>
      <w:r w:rsidR="000C1630" w:rsidRPr="00C70EB4">
        <w:rPr>
          <w:rFonts w:ascii="Times New Roman" w:hAnsi="Times New Roman" w:cs="Times New Roman"/>
          <w:sz w:val="24"/>
          <w:szCs w:val="24"/>
        </w:rPr>
        <w:t>, il doit garantir un équilibre entre le droit d’accès des parties aux données qui lui sont soumises et la confidentialité des secrets d’affaires et des secrets liés aux intérêts de défense et de sécurité</w:t>
      </w:r>
      <w:r w:rsidR="00101B43" w:rsidRPr="00C70EB4">
        <w:rPr>
          <w:rStyle w:val="Appelnotedebasdep"/>
          <w:rFonts w:ascii="Times New Roman" w:hAnsi="Times New Roman" w:cs="Times New Roman"/>
          <w:sz w:val="24"/>
          <w:szCs w:val="24"/>
        </w:rPr>
        <w:footnoteReference w:id="6"/>
      </w:r>
      <w:r w:rsidR="000C1630" w:rsidRPr="00C70EB4">
        <w:rPr>
          <w:rFonts w:ascii="Times New Roman" w:hAnsi="Times New Roman" w:cs="Times New Roman"/>
          <w:sz w:val="24"/>
          <w:szCs w:val="24"/>
        </w:rPr>
        <w:t>. Dans ce sens, la Haute juridiction administration constate que la requérante ne semble pas, à première vue, avoir été gênée</w:t>
      </w:r>
      <w:r w:rsidR="00101B43" w:rsidRPr="00C70EB4">
        <w:rPr>
          <w:rFonts w:ascii="Times New Roman" w:hAnsi="Times New Roman" w:cs="Times New Roman"/>
          <w:sz w:val="24"/>
          <w:szCs w:val="24"/>
        </w:rPr>
        <w:t xml:space="preserve"> par le fait que des documents soient restés confidentiels</w:t>
      </w:r>
      <w:r w:rsidR="000C1630" w:rsidRPr="00C70EB4">
        <w:rPr>
          <w:rFonts w:ascii="Times New Roman" w:hAnsi="Times New Roman" w:cs="Times New Roman"/>
          <w:sz w:val="24"/>
          <w:szCs w:val="24"/>
        </w:rPr>
        <w:t xml:space="preserve"> pour soulever des moyens à l’encontre de la décision attaquée. Elle estime également que la non</w:t>
      </w:r>
      <w:r w:rsidR="003E5FD3" w:rsidRPr="00C70EB4">
        <w:rPr>
          <w:rFonts w:ascii="Times New Roman" w:hAnsi="Times New Roman" w:cs="Times New Roman"/>
          <w:sz w:val="24"/>
          <w:szCs w:val="24"/>
        </w:rPr>
        <w:t>-</w:t>
      </w:r>
      <w:r w:rsidR="000C1630" w:rsidRPr="00C70EB4">
        <w:rPr>
          <w:rFonts w:ascii="Times New Roman" w:hAnsi="Times New Roman" w:cs="Times New Roman"/>
          <w:sz w:val="24"/>
          <w:szCs w:val="24"/>
        </w:rPr>
        <w:t xml:space="preserve">divulgation </w:t>
      </w:r>
      <w:r w:rsidR="00D65F5D" w:rsidRPr="00C70EB4">
        <w:rPr>
          <w:rFonts w:ascii="Times New Roman" w:hAnsi="Times New Roman" w:cs="Times New Roman"/>
          <w:sz w:val="24"/>
          <w:szCs w:val="24"/>
        </w:rPr>
        <w:t>des documents déposés de manière confidentielle n’est pas de nature à porter atteinte à son droit à un procès équitable.</w:t>
      </w:r>
    </w:p>
    <w:p w14:paraId="0F568DDA" w14:textId="77777777" w:rsidR="009D58A5" w:rsidRPr="00C70EB4" w:rsidRDefault="009D58A5" w:rsidP="00C70EB4">
      <w:pPr>
        <w:spacing w:after="0" w:line="276" w:lineRule="auto"/>
        <w:jc w:val="both"/>
        <w:rPr>
          <w:rFonts w:ascii="Times New Roman" w:hAnsi="Times New Roman" w:cs="Times New Roman"/>
          <w:sz w:val="24"/>
          <w:szCs w:val="24"/>
        </w:rPr>
      </w:pPr>
    </w:p>
    <w:p w14:paraId="5560122B" w14:textId="36703F33" w:rsidR="00C27D91" w:rsidRPr="00C70EB4" w:rsidRDefault="00F02BA8"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Bien que ces deux thématiques soient dignes d’intérêt, La présente contribution s’attachera </w:t>
      </w:r>
      <w:r w:rsidR="00676FB0" w:rsidRPr="00C70EB4">
        <w:rPr>
          <w:rFonts w:ascii="Times New Roman" w:hAnsi="Times New Roman" w:cs="Times New Roman"/>
          <w:sz w:val="24"/>
          <w:szCs w:val="24"/>
        </w:rPr>
        <w:t>essentiellement</w:t>
      </w:r>
      <w:r w:rsidRPr="00C70EB4">
        <w:rPr>
          <w:rFonts w:ascii="Times New Roman" w:hAnsi="Times New Roman" w:cs="Times New Roman"/>
          <w:sz w:val="24"/>
          <w:szCs w:val="24"/>
        </w:rPr>
        <w:t xml:space="preserve"> </w:t>
      </w:r>
      <w:r w:rsidR="00676FB0" w:rsidRPr="00C70EB4">
        <w:rPr>
          <w:rFonts w:ascii="Times New Roman" w:hAnsi="Times New Roman" w:cs="Times New Roman"/>
          <w:sz w:val="24"/>
          <w:szCs w:val="24"/>
        </w:rPr>
        <w:t>à</w:t>
      </w:r>
      <w:r w:rsidRPr="00C70EB4">
        <w:rPr>
          <w:rFonts w:ascii="Times New Roman" w:hAnsi="Times New Roman" w:cs="Times New Roman"/>
          <w:sz w:val="24"/>
          <w:szCs w:val="24"/>
        </w:rPr>
        <w:t xml:space="preserve"> </w:t>
      </w:r>
      <w:r w:rsidR="00676FB0" w:rsidRPr="00C70EB4">
        <w:rPr>
          <w:rFonts w:ascii="Times New Roman" w:hAnsi="Times New Roman" w:cs="Times New Roman"/>
          <w:sz w:val="24"/>
          <w:szCs w:val="24"/>
        </w:rPr>
        <w:t xml:space="preserve">l’application </w:t>
      </w:r>
      <w:r w:rsidRPr="00C70EB4">
        <w:rPr>
          <w:rFonts w:ascii="Times New Roman" w:hAnsi="Times New Roman" w:cs="Times New Roman"/>
          <w:sz w:val="24"/>
          <w:szCs w:val="24"/>
        </w:rPr>
        <w:t xml:space="preserve">l’article 346 </w:t>
      </w:r>
      <w:r w:rsidR="00E47F65" w:rsidRPr="00C70EB4">
        <w:rPr>
          <w:rFonts w:ascii="Times New Roman" w:hAnsi="Times New Roman" w:cs="Times New Roman"/>
          <w:sz w:val="24"/>
          <w:szCs w:val="24"/>
        </w:rPr>
        <w:t xml:space="preserve">du </w:t>
      </w:r>
      <w:r w:rsidRPr="00C70EB4">
        <w:rPr>
          <w:rFonts w:ascii="Times New Roman" w:hAnsi="Times New Roman" w:cs="Times New Roman"/>
          <w:sz w:val="24"/>
          <w:szCs w:val="24"/>
        </w:rPr>
        <w:t>TFUE. Pour ce faire</w:t>
      </w:r>
      <w:r w:rsidR="006C6312" w:rsidRPr="00C70EB4">
        <w:rPr>
          <w:rFonts w:ascii="Times New Roman" w:hAnsi="Times New Roman" w:cs="Times New Roman"/>
          <w:sz w:val="24"/>
          <w:szCs w:val="24"/>
        </w:rPr>
        <w:t xml:space="preserve">, </w:t>
      </w:r>
      <w:r w:rsidRPr="00C70EB4">
        <w:rPr>
          <w:rFonts w:ascii="Times New Roman" w:hAnsi="Times New Roman" w:cs="Times New Roman"/>
          <w:sz w:val="24"/>
          <w:szCs w:val="24"/>
        </w:rPr>
        <w:t xml:space="preserve">le cadre juridique propre aux marchés </w:t>
      </w:r>
      <w:r w:rsidR="00676FB0" w:rsidRPr="00C70EB4">
        <w:rPr>
          <w:rFonts w:ascii="Times New Roman" w:hAnsi="Times New Roman" w:cs="Times New Roman"/>
          <w:sz w:val="24"/>
          <w:szCs w:val="24"/>
        </w:rPr>
        <w:t xml:space="preserve">publics </w:t>
      </w:r>
      <w:r w:rsidRPr="00C70EB4">
        <w:rPr>
          <w:rFonts w:ascii="Times New Roman" w:hAnsi="Times New Roman" w:cs="Times New Roman"/>
          <w:sz w:val="24"/>
          <w:szCs w:val="24"/>
        </w:rPr>
        <w:t>de Défense</w:t>
      </w:r>
      <w:r w:rsidR="00676FB0" w:rsidRPr="00C70EB4">
        <w:rPr>
          <w:rFonts w:ascii="Times New Roman" w:hAnsi="Times New Roman" w:cs="Times New Roman"/>
          <w:sz w:val="24"/>
          <w:szCs w:val="24"/>
        </w:rPr>
        <w:t xml:space="preserve"> sera </w:t>
      </w:r>
      <w:r w:rsidR="006C6312" w:rsidRPr="00C70EB4">
        <w:rPr>
          <w:rFonts w:ascii="Times New Roman" w:hAnsi="Times New Roman" w:cs="Times New Roman"/>
          <w:sz w:val="24"/>
          <w:szCs w:val="24"/>
        </w:rPr>
        <w:t xml:space="preserve">d’abord </w:t>
      </w:r>
      <w:r w:rsidR="00676FB0" w:rsidRPr="00C70EB4">
        <w:rPr>
          <w:rFonts w:ascii="Times New Roman" w:hAnsi="Times New Roman" w:cs="Times New Roman"/>
          <w:sz w:val="24"/>
          <w:szCs w:val="24"/>
        </w:rPr>
        <w:t>étudié (I)</w:t>
      </w:r>
      <w:r w:rsidRPr="00C70EB4">
        <w:rPr>
          <w:rFonts w:ascii="Times New Roman" w:hAnsi="Times New Roman" w:cs="Times New Roman"/>
          <w:sz w:val="24"/>
          <w:szCs w:val="24"/>
        </w:rPr>
        <w:t xml:space="preserve">. </w:t>
      </w:r>
      <w:r w:rsidR="003E5FD3" w:rsidRPr="00C70EB4">
        <w:rPr>
          <w:rFonts w:ascii="Times New Roman" w:hAnsi="Times New Roman" w:cs="Times New Roman"/>
          <w:sz w:val="24"/>
          <w:szCs w:val="24"/>
        </w:rPr>
        <w:t xml:space="preserve">On </w:t>
      </w:r>
      <w:r w:rsidR="00676FB0" w:rsidRPr="00C70EB4">
        <w:rPr>
          <w:rFonts w:ascii="Times New Roman" w:hAnsi="Times New Roman" w:cs="Times New Roman"/>
          <w:sz w:val="24"/>
          <w:szCs w:val="24"/>
        </w:rPr>
        <w:t xml:space="preserve">se penchera </w:t>
      </w:r>
      <w:r w:rsidR="003E5FD3" w:rsidRPr="00C70EB4">
        <w:rPr>
          <w:rFonts w:ascii="Times New Roman" w:hAnsi="Times New Roman" w:cs="Times New Roman"/>
          <w:sz w:val="24"/>
          <w:szCs w:val="24"/>
        </w:rPr>
        <w:t xml:space="preserve">ensuite </w:t>
      </w:r>
      <w:r w:rsidR="00676FB0" w:rsidRPr="00C70EB4">
        <w:rPr>
          <w:rFonts w:ascii="Times New Roman" w:hAnsi="Times New Roman" w:cs="Times New Roman"/>
          <w:sz w:val="24"/>
          <w:szCs w:val="24"/>
        </w:rPr>
        <w:t xml:space="preserve">sur la portée et les raisons de l’article 346 </w:t>
      </w:r>
      <w:r w:rsidR="00E47F65" w:rsidRPr="00C70EB4">
        <w:rPr>
          <w:rFonts w:ascii="Times New Roman" w:hAnsi="Times New Roman" w:cs="Times New Roman"/>
          <w:sz w:val="24"/>
          <w:szCs w:val="24"/>
        </w:rPr>
        <w:t xml:space="preserve">du </w:t>
      </w:r>
      <w:r w:rsidR="00676FB0" w:rsidRPr="00C70EB4">
        <w:rPr>
          <w:rFonts w:ascii="Times New Roman" w:hAnsi="Times New Roman" w:cs="Times New Roman"/>
          <w:sz w:val="24"/>
          <w:szCs w:val="24"/>
        </w:rPr>
        <w:t>TFUE (II). Enfin, les conditions aux recours de la disposition européenne seront examinées (III). Dans la conclusion, des pistes de réflexion et d’améliorations seront lancées.</w:t>
      </w:r>
    </w:p>
    <w:p w14:paraId="1559C317" w14:textId="32A19A0A" w:rsidR="00F02BA8" w:rsidRPr="00C70EB4" w:rsidRDefault="00F02BA8" w:rsidP="00C70EB4">
      <w:pPr>
        <w:spacing w:after="0" w:line="276" w:lineRule="auto"/>
        <w:jc w:val="both"/>
        <w:rPr>
          <w:rFonts w:ascii="Times New Roman" w:hAnsi="Times New Roman" w:cs="Times New Roman"/>
          <w:sz w:val="24"/>
          <w:szCs w:val="24"/>
        </w:rPr>
      </w:pPr>
    </w:p>
    <w:p w14:paraId="42F8B1D2" w14:textId="0B3565B7" w:rsidR="00676FB0" w:rsidRPr="00C70EB4" w:rsidRDefault="006C6312" w:rsidP="00C70EB4">
      <w:pPr>
        <w:pStyle w:val="Paragraphedeliste"/>
        <w:numPr>
          <w:ilvl w:val="0"/>
          <w:numId w:val="1"/>
        </w:numPr>
        <w:spacing w:after="0"/>
        <w:jc w:val="both"/>
        <w:rPr>
          <w:rFonts w:ascii="Times New Roman" w:hAnsi="Times New Roman" w:cs="Times New Roman"/>
          <w:b/>
          <w:bCs/>
          <w:sz w:val="24"/>
          <w:szCs w:val="24"/>
        </w:rPr>
      </w:pPr>
      <w:r w:rsidRPr="00C70EB4">
        <w:rPr>
          <w:rFonts w:ascii="Times New Roman" w:hAnsi="Times New Roman" w:cs="Times New Roman"/>
          <w:b/>
          <w:bCs/>
          <w:sz w:val="24"/>
          <w:szCs w:val="24"/>
        </w:rPr>
        <w:t>Le c</w:t>
      </w:r>
      <w:r w:rsidR="00676FB0" w:rsidRPr="00C70EB4">
        <w:rPr>
          <w:rFonts w:ascii="Times New Roman" w:hAnsi="Times New Roman" w:cs="Times New Roman"/>
          <w:b/>
          <w:bCs/>
          <w:sz w:val="24"/>
          <w:szCs w:val="24"/>
        </w:rPr>
        <w:t>adre juridique </w:t>
      </w:r>
      <w:r w:rsidR="00C27D91" w:rsidRPr="00C70EB4">
        <w:rPr>
          <w:rFonts w:ascii="Times New Roman" w:hAnsi="Times New Roman" w:cs="Times New Roman"/>
          <w:b/>
          <w:bCs/>
          <w:sz w:val="24"/>
          <w:szCs w:val="24"/>
        </w:rPr>
        <w:t>propre aux marchés publics de Défense</w:t>
      </w:r>
    </w:p>
    <w:p w14:paraId="2D2069AA" w14:textId="77777777" w:rsidR="00E50CDB" w:rsidRPr="00C70EB4" w:rsidRDefault="00E50CDB" w:rsidP="00C70EB4">
      <w:pPr>
        <w:pStyle w:val="Paragraphedeliste"/>
        <w:spacing w:after="0"/>
        <w:ind w:left="1080"/>
        <w:jc w:val="both"/>
        <w:rPr>
          <w:rFonts w:ascii="Times New Roman" w:hAnsi="Times New Roman" w:cs="Times New Roman"/>
          <w:b/>
          <w:bCs/>
          <w:sz w:val="24"/>
          <w:szCs w:val="24"/>
        </w:rPr>
      </w:pPr>
    </w:p>
    <w:p w14:paraId="795C4E88" w14:textId="2A0DBE33" w:rsidR="008C1121" w:rsidRPr="00C70EB4" w:rsidRDefault="006C6312"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b/>
          <w:bCs/>
          <w:sz w:val="24"/>
          <w:szCs w:val="24"/>
        </w:rPr>
        <w:t>3.</w:t>
      </w:r>
      <w:r w:rsidR="00C27D91" w:rsidRPr="00C70EB4">
        <w:rPr>
          <w:rFonts w:ascii="Times New Roman" w:hAnsi="Times New Roman" w:cs="Times New Roman"/>
          <w:sz w:val="24"/>
          <w:szCs w:val="24"/>
        </w:rPr>
        <w:t xml:space="preserve"> </w:t>
      </w:r>
      <w:r w:rsidR="005E0028" w:rsidRPr="00C70EB4">
        <w:rPr>
          <w:rFonts w:ascii="Times New Roman" w:hAnsi="Times New Roman" w:cs="Times New Roman"/>
          <w:sz w:val="24"/>
          <w:szCs w:val="24"/>
        </w:rPr>
        <w:t>En matière de marchés publics, d</w:t>
      </w:r>
      <w:r w:rsidR="000069BD" w:rsidRPr="00C70EB4">
        <w:rPr>
          <w:rFonts w:ascii="Times New Roman" w:hAnsi="Times New Roman" w:cs="Times New Roman"/>
          <w:sz w:val="24"/>
          <w:szCs w:val="24"/>
        </w:rPr>
        <w:t>ans le</w:t>
      </w:r>
      <w:r w:rsidR="00BA7C85" w:rsidRPr="00C70EB4">
        <w:rPr>
          <w:rFonts w:ascii="Times New Roman" w:hAnsi="Times New Roman" w:cs="Times New Roman"/>
          <w:sz w:val="24"/>
          <w:szCs w:val="24"/>
        </w:rPr>
        <w:t>s</w:t>
      </w:r>
      <w:r w:rsidR="000069BD" w:rsidRPr="00C70EB4">
        <w:rPr>
          <w:rFonts w:ascii="Times New Roman" w:hAnsi="Times New Roman" w:cs="Times New Roman"/>
          <w:sz w:val="24"/>
          <w:szCs w:val="24"/>
        </w:rPr>
        <w:t xml:space="preserve"> domaine</w:t>
      </w:r>
      <w:r w:rsidR="00BA7C85" w:rsidRPr="00C70EB4">
        <w:rPr>
          <w:rFonts w:ascii="Times New Roman" w:hAnsi="Times New Roman" w:cs="Times New Roman"/>
          <w:sz w:val="24"/>
          <w:szCs w:val="24"/>
        </w:rPr>
        <w:t>s</w:t>
      </w:r>
      <w:r w:rsidR="000069BD" w:rsidRPr="00C70EB4">
        <w:rPr>
          <w:rFonts w:ascii="Times New Roman" w:hAnsi="Times New Roman" w:cs="Times New Roman"/>
          <w:sz w:val="24"/>
          <w:szCs w:val="24"/>
        </w:rPr>
        <w:t xml:space="preserve"> de </w:t>
      </w:r>
      <w:r w:rsidR="00BA7C85" w:rsidRPr="00C70EB4">
        <w:rPr>
          <w:rFonts w:ascii="Times New Roman" w:hAnsi="Times New Roman" w:cs="Times New Roman"/>
          <w:sz w:val="24"/>
          <w:szCs w:val="24"/>
        </w:rPr>
        <w:t xml:space="preserve">la </w:t>
      </w:r>
      <w:r w:rsidR="000069BD" w:rsidRPr="00C70EB4">
        <w:rPr>
          <w:rFonts w:ascii="Times New Roman" w:hAnsi="Times New Roman" w:cs="Times New Roman"/>
          <w:sz w:val="24"/>
          <w:szCs w:val="24"/>
        </w:rPr>
        <w:t>défense et de la sécurité</w:t>
      </w:r>
      <w:r w:rsidR="00E17647" w:rsidRPr="00C70EB4">
        <w:rPr>
          <w:rFonts w:ascii="Times New Roman" w:hAnsi="Times New Roman" w:cs="Times New Roman"/>
          <w:sz w:val="24"/>
          <w:szCs w:val="24"/>
        </w:rPr>
        <w:t xml:space="preserve">, deux textes méritent </w:t>
      </w:r>
      <w:r w:rsidR="005861F5" w:rsidRPr="00C70EB4">
        <w:rPr>
          <w:rFonts w:ascii="Times New Roman" w:hAnsi="Times New Roman" w:cs="Times New Roman"/>
          <w:sz w:val="24"/>
          <w:szCs w:val="24"/>
        </w:rPr>
        <w:t xml:space="preserve">particulièrement </w:t>
      </w:r>
      <w:r w:rsidR="003A7159" w:rsidRPr="00C70EB4">
        <w:rPr>
          <w:rFonts w:ascii="Times New Roman" w:hAnsi="Times New Roman" w:cs="Times New Roman"/>
          <w:sz w:val="24"/>
          <w:szCs w:val="24"/>
        </w:rPr>
        <w:t xml:space="preserve">notre </w:t>
      </w:r>
      <w:r w:rsidR="00E17647" w:rsidRPr="00C70EB4">
        <w:rPr>
          <w:rFonts w:ascii="Times New Roman" w:hAnsi="Times New Roman" w:cs="Times New Roman"/>
          <w:sz w:val="24"/>
          <w:szCs w:val="24"/>
        </w:rPr>
        <w:t>attention</w:t>
      </w:r>
      <w:r w:rsidR="00197A67" w:rsidRPr="00C70EB4">
        <w:rPr>
          <w:rFonts w:ascii="Times New Roman" w:hAnsi="Times New Roman" w:cs="Times New Roman"/>
          <w:sz w:val="24"/>
          <w:szCs w:val="24"/>
        </w:rPr>
        <w:t xml:space="preserve">, à savoir </w:t>
      </w:r>
      <w:r w:rsidR="000069BD" w:rsidRPr="00C70EB4">
        <w:rPr>
          <w:rFonts w:ascii="Times New Roman" w:hAnsi="Times New Roman" w:cs="Times New Roman"/>
          <w:sz w:val="24"/>
          <w:szCs w:val="24"/>
        </w:rPr>
        <w:t xml:space="preserve">la directive 2009/81/CE </w:t>
      </w:r>
      <w:r w:rsidR="00197A67" w:rsidRPr="00C70EB4">
        <w:rPr>
          <w:rFonts w:ascii="Times New Roman" w:hAnsi="Times New Roman" w:cs="Times New Roman"/>
          <w:sz w:val="24"/>
          <w:szCs w:val="24"/>
        </w:rPr>
        <w:t>et</w:t>
      </w:r>
      <w:r w:rsidR="00BA7C85" w:rsidRPr="00C70EB4">
        <w:rPr>
          <w:rFonts w:ascii="Times New Roman" w:hAnsi="Times New Roman" w:cs="Times New Roman"/>
          <w:sz w:val="24"/>
          <w:szCs w:val="24"/>
        </w:rPr>
        <w:t xml:space="preserve"> l’article 346</w:t>
      </w:r>
      <w:r w:rsidRPr="00C70EB4">
        <w:rPr>
          <w:rFonts w:ascii="Times New Roman" w:hAnsi="Times New Roman" w:cs="Times New Roman"/>
          <w:sz w:val="24"/>
          <w:szCs w:val="24"/>
        </w:rPr>
        <w:t xml:space="preserve"> du</w:t>
      </w:r>
      <w:r w:rsidR="00BA7C85" w:rsidRPr="00C70EB4">
        <w:rPr>
          <w:rFonts w:ascii="Times New Roman" w:hAnsi="Times New Roman" w:cs="Times New Roman"/>
          <w:sz w:val="24"/>
          <w:szCs w:val="24"/>
        </w:rPr>
        <w:t xml:space="preserve"> TFUE.</w:t>
      </w:r>
    </w:p>
    <w:p w14:paraId="328FE809" w14:textId="08D12ED8" w:rsidR="00C27D91" w:rsidRPr="00C70EB4" w:rsidRDefault="00C27D91" w:rsidP="00C70EB4">
      <w:pPr>
        <w:spacing w:after="0" w:line="276" w:lineRule="auto"/>
        <w:jc w:val="both"/>
        <w:rPr>
          <w:rFonts w:ascii="Times New Roman" w:hAnsi="Times New Roman" w:cs="Times New Roman"/>
          <w:sz w:val="24"/>
          <w:szCs w:val="24"/>
        </w:rPr>
      </w:pPr>
    </w:p>
    <w:p w14:paraId="4B294980" w14:textId="6C4669D7" w:rsidR="008C1121" w:rsidRPr="00C70EB4" w:rsidRDefault="00197A67"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Avant l'introduction de la directive 2009/81/CE, et en l'absence d'un cadre juridique approprié pour les marchés publics de la défense, l'achat d'équipements militaires était souvent réalisé </w:t>
      </w:r>
      <w:r w:rsidR="005E0028" w:rsidRPr="00C70EB4">
        <w:rPr>
          <w:rFonts w:ascii="Times New Roman" w:hAnsi="Times New Roman" w:cs="Times New Roman"/>
          <w:sz w:val="24"/>
          <w:szCs w:val="24"/>
        </w:rPr>
        <w:t>en vertu</w:t>
      </w:r>
      <w:r w:rsidRPr="00C70EB4">
        <w:rPr>
          <w:rFonts w:ascii="Times New Roman" w:hAnsi="Times New Roman" w:cs="Times New Roman"/>
          <w:sz w:val="24"/>
          <w:szCs w:val="24"/>
        </w:rPr>
        <w:t xml:space="preserve"> de l'article 346, 1, b) du TFUE. La mobilisation de cet article comme base pour la réalisation des contrats d'investissement dans l'équipement principal permettait également à l'État belge de privilégier des entreprises belges ou d'inclure des clauses de compensation industrielle sur la base de l’arrêté royal du 6 février 1997</w:t>
      </w:r>
      <w:r w:rsidR="00D85726">
        <w:rPr>
          <w:rStyle w:val="Appelnotedebasdep"/>
          <w:rFonts w:ascii="Times New Roman" w:hAnsi="Times New Roman" w:cs="Times New Roman"/>
          <w:sz w:val="24"/>
          <w:szCs w:val="24"/>
        </w:rPr>
        <w:footnoteReference w:id="7"/>
      </w:r>
      <w:r w:rsidRPr="00C70EB4">
        <w:rPr>
          <w:rFonts w:ascii="Times New Roman" w:hAnsi="Times New Roman" w:cs="Times New Roman"/>
          <w:sz w:val="24"/>
          <w:szCs w:val="24"/>
        </w:rPr>
        <w:t xml:space="preserve"> qui, quoique complètement dépassé par la cadre juridique actuel, n’a toujours pas été explicitement abrogé</w:t>
      </w:r>
      <w:r w:rsidRPr="00C70EB4">
        <w:rPr>
          <w:rStyle w:val="Appelnotedebasdep"/>
          <w:rFonts w:ascii="Times New Roman" w:hAnsi="Times New Roman" w:cs="Times New Roman"/>
          <w:sz w:val="24"/>
          <w:szCs w:val="24"/>
        </w:rPr>
        <w:footnoteReference w:id="8"/>
      </w:r>
      <w:r w:rsidR="00DC7123" w:rsidRPr="00C70EB4">
        <w:rPr>
          <w:rStyle w:val="Appelnotedebasdep"/>
          <w:rFonts w:ascii="Times New Roman" w:hAnsi="Times New Roman" w:cs="Times New Roman"/>
          <w:sz w:val="24"/>
          <w:szCs w:val="24"/>
          <w:vertAlign w:val="baseline"/>
        </w:rPr>
        <w:t>.</w:t>
      </w:r>
    </w:p>
    <w:p w14:paraId="2BEE650B" w14:textId="2A2B2C13" w:rsidR="00197A67" w:rsidRPr="00C70EB4" w:rsidRDefault="00197A67" w:rsidP="00C70EB4">
      <w:pPr>
        <w:spacing w:after="0" w:line="276" w:lineRule="auto"/>
        <w:jc w:val="both"/>
        <w:rPr>
          <w:rStyle w:val="Appelnotedebasdep"/>
          <w:rFonts w:ascii="Times New Roman" w:hAnsi="Times New Roman" w:cs="Times New Roman"/>
          <w:sz w:val="24"/>
          <w:szCs w:val="24"/>
          <w:vertAlign w:val="baseline"/>
        </w:rPr>
      </w:pPr>
    </w:p>
    <w:p w14:paraId="124050FE" w14:textId="6457609A" w:rsidR="008C1121" w:rsidRPr="00C70EB4" w:rsidRDefault="00BA7C85"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L'</w:t>
      </w:r>
      <w:r w:rsidR="00197A67" w:rsidRPr="00C70EB4">
        <w:rPr>
          <w:rFonts w:ascii="Times New Roman" w:hAnsi="Times New Roman" w:cs="Times New Roman"/>
          <w:sz w:val="24"/>
          <w:szCs w:val="24"/>
        </w:rPr>
        <w:t xml:space="preserve">entrée en vigueur </w:t>
      </w:r>
      <w:r w:rsidRPr="00C70EB4">
        <w:rPr>
          <w:rFonts w:ascii="Times New Roman" w:hAnsi="Times New Roman" w:cs="Times New Roman"/>
          <w:sz w:val="24"/>
          <w:szCs w:val="24"/>
        </w:rPr>
        <w:t>de la directive européenne 2009/81/CE a donné aux États membres un instrument leur permettant de réaliser leurs marchés publics dans le domaine de la défense et de la sécurité</w:t>
      </w:r>
      <w:r w:rsidR="00DC7123" w:rsidRPr="00C70EB4">
        <w:rPr>
          <w:rFonts w:ascii="Times New Roman" w:hAnsi="Times New Roman" w:cs="Times New Roman"/>
          <w:sz w:val="24"/>
          <w:szCs w:val="24"/>
        </w:rPr>
        <w:t xml:space="preserve">. Elle se distingue des directives </w:t>
      </w:r>
      <w:r w:rsidR="006C6312" w:rsidRPr="00C70EB4">
        <w:rPr>
          <w:rFonts w:ascii="Times New Roman" w:hAnsi="Times New Roman" w:cs="Times New Roman"/>
          <w:sz w:val="24"/>
          <w:szCs w:val="24"/>
        </w:rPr>
        <w:t>« </w:t>
      </w:r>
      <w:r w:rsidR="00DC7123" w:rsidRPr="00C70EB4">
        <w:rPr>
          <w:rFonts w:ascii="Times New Roman" w:hAnsi="Times New Roman" w:cs="Times New Roman"/>
          <w:sz w:val="24"/>
          <w:szCs w:val="24"/>
        </w:rPr>
        <w:t>march</w:t>
      </w:r>
      <w:r w:rsidR="006C6312" w:rsidRPr="00C70EB4">
        <w:rPr>
          <w:rFonts w:ascii="Times New Roman" w:hAnsi="Times New Roman" w:cs="Times New Roman"/>
          <w:sz w:val="24"/>
          <w:szCs w:val="24"/>
        </w:rPr>
        <w:t>é</w:t>
      </w:r>
      <w:r w:rsidR="00DC7123" w:rsidRPr="00C70EB4">
        <w:rPr>
          <w:rFonts w:ascii="Times New Roman" w:hAnsi="Times New Roman" w:cs="Times New Roman"/>
          <w:sz w:val="24"/>
          <w:szCs w:val="24"/>
        </w:rPr>
        <w:t>s publics</w:t>
      </w:r>
      <w:r w:rsidR="006C6312" w:rsidRPr="00C70EB4">
        <w:rPr>
          <w:rFonts w:ascii="Times New Roman" w:hAnsi="Times New Roman" w:cs="Times New Roman"/>
          <w:sz w:val="24"/>
          <w:szCs w:val="24"/>
        </w:rPr>
        <w:t> »</w:t>
      </w:r>
      <w:r w:rsidR="00DC7123" w:rsidRPr="00C70EB4">
        <w:rPr>
          <w:rFonts w:ascii="Times New Roman" w:hAnsi="Times New Roman" w:cs="Times New Roman"/>
          <w:sz w:val="24"/>
          <w:szCs w:val="24"/>
        </w:rPr>
        <w:t xml:space="preserve"> classiques en ce qu’elle prévoit un régime plus flexible pour la passation des marchés auxquels elle s’applique. Ainsi</w:t>
      </w:r>
      <w:r w:rsidR="006C6312" w:rsidRPr="00C70EB4">
        <w:rPr>
          <w:rFonts w:ascii="Times New Roman" w:hAnsi="Times New Roman" w:cs="Times New Roman"/>
          <w:sz w:val="24"/>
          <w:szCs w:val="24"/>
        </w:rPr>
        <w:t>,</w:t>
      </w:r>
      <w:r w:rsidR="00DC7123" w:rsidRPr="00C70EB4">
        <w:rPr>
          <w:rFonts w:ascii="Times New Roman" w:hAnsi="Times New Roman" w:cs="Times New Roman"/>
          <w:sz w:val="24"/>
          <w:szCs w:val="24"/>
        </w:rPr>
        <w:t xml:space="preserve"> </w:t>
      </w:r>
      <w:r w:rsidR="00DC7123" w:rsidRPr="00C70EB4">
        <w:rPr>
          <w:rFonts w:ascii="Times New Roman" w:hAnsi="Times New Roman" w:cs="Times New Roman"/>
          <w:sz w:val="24"/>
          <w:szCs w:val="24"/>
        </w:rPr>
        <w:lastRenderedPageBreak/>
        <w:t>la procédure négociée avec publicité devient le mode de passation par défaut</w:t>
      </w:r>
      <w:r w:rsidR="008C1121" w:rsidRPr="00C70EB4">
        <w:rPr>
          <w:rFonts w:ascii="Times New Roman" w:hAnsi="Times New Roman" w:cs="Times New Roman"/>
          <w:sz w:val="24"/>
          <w:szCs w:val="24"/>
        </w:rPr>
        <w:t xml:space="preserve">, alors qu’il n’est prévu </w:t>
      </w:r>
      <w:r w:rsidR="006C6312" w:rsidRPr="00C70EB4">
        <w:rPr>
          <w:rFonts w:ascii="Times New Roman" w:hAnsi="Times New Roman" w:cs="Times New Roman"/>
          <w:sz w:val="24"/>
          <w:szCs w:val="24"/>
        </w:rPr>
        <w:t xml:space="preserve">que </w:t>
      </w:r>
      <w:r w:rsidR="008C1121" w:rsidRPr="00C70EB4">
        <w:rPr>
          <w:rFonts w:ascii="Times New Roman" w:hAnsi="Times New Roman" w:cs="Times New Roman"/>
          <w:sz w:val="24"/>
          <w:szCs w:val="24"/>
        </w:rPr>
        <w:t>dans certaines conditions dans les secteurs classiques. Ensuite</w:t>
      </w:r>
      <w:r w:rsidR="006C6312" w:rsidRPr="00C70EB4">
        <w:rPr>
          <w:rFonts w:ascii="Times New Roman" w:hAnsi="Times New Roman" w:cs="Times New Roman"/>
          <w:sz w:val="24"/>
          <w:szCs w:val="24"/>
        </w:rPr>
        <w:t>,</w:t>
      </w:r>
      <w:r w:rsidR="008C1121" w:rsidRPr="00C70EB4">
        <w:rPr>
          <w:rFonts w:ascii="Times New Roman" w:hAnsi="Times New Roman" w:cs="Times New Roman"/>
          <w:sz w:val="24"/>
          <w:szCs w:val="24"/>
        </w:rPr>
        <w:t xml:space="preserve"> des règles spéciales ont été édictées en matière de protection de l’information classifiée</w:t>
      </w:r>
      <w:r w:rsidR="006C6312" w:rsidRPr="00C70EB4">
        <w:rPr>
          <w:rStyle w:val="Appelnotedebasdep"/>
          <w:rFonts w:ascii="Times New Roman" w:hAnsi="Times New Roman" w:cs="Times New Roman"/>
          <w:sz w:val="24"/>
          <w:szCs w:val="24"/>
        </w:rPr>
        <w:footnoteReference w:id="9"/>
      </w:r>
      <w:r w:rsidR="008C1121" w:rsidRPr="00C70EB4">
        <w:rPr>
          <w:rFonts w:ascii="Times New Roman" w:hAnsi="Times New Roman" w:cs="Times New Roman"/>
          <w:sz w:val="24"/>
          <w:szCs w:val="24"/>
        </w:rPr>
        <w:t>.</w:t>
      </w:r>
    </w:p>
    <w:p w14:paraId="067689CA" w14:textId="081D9BC4" w:rsidR="00DC7123" w:rsidRPr="00C70EB4" w:rsidRDefault="00DC7123" w:rsidP="00C70EB4">
      <w:pPr>
        <w:spacing w:after="0" w:line="276" w:lineRule="auto"/>
        <w:jc w:val="both"/>
        <w:rPr>
          <w:rFonts w:ascii="Times New Roman" w:hAnsi="Times New Roman" w:cs="Times New Roman"/>
          <w:sz w:val="24"/>
          <w:szCs w:val="24"/>
        </w:rPr>
      </w:pPr>
    </w:p>
    <w:p w14:paraId="72ED6952" w14:textId="78F7D2F3" w:rsidR="008C1121" w:rsidRPr="00C70EB4" w:rsidRDefault="00BA7C85"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Cette directive, transposée dans la législation belge </w:t>
      </w:r>
      <w:r w:rsidR="00C86496" w:rsidRPr="00C70EB4">
        <w:rPr>
          <w:rFonts w:ascii="Times New Roman" w:hAnsi="Times New Roman" w:cs="Times New Roman"/>
          <w:sz w:val="24"/>
          <w:szCs w:val="24"/>
        </w:rPr>
        <w:t xml:space="preserve">par la </w:t>
      </w:r>
      <w:r w:rsidRPr="00C70EB4">
        <w:rPr>
          <w:rFonts w:ascii="Times New Roman" w:hAnsi="Times New Roman" w:cs="Times New Roman"/>
          <w:sz w:val="24"/>
          <w:szCs w:val="24"/>
        </w:rPr>
        <w:t xml:space="preserve">loi </w:t>
      </w:r>
      <w:r w:rsidR="00C86496" w:rsidRPr="00C70EB4">
        <w:rPr>
          <w:rFonts w:ascii="Times New Roman" w:hAnsi="Times New Roman" w:cs="Times New Roman"/>
          <w:sz w:val="24"/>
          <w:szCs w:val="24"/>
        </w:rPr>
        <w:t>du 13 août 2011</w:t>
      </w:r>
      <w:r w:rsidR="00C86496" w:rsidRPr="00C70EB4">
        <w:rPr>
          <w:rStyle w:val="Appelnotedebasdep"/>
          <w:rFonts w:ascii="Times New Roman" w:hAnsi="Times New Roman" w:cs="Times New Roman"/>
          <w:sz w:val="24"/>
          <w:szCs w:val="24"/>
        </w:rPr>
        <w:footnoteReference w:id="10"/>
      </w:r>
      <w:r w:rsidR="00E9508A" w:rsidRPr="00C70EB4">
        <w:rPr>
          <w:rFonts w:ascii="Times New Roman" w:hAnsi="Times New Roman" w:cs="Times New Roman"/>
          <w:sz w:val="24"/>
          <w:szCs w:val="24"/>
        </w:rPr>
        <w:t>,</w:t>
      </w:r>
      <w:r w:rsidR="00C86496" w:rsidRPr="00C70EB4">
        <w:rPr>
          <w:rFonts w:ascii="Times New Roman" w:hAnsi="Times New Roman" w:cs="Times New Roman"/>
          <w:sz w:val="24"/>
          <w:szCs w:val="24"/>
        </w:rPr>
        <w:t xml:space="preserve"> </w:t>
      </w:r>
      <w:r w:rsidRPr="00C70EB4">
        <w:rPr>
          <w:rFonts w:ascii="Times New Roman" w:hAnsi="Times New Roman" w:cs="Times New Roman"/>
          <w:sz w:val="24"/>
          <w:szCs w:val="24"/>
        </w:rPr>
        <w:t xml:space="preserve">est aujourd'hui utilisée par </w:t>
      </w:r>
      <w:r w:rsidR="00C86496" w:rsidRPr="00C70EB4">
        <w:rPr>
          <w:rFonts w:ascii="Times New Roman" w:hAnsi="Times New Roman" w:cs="Times New Roman"/>
          <w:sz w:val="24"/>
          <w:szCs w:val="24"/>
        </w:rPr>
        <w:t>l’Etat belge</w:t>
      </w:r>
      <w:r w:rsidRPr="00C70EB4">
        <w:rPr>
          <w:rFonts w:ascii="Times New Roman" w:hAnsi="Times New Roman" w:cs="Times New Roman"/>
          <w:sz w:val="24"/>
          <w:szCs w:val="24"/>
        </w:rPr>
        <w:t>, entre autres, pour conclure des marchés publics portant sur des équipements militaires ou sensibles.</w:t>
      </w:r>
    </w:p>
    <w:p w14:paraId="098081E0" w14:textId="0A33E558" w:rsidR="00623971" w:rsidRPr="00C70EB4" w:rsidRDefault="00623971" w:rsidP="00C70EB4">
      <w:pPr>
        <w:spacing w:after="0" w:line="276" w:lineRule="auto"/>
        <w:jc w:val="both"/>
        <w:rPr>
          <w:rFonts w:ascii="Times New Roman" w:hAnsi="Times New Roman" w:cs="Times New Roman"/>
          <w:sz w:val="24"/>
          <w:szCs w:val="24"/>
        </w:rPr>
      </w:pPr>
    </w:p>
    <w:p w14:paraId="2826AD4A" w14:textId="77777777" w:rsidR="00112CE8" w:rsidRDefault="00BA7C85" w:rsidP="00E9508A">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Bien que l'article 346, paragraphe 1, point b), du TFUE reste inchangé, </w:t>
      </w:r>
      <w:r w:rsidR="002B309A" w:rsidRPr="00C70EB4">
        <w:rPr>
          <w:rFonts w:ascii="Times New Roman" w:hAnsi="Times New Roman" w:cs="Times New Roman"/>
          <w:sz w:val="24"/>
          <w:szCs w:val="24"/>
        </w:rPr>
        <w:t>malgré</w:t>
      </w:r>
      <w:r w:rsidRPr="00C70EB4">
        <w:rPr>
          <w:rFonts w:ascii="Times New Roman" w:hAnsi="Times New Roman" w:cs="Times New Roman"/>
          <w:sz w:val="24"/>
          <w:szCs w:val="24"/>
        </w:rPr>
        <w:t xml:space="preserve"> </w:t>
      </w:r>
      <w:r w:rsidR="008C1121" w:rsidRPr="00C70EB4">
        <w:rPr>
          <w:rFonts w:ascii="Times New Roman" w:hAnsi="Times New Roman" w:cs="Times New Roman"/>
          <w:sz w:val="24"/>
          <w:szCs w:val="24"/>
        </w:rPr>
        <w:t>l’entrée en vigueur</w:t>
      </w:r>
      <w:r w:rsidRPr="00C70EB4">
        <w:rPr>
          <w:rFonts w:ascii="Times New Roman" w:hAnsi="Times New Roman" w:cs="Times New Roman"/>
          <w:sz w:val="24"/>
          <w:szCs w:val="24"/>
        </w:rPr>
        <w:t xml:space="preserve"> de la directive 2009/81/CE, la Commission européenne et la Cour de justice de l'Union européenne considèrent désormais que l'utilisation de l'article 346, paragraphe 1, point b), du TFUE</w:t>
      </w:r>
      <w:r w:rsidR="008C1121" w:rsidRPr="00C70EB4">
        <w:rPr>
          <w:rFonts w:ascii="Times New Roman" w:hAnsi="Times New Roman" w:cs="Times New Roman"/>
          <w:sz w:val="24"/>
          <w:szCs w:val="24"/>
        </w:rPr>
        <w:t>, en tant qu’exception à la règle,</w:t>
      </w:r>
      <w:r w:rsidRPr="00C70EB4">
        <w:rPr>
          <w:rFonts w:ascii="Times New Roman" w:hAnsi="Times New Roman" w:cs="Times New Roman"/>
          <w:sz w:val="24"/>
          <w:szCs w:val="24"/>
        </w:rPr>
        <w:t xml:space="preserve"> doit être envisagée au cas par cas et dans un cadre encore plus strict et restrictif</w:t>
      </w:r>
      <w:r w:rsidR="00112CE8" w:rsidRPr="00C70EB4">
        <w:rPr>
          <w:rStyle w:val="Appelnotedebasdep"/>
          <w:rFonts w:ascii="Times New Roman" w:hAnsi="Times New Roman" w:cs="Times New Roman"/>
          <w:sz w:val="24"/>
          <w:szCs w:val="24"/>
        </w:rPr>
        <w:footnoteReference w:id="11"/>
      </w:r>
      <w:r w:rsidRPr="00C70EB4">
        <w:rPr>
          <w:rFonts w:ascii="Times New Roman" w:hAnsi="Times New Roman" w:cs="Times New Roman"/>
          <w:sz w:val="24"/>
          <w:szCs w:val="24"/>
        </w:rPr>
        <w:t xml:space="preserve">. </w:t>
      </w:r>
      <w:r w:rsidR="002B309A" w:rsidRPr="00C70EB4">
        <w:rPr>
          <w:rFonts w:ascii="Times New Roman" w:hAnsi="Times New Roman" w:cs="Times New Roman"/>
          <w:sz w:val="24"/>
          <w:szCs w:val="24"/>
        </w:rPr>
        <w:t xml:space="preserve">A cet égard, </w:t>
      </w:r>
      <w:r w:rsidRPr="00C70EB4">
        <w:rPr>
          <w:rFonts w:ascii="Times New Roman" w:hAnsi="Times New Roman" w:cs="Times New Roman"/>
          <w:sz w:val="24"/>
          <w:szCs w:val="24"/>
        </w:rPr>
        <w:t xml:space="preserve">la Commission, qui a publié </w:t>
      </w:r>
      <w:r w:rsidR="00F2735C" w:rsidRPr="00C70EB4">
        <w:rPr>
          <w:rFonts w:ascii="Times New Roman" w:hAnsi="Times New Roman" w:cs="Times New Roman"/>
          <w:sz w:val="24"/>
          <w:szCs w:val="24"/>
        </w:rPr>
        <w:t>une communication interprétative sur cet article</w:t>
      </w:r>
      <w:r w:rsidR="00F2735C" w:rsidRPr="00C70EB4">
        <w:rPr>
          <w:rStyle w:val="Appelnotedebasdep"/>
          <w:rFonts w:ascii="Times New Roman" w:hAnsi="Times New Roman" w:cs="Times New Roman"/>
          <w:sz w:val="24"/>
          <w:szCs w:val="24"/>
        </w:rPr>
        <w:footnoteReference w:id="12"/>
      </w:r>
      <w:r w:rsidRPr="00C70EB4">
        <w:rPr>
          <w:rFonts w:ascii="Times New Roman" w:hAnsi="Times New Roman" w:cs="Times New Roman"/>
          <w:sz w:val="24"/>
          <w:szCs w:val="24"/>
        </w:rPr>
        <w:t xml:space="preserve">, reste particulièrement vigilante quant à l'utilisation de </w:t>
      </w:r>
      <w:r w:rsidR="00F2735C" w:rsidRPr="00C70EB4">
        <w:rPr>
          <w:rFonts w:ascii="Times New Roman" w:hAnsi="Times New Roman" w:cs="Times New Roman"/>
          <w:sz w:val="24"/>
          <w:szCs w:val="24"/>
        </w:rPr>
        <w:t>l’</w:t>
      </w:r>
      <w:r w:rsidRPr="00C70EB4">
        <w:rPr>
          <w:rFonts w:ascii="Times New Roman" w:hAnsi="Times New Roman" w:cs="Times New Roman"/>
          <w:sz w:val="24"/>
          <w:szCs w:val="24"/>
        </w:rPr>
        <w:t xml:space="preserve">article </w:t>
      </w:r>
      <w:r w:rsidR="00F2735C" w:rsidRPr="00C70EB4">
        <w:rPr>
          <w:rFonts w:ascii="Times New Roman" w:hAnsi="Times New Roman" w:cs="Times New Roman"/>
          <w:sz w:val="24"/>
          <w:szCs w:val="24"/>
        </w:rPr>
        <w:t xml:space="preserve">346 </w:t>
      </w:r>
      <w:r w:rsidRPr="00C70EB4">
        <w:rPr>
          <w:rFonts w:ascii="Times New Roman" w:hAnsi="Times New Roman" w:cs="Times New Roman"/>
          <w:sz w:val="24"/>
          <w:szCs w:val="24"/>
        </w:rPr>
        <w:t>par les Etats membres car son utilisation déguisée à des fins protectionnistes nuirait à la concurrence et irait à l'encontre de principes fondamentaux du droit européen tels que la libre circulation des marchandises et la non-discrimination en raison de la nationalité</w:t>
      </w:r>
      <w:r w:rsidR="00112CE8" w:rsidRPr="00C70EB4">
        <w:rPr>
          <w:rFonts w:ascii="Times New Roman" w:hAnsi="Times New Roman" w:cs="Times New Roman"/>
          <w:sz w:val="24"/>
          <w:szCs w:val="24"/>
        </w:rPr>
        <w:t xml:space="preserve">. </w:t>
      </w:r>
    </w:p>
    <w:p w14:paraId="468EA2DC" w14:textId="77777777" w:rsidR="009D58A5" w:rsidRPr="00C70EB4" w:rsidRDefault="009D58A5" w:rsidP="00C70EB4">
      <w:pPr>
        <w:spacing w:after="0" w:line="276" w:lineRule="auto"/>
        <w:jc w:val="both"/>
        <w:rPr>
          <w:rFonts w:ascii="Times New Roman" w:hAnsi="Times New Roman" w:cs="Times New Roman"/>
          <w:sz w:val="24"/>
          <w:szCs w:val="24"/>
        </w:rPr>
      </w:pPr>
    </w:p>
    <w:p w14:paraId="57CC9556" w14:textId="36284C73" w:rsidR="00112CE8" w:rsidRPr="00C70EB4" w:rsidRDefault="00112CE8"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Par conséquent, s’agissant du cadre juridique des marchés publics de la </w:t>
      </w:r>
      <w:r w:rsidR="00263CED" w:rsidRPr="00C70EB4">
        <w:rPr>
          <w:rFonts w:ascii="Times New Roman" w:hAnsi="Times New Roman" w:cs="Times New Roman"/>
          <w:sz w:val="24"/>
          <w:szCs w:val="24"/>
        </w:rPr>
        <w:t>d</w:t>
      </w:r>
      <w:r w:rsidRPr="00C70EB4">
        <w:rPr>
          <w:rFonts w:ascii="Times New Roman" w:hAnsi="Times New Roman" w:cs="Times New Roman"/>
          <w:sz w:val="24"/>
          <w:szCs w:val="24"/>
        </w:rPr>
        <w:t xml:space="preserve">éfense au niveau européen, l’approche </w:t>
      </w:r>
      <w:r w:rsidR="00263CED" w:rsidRPr="00C70EB4">
        <w:rPr>
          <w:rFonts w:ascii="Times New Roman" w:hAnsi="Times New Roman" w:cs="Times New Roman"/>
          <w:sz w:val="24"/>
          <w:szCs w:val="24"/>
        </w:rPr>
        <w:t>doit dès lors être la suivante :</w:t>
      </w:r>
      <w:r w:rsidRPr="00C70EB4">
        <w:rPr>
          <w:rFonts w:ascii="Times New Roman" w:hAnsi="Times New Roman" w:cs="Times New Roman"/>
          <w:sz w:val="24"/>
          <w:szCs w:val="24"/>
        </w:rPr>
        <w:t xml:space="preserve"> la directive 2009/81/CE est d’application, à moins que les conditions de recours à l’article 346 TFUE puissent être appliquées</w:t>
      </w:r>
      <w:r w:rsidR="00263CED" w:rsidRPr="00C70EB4">
        <w:rPr>
          <w:rStyle w:val="Appelnotedebasdep"/>
          <w:rFonts w:ascii="Times New Roman" w:hAnsi="Times New Roman" w:cs="Times New Roman"/>
          <w:sz w:val="24"/>
          <w:szCs w:val="24"/>
        </w:rPr>
        <w:footnoteReference w:id="13"/>
      </w:r>
    </w:p>
    <w:p w14:paraId="7B6D55FF" w14:textId="77777777" w:rsidR="00263CED" w:rsidRPr="00C70EB4" w:rsidRDefault="00263CED" w:rsidP="00E9508A">
      <w:pPr>
        <w:spacing w:after="0" w:line="276" w:lineRule="auto"/>
        <w:jc w:val="both"/>
        <w:rPr>
          <w:rFonts w:ascii="Times New Roman" w:hAnsi="Times New Roman" w:cs="Times New Roman"/>
          <w:sz w:val="24"/>
          <w:szCs w:val="24"/>
        </w:rPr>
      </w:pPr>
    </w:p>
    <w:p w14:paraId="6C72592E" w14:textId="316A8707" w:rsidR="00D85726" w:rsidRDefault="00E9508A" w:rsidP="00E9508A">
      <w:pPr>
        <w:spacing w:after="0" w:line="276" w:lineRule="auto"/>
        <w:jc w:val="both"/>
        <w:rPr>
          <w:rFonts w:ascii="Times New Roman" w:hAnsi="Times New Roman" w:cs="Times New Roman"/>
          <w:sz w:val="24"/>
          <w:szCs w:val="24"/>
        </w:rPr>
      </w:pPr>
      <w:r w:rsidRPr="00C70EB4">
        <w:rPr>
          <w:rFonts w:ascii="Times New Roman" w:hAnsi="Times New Roman" w:cs="Times New Roman"/>
          <w:b/>
          <w:bCs/>
          <w:sz w:val="24"/>
          <w:szCs w:val="24"/>
        </w:rPr>
        <w:t xml:space="preserve">4. </w:t>
      </w:r>
      <w:r w:rsidR="009D58A5" w:rsidRPr="00C70EB4">
        <w:rPr>
          <w:rFonts w:ascii="Times New Roman" w:hAnsi="Times New Roman" w:cs="Times New Roman"/>
          <w:sz w:val="24"/>
          <w:szCs w:val="24"/>
        </w:rPr>
        <w:t xml:space="preserve">Du point </w:t>
      </w:r>
      <w:r w:rsidR="009D58A5">
        <w:rPr>
          <w:rFonts w:ascii="Times New Roman" w:hAnsi="Times New Roman" w:cs="Times New Roman"/>
          <w:sz w:val="24"/>
          <w:szCs w:val="24"/>
        </w:rPr>
        <w:t xml:space="preserve">de vue du droit interne, le législateur belge a souhaité maintenir la possibilité d’un encadrement normatif des marchés passés sur la base de l’article 346 du TFUE. </w:t>
      </w:r>
      <w:r w:rsidR="00D85726">
        <w:rPr>
          <w:rFonts w:ascii="Times New Roman" w:hAnsi="Times New Roman" w:cs="Times New Roman"/>
          <w:sz w:val="24"/>
          <w:szCs w:val="24"/>
        </w:rPr>
        <w:t>L’article 43/1 de la loi du 13 août 2011 précise en effet que le Roi peut rendre applicable des règles de passation, de contrôle et d’exécution spécifiques aux marchés précités, ce qui pourrait permettre d</w:t>
      </w:r>
      <w:r w:rsidR="00A261CB">
        <w:rPr>
          <w:rFonts w:ascii="Times New Roman" w:hAnsi="Times New Roman" w:cs="Times New Roman"/>
          <w:sz w:val="24"/>
          <w:szCs w:val="24"/>
        </w:rPr>
        <w:t xml:space="preserve">’appliquer </w:t>
      </w:r>
      <w:r w:rsidR="00D85726">
        <w:rPr>
          <w:rFonts w:ascii="Times New Roman" w:hAnsi="Times New Roman" w:cs="Times New Roman"/>
          <w:sz w:val="24"/>
          <w:szCs w:val="24"/>
        </w:rPr>
        <w:t>le régime de l’arrêté royal précité du 6 février 1997</w:t>
      </w:r>
      <w:r w:rsidR="00A261CB">
        <w:rPr>
          <w:rFonts w:ascii="Times New Roman" w:hAnsi="Times New Roman" w:cs="Times New Roman"/>
          <w:sz w:val="24"/>
          <w:szCs w:val="24"/>
        </w:rPr>
        <w:t>, à supposer toutefois que celui-ci n’a pas perdu son fondement législatif par l’abrogation de la loi sur la base de laquelle il a été pris. Dans l’arrêt commenté, le Conseil d’Etat estime toutefois que l’article 43/1 de la loi du 13 août 2011 n’est pas encore entré en vigueur</w:t>
      </w:r>
      <w:r w:rsidR="00A261CB">
        <w:rPr>
          <w:rStyle w:val="Appelnotedebasdep"/>
          <w:rFonts w:ascii="Times New Roman" w:hAnsi="Times New Roman" w:cs="Times New Roman"/>
          <w:sz w:val="24"/>
          <w:szCs w:val="24"/>
        </w:rPr>
        <w:footnoteReference w:id="14"/>
      </w:r>
      <w:r w:rsidR="00A261CB">
        <w:rPr>
          <w:rFonts w:ascii="Times New Roman" w:hAnsi="Times New Roman" w:cs="Times New Roman"/>
          <w:sz w:val="24"/>
          <w:szCs w:val="24"/>
        </w:rPr>
        <w:t xml:space="preserve">, de sorte qu’il y a lieu de retomber sur l’article 25, 1°, b), de cette loi, qui prévoit uniquement que les marchés passés sur la base de l’article 346 du TFUE peuvent être traités par procédure négociée sans publicité, si possible après consultation de plusieurs entrepreneurs, fournisseurs ou prestataires de services. </w:t>
      </w:r>
      <w:r w:rsidR="00A261CB">
        <w:rPr>
          <w:rFonts w:ascii="Times New Roman" w:hAnsi="Times New Roman" w:cs="Times New Roman"/>
          <w:sz w:val="24"/>
          <w:szCs w:val="24"/>
        </w:rPr>
        <w:lastRenderedPageBreak/>
        <w:t>Pour le surplus, la loi du 13 août 2011</w:t>
      </w:r>
      <w:r w:rsidR="00DD3248">
        <w:rPr>
          <w:rFonts w:ascii="Times New Roman" w:hAnsi="Times New Roman" w:cs="Times New Roman"/>
          <w:sz w:val="24"/>
          <w:szCs w:val="24"/>
        </w:rPr>
        <w:t>, telle qu’actuellement en vigueur,</w:t>
      </w:r>
      <w:r w:rsidR="00A261CB">
        <w:rPr>
          <w:rFonts w:ascii="Times New Roman" w:hAnsi="Times New Roman" w:cs="Times New Roman"/>
          <w:sz w:val="24"/>
          <w:szCs w:val="24"/>
        </w:rPr>
        <w:t xml:space="preserve"> n’a pas vocation à s’appliquer lorsque l’article 346 du TFUE est valablement invoqué</w:t>
      </w:r>
      <w:r w:rsidR="00377E56">
        <w:rPr>
          <w:rStyle w:val="Appelnotedebasdep"/>
          <w:rFonts w:ascii="Times New Roman" w:hAnsi="Times New Roman" w:cs="Times New Roman"/>
          <w:sz w:val="24"/>
          <w:szCs w:val="24"/>
        </w:rPr>
        <w:footnoteReference w:id="15"/>
      </w:r>
      <w:r w:rsidR="00A261CB">
        <w:rPr>
          <w:rFonts w:ascii="Times New Roman" w:hAnsi="Times New Roman" w:cs="Times New Roman"/>
          <w:sz w:val="24"/>
          <w:szCs w:val="24"/>
        </w:rPr>
        <w:t xml:space="preserve">. </w:t>
      </w:r>
    </w:p>
    <w:p w14:paraId="547C633A" w14:textId="77777777" w:rsidR="00A261CB" w:rsidRDefault="00A261CB" w:rsidP="00E9508A">
      <w:pPr>
        <w:spacing w:after="0" w:line="276" w:lineRule="auto"/>
        <w:jc w:val="both"/>
        <w:rPr>
          <w:rFonts w:ascii="Times New Roman" w:hAnsi="Times New Roman" w:cs="Times New Roman"/>
          <w:sz w:val="24"/>
          <w:szCs w:val="24"/>
        </w:rPr>
      </w:pPr>
    </w:p>
    <w:p w14:paraId="2F05A4D7" w14:textId="729004E6" w:rsidR="00A261CB" w:rsidRDefault="00377E56" w:rsidP="00E9508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w:t>
      </w:r>
      <w:r w:rsidR="00A261CB">
        <w:rPr>
          <w:rFonts w:ascii="Times New Roman" w:hAnsi="Times New Roman" w:cs="Times New Roman"/>
          <w:sz w:val="24"/>
          <w:szCs w:val="24"/>
        </w:rPr>
        <w:t xml:space="preserve">e </w:t>
      </w:r>
      <w:r>
        <w:rPr>
          <w:rFonts w:ascii="Times New Roman" w:hAnsi="Times New Roman" w:cs="Times New Roman"/>
          <w:sz w:val="24"/>
          <w:szCs w:val="24"/>
        </w:rPr>
        <w:t>cadre juridique de droit interne applicable aux marchés passés dans le domaine de la Défense peut donc être présenté en cascade : à défaut d’application de l’article 346 du TFUE, le marché concerné sera entièrement réglé par la loi du 13 août 2011, à moins que les autorités publiques souhaitent appliquer le régime de « droit commun » prévu par la loi du 17 juin 2016</w:t>
      </w:r>
      <w:r>
        <w:rPr>
          <w:rStyle w:val="Appelnotedebasdep"/>
          <w:rFonts w:ascii="Times New Roman" w:hAnsi="Times New Roman" w:cs="Times New Roman"/>
          <w:sz w:val="24"/>
          <w:szCs w:val="24"/>
        </w:rPr>
        <w:footnoteReference w:id="16"/>
      </w:r>
      <w:r>
        <w:rPr>
          <w:rFonts w:ascii="Times New Roman" w:hAnsi="Times New Roman" w:cs="Times New Roman"/>
          <w:sz w:val="24"/>
          <w:szCs w:val="24"/>
        </w:rPr>
        <w:t>.</w:t>
      </w:r>
    </w:p>
    <w:p w14:paraId="7284C1C8" w14:textId="77777777" w:rsidR="00E9508A" w:rsidRDefault="00E9508A" w:rsidP="00E9508A">
      <w:pPr>
        <w:spacing w:after="0" w:line="276" w:lineRule="auto"/>
        <w:jc w:val="both"/>
        <w:rPr>
          <w:rFonts w:ascii="Times New Roman" w:hAnsi="Times New Roman" w:cs="Times New Roman"/>
          <w:sz w:val="24"/>
          <w:szCs w:val="24"/>
        </w:rPr>
      </w:pPr>
    </w:p>
    <w:p w14:paraId="0A69BB4A" w14:textId="77777777" w:rsidR="00A261CB" w:rsidRPr="00C70EB4" w:rsidRDefault="00A261CB" w:rsidP="00C70EB4">
      <w:pPr>
        <w:spacing w:after="0" w:line="276" w:lineRule="auto"/>
        <w:jc w:val="both"/>
        <w:rPr>
          <w:rFonts w:ascii="Times New Roman" w:hAnsi="Times New Roman" w:cs="Times New Roman"/>
          <w:sz w:val="24"/>
          <w:szCs w:val="24"/>
        </w:rPr>
      </w:pPr>
    </w:p>
    <w:p w14:paraId="1F033836" w14:textId="52AEDDAF" w:rsidR="00C27D91" w:rsidRPr="00C70EB4" w:rsidRDefault="00C27D91" w:rsidP="00E9508A">
      <w:pPr>
        <w:pStyle w:val="Paragraphedeliste"/>
        <w:numPr>
          <w:ilvl w:val="0"/>
          <w:numId w:val="1"/>
        </w:numPr>
        <w:spacing w:after="0"/>
        <w:jc w:val="both"/>
        <w:rPr>
          <w:rFonts w:ascii="Times New Roman" w:hAnsi="Times New Roman" w:cs="Times New Roman"/>
          <w:b/>
          <w:bCs/>
          <w:sz w:val="24"/>
          <w:szCs w:val="24"/>
        </w:rPr>
      </w:pPr>
      <w:r w:rsidRPr="00C70EB4">
        <w:rPr>
          <w:rFonts w:ascii="Times New Roman" w:hAnsi="Times New Roman" w:cs="Times New Roman"/>
          <w:b/>
          <w:bCs/>
          <w:sz w:val="24"/>
          <w:szCs w:val="24"/>
        </w:rPr>
        <w:t>La portée de l’article 346 du TFUE</w:t>
      </w:r>
    </w:p>
    <w:p w14:paraId="74E9844B" w14:textId="77777777" w:rsidR="00E9508A" w:rsidRPr="00C70EB4" w:rsidRDefault="00E9508A" w:rsidP="00C70EB4">
      <w:pPr>
        <w:pStyle w:val="Paragraphedeliste"/>
        <w:spacing w:after="0"/>
        <w:ind w:left="1080"/>
        <w:jc w:val="both"/>
        <w:rPr>
          <w:rFonts w:ascii="Times New Roman" w:hAnsi="Times New Roman" w:cs="Times New Roman"/>
          <w:b/>
          <w:bCs/>
          <w:sz w:val="24"/>
          <w:szCs w:val="24"/>
        </w:rPr>
      </w:pPr>
    </w:p>
    <w:p w14:paraId="1553F1AB" w14:textId="0721EBC2" w:rsidR="00C27D91" w:rsidRPr="00C70EB4" w:rsidRDefault="00E9508A" w:rsidP="00C70EB4">
      <w:pPr>
        <w:spacing w:after="0" w:line="276" w:lineRule="auto"/>
        <w:rPr>
          <w:rFonts w:ascii="Times New Roman" w:hAnsi="Times New Roman" w:cs="Times New Roman"/>
          <w:sz w:val="24"/>
          <w:szCs w:val="24"/>
        </w:rPr>
      </w:pPr>
      <w:r w:rsidRPr="00C70EB4">
        <w:rPr>
          <w:rFonts w:ascii="Times New Roman" w:hAnsi="Times New Roman" w:cs="Times New Roman"/>
          <w:b/>
          <w:bCs/>
          <w:sz w:val="24"/>
          <w:szCs w:val="24"/>
        </w:rPr>
        <w:t>5.</w:t>
      </w:r>
      <w:r w:rsidR="00C27D91" w:rsidRPr="00C70EB4">
        <w:rPr>
          <w:rFonts w:ascii="Times New Roman" w:hAnsi="Times New Roman" w:cs="Times New Roman"/>
          <w:sz w:val="24"/>
          <w:szCs w:val="24"/>
        </w:rPr>
        <w:t xml:space="preserve"> L’article 346 du TFUE énonce ce qui suit : </w:t>
      </w:r>
    </w:p>
    <w:p w14:paraId="506ADCDA" w14:textId="77777777" w:rsidR="00C27D91" w:rsidRPr="00C70EB4" w:rsidRDefault="00C27D91" w:rsidP="00C70EB4">
      <w:pPr>
        <w:spacing w:after="0" w:line="276" w:lineRule="auto"/>
        <w:rPr>
          <w:rFonts w:ascii="Times New Roman" w:hAnsi="Times New Roman" w:cs="Times New Roman"/>
          <w:sz w:val="24"/>
          <w:szCs w:val="24"/>
        </w:rPr>
      </w:pPr>
    </w:p>
    <w:p w14:paraId="2EA765B9" w14:textId="77777777" w:rsidR="00C27D91" w:rsidRPr="00C70EB4" w:rsidRDefault="00C27D91" w:rsidP="00C70EB4">
      <w:pPr>
        <w:spacing w:after="0" w:line="276" w:lineRule="auto"/>
        <w:ind w:left="708"/>
        <w:jc w:val="both"/>
        <w:rPr>
          <w:rFonts w:ascii="Times New Roman" w:hAnsi="Times New Roman" w:cs="Times New Roman"/>
          <w:sz w:val="24"/>
          <w:szCs w:val="24"/>
        </w:rPr>
      </w:pPr>
      <w:r w:rsidRPr="00C70EB4">
        <w:rPr>
          <w:rFonts w:ascii="Times New Roman" w:hAnsi="Times New Roman" w:cs="Times New Roman"/>
          <w:sz w:val="24"/>
          <w:szCs w:val="24"/>
        </w:rPr>
        <w:t xml:space="preserve">« 1. Les dispositions des </w:t>
      </w:r>
      <w:proofErr w:type="spellStart"/>
      <w:r w:rsidRPr="00C70EB4">
        <w:rPr>
          <w:rFonts w:ascii="Times New Roman" w:hAnsi="Times New Roman" w:cs="Times New Roman"/>
          <w:sz w:val="24"/>
          <w:szCs w:val="24"/>
        </w:rPr>
        <w:t>traités</w:t>
      </w:r>
      <w:proofErr w:type="spellEnd"/>
      <w:r w:rsidRPr="00C70EB4">
        <w:rPr>
          <w:rFonts w:ascii="Times New Roman" w:hAnsi="Times New Roman" w:cs="Times New Roman"/>
          <w:sz w:val="24"/>
          <w:szCs w:val="24"/>
        </w:rPr>
        <w:t xml:space="preserve"> ne font pas obstacle aux </w:t>
      </w:r>
      <w:proofErr w:type="spellStart"/>
      <w:r w:rsidRPr="00C70EB4">
        <w:rPr>
          <w:rFonts w:ascii="Times New Roman" w:hAnsi="Times New Roman" w:cs="Times New Roman"/>
          <w:sz w:val="24"/>
          <w:szCs w:val="24"/>
        </w:rPr>
        <w:t>règles</w:t>
      </w:r>
      <w:proofErr w:type="spellEnd"/>
      <w:r w:rsidRPr="00C70EB4">
        <w:rPr>
          <w:rFonts w:ascii="Times New Roman" w:hAnsi="Times New Roman" w:cs="Times New Roman"/>
          <w:sz w:val="24"/>
          <w:szCs w:val="24"/>
        </w:rPr>
        <w:t xml:space="preserve"> </w:t>
      </w:r>
      <w:proofErr w:type="spellStart"/>
      <w:r w:rsidRPr="00C70EB4">
        <w:rPr>
          <w:rFonts w:ascii="Times New Roman" w:hAnsi="Times New Roman" w:cs="Times New Roman"/>
          <w:sz w:val="24"/>
          <w:szCs w:val="24"/>
        </w:rPr>
        <w:t>ci-après</w:t>
      </w:r>
      <w:proofErr w:type="spellEnd"/>
      <w:r w:rsidRPr="00C70EB4">
        <w:rPr>
          <w:rFonts w:ascii="Times New Roman" w:hAnsi="Times New Roman" w:cs="Times New Roman"/>
          <w:sz w:val="24"/>
          <w:szCs w:val="24"/>
        </w:rPr>
        <w:t xml:space="preserve"> :</w:t>
      </w:r>
    </w:p>
    <w:p w14:paraId="66F62B78" w14:textId="77777777" w:rsidR="00C27D91" w:rsidRPr="00C70EB4" w:rsidRDefault="00C27D91" w:rsidP="00C70EB4">
      <w:pPr>
        <w:spacing w:after="0" w:line="276" w:lineRule="auto"/>
        <w:ind w:left="708"/>
        <w:jc w:val="both"/>
        <w:rPr>
          <w:rFonts w:ascii="Times New Roman" w:hAnsi="Times New Roman" w:cs="Times New Roman"/>
          <w:sz w:val="24"/>
          <w:szCs w:val="24"/>
        </w:rPr>
      </w:pPr>
    </w:p>
    <w:p w14:paraId="0CEE7C74" w14:textId="77777777" w:rsidR="00C27D91" w:rsidRPr="00C70EB4" w:rsidRDefault="00C27D91" w:rsidP="00C70EB4">
      <w:pPr>
        <w:spacing w:after="0" w:line="276" w:lineRule="auto"/>
        <w:ind w:left="708"/>
        <w:jc w:val="both"/>
        <w:rPr>
          <w:rFonts w:ascii="Times New Roman" w:hAnsi="Times New Roman" w:cs="Times New Roman"/>
          <w:sz w:val="24"/>
          <w:szCs w:val="24"/>
        </w:rPr>
      </w:pPr>
      <w:r w:rsidRPr="00C70EB4">
        <w:rPr>
          <w:rFonts w:ascii="Times New Roman" w:hAnsi="Times New Roman" w:cs="Times New Roman"/>
          <w:sz w:val="24"/>
          <w:szCs w:val="24"/>
        </w:rPr>
        <w:t xml:space="preserve">a) aucun </w:t>
      </w:r>
      <w:proofErr w:type="spellStart"/>
      <w:r w:rsidRPr="00C70EB4">
        <w:rPr>
          <w:rFonts w:ascii="Times New Roman" w:hAnsi="Times New Roman" w:cs="Times New Roman"/>
          <w:sz w:val="24"/>
          <w:szCs w:val="24"/>
        </w:rPr>
        <w:t>État</w:t>
      </w:r>
      <w:proofErr w:type="spellEnd"/>
      <w:r w:rsidRPr="00C70EB4">
        <w:rPr>
          <w:rFonts w:ascii="Times New Roman" w:hAnsi="Times New Roman" w:cs="Times New Roman"/>
          <w:sz w:val="24"/>
          <w:szCs w:val="24"/>
        </w:rPr>
        <w:t xml:space="preserve"> membre n'est tenu de fournir des renseignements dont il estimerait la divulgation contraire aux </w:t>
      </w:r>
      <w:proofErr w:type="spellStart"/>
      <w:r w:rsidRPr="00C70EB4">
        <w:rPr>
          <w:rFonts w:ascii="Times New Roman" w:hAnsi="Times New Roman" w:cs="Times New Roman"/>
          <w:sz w:val="24"/>
          <w:szCs w:val="24"/>
        </w:rPr>
        <w:t>intérêts</w:t>
      </w:r>
      <w:proofErr w:type="spellEnd"/>
      <w:r w:rsidRPr="00C70EB4">
        <w:rPr>
          <w:rFonts w:ascii="Times New Roman" w:hAnsi="Times New Roman" w:cs="Times New Roman"/>
          <w:sz w:val="24"/>
          <w:szCs w:val="24"/>
        </w:rPr>
        <w:t xml:space="preserve"> essentiels de sa </w:t>
      </w:r>
      <w:proofErr w:type="spellStart"/>
      <w:r w:rsidRPr="00C70EB4">
        <w:rPr>
          <w:rFonts w:ascii="Times New Roman" w:hAnsi="Times New Roman" w:cs="Times New Roman"/>
          <w:sz w:val="24"/>
          <w:szCs w:val="24"/>
        </w:rPr>
        <w:t>sécurite</w:t>
      </w:r>
      <w:proofErr w:type="spellEnd"/>
      <w:r w:rsidRPr="00C70EB4">
        <w:rPr>
          <w:rFonts w:ascii="Times New Roman" w:hAnsi="Times New Roman" w:cs="Times New Roman"/>
          <w:sz w:val="24"/>
          <w:szCs w:val="24"/>
        </w:rPr>
        <w:t>́,</w:t>
      </w:r>
    </w:p>
    <w:p w14:paraId="34292A29" w14:textId="77777777" w:rsidR="00C27D91" w:rsidRPr="00C70EB4" w:rsidRDefault="00C27D91" w:rsidP="00C70EB4">
      <w:pPr>
        <w:spacing w:after="0" w:line="276" w:lineRule="auto"/>
        <w:ind w:left="708"/>
        <w:jc w:val="both"/>
        <w:rPr>
          <w:rFonts w:ascii="Times New Roman" w:hAnsi="Times New Roman" w:cs="Times New Roman"/>
          <w:sz w:val="24"/>
          <w:szCs w:val="24"/>
        </w:rPr>
      </w:pPr>
    </w:p>
    <w:p w14:paraId="2A432D54" w14:textId="77777777" w:rsidR="00C27D91" w:rsidRPr="00C70EB4" w:rsidRDefault="00C27D91" w:rsidP="00C70EB4">
      <w:pPr>
        <w:spacing w:after="0" w:line="276" w:lineRule="auto"/>
        <w:ind w:left="708"/>
        <w:jc w:val="both"/>
        <w:rPr>
          <w:rFonts w:ascii="Times New Roman" w:hAnsi="Times New Roman" w:cs="Times New Roman"/>
          <w:sz w:val="24"/>
          <w:szCs w:val="24"/>
        </w:rPr>
      </w:pPr>
      <w:r w:rsidRPr="00C70EB4">
        <w:rPr>
          <w:rFonts w:ascii="Times New Roman" w:hAnsi="Times New Roman" w:cs="Times New Roman"/>
          <w:sz w:val="24"/>
          <w:szCs w:val="24"/>
        </w:rPr>
        <w:t xml:space="preserve">b) tout </w:t>
      </w:r>
      <w:proofErr w:type="spellStart"/>
      <w:r w:rsidRPr="00C70EB4">
        <w:rPr>
          <w:rFonts w:ascii="Times New Roman" w:hAnsi="Times New Roman" w:cs="Times New Roman"/>
          <w:sz w:val="24"/>
          <w:szCs w:val="24"/>
        </w:rPr>
        <w:t>État</w:t>
      </w:r>
      <w:proofErr w:type="spellEnd"/>
      <w:r w:rsidRPr="00C70EB4">
        <w:rPr>
          <w:rFonts w:ascii="Times New Roman" w:hAnsi="Times New Roman" w:cs="Times New Roman"/>
          <w:sz w:val="24"/>
          <w:szCs w:val="24"/>
        </w:rPr>
        <w:t xml:space="preserve"> membre peut prendre les mesures qu'il estime </w:t>
      </w:r>
      <w:proofErr w:type="spellStart"/>
      <w:r w:rsidRPr="00C70EB4">
        <w:rPr>
          <w:rFonts w:ascii="Times New Roman" w:hAnsi="Times New Roman" w:cs="Times New Roman"/>
          <w:sz w:val="24"/>
          <w:szCs w:val="24"/>
        </w:rPr>
        <w:t>nécessaires</w:t>
      </w:r>
      <w:proofErr w:type="spellEnd"/>
      <w:r w:rsidRPr="00C70EB4">
        <w:rPr>
          <w:rFonts w:ascii="Times New Roman" w:hAnsi="Times New Roman" w:cs="Times New Roman"/>
          <w:sz w:val="24"/>
          <w:szCs w:val="24"/>
        </w:rPr>
        <w:t xml:space="preserve"> à la protection des </w:t>
      </w:r>
      <w:proofErr w:type="spellStart"/>
      <w:r w:rsidRPr="00C70EB4">
        <w:rPr>
          <w:rFonts w:ascii="Times New Roman" w:hAnsi="Times New Roman" w:cs="Times New Roman"/>
          <w:sz w:val="24"/>
          <w:szCs w:val="24"/>
        </w:rPr>
        <w:t>intérêts</w:t>
      </w:r>
      <w:proofErr w:type="spellEnd"/>
      <w:r w:rsidRPr="00C70EB4">
        <w:rPr>
          <w:rFonts w:ascii="Times New Roman" w:hAnsi="Times New Roman" w:cs="Times New Roman"/>
          <w:sz w:val="24"/>
          <w:szCs w:val="24"/>
        </w:rPr>
        <w:t xml:space="preserve"> essentiels de sa </w:t>
      </w:r>
      <w:proofErr w:type="spellStart"/>
      <w:r w:rsidRPr="00C70EB4">
        <w:rPr>
          <w:rFonts w:ascii="Times New Roman" w:hAnsi="Times New Roman" w:cs="Times New Roman"/>
          <w:sz w:val="24"/>
          <w:szCs w:val="24"/>
        </w:rPr>
        <w:t>sécurite</w:t>
      </w:r>
      <w:proofErr w:type="spellEnd"/>
      <w:r w:rsidRPr="00C70EB4">
        <w:rPr>
          <w:rFonts w:ascii="Times New Roman" w:hAnsi="Times New Roman" w:cs="Times New Roman"/>
          <w:sz w:val="24"/>
          <w:szCs w:val="24"/>
        </w:rPr>
        <w:t xml:space="preserve">́ et qui se rapportent à la production ou au commerce d'armes, de munitions et de </w:t>
      </w:r>
      <w:proofErr w:type="spellStart"/>
      <w:r w:rsidRPr="00C70EB4">
        <w:rPr>
          <w:rFonts w:ascii="Times New Roman" w:hAnsi="Times New Roman" w:cs="Times New Roman"/>
          <w:sz w:val="24"/>
          <w:szCs w:val="24"/>
        </w:rPr>
        <w:t>matériel</w:t>
      </w:r>
      <w:proofErr w:type="spellEnd"/>
      <w:r w:rsidRPr="00C70EB4">
        <w:rPr>
          <w:rFonts w:ascii="Times New Roman" w:hAnsi="Times New Roman" w:cs="Times New Roman"/>
          <w:sz w:val="24"/>
          <w:szCs w:val="24"/>
        </w:rPr>
        <w:t xml:space="preserve"> de guerre; ces mesures ne doivent pas </w:t>
      </w:r>
      <w:proofErr w:type="spellStart"/>
      <w:r w:rsidRPr="00C70EB4">
        <w:rPr>
          <w:rFonts w:ascii="Times New Roman" w:hAnsi="Times New Roman" w:cs="Times New Roman"/>
          <w:sz w:val="24"/>
          <w:szCs w:val="24"/>
        </w:rPr>
        <w:t>altérer</w:t>
      </w:r>
      <w:proofErr w:type="spellEnd"/>
      <w:r w:rsidRPr="00C70EB4">
        <w:rPr>
          <w:rFonts w:ascii="Times New Roman" w:hAnsi="Times New Roman" w:cs="Times New Roman"/>
          <w:sz w:val="24"/>
          <w:szCs w:val="24"/>
        </w:rPr>
        <w:t xml:space="preserve"> les conditions de la concurrence dans le </w:t>
      </w:r>
      <w:proofErr w:type="spellStart"/>
      <w:r w:rsidRPr="00C70EB4">
        <w:rPr>
          <w:rFonts w:ascii="Times New Roman" w:hAnsi="Times New Roman" w:cs="Times New Roman"/>
          <w:sz w:val="24"/>
          <w:szCs w:val="24"/>
        </w:rPr>
        <w:t>marche</w:t>
      </w:r>
      <w:proofErr w:type="spellEnd"/>
      <w:r w:rsidRPr="00C70EB4">
        <w:rPr>
          <w:rFonts w:ascii="Times New Roman" w:hAnsi="Times New Roman" w:cs="Times New Roman"/>
          <w:sz w:val="24"/>
          <w:szCs w:val="24"/>
        </w:rPr>
        <w:t xml:space="preserve">́ </w:t>
      </w:r>
      <w:proofErr w:type="spellStart"/>
      <w:r w:rsidRPr="00C70EB4">
        <w:rPr>
          <w:rFonts w:ascii="Times New Roman" w:hAnsi="Times New Roman" w:cs="Times New Roman"/>
          <w:sz w:val="24"/>
          <w:szCs w:val="24"/>
        </w:rPr>
        <w:t>intérieur</w:t>
      </w:r>
      <w:proofErr w:type="spellEnd"/>
      <w:r w:rsidRPr="00C70EB4">
        <w:rPr>
          <w:rFonts w:ascii="Times New Roman" w:hAnsi="Times New Roman" w:cs="Times New Roman"/>
          <w:sz w:val="24"/>
          <w:szCs w:val="24"/>
        </w:rPr>
        <w:t xml:space="preserve"> en ce qui concerne les produits non </w:t>
      </w:r>
      <w:proofErr w:type="spellStart"/>
      <w:r w:rsidRPr="00C70EB4">
        <w:rPr>
          <w:rFonts w:ascii="Times New Roman" w:hAnsi="Times New Roman" w:cs="Times New Roman"/>
          <w:sz w:val="24"/>
          <w:szCs w:val="24"/>
        </w:rPr>
        <w:t>destinés</w:t>
      </w:r>
      <w:proofErr w:type="spellEnd"/>
      <w:r w:rsidRPr="00C70EB4">
        <w:rPr>
          <w:rFonts w:ascii="Times New Roman" w:hAnsi="Times New Roman" w:cs="Times New Roman"/>
          <w:sz w:val="24"/>
          <w:szCs w:val="24"/>
        </w:rPr>
        <w:t xml:space="preserve"> à des fins </w:t>
      </w:r>
      <w:proofErr w:type="spellStart"/>
      <w:r w:rsidRPr="00C70EB4">
        <w:rPr>
          <w:rFonts w:ascii="Times New Roman" w:hAnsi="Times New Roman" w:cs="Times New Roman"/>
          <w:sz w:val="24"/>
          <w:szCs w:val="24"/>
        </w:rPr>
        <w:t>spécifiquement</w:t>
      </w:r>
      <w:proofErr w:type="spellEnd"/>
      <w:r w:rsidRPr="00C70EB4">
        <w:rPr>
          <w:rFonts w:ascii="Times New Roman" w:hAnsi="Times New Roman" w:cs="Times New Roman"/>
          <w:sz w:val="24"/>
          <w:szCs w:val="24"/>
        </w:rPr>
        <w:t xml:space="preserve"> militaires.</w:t>
      </w:r>
    </w:p>
    <w:p w14:paraId="6E2EBF76" w14:textId="77777777" w:rsidR="00C27D91" w:rsidRPr="00C70EB4" w:rsidRDefault="00C27D91" w:rsidP="00C70EB4">
      <w:pPr>
        <w:spacing w:after="0" w:line="276" w:lineRule="auto"/>
        <w:ind w:left="708"/>
        <w:jc w:val="both"/>
        <w:rPr>
          <w:rFonts w:ascii="Times New Roman" w:hAnsi="Times New Roman" w:cs="Times New Roman"/>
          <w:sz w:val="24"/>
          <w:szCs w:val="24"/>
        </w:rPr>
      </w:pPr>
    </w:p>
    <w:p w14:paraId="12740ACE" w14:textId="77777777" w:rsidR="00C27D91" w:rsidRPr="00C70EB4" w:rsidRDefault="00C27D91" w:rsidP="00C70EB4">
      <w:pPr>
        <w:spacing w:after="0" w:line="276" w:lineRule="auto"/>
        <w:ind w:left="708"/>
        <w:jc w:val="both"/>
        <w:rPr>
          <w:rFonts w:ascii="Times New Roman" w:hAnsi="Times New Roman" w:cs="Times New Roman"/>
          <w:sz w:val="24"/>
          <w:szCs w:val="24"/>
        </w:rPr>
      </w:pPr>
      <w:r w:rsidRPr="00C70EB4">
        <w:rPr>
          <w:rFonts w:ascii="Times New Roman" w:hAnsi="Times New Roman" w:cs="Times New Roman"/>
          <w:sz w:val="24"/>
          <w:szCs w:val="24"/>
        </w:rPr>
        <w:t>2. Le Conseil, statuant à l'</w:t>
      </w:r>
      <w:proofErr w:type="spellStart"/>
      <w:r w:rsidRPr="00C70EB4">
        <w:rPr>
          <w:rFonts w:ascii="Times New Roman" w:hAnsi="Times New Roman" w:cs="Times New Roman"/>
          <w:sz w:val="24"/>
          <w:szCs w:val="24"/>
        </w:rPr>
        <w:t>unanimite</w:t>
      </w:r>
      <w:proofErr w:type="spellEnd"/>
      <w:r w:rsidRPr="00C70EB4">
        <w:rPr>
          <w:rFonts w:ascii="Times New Roman" w:hAnsi="Times New Roman" w:cs="Times New Roman"/>
          <w:sz w:val="24"/>
          <w:szCs w:val="24"/>
        </w:rPr>
        <w:t xml:space="preserve">́ sur proposition de la Commission, peut apporter des modifications à la liste, qu'il a </w:t>
      </w:r>
      <w:proofErr w:type="spellStart"/>
      <w:r w:rsidRPr="00C70EB4">
        <w:rPr>
          <w:rFonts w:ascii="Times New Roman" w:hAnsi="Times New Roman" w:cs="Times New Roman"/>
          <w:sz w:val="24"/>
          <w:szCs w:val="24"/>
        </w:rPr>
        <w:t>fixée</w:t>
      </w:r>
      <w:proofErr w:type="spellEnd"/>
      <w:r w:rsidRPr="00C70EB4">
        <w:rPr>
          <w:rFonts w:ascii="Times New Roman" w:hAnsi="Times New Roman" w:cs="Times New Roman"/>
          <w:sz w:val="24"/>
          <w:szCs w:val="24"/>
        </w:rPr>
        <w:t xml:space="preserve"> le 15 avril 1958, des produits auxquels les dispositions du paragraphe 1, point b), s'appliquent ».</w:t>
      </w:r>
    </w:p>
    <w:p w14:paraId="08CF3AE9" w14:textId="77777777" w:rsidR="00C27D91" w:rsidRPr="00C70EB4" w:rsidRDefault="00C27D91" w:rsidP="00C70EB4">
      <w:pPr>
        <w:spacing w:after="0" w:line="276" w:lineRule="auto"/>
        <w:rPr>
          <w:rFonts w:ascii="Times New Roman" w:hAnsi="Times New Roman" w:cs="Times New Roman"/>
          <w:sz w:val="24"/>
          <w:szCs w:val="24"/>
        </w:rPr>
      </w:pPr>
    </w:p>
    <w:p w14:paraId="1113A75B" w14:textId="77777777"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Il s’agit d’une disposition ancienne du droit de l’Union européenne, issue de l’article 223 du Traité sur la Communauté économique européenne de 1957, puis reprise dans l’article 296 du Traité sur la Communauté européenne de 1992</w:t>
      </w:r>
      <w:r w:rsidRPr="00C70EB4">
        <w:rPr>
          <w:rStyle w:val="Appelnotedebasdep"/>
          <w:rFonts w:ascii="Times New Roman" w:hAnsi="Times New Roman" w:cs="Times New Roman"/>
          <w:sz w:val="24"/>
          <w:szCs w:val="24"/>
        </w:rPr>
        <w:footnoteReference w:id="17"/>
      </w:r>
      <w:r w:rsidRPr="00C70EB4">
        <w:rPr>
          <w:rFonts w:ascii="Times New Roman" w:hAnsi="Times New Roman" w:cs="Times New Roman"/>
          <w:sz w:val="24"/>
          <w:szCs w:val="24"/>
        </w:rPr>
        <w:t>. En son paragraphe 1</w:t>
      </w:r>
      <w:r w:rsidRPr="00C70EB4">
        <w:rPr>
          <w:rFonts w:ascii="Times New Roman" w:hAnsi="Times New Roman" w:cs="Times New Roman"/>
          <w:sz w:val="24"/>
          <w:szCs w:val="24"/>
          <w:vertAlign w:val="superscript"/>
        </w:rPr>
        <w:t>er</w:t>
      </w:r>
      <w:r w:rsidRPr="00C70EB4">
        <w:rPr>
          <w:rFonts w:ascii="Times New Roman" w:hAnsi="Times New Roman" w:cs="Times New Roman"/>
          <w:sz w:val="24"/>
          <w:szCs w:val="24"/>
        </w:rPr>
        <w:t>, a), l’article 346 du TFUE énonce qu’aucun Etat membre n’est tenu de divulguer des informations de manière contraire aux intérêts essentiels de sa sécurité. En son paragraphe 1</w:t>
      </w:r>
      <w:r w:rsidRPr="00C70EB4">
        <w:rPr>
          <w:rFonts w:ascii="Times New Roman" w:hAnsi="Times New Roman" w:cs="Times New Roman"/>
          <w:sz w:val="24"/>
          <w:szCs w:val="24"/>
          <w:vertAlign w:val="superscript"/>
        </w:rPr>
        <w:t>er</w:t>
      </w:r>
      <w:r w:rsidRPr="00C70EB4">
        <w:rPr>
          <w:rFonts w:ascii="Times New Roman" w:hAnsi="Times New Roman" w:cs="Times New Roman"/>
          <w:sz w:val="24"/>
          <w:szCs w:val="24"/>
        </w:rPr>
        <w:t xml:space="preserve">, b), cette disposition permet aux Etats de prendre les mesures nécessaires à la protection des intérêts précités, qui se rapportent à la production ou au commerce de matériel militaire, pourvu que ces mesures n’altèrent pas les conditions de la concurrence en ce qui concerne les biens qui ne sont pas spécifiquement destinés à des fins militaires. L’arrêt commenté offre un exemple d’application </w:t>
      </w:r>
      <w:r w:rsidRPr="00C70EB4">
        <w:rPr>
          <w:rFonts w:ascii="Times New Roman" w:hAnsi="Times New Roman" w:cs="Times New Roman"/>
          <w:sz w:val="24"/>
          <w:szCs w:val="24"/>
        </w:rPr>
        <w:lastRenderedPageBreak/>
        <w:t xml:space="preserve">de cette seconde règle de l’article 346, de sorte que les propos qui suivent se limitent à celle-ci. </w:t>
      </w:r>
    </w:p>
    <w:p w14:paraId="3A081611" w14:textId="77777777" w:rsidR="00C27D91" w:rsidRPr="00C70EB4" w:rsidRDefault="00C27D91" w:rsidP="00C70EB4">
      <w:pPr>
        <w:spacing w:after="0" w:line="276" w:lineRule="auto"/>
        <w:jc w:val="both"/>
        <w:rPr>
          <w:rFonts w:ascii="Times New Roman" w:hAnsi="Times New Roman" w:cs="Times New Roman"/>
          <w:sz w:val="24"/>
          <w:szCs w:val="24"/>
        </w:rPr>
      </w:pPr>
    </w:p>
    <w:p w14:paraId="63435301" w14:textId="3B5E35F6" w:rsidR="00C27D91" w:rsidRPr="00C70EB4" w:rsidRDefault="00B03342"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6</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L’article 346, paragraphe 1</w:t>
      </w:r>
      <w:r w:rsidR="00C27D91" w:rsidRPr="00C70EB4">
        <w:rPr>
          <w:rFonts w:ascii="Times New Roman" w:hAnsi="Times New Roman" w:cs="Times New Roman"/>
          <w:sz w:val="24"/>
          <w:szCs w:val="24"/>
          <w:vertAlign w:val="superscript"/>
        </w:rPr>
        <w:t>er</w:t>
      </w:r>
      <w:r w:rsidR="00C27D91" w:rsidRPr="00C70EB4">
        <w:rPr>
          <w:rFonts w:ascii="Times New Roman" w:hAnsi="Times New Roman" w:cs="Times New Roman"/>
          <w:sz w:val="24"/>
          <w:szCs w:val="24"/>
        </w:rPr>
        <w:t>, b), du TFUE revêt une portée large : si les marchés publics constituent son terrain de déploiement privilégié</w:t>
      </w:r>
      <w:r w:rsidR="00C27D91" w:rsidRPr="00C70EB4">
        <w:rPr>
          <w:rStyle w:val="Appelnotedebasdep"/>
          <w:rFonts w:ascii="Times New Roman" w:hAnsi="Times New Roman" w:cs="Times New Roman"/>
          <w:sz w:val="24"/>
          <w:szCs w:val="24"/>
        </w:rPr>
        <w:footnoteReference w:id="18"/>
      </w:r>
      <w:r w:rsidR="00C27D91" w:rsidRPr="00C70EB4">
        <w:rPr>
          <w:rFonts w:ascii="Times New Roman" w:hAnsi="Times New Roman" w:cs="Times New Roman"/>
          <w:sz w:val="24"/>
          <w:szCs w:val="24"/>
        </w:rPr>
        <w:t>, il ne se limite pas à ceux-ci est susceptible de s’appliquer à d’autres domaines normalement soumis aux règles du marché intérieur</w:t>
      </w:r>
      <w:r w:rsidR="00C27D91" w:rsidRPr="00C70EB4">
        <w:rPr>
          <w:rStyle w:val="Appelnotedebasdep"/>
          <w:rFonts w:ascii="Times New Roman" w:hAnsi="Times New Roman" w:cs="Times New Roman"/>
          <w:sz w:val="24"/>
          <w:szCs w:val="24"/>
        </w:rPr>
        <w:footnoteReference w:id="19"/>
      </w:r>
      <w:r w:rsidR="00C27D91" w:rsidRPr="00C70EB4">
        <w:rPr>
          <w:rFonts w:ascii="Times New Roman" w:hAnsi="Times New Roman" w:cs="Times New Roman"/>
          <w:sz w:val="24"/>
          <w:szCs w:val="24"/>
        </w:rPr>
        <w:t>, notamment en matière de règles douanières et de la TVA</w:t>
      </w:r>
      <w:r w:rsidR="00C27D91" w:rsidRPr="00C70EB4">
        <w:rPr>
          <w:rStyle w:val="Appelnotedebasdep"/>
          <w:rFonts w:ascii="Times New Roman" w:hAnsi="Times New Roman" w:cs="Times New Roman"/>
          <w:sz w:val="24"/>
          <w:szCs w:val="24"/>
        </w:rPr>
        <w:footnoteReference w:id="20"/>
      </w:r>
      <w:r w:rsidR="00C27D91" w:rsidRPr="00C70EB4">
        <w:rPr>
          <w:rFonts w:ascii="Times New Roman" w:hAnsi="Times New Roman" w:cs="Times New Roman"/>
          <w:sz w:val="24"/>
          <w:szCs w:val="24"/>
        </w:rPr>
        <w:t>, ou encore du régime de la libre circulation</w:t>
      </w:r>
      <w:r w:rsidR="00C27D91" w:rsidRPr="00C70EB4">
        <w:rPr>
          <w:rStyle w:val="Appelnotedebasdep"/>
          <w:rFonts w:ascii="Times New Roman" w:hAnsi="Times New Roman" w:cs="Times New Roman"/>
          <w:sz w:val="24"/>
          <w:szCs w:val="24"/>
        </w:rPr>
        <w:footnoteReference w:id="21"/>
      </w:r>
      <w:r w:rsidR="00C27D91" w:rsidRPr="00C70EB4">
        <w:rPr>
          <w:rFonts w:ascii="Times New Roman" w:hAnsi="Times New Roman" w:cs="Times New Roman"/>
          <w:sz w:val="24"/>
          <w:szCs w:val="24"/>
        </w:rPr>
        <w:t xml:space="preserve">. La </w:t>
      </w:r>
      <w:r w:rsidR="00C27D91" w:rsidRPr="00C70EB4">
        <w:rPr>
          <w:rFonts w:ascii="Times New Roman" w:hAnsi="Times New Roman" w:cs="Times New Roman"/>
          <w:i/>
          <w:iCs/>
          <w:sz w:val="24"/>
          <w:szCs w:val="24"/>
        </w:rPr>
        <w:t xml:space="preserve">ratio </w:t>
      </w:r>
      <w:proofErr w:type="spellStart"/>
      <w:r w:rsidR="00C27D91" w:rsidRPr="00C70EB4">
        <w:rPr>
          <w:rFonts w:ascii="Times New Roman" w:hAnsi="Times New Roman" w:cs="Times New Roman"/>
          <w:i/>
          <w:iCs/>
          <w:sz w:val="24"/>
          <w:szCs w:val="24"/>
        </w:rPr>
        <w:t>legis</w:t>
      </w:r>
      <w:proofErr w:type="spellEnd"/>
      <w:r w:rsidR="00C27D91" w:rsidRPr="00C70EB4">
        <w:rPr>
          <w:rFonts w:ascii="Times New Roman" w:hAnsi="Times New Roman" w:cs="Times New Roman"/>
          <w:sz w:val="24"/>
          <w:szCs w:val="24"/>
        </w:rPr>
        <w:t xml:space="preserve"> exacte de cette disposition n’est pas connue, dès lors que les travaux préparatoires du Traité de 1957 ont été détruits afin d’éviter une interprétation </w:t>
      </w:r>
      <w:proofErr w:type="spellStart"/>
      <w:r w:rsidR="00C27D91" w:rsidRPr="00C70EB4">
        <w:rPr>
          <w:rFonts w:ascii="Times New Roman" w:hAnsi="Times New Roman" w:cs="Times New Roman"/>
          <w:sz w:val="24"/>
          <w:szCs w:val="24"/>
        </w:rPr>
        <w:t>originaliste</w:t>
      </w:r>
      <w:proofErr w:type="spellEnd"/>
      <w:r w:rsidR="00C27D91" w:rsidRPr="00C70EB4">
        <w:rPr>
          <w:rFonts w:ascii="Times New Roman" w:hAnsi="Times New Roman" w:cs="Times New Roman"/>
          <w:sz w:val="24"/>
          <w:szCs w:val="24"/>
        </w:rPr>
        <w:t xml:space="preserve"> ultérieure</w:t>
      </w:r>
      <w:r w:rsidR="00C27D91" w:rsidRPr="00C70EB4">
        <w:rPr>
          <w:rStyle w:val="Appelnotedebasdep"/>
          <w:rFonts w:ascii="Times New Roman" w:hAnsi="Times New Roman" w:cs="Times New Roman"/>
          <w:sz w:val="24"/>
          <w:szCs w:val="24"/>
        </w:rPr>
        <w:footnoteReference w:id="22"/>
      </w:r>
      <w:r w:rsidR="00C27D91" w:rsidRPr="00C70EB4">
        <w:rPr>
          <w:rFonts w:ascii="Times New Roman" w:hAnsi="Times New Roman" w:cs="Times New Roman"/>
          <w:sz w:val="24"/>
          <w:szCs w:val="24"/>
        </w:rPr>
        <w:t>. Cela étant, on considère que cette disposition résulte de la réticence des Etats membres de poursuivre l’intégration européenne dans le domaine militaire, considéré comme faisant partie de la sphère régalienne</w:t>
      </w:r>
      <w:r w:rsidR="00C27D91" w:rsidRPr="00C70EB4">
        <w:rPr>
          <w:rStyle w:val="Appelnotedebasdep"/>
          <w:rFonts w:ascii="Times New Roman" w:hAnsi="Times New Roman" w:cs="Times New Roman"/>
          <w:sz w:val="24"/>
          <w:szCs w:val="24"/>
        </w:rPr>
        <w:footnoteReference w:id="23"/>
      </w:r>
      <w:r w:rsidR="00C27D91" w:rsidRPr="00C70EB4">
        <w:rPr>
          <w:rFonts w:ascii="Times New Roman" w:hAnsi="Times New Roman" w:cs="Times New Roman"/>
          <w:sz w:val="24"/>
          <w:szCs w:val="24"/>
        </w:rPr>
        <w:t>. Dans ce cadre, plusieurs raisons économiques sont avancées, selon lesquelles les marchés de Défense présenteraient des spécificités intrinsèques de nature à justifier un traitement particulier par le droit primaire, notamment en ce qui concerne la confidentialité des informations, l’exigence d’approvisionnement en continu, la flexibilité des acteurs industriels concernés ou encore la valeur technologique des biens produits</w:t>
      </w:r>
      <w:r w:rsidR="00C27D91" w:rsidRPr="00C70EB4">
        <w:rPr>
          <w:rStyle w:val="Appelnotedebasdep"/>
          <w:rFonts w:ascii="Times New Roman" w:hAnsi="Times New Roman" w:cs="Times New Roman"/>
          <w:sz w:val="24"/>
          <w:szCs w:val="24"/>
        </w:rPr>
        <w:footnoteReference w:id="24"/>
      </w:r>
      <w:r w:rsidR="00C27D91" w:rsidRPr="00C70EB4">
        <w:rPr>
          <w:rFonts w:ascii="Times New Roman" w:hAnsi="Times New Roman" w:cs="Times New Roman"/>
          <w:sz w:val="24"/>
          <w:szCs w:val="24"/>
        </w:rPr>
        <w:t>. Pour le surplus, on peut relever que l’article 296 du Traité sur la Communauté européenne, devenu ensuite l’article 346 du TFUE, a fait l’objet d’une communication interprétative de la Commission européenne en 2006, et ce, en vue d’en clarifier les conditions d’application</w:t>
      </w:r>
      <w:r w:rsidR="00C27D91" w:rsidRPr="00C70EB4">
        <w:rPr>
          <w:rStyle w:val="Appelnotedebasdep"/>
          <w:rFonts w:ascii="Times New Roman" w:hAnsi="Times New Roman" w:cs="Times New Roman"/>
          <w:sz w:val="24"/>
          <w:szCs w:val="24"/>
        </w:rPr>
        <w:footnoteReference w:id="25"/>
      </w:r>
      <w:r w:rsidR="00C27D91" w:rsidRPr="00C70EB4">
        <w:rPr>
          <w:rFonts w:ascii="Times New Roman" w:hAnsi="Times New Roman" w:cs="Times New Roman"/>
          <w:sz w:val="24"/>
          <w:szCs w:val="24"/>
        </w:rPr>
        <w:t>. Ce document, qui n’a pas en soi de valeur contraignante, est à utiliser avec prudence dès lors qu’il est désormais daté – il est ainsi antérieur à l’adoption du Traité de Lisbonne et de la directive 2009/81/CE – de sorte qu’il n’intègre pas la jurisprudence récente de la Cour de justice de l’Union européenne</w:t>
      </w:r>
      <w:r w:rsidR="00C27D91" w:rsidRPr="00C70EB4">
        <w:rPr>
          <w:rStyle w:val="Appelnotedebasdep"/>
          <w:rFonts w:ascii="Times New Roman" w:hAnsi="Times New Roman" w:cs="Times New Roman"/>
          <w:sz w:val="24"/>
          <w:szCs w:val="24"/>
        </w:rPr>
        <w:footnoteReference w:id="26"/>
      </w:r>
      <w:r w:rsidR="00C27D91" w:rsidRPr="00C70EB4">
        <w:rPr>
          <w:rFonts w:ascii="Times New Roman" w:hAnsi="Times New Roman" w:cs="Times New Roman"/>
          <w:sz w:val="24"/>
          <w:szCs w:val="24"/>
        </w:rPr>
        <w:t>.</w:t>
      </w:r>
    </w:p>
    <w:p w14:paraId="28D43C7C" w14:textId="77777777" w:rsidR="00C27D91" w:rsidRPr="00C70EB4" w:rsidRDefault="00C27D91" w:rsidP="00C70EB4">
      <w:pPr>
        <w:spacing w:after="0" w:line="276" w:lineRule="auto"/>
        <w:rPr>
          <w:rFonts w:ascii="Times New Roman" w:hAnsi="Times New Roman" w:cs="Times New Roman"/>
          <w:sz w:val="24"/>
          <w:szCs w:val="24"/>
        </w:rPr>
      </w:pPr>
    </w:p>
    <w:p w14:paraId="712122D5" w14:textId="2848F8F5"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La portée du traitement particulier engendré par l’article 346 du TFUE sur les marchés de Défense paraît claire : cette disposition autorise, moyennant la réunion des conditions qui sont examinées plus en détails ci-dessous</w:t>
      </w:r>
      <w:r w:rsidRPr="00C70EB4">
        <w:rPr>
          <w:rStyle w:val="Appelnotedebasdep"/>
          <w:rFonts w:ascii="Times New Roman" w:hAnsi="Times New Roman" w:cs="Times New Roman"/>
          <w:sz w:val="24"/>
          <w:szCs w:val="24"/>
        </w:rPr>
        <w:footnoteReference w:id="27"/>
      </w:r>
      <w:r w:rsidRPr="00C70EB4">
        <w:rPr>
          <w:rFonts w:ascii="Times New Roman" w:hAnsi="Times New Roman" w:cs="Times New Roman"/>
          <w:sz w:val="24"/>
          <w:szCs w:val="24"/>
        </w:rPr>
        <w:t xml:space="preserve">, une exemption totale du droit de l’Union, primaire et </w:t>
      </w:r>
      <w:r w:rsidRPr="00C70EB4">
        <w:rPr>
          <w:rFonts w:ascii="Times New Roman" w:hAnsi="Times New Roman" w:cs="Times New Roman"/>
          <w:sz w:val="24"/>
          <w:szCs w:val="24"/>
        </w:rPr>
        <w:lastRenderedPageBreak/>
        <w:t>dérivé</w:t>
      </w:r>
      <w:r w:rsidRPr="00C70EB4">
        <w:rPr>
          <w:rStyle w:val="Appelnotedebasdep"/>
          <w:rFonts w:ascii="Times New Roman" w:hAnsi="Times New Roman" w:cs="Times New Roman"/>
          <w:sz w:val="24"/>
          <w:szCs w:val="24"/>
        </w:rPr>
        <w:footnoteReference w:id="28"/>
      </w:r>
      <w:r w:rsidRPr="00C70EB4">
        <w:rPr>
          <w:rFonts w:ascii="Times New Roman" w:hAnsi="Times New Roman" w:cs="Times New Roman"/>
          <w:sz w:val="24"/>
          <w:szCs w:val="24"/>
        </w:rPr>
        <w:t>. Cette position semble partagée par la Commission européenne</w:t>
      </w:r>
      <w:r w:rsidRPr="00C70EB4">
        <w:rPr>
          <w:rStyle w:val="Appelnotedebasdep"/>
          <w:rFonts w:ascii="Times New Roman" w:hAnsi="Times New Roman" w:cs="Times New Roman"/>
          <w:sz w:val="24"/>
          <w:szCs w:val="24"/>
        </w:rPr>
        <w:footnoteReference w:id="29"/>
      </w:r>
      <w:r w:rsidRPr="00C70EB4">
        <w:rPr>
          <w:rFonts w:ascii="Times New Roman" w:hAnsi="Times New Roman" w:cs="Times New Roman"/>
          <w:sz w:val="24"/>
          <w:szCs w:val="24"/>
        </w:rPr>
        <w:t xml:space="preserve"> et par la Cour de justice de l’Union européenne</w:t>
      </w:r>
      <w:r w:rsidRPr="00C70EB4">
        <w:rPr>
          <w:rStyle w:val="Appelnotedebasdep"/>
          <w:rFonts w:ascii="Times New Roman" w:hAnsi="Times New Roman" w:cs="Times New Roman"/>
          <w:sz w:val="24"/>
          <w:szCs w:val="24"/>
        </w:rPr>
        <w:footnoteReference w:id="30"/>
      </w:r>
      <w:r w:rsidRPr="00C70EB4">
        <w:rPr>
          <w:rFonts w:ascii="Times New Roman" w:hAnsi="Times New Roman" w:cs="Times New Roman"/>
          <w:sz w:val="24"/>
          <w:szCs w:val="24"/>
        </w:rPr>
        <w:t>. A notre estime, ce principe est confirmé tant par une interprétation littérale de l’article 346, dès lors que son libellé énonce sans équivoque que « les dispositions des traités ne font pas obstacle » aux hypothèses qu’il énumère, que par une interprétation systémique, du fait de la place de cette disposition au sein de la Septième partie du TFUE, intitulée « Dispositions générales et finales », ce qui amène à lui conférer le caractère de dérogation générale</w:t>
      </w:r>
      <w:r w:rsidRPr="00C70EB4">
        <w:rPr>
          <w:rStyle w:val="Appelnotedebasdep"/>
          <w:rFonts w:ascii="Times New Roman" w:hAnsi="Times New Roman" w:cs="Times New Roman"/>
          <w:sz w:val="24"/>
          <w:szCs w:val="24"/>
        </w:rPr>
        <w:footnoteReference w:id="31"/>
      </w:r>
      <w:r w:rsidRPr="00C70EB4">
        <w:rPr>
          <w:rFonts w:ascii="Times New Roman" w:hAnsi="Times New Roman" w:cs="Times New Roman"/>
          <w:sz w:val="24"/>
          <w:szCs w:val="24"/>
        </w:rPr>
        <w:t>. Partant, il y a lieu de considérer que ni les grands principes issus du droit primaire applicables aux procédures de marchés publics, à l’instar de la transparence ou de la non-discrimination, ni les directives pertinentes, comme la directive 2009/81/CE, ne s’appliquent lorsque l’article 346 du TFUE est valablement invoqué</w:t>
      </w:r>
      <w:r w:rsidR="001A6D18">
        <w:rPr>
          <w:rStyle w:val="Appelnotedebasdep"/>
          <w:rFonts w:ascii="Times New Roman" w:hAnsi="Times New Roman" w:cs="Times New Roman"/>
          <w:sz w:val="24"/>
          <w:szCs w:val="24"/>
        </w:rPr>
        <w:footnoteReference w:id="32"/>
      </w:r>
      <w:r w:rsidRPr="00C70EB4">
        <w:rPr>
          <w:rFonts w:ascii="Times New Roman" w:hAnsi="Times New Roman" w:cs="Times New Roman"/>
          <w:sz w:val="24"/>
          <w:szCs w:val="24"/>
        </w:rPr>
        <w:t>.</w:t>
      </w:r>
      <w:r w:rsidR="001A6D18">
        <w:rPr>
          <w:rFonts w:ascii="Times New Roman" w:hAnsi="Times New Roman" w:cs="Times New Roman"/>
          <w:sz w:val="24"/>
          <w:szCs w:val="24"/>
        </w:rPr>
        <w:t xml:space="preserve"> </w:t>
      </w:r>
      <w:r w:rsidRPr="00C70EB4">
        <w:rPr>
          <w:rFonts w:ascii="Times New Roman" w:hAnsi="Times New Roman" w:cs="Times New Roman"/>
          <w:sz w:val="24"/>
          <w:szCs w:val="24"/>
        </w:rPr>
        <w:t>Il convient toutefois de préciser qu’en raison de ce statut dérogatoire, cette disposition est bien évidemment d’interprétation stricte</w:t>
      </w:r>
      <w:r w:rsidRPr="00C70EB4">
        <w:rPr>
          <w:rStyle w:val="Appelnotedebasdep"/>
          <w:rFonts w:ascii="Times New Roman" w:hAnsi="Times New Roman" w:cs="Times New Roman"/>
          <w:sz w:val="24"/>
          <w:szCs w:val="24"/>
        </w:rPr>
        <w:footnoteReference w:id="33"/>
      </w:r>
      <w:r w:rsidRPr="00C70EB4">
        <w:rPr>
          <w:rFonts w:ascii="Times New Roman" w:hAnsi="Times New Roman" w:cs="Times New Roman"/>
          <w:sz w:val="24"/>
          <w:szCs w:val="24"/>
        </w:rPr>
        <w:t xml:space="preserve">. </w:t>
      </w:r>
    </w:p>
    <w:p w14:paraId="1F4231A7" w14:textId="77777777" w:rsidR="00C27D91" w:rsidRPr="00C70EB4" w:rsidRDefault="00C27D91" w:rsidP="00C70EB4">
      <w:pPr>
        <w:spacing w:after="0" w:line="276" w:lineRule="auto"/>
        <w:jc w:val="both"/>
        <w:rPr>
          <w:rFonts w:ascii="Times New Roman" w:hAnsi="Times New Roman" w:cs="Times New Roman"/>
          <w:sz w:val="24"/>
          <w:szCs w:val="24"/>
        </w:rPr>
      </w:pPr>
    </w:p>
    <w:p w14:paraId="49779947" w14:textId="3B2CAEA8" w:rsidR="00C27D91" w:rsidRPr="00C70EB4" w:rsidRDefault="00B03342"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7</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w:t>
      </w:r>
      <w:r w:rsidR="001A6D18">
        <w:rPr>
          <w:rFonts w:ascii="Times New Roman" w:hAnsi="Times New Roman" w:cs="Times New Roman"/>
          <w:sz w:val="24"/>
          <w:szCs w:val="24"/>
        </w:rPr>
        <w:t>Dans l’arrêt commenté, le</w:t>
      </w:r>
      <w:r w:rsidR="001A6D18" w:rsidRPr="00C70EB4">
        <w:rPr>
          <w:rFonts w:ascii="Times New Roman" w:hAnsi="Times New Roman" w:cs="Times New Roman"/>
          <w:sz w:val="24"/>
          <w:szCs w:val="24"/>
        </w:rPr>
        <w:t xml:space="preserve"> </w:t>
      </w:r>
      <w:r w:rsidR="00C27D91" w:rsidRPr="00C70EB4">
        <w:rPr>
          <w:rFonts w:ascii="Times New Roman" w:hAnsi="Times New Roman" w:cs="Times New Roman"/>
          <w:sz w:val="24"/>
          <w:szCs w:val="24"/>
        </w:rPr>
        <w:t>Conseil d’Etat confirme cette portée dérogatoire</w:t>
      </w:r>
      <w:r w:rsidR="001A6D18">
        <w:rPr>
          <w:rFonts w:ascii="Times New Roman" w:hAnsi="Times New Roman" w:cs="Times New Roman"/>
          <w:sz w:val="24"/>
          <w:szCs w:val="24"/>
        </w:rPr>
        <w:t>,</w:t>
      </w:r>
      <w:r w:rsidR="00C27D91" w:rsidRPr="00C70EB4">
        <w:rPr>
          <w:rFonts w:ascii="Times New Roman" w:hAnsi="Times New Roman" w:cs="Times New Roman"/>
          <w:sz w:val="24"/>
          <w:szCs w:val="24"/>
        </w:rPr>
        <w:t xml:space="preserve"> notamment au regard du droit primaire de l’Union européenne, et ce, dans son appréciation du deuxième moyen invoqué par la partie requérante. Après avoir estimé que les conditions du recours à l’article 346 du TFUE sont</w:t>
      </w:r>
      <w:r w:rsidR="001A6D18">
        <w:rPr>
          <w:rFonts w:ascii="Times New Roman" w:hAnsi="Times New Roman" w:cs="Times New Roman"/>
          <w:sz w:val="24"/>
          <w:szCs w:val="24"/>
        </w:rPr>
        <w:t xml:space="preserve"> bien</w:t>
      </w:r>
      <w:r w:rsidR="00C27D91" w:rsidRPr="00C70EB4">
        <w:rPr>
          <w:rFonts w:ascii="Times New Roman" w:hAnsi="Times New Roman" w:cs="Times New Roman"/>
          <w:sz w:val="24"/>
          <w:szCs w:val="24"/>
        </w:rPr>
        <w:t xml:space="preserve"> </w:t>
      </w:r>
      <w:r w:rsidR="001A6D18">
        <w:rPr>
          <w:rFonts w:ascii="Times New Roman" w:hAnsi="Times New Roman" w:cs="Times New Roman"/>
          <w:sz w:val="24"/>
          <w:szCs w:val="24"/>
        </w:rPr>
        <w:t>réunies</w:t>
      </w:r>
      <w:r w:rsidR="001A6D18" w:rsidRPr="00C70EB4">
        <w:rPr>
          <w:rFonts w:ascii="Times New Roman" w:hAnsi="Times New Roman" w:cs="Times New Roman"/>
          <w:sz w:val="24"/>
          <w:szCs w:val="24"/>
        </w:rPr>
        <w:t xml:space="preserve"> </w:t>
      </w:r>
      <w:r w:rsidR="00C27D91" w:rsidRPr="00C70EB4">
        <w:rPr>
          <w:rFonts w:ascii="Times New Roman" w:hAnsi="Times New Roman" w:cs="Times New Roman"/>
          <w:sz w:val="24"/>
          <w:szCs w:val="24"/>
        </w:rPr>
        <w:t>en l’espèce</w:t>
      </w:r>
      <w:r w:rsidR="00C27D91" w:rsidRPr="00C70EB4">
        <w:rPr>
          <w:rStyle w:val="Appelnotedebasdep"/>
          <w:rFonts w:ascii="Times New Roman" w:hAnsi="Times New Roman" w:cs="Times New Roman"/>
          <w:sz w:val="24"/>
          <w:szCs w:val="24"/>
        </w:rPr>
        <w:footnoteReference w:id="34"/>
      </w:r>
      <w:r w:rsidR="00C27D91" w:rsidRPr="00C70EB4">
        <w:rPr>
          <w:rFonts w:ascii="Times New Roman" w:hAnsi="Times New Roman" w:cs="Times New Roman"/>
          <w:sz w:val="24"/>
          <w:szCs w:val="24"/>
        </w:rPr>
        <w:t>, la Haute juridiction administrative rejette le grief pris de la violation du principe de transparence découlant des articles 18, 49 et 56 du TFUE. Elle estime qu’il peut être dérogé</w:t>
      </w:r>
      <w:r w:rsidR="001A6D18">
        <w:rPr>
          <w:rFonts w:ascii="Times New Roman" w:hAnsi="Times New Roman" w:cs="Times New Roman"/>
          <w:sz w:val="24"/>
          <w:szCs w:val="24"/>
        </w:rPr>
        <w:t xml:space="preserve">, en l’espèce, </w:t>
      </w:r>
      <w:r w:rsidR="00C27D91" w:rsidRPr="00C70EB4">
        <w:rPr>
          <w:rFonts w:ascii="Times New Roman" w:hAnsi="Times New Roman" w:cs="Times New Roman"/>
          <w:sz w:val="24"/>
          <w:szCs w:val="24"/>
        </w:rPr>
        <w:t xml:space="preserve"> à ce principe dès lors que, notamment, l’article 346, paragraphe 1</w:t>
      </w:r>
      <w:r w:rsidR="00C27D91" w:rsidRPr="00C70EB4">
        <w:rPr>
          <w:rFonts w:ascii="Times New Roman" w:hAnsi="Times New Roman" w:cs="Times New Roman"/>
          <w:sz w:val="24"/>
          <w:szCs w:val="24"/>
          <w:vertAlign w:val="superscript"/>
        </w:rPr>
        <w:t>er</w:t>
      </w:r>
      <w:r w:rsidR="00C27D91" w:rsidRPr="00C70EB4">
        <w:rPr>
          <w:rFonts w:ascii="Times New Roman" w:hAnsi="Times New Roman" w:cs="Times New Roman"/>
          <w:sz w:val="24"/>
          <w:szCs w:val="24"/>
        </w:rPr>
        <w:t>, b), du TFUE autorise de ne pas appliquer la transparence afin de protéger les intérêts essentiels de sécurité des Etats membres</w:t>
      </w:r>
      <w:r w:rsidR="00C27D91" w:rsidRPr="00C70EB4">
        <w:rPr>
          <w:rStyle w:val="Appelnotedebasdep"/>
          <w:rFonts w:ascii="Times New Roman" w:hAnsi="Times New Roman" w:cs="Times New Roman"/>
          <w:sz w:val="24"/>
          <w:szCs w:val="24"/>
        </w:rPr>
        <w:footnoteReference w:id="35"/>
      </w:r>
      <w:r w:rsidR="00C27D91" w:rsidRPr="00C70EB4">
        <w:rPr>
          <w:rFonts w:ascii="Times New Roman" w:hAnsi="Times New Roman" w:cs="Times New Roman"/>
          <w:sz w:val="24"/>
          <w:szCs w:val="24"/>
        </w:rPr>
        <w:t xml:space="preserve">. </w:t>
      </w:r>
    </w:p>
    <w:p w14:paraId="0C4008D2" w14:textId="77777777" w:rsidR="00C27D91" w:rsidRPr="00C70EB4" w:rsidRDefault="00C27D91" w:rsidP="00C70EB4">
      <w:pPr>
        <w:spacing w:after="0" w:line="276" w:lineRule="auto"/>
        <w:rPr>
          <w:rFonts w:ascii="Times New Roman" w:hAnsi="Times New Roman" w:cs="Times New Roman"/>
          <w:sz w:val="24"/>
          <w:szCs w:val="24"/>
        </w:rPr>
      </w:pPr>
    </w:p>
    <w:p w14:paraId="0F9F1378" w14:textId="2D3F9466" w:rsidR="00C27D91" w:rsidRPr="00C70EB4" w:rsidRDefault="00C27D91" w:rsidP="00C70EB4">
      <w:pPr>
        <w:pStyle w:val="Paragraphedeliste"/>
        <w:numPr>
          <w:ilvl w:val="0"/>
          <w:numId w:val="1"/>
        </w:numPr>
        <w:spacing w:after="0"/>
        <w:jc w:val="both"/>
        <w:rPr>
          <w:rFonts w:ascii="Times New Roman" w:hAnsi="Times New Roman" w:cs="Times New Roman"/>
          <w:b/>
          <w:bCs/>
          <w:sz w:val="24"/>
          <w:szCs w:val="24"/>
        </w:rPr>
      </w:pPr>
      <w:r w:rsidRPr="00C70EB4">
        <w:rPr>
          <w:rFonts w:ascii="Times New Roman" w:hAnsi="Times New Roman" w:cs="Times New Roman"/>
          <w:b/>
          <w:bCs/>
          <w:sz w:val="24"/>
          <w:szCs w:val="24"/>
        </w:rPr>
        <w:t>Le recours à l’article 346 du TFUE</w:t>
      </w:r>
    </w:p>
    <w:p w14:paraId="64BA9864" w14:textId="77777777" w:rsidR="00C27D91" w:rsidRPr="00C70EB4" w:rsidRDefault="00C27D91" w:rsidP="00C70EB4">
      <w:pPr>
        <w:spacing w:after="0" w:line="276" w:lineRule="auto"/>
        <w:rPr>
          <w:rFonts w:ascii="Times New Roman" w:hAnsi="Times New Roman" w:cs="Times New Roman"/>
          <w:sz w:val="24"/>
          <w:szCs w:val="24"/>
        </w:rPr>
      </w:pPr>
    </w:p>
    <w:p w14:paraId="65751E33" w14:textId="3C354723" w:rsidR="00C27D91" w:rsidRPr="00C70EB4" w:rsidRDefault="00B03342"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8</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Dans l’arrêt commenté, la section du contentieux administratif du Conseil d’Etat constate que les conditions de recours à l’article 346 du TFUE sont </w:t>
      </w:r>
      <w:r w:rsidR="00C27D91" w:rsidRPr="00C70EB4">
        <w:rPr>
          <w:rFonts w:ascii="Times New Roman" w:hAnsi="Times New Roman" w:cs="Times New Roman"/>
          <w:i/>
          <w:iCs/>
          <w:sz w:val="24"/>
          <w:szCs w:val="24"/>
        </w:rPr>
        <w:t>prima facie</w:t>
      </w:r>
      <w:r w:rsidR="00C27D91" w:rsidRPr="00C70EB4">
        <w:rPr>
          <w:rFonts w:ascii="Times New Roman" w:hAnsi="Times New Roman" w:cs="Times New Roman"/>
          <w:sz w:val="24"/>
          <w:szCs w:val="24"/>
        </w:rPr>
        <w:t xml:space="preserve"> remplies au stade de la suspension, à savoir les intérêts essentiels de sécurité (a) et le matériel militaire (b). Il convient par ailleurs de s’interroger quant au respect du principe de proportionnalité (c). </w:t>
      </w:r>
    </w:p>
    <w:p w14:paraId="59147D9E" w14:textId="77777777" w:rsidR="00C27D91" w:rsidRPr="00C70EB4" w:rsidRDefault="00C27D91" w:rsidP="00C70EB4">
      <w:pPr>
        <w:spacing w:after="0" w:line="276" w:lineRule="auto"/>
        <w:rPr>
          <w:rFonts w:ascii="Times New Roman" w:hAnsi="Times New Roman" w:cs="Times New Roman"/>
          <w:sz w:val="24"/>
          <w:szCs w:val="24"/>
        </w:rPr>
      </w:pPr>
    </w:p>
    <w:p w14:paraId="0223F03E" w14:textId="62F6D6F7" w:rsidR="00C27D91" w:rsidRPr="00C70EB4" w:rsidRDefault="00C27D91" w:rsidP="00C70EB4">
      <w:pPr>
        <w:spacing w:after="0" w:line="276" w:lineRule="auto"/>
        <w:rPr>
          <w:rFonts w:ascii="Times New Roman" w:hAnsi="Times New Roman" w:cs="Times New Roman"/>
          <w:sz w:val="24"/>
          <w:szCs w:val="24"/>
        </w:rPr>
      </w:pPr>
      <w:r w:rsidRPr="00C70EB4">
        <w:rPr>
          <w:rFonts w:ascii="Times New Roman" w:hAnsi="Times New Roman" w:cs="Times New Roman"/>
          <w:i/>
          <w:iCs/>
          <w:sz w:val="24"/>
          <w:szCs w:val="24"/>
        </w:rPr>
        <w:lastRenderedPageBreak/>
        <w:t>a) Les intérêts essentiels de sécurité</w:t>
      </w:r>
      <w:r w:rsidRPr="00C70EB4">
        <w:rPr>
          <w:rFonts w:ascii="Times New Roman" w:hAnsi="Times New Roman" w:cs="Times New Roman"/>
          <w:sz w:val="24"/>
          <w:szCs w:val="24"/>
        </w:rPr>
        <w:t xml:space="preserve"> </w:t>
      </w:r>
    </w:p>
    <w:p w14:paraId="37C425D5" w14:textId="77777777" w:rsidR="00C27D91" w:rsidRPr="00C70EB4" w:rsidRDefault="00C27D91" w:rsidP="00C70EB4">
      <w:pPr>
        <w:spacing w:after="0" w:line="276" w:lineRule="auto"/>
        <w:rPr>
          <w:rFonts w:ascii="Times New Roman" w:hAnsi="Times New Roman" w:cs="Times New Roman"/>
          <w:sz w:val="24"/>
          <w:szCs w:val="24"/>
        </w:rPr>
      </w:pPr>
    </w:p>
    <w:p w14:paraId="7AEC35C4" w14:textId="32A1A5FC" w:rsidR="00C27D91" w:rsidRPr="00C70EB4" w:rsidRDefault="001A6D18"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9</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Le Conseil d’Etat examine d’abord l’existence d’intérêts essentiels de sécurité avant de se pencher sur l’existence du matériel militaire visé par l’article 346 du TFUE. Cette manière de faire peut surprendre, dès lors que l’on considère que la condition touchant au produit est la condition première du recours à l’article 346</w:t>
      </w:r>
      <w:r w:rsidR="00C27D91" w:rsidRPr="00C70EB4">
        <w:rPr>
          <w:rStyle w:val="Appelnotedebasdep"/>
          <w:rFonts w:ascii="Times New Roman" w:hAnsi="Times New Roman" w:cs="Times New Roman"/>
          <w:sz w:val="24"/>
          <w:szCs w:val="24"/>
        </w:rPr>
        <w:footnoteReference w:id="36"/>
      </w:r>
      <w:r w:rsidR="00C27D91" w:rsidRPr="00C70EB4">
        <w:rPr>
          <w:rFonts w:ascii="Times New Roman" w:hAnsi="Times New Roman" w:cs="Times New Roman"/>
          <w:sz w:val="24"/>
          <w:szCs w:val="24"/>
        </w:rPr>
        <w:t xml:space="preserve">, de telle sorte que la Cour de justice de l’Union européenne estime que le respect de cette exigence autorise </w:t>
      </w:r>
      <w:r w:rsidR="00C27D91" w:rsidRPr="00C70EB4">
        <w:rPr>
          <w:rFonts w:ascii="Times New Roman" w:hAnsi="Times New Roman" w:cs="Times New Roman"/>
          <w:i/>
          <w:iCs/>
          <w:sz w:val="24"/>
          <w:szCs w:val="24"/>
        </w:rPr>
        <w:t>a priori</w:t>
      </w:r>
      <w:r w:rsidR="00C27D91" w:rsidRPr="00C70EB4">
        <w:rPr>
          <w:rFonts w:ascii="Times New Roman" w:hAnsi="Times New Roman" w:cs="Times New Roman"/>
          <w:sz w:val="24"/>
          <w:szCs w:val="24"/>
        </w:rPr>
        <w:t xml:space="preserve"> l’Etat membre de se prévaloir de cette disposition</w:t>
      </w:r>
      <w:r w:rsidR="00C27D91" w:rsidRPr="00C70EB4">
        <w:rPr>
          <w:rStyle w:val="Appelnotedebasdep"/>
          <w:rFonts w:ascii="Times New Roman" w:hAnsi="Times New Roman" w:cs="Times New Roman"/>
          <w:sz w:val="24"/>
          <w:szCs w:val="24"/>
        </w:rPr>
        <w:footnoteReference w:id="37"/>
      </w:r>
      <w:r w:rsidR="00C27D91" w:rsidRPr="00C70EB4">
        <w:rPr>
          <w:rFonts w:ascii="Times New Roman" w:hAnsi="Times New Roman" w:cs="Times New Roman"/>
          <w:sz w:val="24"/>
          <w:szCs w:val="24"/>
        </w:rPr>
        <w:t>. On pouvait donc s’attendre à ce que le Conseil d’Etat examine prioritairement le matériel concerné par le partenariat envisagé.</w:t>
      </w:r>
    </w:p>
    <w:p w14:paraId="52D7ABCB" w14:textId="77777777" w:rsidR="00C27D91" w:rsidRPr="00C70EB4" w:rsidRDefault="00C27D91" w:rsidP="00C70EB4">
      <w:pPr>
        <w:spacing w:after="0" w:line="276" w:lineRule="auto"/>
        <w:jc w:val="both"/>
        <w:rPr>
          <w:rFonts w:ascii="Times New Roman" w:hAnsi="Times New Roman" w:cs="Times New Roman"/>
          <w:sz w:val="24"/>
          <w:szCs w:val="24"/>
        </w:rPr>
      </w:pPr>
    </w:p>
    <w:p w14:paraId="36E673DF" w14:textId="70A4E1A2" w:rsidR="00C27D91" w:rsidRPr="00C70EB4" w:rsidRDefault="001A6D18"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10</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w:t>
      </w:r>
      <w:r>
        <w:rPr>
          <w:rFonts w:ascii="Times New Roman" w:hAnsi="Times New Roman" w:cs="Times New Roman"/>
          <w:sz w:val="24"/>
          <w:szCs w:val="24"/>
        </w:rPr>
        <w:t>L</w:t>
      </w:r>
      <w:r w:rsidR="00C27D91" w:rsidRPr="00C70EB4">
        <w:rPr>
          <w:rFonts w:ascii="Times New Roman" w:hAnsi="Times New Roman" w:cs="Times New Roman"/>
          <w:sz w:val="24"/>
          <w:szCs w:val="24"/>
        </w:rPr>
        <w:t xml:space="preserve">’article 346 du TFUE ne définit pas </w:t>
      </w:r>
      <w:r>
        <w:rPr>
          <w:rFonts w:ascii="Times New Roman" w:hAnsi="Times New Roman" w:cs="Times New Roman"/>
          <w:sz w:val="24"/>
          <w:szCs w:val="24"/>
        </w:rPr>
        <w:t>la</w:t>
      </w:r>
      <w:r w:rsidRPr="00C70EB4">
        <w:rPr>
          <w:rFonts w:ascii="Times New Roman" w:hAnsi="Times New Roman" w:cs="Times New Roman"/>
          <w:sz w:val="24"/>
          <w:szCs w:val="24"/>
        </w:rPr>
        <w:t xml:space="preserve"> </w:t>
      </w:r>
      <w:r w:rsidR="00C27D91" w:rsidRPr="00C70EB4">
        <w:rPr>
          <w:rFonts w:ascii="Times New Roman" w:hAnsi="Times New Roman" w:cs="Times New Roman"/>
          <w:sz w:val="24"/>
          <w:szCs w:val="24"/>
        </w:rPr>
        <w:t>notion</w:t>
      </w:r>
      <w:r>
        <w:rPr>
          <w:rFonts w:ascii="Times New Roman" w:hAnsi="Times New Roman" w:cs="Times New Roman"/>
          <w:sz w:val="24"/>
          <w:szCs w:val="24"/>
        </w:rPr>
        <w:t xml:space="preserve"> d’intérêts essentiels de la sécurité des Etats</w:t>
      </w:r>
      <w:r w:rsidR="00C27D91" w:rsidRPr="00C70EB4">
        <w:rPr>
          <w:rFonts w:ascii="Times New Roman" w:hAnsi="Times New Roman" w:cs="Times New Roman"/>
          <w:sz w:val="24"/>
          <w:szCs w:val="24"/>
        </w:rPr>
        <w:t>. Il revient donc logiquement à la Cour de justice de l’Union européenne d’en préciser les contours</w:t>
      </w:r>
      <w:r w:rsidR="00C27D91" w:rsidRPr="00C70EB4">
        <w:rPr>
          <w:rStyle w:val="Appelnotedebasdep"/>
          <w:rFonts w:ascii="Times New Roman" w:hAnsi="Times New Roman" w:cs="Times New Roman"/>
          <w:sz w:val="24"/>
          <w:szCs w:val="24"/>
        </w:rPr>
        <w:footnoteReference w:id="38"/>
      </w:r>
      <w:r w:rsidR="00C27D91" w:rsidRPr="00C70EB4">
        <w:rPr>
          <w:rFonts w:ascii="Times New Roman" w:hAnsi="Times New Roman" w:cs="Times New Roman"/>
          <w:sz w:val="24"/>
          <w:szCs w:val="24"/>
        </w:rPr>
        <w:t xml:space="preserve">. </w:t>
      </w:r>
    </w:p>
    <w:p w14:paraId="41F805C8" w14:textId="77777777" w:rsidR="00C27D91" w:rsidRPr="00C70EB4" w:rsidRDefault="00C27D91" w:rsidP="00C70EB4">
      <w:pPr>
        <w:spacing w:after="0" w:line="276" w:lineRule="auto"/>
        <w:jc w:val="both"/>
        <w:rPr>
          <w:rFonts w:ascii="Times New Roman" w:hAnsi="Times New Roman" w:cs="Times New Roman"/>
          <w:sz w:val="24"/>
          <w:szCs w:val="24"/>
        </w:rPr>
      </w:pPr>
    </w:p>
    <w:p w14:paraId="6302A657" w14:textId="0070FF30"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A cet égard, il convient de relever qu’il est aussi question de la </w:t>
      </w:r>
      <w:r w:rsidR="001A6D18">
        <w:rPr>
          <w:rFonts w:ascii="Times New Roman" w:hAnsi="Times New Roman" w:cs="Times New Roman"/>
          <w:sz w:val="24"/>
          <w:szCs w:val="24"/>
        </w:rPr>
        <w:t>« </w:t>
      </w:r>
      <w:r w:rsidRPr="00C70EB4">
        <w:rPr>
          <w:rFonts w:ascii="Times New Roman" w:hAnsi="Times New Roman" w:cs="Times New Roman"/>
          <w:sz w:val="24"/>
          <w:szCs w:val="24"/>
        </w:rPr>
        <w:t>sécurité</w:t>
      </w:r>
      <w:r w:rsidR="001A6D18">
        <w:rPr>
          <w:rFonts w:ascii="Times New Roman" w:hAnsi="Times New Roman" w:cs="Times New Roman"/>
          <w:sz w:val="24"/>
          <w:szCs w:val="24"/>
        </w:rPr>
        <w:t> »</w:t>
      </w:r>
      <w:r w:rsidRPr="00C70EB4">
        <w:rPr>
          <w:rFonts w:ascii="Times New Roman" w:hAnsi="Times New Roman" w:cs="Times New Roman"/>
          <w:sz w:val="24"/>
          <w:szCs w:val="24"/>
        </w:rPr>
        <w:t xml:space="preserve"> des Etats membres à l’article 4, paragraphe 2, du TUE, qui prévoit que la sécurité nationale est une des fonctions essentielles de l’Etat</w:t>
      </w:r>
      <w:r w:rsidRPr="00C70EB4">
        <w:rPr>
          <w:rStyle w:val="Appelnotedebasdep"/>
          <w:rFonts w:ascii="Times New Roman" w:hAnsi="Times New Roman" w:cs="Times New Roman"/>
          <w:sz w:val="24"/>
          <w:szCs w:val="24"/>
        </w:rPr>
        <w:footnoteReference w:id="39"/>
      </w:r>
      <w:r w:rsidRPr="00C70EB4">
        <w:rPr>
          <w:rFonts w:ascii="Times New Roman" w:hAnsi="Times New Roman" w:cs="Times New Roman"/>
          <w:sz w:val="24"/>
          <w:szCs w:val="24"/>
        </w:rPr>
        <w:t>. A ce propos, la Cour de justice de l’Union européenne a jugé que « l’article 4, paragraphe 2, TUE énonce que la sécurité nationale reste de la seule responsabilité de chaque État membre. Cette responsabilité correspond à l’intérêt primordial de protéger les fonctions essentielles de l’État et les intérêts fondamentaux de la société et inclut la prévention et la répression d’activités de nature à déstabiliser gravement les structures constitutionnelles, politiques, économiques ou sociales fondamentales d’un pays, et en particulier à menacer directement la société, la population ou l’État en tant que tel, telles que notamment des activités de terrorisme »</w:t>
      </w:r>
      <w:r w:rsidRPr="00C70EB4">
        <w:rPr>
          <w:rStyle w:val="Appelnotedebasdep"/>
          <w:rFonts w:ascii="Times New Roman" w:hAnsi="Times New Roman" w:cs="Times New Roman"/>
          <w:sz w:val="24"/>
          <w:szCs w:val="24"/>
        </w:rPr>
        <w:footnoteReference w:id="40"/>
      </w:r>
      <w:r w:rsidRPr="00C70EB4">
        <w:rPr>
          <w:rFonts w:ascii="Times New Roman" w:hAnsi="Times New Roman" w:cs="Times New Roman"/>
          <w:sz w:val="24"/>
          <w:szCs w:val="24"/>
        </w:rPr>
        <w:t xml:space="preserve">. </w:t>
      </w:r>
    </w:p>
    <w:p w14:paraId="77B44BE4" w14:textId="77777777" w:rsidR="00C27D91" w:rsidRPr="00C70EB4" w:rsidRDefault="00C27D91" w:rsidP="00C70EB4">
      <w:pPr>
        <w:spacing w:after="0" w:line="276" w:lineRule="auto"/>
        <w:jc w:val="both"/>
        <w:rPr>
          <w:rFonts w:ascii="Times New Roman" w:hAnsi="Times New Roman" w:cs="Times New Roman"/>
          <w:sz w:val="24"/>
          <w:szCs w:val="24"/>
        </w:rPr>
      </w:pPr>
    </w:p>
    <w:p w14:paraId="5AD0666F" w14:textId="77777777"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Récemment, la Cour de justice de l’Union européenne a défini la notion d’intérêts essentiels de sécurité au sens de l’article 346 du TFUE</w:t>
      </w:r>
      <w:r w:rsidRPr="00C70EB4">
        <w:rPr>
          <w:rStyle w:val="Appelnotedebasdep"/>
          <w:rFonts w:ascii="Times New Roman" w:hAnsi="Times New Roman" w:cs="Times New Roman"/>
          <w:sz w:val="24"/>
          <w:szCs w:val="24"/>
        </w:rPr>
        <w:footnoteReference w:id="41"/>
      </w:r>
      <w:r w:rsidRPr="00C70EB4">
        <w:rPr>
          <w:rFonts w:ascii="Times New Roman" w:hAnsi="Times New Roman" w:cs="Times New Roman"/>
          <w:sz w:val="24"/>
          <w:szCs w:val="24"/>
        </w:rPr>
        <w:t xml:space="preserve"> en faisant explicitement référence à la notion de sécurité nationale contenue à l’article 4, paragraphe 2, du TUE. Par un arrêt du 7 septembre 2023, elle a en effet affirmé que « le terme « sécurité », visé [à l’article 346 TFUE], inclut notamment la préservation de la sécurité nationale »</w:t>
      </w:r>
      <w:r w:rsidRPr="00C70EB4">
        <w:rPr>
          <w:rStyle w:val="Appelnotedebasdep"/>
          <w:rFonts w:ascii="Times New Roman" w:hAnsi="Times New Roman" w:cs="Times New Roman"/>
          <w:sz w:val="24"/>
          <w:szCs w:val="24"/>
        </w:rPr>
        <w:footnoteReference w:id="42"/>
      </w:r>
      <w:r w:rsidRPr="00C70EB4">
        <w:rPr>
          <w:rFonts w:ascii="Times New Roman" w:hAnsi="Times New Roman" w:cs="Times New Roman"/>
          <w:sz w:val="24"/>
          <w:szCs w:val="24"/>
        </w:rPr>
        <w:t xml:space="preserve"> puis a rappelé la définition donnée à cette notion au sens de l’article 4, paragraphe 2, du TUE</w:t>
      </w:r>
      <w:r w:rsidRPr="00C70EB4">
        <w:rPr>
          <w:rStyle w:val="Appelnotedebasdep"/>
          <w:rFonts w:ascii="Times New Roman" w:hAnsi="Times New Roman" w:cs="Times New Roman"/>
          <w:sz w:val="24"/>
          <w:szCs w:val="24"/>
        </w:rPr>
        <w:footnoteReference w:id="43"/>
      </w:r>
      <w:r w:rsidRPr="00C70EB4">
        <w:rPr>
          <w:rFonts w:ascii="Times New Roman" w:hAnsi="Times New Roman" w:cs="Times New Roman"/>
          <w:sz w:val="24"/>
          <w:szCs w:val="24"/>
        </w:rPr>
        <w:t xml:space="preserve">. </w:t>
      </w:r>
    </w:p>
    <w:p w14:paraId="07F68CDD" w14:textId="77777777" w:rsidR="00C27D91" w:rsidRPr="00C70EB4" w:rsidRDefault="00C27D91" w:rsidP="00C70EB4">
      <w:pPr>
        <w:spacing w:after="0" w:line="276" w:lineRule="auto"/>
        <w:jc w:val="both"/>
        <w:rPr>
          <w:rFonts w:ascii="Times New Roman" w:hAnsi="Times New Roman" w:cs="Times New Roman"/>
          <w:sz w:val="24"/>
          <w:szCs w:val="24"/>
        </w:rPr>
      </w:pPr>
    </w:p>
    <w:p w14:paraId="1886BA47" w14:textId="77777777"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Pour le surplus, et dans le respect des principes qui précèdent, il appartient aux Etats eux-mêmes de définir les intérêts essentiels de leur sécurité. S’ils jouissent d’une large liberté d’appréciation pour ce faire, il leur incombe néanmoins de démontrer avec précision en quoi le marché concerné permet d’assurer la protection de tels intérêts</w:t>
      </w:r>
      <w:r w:rsidRPr="00C70EB4">
        <w:rPr>
          <w:rStyle w:val="Appelnotedebasdep"/>
          <w:rFonts w:ascii="Times New Roman" w:hAnsi="Times New Roman" w:cs="Times New Roman"/>
          <w:sz w:val="24"/>
          <w:szCs w:val="24"/>
        </w:rPr>
        <w:footnoteReference w:id="44"/>
      </w:r>
      <w:r w:rsidRPr="00C70EB4">
        <w:rPr>
          <w:rFonts w:ascii="Times New Roman" w:hAnsi="Times New Roman" w:cs="Times New Roman"/>
          <w:sz w:val="24"/>
          <w:szCs w:val="24"/>
        </w:rPr>
        <w:t>.</w:t>
      </w:r>
    </w:p>
    <w:p w14:paraId="03A4EDEB" w14:textId="77777777" w:rsidR="00C27D91" w:rsidRPr="00C70EB4" w:rsidRDefault="00C27D91" w:rsidP="00C70EB4">
      <w:pPr>
        <w:spacing w:after="0" w:line="276" w:lineRule="auto"/>
        <w:jc w:val="both"/>
        <w:rPr>
          <w:rFonts w:ascii="Times New Roman" w:hAnsi="Times New Roman" w:cs="Times New Roman"/>
          <w:sz w:val="24"/>
          <w:szCs w:val="24"/>
        </w:rPr>
      </w:pPr>
    </w:p>
    <w:p w14:paraId="694805B8" w14:textId="6B202EF9" w:rsidR="00C27D91" w:rsidRPr="00C70EB4" w:rsidRDefault="001A6D18"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11</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Le Conseil d’Etat consacre de longs développements au respect de la condition d’intérêts essentiels de sécurité dans le cadre du marché attaqué. A titre liminaire, il rappelle que l’article 346, paragraphe 1</w:t>
      </w:r>
      <w:r w:rsidR="00C27D91" w:rsidRPr="00C70EB4">
        <w:rPr>
          <w:rFonts w:ascii="Times New Roman" w:hAnsi="Times New Roman" w:cs="Times New Roman"/>
          <w:sz w:val="24"/>
          <w:szCs w:val="24"/>
          <w:vertAlign w:val="superscript"/>
        </w:rPr>
        <w:t>er</w:t>
      </w:r>
      <w:r w:rsidR="00C27D91" w:rsidRPr="00C70EB4">
        <w:rPr>
          <w:rFonts w:ascii="Times New Roman" w:hAnsi="Times New Roman" w:cs="Times New Roman"/>
          <w:sz w:val="24"/>
          <w:szCs w:val="24"/>
        </w:rPr>
        <w:t>, b), du TFUE est une disposition dérogatoire qui doit être interprétée de manière restrictive et qu’il appartient aux Etats membres de définir ce qui relève de leurs intérêts essentiels de sécurité</w:t>
      </w:r>
      <w:r w:rsidR="00C27D91" w:rsidRPr="00C70EB4">
        <w:rPr>
          <w:rStyle w:val="Appelnotedebasdep"/>
          <w:rFonts w:ascii="Times New Roman" w:hAnsi="Times New Roman" w:cs="Times New Roman"/>
          <w:sz w:val="24"/>
          <w:szCs w:val="24"/>
        </w:rPr>
        <w:footnoteReference w:id="45"/>
      </w:r>
      <w:r w:rsidR="00C27D91" w:rsidRPr="00C70EB4">
        <w:rPr>
          <w:rFonts w:ascii="Times New Roman" w:hAnsi="Times New Roman" w:cs="Times New Roman"/>
          <w:sz w:val="24"/>
          <w:szCs w:val="24"/>
        </w:rPr>
        <w:t>. Il convient de noter que la Haute juridiction administrative ne définit pas cette exigence et n’opère aucun lien avec celle la « sécurité nationale » visée par l’article 4, paragraphe 2, du TUE</w:t>
      </w:r>
      <w:r>
        <w:rPr>
          <w:rFonts w:ascii="Times New Roman" w:hAnsi="Times New Roman" w:cs="Times New Roman"/>
          <w:sz w:val="24"/>
          <w:szCs w:val="24"/>
        </w:rPr>
        <w:t>. E</w:t>
      </w:r>
      <w:r w:rsidR="00C27D91" w:rsidRPr="00C70EB4">
        <w:rPr>
          <w:rFonts w:ascii="Times New Roman" w:hAnsi="Times New Roman" w:cs="Times New Roman"/>
          <w:sz w:val="24"/>
          <w:szCs w:val="24"/>
        </w:rPr>
        <w:t>lle se limite à invoquer la commission interprétative de la Commission de 2006</w:t>
      </w:r>
      <w:r w:rsidR="00C27D91" w:rsidRPr="00C70EB4">
        <w:rPr>
          <w:rStyle w:val="Appelnotedebasdep"/>
          <w:rFonts w:ascii="Times New Roman" w:hAnsi="Times New Roman" w:cs="Times New Roman"/>
          <w:sz w:val="24"/>
          <w:szCs w:val="24"/>
        </w:rPr>
        <w:footnoteReference w:id="46"/>
      </w:r>
      <w:r w:rsidR="00C27D91" w:rsidRPr="00C70EB4">
        <w:rPr>
          <w:rFonts w:ascii="Times New Roman" w:hAnsi="Times New Roman" w:cs="Times New Roman"/>
          <w:sz w:val="24"/>
          <w:szCs w:val="24"/>
        </w:rPr>
        <w:t>.</w:t>
      </w:r>
    </w:p>
    <w:p w14:paraId="0B104A46" w14:textId="77777777" w:rsidR="00C27D91" w:rsidRPr="00C70EB4" w:rsidRDefault="00C27D91" w:rsidP="00C70EB4">
      <w:pPr>
        <w:spacing w:after="0" w:line="276" w:lineRule="auto"/>
        <w:jc w:val="both"/>
        <w:rPr>
          <w:rFonts w:ascii="Times New Roman" w:hAnsi="Times New Roman" w:cs="Times New Roman"/>
          <w:sz w:val="24"/>
          <w:szCs w:val="24"/>
        </w:rPr>
      </w:pPr>
    </w:p>
    <w:p w14:paraId="0AFE1E86" w14:textId="4CB6EE32"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Ensuite, le Conseil d’Etat relève que les intérêts essentiels de sécurité que le Gouvernement souhaite protéger par la passation du marché attaqué sont définis dans un document intitulé « Les intérêts belges dans le domaine de la politique de la Défense et de la sécurité », approuvé par le Conseil des ministres le 28 octobre 2016 et qui est « accessible au public »</w:t>
      </w:r>
      <w:r w:rsidRPr="00C70EB4">
        <w:rPr>
          <w:rStyle w:val="Appelnotedebasdep"/>
          <w:rFonts w:ascii="Times New Roman" w:hAnsi="Times New Roman" w:cs="Times New Roman"/>
          <w:sz w:val="24"/>
          <w:szCs w:val="24"/>
        </w:rPr>
        <w:footnoteReference w:id="47"/>
      </w:r>
      <w:r w:rsidRPr="00C70EB4">
        <w:rPr>
          <w:rFonts w:ascii="Times New Roman" w:hAnsi="Times New Roman" w:cs="Times New Roman"/>
          <w:sz w:val="24"/>
          <w:szCs w:val="24"/>
        </w:rPr>
        <w:t>. Sur la base d’extraits de ce document, le juge administratif estime qu’une base industrielle et technologique de Défense nationale forte dans des domaines technologiques stratégiquement importants permet une politique de défense nationale autonome, qui constitue un intérêt vital en matière de sécurité. Il précise que la détermination de ce qui constitue un tel intérêt relève du pouvoir discrétionnaire du Conseil des ministres. En particulier, le Conseil d’Etat observe que le lien entre le partenariat avec la FN Herstal, attaqué, permet d’assurer la sécurité d’approvisionnement et l’autonomie stratégique de la Belgique en toutes circonstances, au regard de la complexité et de la dangerosité de la situation internationale actuelle</w:t>
      </w:r>
      <w:r w:rsidRPr="00C70EB4">
        <w:rPr>
          <w:rStyle w:val="Appelnotedebasdep"/>
          <w:rFonts w:ascii="Times New Roman" w:hAnsi="Times New Roman" w:cs="Times New Roman"/>
          <w:sz w:val="24"/>
          <w:szCs w:val="24"/>
        </w:rPr>
        <w:footnoteReference w:id="48"/>
      </w:r>
      <w:r w:rsidRPr="00C70EB4">
        <w:rPr>
          <w:rFonts w:ascii="Times New Roman" w:hAnsi="Times New Roman" w:cs="Times New Roman"/>
          <w:sz w:val="24"/>
          <w:szCs w:val="24"/>
        </w:rPr>
        <w:t>. Par ailleurs, la Haute juridiction administrative constate que le document précité a récemment été confirmé par le Plan STAR de la ministre de la Défense, approuvé par le Gouvernement le 17 juin 2022, qui remplace la Vision stratégique publiée sous le Gouvernement Michel en 2016</w:t>
      </w:r>
      <w:r w:rsidRPr="00C70EB4">
        <w:rPr>
          <w:rStyle w:val="Appelnotedebasdep"/>
          <w:rFonts w:ascii="Times New Roman" w:hAnsi="Times New Roman" w:cs="Times New Roman"/>
          <w:sz w:val="24"/>
          <w:szCs w:val="24"/>
        </w:rPr>
        <w:footnoteReference w:id="49"/>
      </w:r>
      <w:r w:rsidRPr="00C70EB4">
        <w:rPr>
          <w:rFonts w:ascii="Times New Roman" w:hAnsi="Times New Roman" w:cs="Times New Roman"/>
          <w:sz w:val="24"/>
          <w:szCs w:val="24"/>
        </w:rPr>
        <w:t xml:space="preserve">. </w:t>
      </w:r>
    </w:p>
    <w:p w14:paraId="51E5ABE8" w14:textId="77777777" w:rsidR="00C27D91" w:rsidRPr="00C70EB4" w:rsidRDefault="00C27D91" w:rsidP="00C70EB4">
      <w:pPr>
        <w:spacing w:after="0" w:line="276" w:lineRule="auto"/>
        <w:jc w:val="both"/>
        <w:rPr>
          <w:rFonts w:ascii="Times New Roman" w:hAnsi="Times New Roman" w:cs="Times New Roman"/>
          <w:sz w:val="24"/>
          <w:szCs w:val="24"/>
        </w:rPr>
      </w:pPr>
    </w:p>
    <w:p w14:paraId="7300CA14" w14:textId="260CC467"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Le Conseil d’Etat estime donc que le partenariat envisagé semble à première vue remplir une des conditions imposées par l’article 346 du TFUE. En réponse à un autre grief soulevé par la partie requérante, il ajoute que la circonstance que le partenariat entraîne de manière indirecte des avantages économiques ou sociaux</w:t>
      </w:r>
      <w:r w:rsidR="001A6D18">
        <w:rPr>
          <w:rFonts w:ascii="Times New Roman" w:hAnsi="Times New Roman" w:cs="Times New Roman"/>
          <w:sz w:val="24"/>
          <w:szCs w:val="24"/>
        </w:rPr>
        <w:t>,</w:t>
      </w:r>
      <w:r w:rsidRPr="00C70EB4">
        <w:rPr>
          <w:rFonts w:ascii="Times New Roman" w:hAnsi="Times New Roman" w:cs="Times New Roman"/>
          <w:sz w:val="24"/>
          <w:szCs w:val="24"/>
        </w:rPr>
        <w:t xml:space="preserve"> sous la forme de connaissances, de technologies et d’emploi</w:t>
      </w:r>
      <w:r w:rsidR="001A6D18">
        <w:rPr>
          <w:rFonts w:ascii="Times New Roman" w:hAnsi="Times New Roman" w:cs="Times New Roman"/>
          <w:sz w:val="24"/>
          <w:szCs w:val="24"/>
        </w:rPr>
        <w:t>,</w:t>
      </w:r>
      <w:r w:rsidRPr="00C70EB4">
        <w:rPr>
          <w:rFonts w:ascii="Times New Roman" w:hAnsi="Times New Roman" w:cs="Times New Roman"/>
          <w:sz w:val="24"/>
          <w:szCs w:val="24"/>
        </w:rPr>
        <w:t xml:space="preserve"> n’est pas en soi exclue par la jurisprudence de la Cour de justice de l’Union </w:t>
      </w:r>
      <w:r w:rsidRPr="00C70EB4">
        <w:rPr>
          <w:rFonts w:ascii="Times New Roman" w:hAnsi="Times New Roman" w:cs="Times New Roman"/>
          <w:sz w:val="24"/>
          <w:szCs w:val="24"/>
        </w:rPr>
        <w:lastRenderedPageBreak/>
        <w:t>européenne ni par la communication interprétative de la Commission, dans la mesure où la poursuite des intérêts essentiels de sécurité constitue l’objectif principal poursuivi</w:t>
      </w:r>
      <w:r w:rsidRPr="00C70EB4">
        <w:rPr>
          <w:rStyle w:val="Appelnotedebasdep"/>
          <w:rFonts w:ascii="Times New Roman" w:hAnsi="Times New Roman" w:cs="Times New Roman"/>
          <w:sz w:val="24"/>
          <w:szCs w:val="24"/>
        </w:rPr>
        <w:footnoteReference w:id="50"/>
      </w:r>
      <w:r w:rsidRPr="00C70EB4">
        <w:rPr>
          <w:rFonts w:ascii="Times New Roman" w:hAnsi="Times New Roman" w:cs="Times New Roman"/>
          <w:sz w:val="24"/>
          <w:szCs w:val="24"/>
        </w:rPr>
        <w:t xml:space="preserve">. </w:t>
      </w:r>
    </w:p>
    <w:p w14:paraId="00556990" w14:textId="77777777" w:rsidR="00C27D91" w:rsidRPr="00C70EB4" w:rsidRDefault="00C27D91" w:rsidP="00C70EB4">
      <w:pPr>
        <w:spacing w:after="0" w:line="276" w:lineRule="auto"/>
        <w:jc w:val="both"/>
        <w:rPr>
          <w:rFonts w:ascii="Times New Roman" w:hAnsi="Times New Roman" w:cs="Times New Roman"/>
          <w:sz w:val="24"/>
          <w:szCs w:val="24"/>
        </w:rPr>
      </w:pPr>
    </w:p>
    <w:p w14:paraId="67BF7C5F" w14:textId="20DCCD42" w:rsidR="00C27D91" w:rsidRPr="00C70EB4" w:rsidRDefault="0006237E"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12</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Les éléments qui précèdent appellent plusieurs commentaires. Il y a peu, la doctrine s’interrogeait sur l’absence de définition, par l’Etat belge, des intérêts essentiels de sécurité se rapportant à la production ou au commerce de matériel militaire dans le cadre du recours à l’article 346 du TFUE, mais aussi sur les risques qu’une définition au cas par cas entraînerait au regard de la jurisprudence de la Cour de justice de l’Union européenne, susceptible de censurer le recours à des justifications trop circonstanciées</w:t>
      </w:r>
      <w:r w:rsidR="00C27D91" w:rsidRPr="00C70EB4">
        <w:rPr>
          <w:rStyle w:val="Appelnotedebasdep"/>
          <w:rFonts w:ascii="Times New Roman" w:hAnsi="Times New Roman" w:cs="Times New Roman"/>
          <w:sz w:val="24"/>
          <w:szCs w:val="24"/>
        </w:rPr>
        <w:footnoteReference w:id="51"/>
      </w:r>
      <w:r w:rsidR="00C27D91" w:rsidRPr="00C70EB4">
        <w:rPr>
          <w:rFonts w:ascii="Times New Roman" w:hAnsi="Times New Roman" w:cs="Times New Roman"/>
          <w:sz w:val="24"/>
          <w:szCs w:val="24"/>
        </w:rPr>
        <w:t>. A cet égard, l’adoption du document du 28 octobre 2016 par le Conseil des ministres, qui définit ces intérêts de manière générale, est à saluer. Cependant, la manière de procéder soulève certaines interrogations. Si le document est « accessible » en ce sens qu’il est disponible sur le site internet du SPF Economie</w:t>
      </w:r>
      <w:r w:rsidR="00C27D91" w:rsidRPr="00C70EB4">
        <w:rPr>
          <w:rStyle w:val="Appelnotedebasdep"/>
          <w:rFonts w:ascii="Times New Roman" w:hAnsi="Times New Roman" w:cs="Times New Roman"/>
          <w:sz w:val="24"/>
          <w:szCs w:val="24"/>
        </w:rPr>
        <w:footnoteReference w:id="52"/>
      </w:r>
      <w:r w:rsidR="00C27D91" w:rsidRPr="00C70EB4">
        <w:rPr>
          <w:rFonts w:ascii="Times New Roman" w:hAnsi="Times New Roman" w:cs="Times New Roman"/>
          <w:sz w:val="24"/>
          <w:szCs w:val="24"/>
        </w:rPr>
        <w:t xml:space="preserve">, il faut concéder qu’il n’a fait l’objet d’aucune publication officielle de nature à assurer la pérennité de sa diffusion, donc la sécurité juridique à l’égard, notamment, des opérateurs économiques.  </w:t>
      </w:r>
    </w:p>
    <w:p w14:paraId="38133828" w14:textId="77777777" w:rsidR="00C27D91" w:rsidRPr="00C70EB4" w:rsidRDefault="00C27D91" w:rsidP="00C70EB4">
      <w:pPr>
        <w:spacing w:after="0" w:line="276" w:lineRule="auto"/>
        <w:jc w:val="both"/>
        <w:rPr>
          <w:rFonts w:ascii="Times New Roman" w:hAnsi="Times New Roman" w:cs="Times New Roman"/>
          <w:sz w:val="24"/>
          <w:szCs w:val="24"/>
        </w:rPr>
      </w:pPr>
    </w:p>
    <w:p w14:paraId="545E311E" w14:textId="51BB0F54"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En outre, il est permis de s’interroger sur la circonstance que ces intérêts essentiels de sécurité aient été déterminés par le Conseil des ministres. A </w:t>
      </w:r>
      <w:r w:rsidR="0006237E">
        <w:rPr>
          <w:rFonts w:ascii="Times New Roman" w:hAnsi="Times New Roman" w:cs="Times New Roman"/>
          <w:sz w:val="24"/>
          <w:szCs w:val="24"/>
        </w:rPr>
        <w:t>ce propos</w:t>
      </w:r>
      <w:r w:rsidRPr="00C70EB4">
        <w:rPr>
          <w:rFonts w:ascii="Times New Roman" w:hAnsi="Times New Roman" w:cs="Times New Roman"/>
          <w:sz w:val="24"/>
          <w:szCs w:val="24"/>
        </w:rPr>
        <w:t xml:space="preserve">, </w:t>
      </w:r>
      <w:r w:rsidR="0006237E">
        <w:rPr>
          <w:rFonts w:ascii="Times New Roman" w:hAnsi="Times New Roman" w:cs="Times New Roman"/>
          <w:sz w:val="24"/>
          <w:szCs w:val="24"/>
        </w:rPr>
        <w:t xml:space="preserve">dans l’arrêt commenté, </w:t>
      </w:r>
      <w:r w:rsidRPr="00C70EB4">
        <w:rPr>
          <w:rFonts w:ascii="Times New Roman" w:hAnsi="Times New Roman" w:cs="Times New Roman"/>
          <w:sz w:val="24"/>
          <w:szCs w:val="24"/>
        </w:rPr>
        <w:t>le Conseil d’Etat affirme sans détour qu’il s’agit d’une compétence discrétionnaire de cet organe. Cependant, au regard des conséquences importantes que l’activation de l’article 346 du TFUE est susceptible d’entraîner sur le mode d’acquisition du matériel militaire, on peut se demander si l’énumération des intérêts essentiels de sécurité ne relève pas du pouvoir de commandement du Roi visé par l’article 167, §1</w:t>
      </w:r>
      <w:r w:rsidRPr="00C70EB4">
        <w:rPr>
          <w:rFonts w:ascii="Times New Roman" w:hAnsi="Times New Roman" w:cs="Times New Roman"/>
          <w:sz w:val="24"/>
          <w:szCs w:val="24"/>
          <w:vertAlign w:val="superscript"/>
        </w:rPr>
        <w:t>er</w:t>
      </w:r>
      <w:r w:rsidRPr="00C70EB4">
        <w:rPr>
          <w:rFonts w:ascii="Times New Roman" w:hAnsi="Times New Roman" w:cs="Times New Roman"/>
          <w:sz w:val="24"/>
          <w:szCs w:val="24"/>
        </w:rPr>
        <w:t>, alinéa 2, de la Constitution, qui englobe notamment le choix de l’équipement de la Défense</w:t>
      </w:r>
      <w:r w:rsidRPr="00C70EB4">
        <w:rPr>
          <w:rStyle w:val="Appelnotedebasdep"/>
          <w:rFonts w:ascii="Times New Roman" w:hAnsi="Times New Roman" w:cs="Times New Roman"/>
          <w:sz w:val="24"/>
          <w:szCs w:val="24"/>
        </w:rPr>
        <w:footnoteReference w:id="53"/>
      </w:r>
      <w:r w:rsidRPr="00C70EB4">
        <w:rPr>
          <w:rFonts w:ascii="Times New Roman" w:hAnsi="Times New Roman" w:cs="Times New Roman"/>
          <w:sz w:val="24"/>
          <w:szCs w:val="24"/>
        </w:rPr>
        <w:t>.  La section de législation du Conseil d’Etat a déjà eu l’occasion de souligner l’inconstitutionnalité de l’exercice d’une modalité du pouvoir de commandement par le Gouvernement seul, sans le concours de la couronne</w:t>
      </w:r>
      <w:r w:rsidRPr="00C70EB4">
        <w:rPr>
          <w:rStyle w:val="Appelnotedebasdep"/>
          <w:rFonts w:ascii="Times New Roman" w:hAnsi="Times New Roman" w:cs="Times New Roman"/>
          <w:sz w:val="24"/>
          <w:szCs w:val="24"/>
        </w:rPr>
        <w:footnoteReference w:id="54"/>
      </w:r>
      <w:r w:rsidRPr="00C70EB4">
        <w:rPr>
          <w:rFonts w:ascii="Times New Roman" w:hAnsi="Times New Roman" w:cs="Times New Roman"/>
          <w:sz w:val="24"/>
          <w:szCs w:val="24"/>
        </w:rPr>
        <w:t xml:space="preserve">. </w:t>
      </w:r>
    </w:p>
    <w:p w14:paraId="3C8F3CE4" w14:textId="77777777" w:rsidR="00C27D91" w:rsidRPr="00C70EB4" w:rsidRDefault="00C27D91" w:rsidP="00C70EB4">
      <w:pPr>
        <w:spacing w:after="0" w:line="276" w:lineRule="auto"/>
        <w:jc w:val="both"/>
        <w:rPr>
          <w:rFonts w:ascii="Times New Roman" w:hAnsi="Times New Roman" w:cs="Times New Roman"/>
          <w:sz w:val="24"/>
          <w:szCs w:val="24"/>
        </w:rPr>
      </w:pPr>
    </w:p>
    <w:p w14:paraId="5E1FCD5E" w14:textId="77777777"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 xml:space="preserve">Pour respecter en toute hypothèse tant le principe de sécurité juridique que les prérogatives du Roi, il paraît souhaitable qu’à l’avenir, les intérêts essentiels de la sécurité soient fixés par un arrêté royal délibéré en Conseil des ministres. </w:t>
      </w:r>
    </w:p>
    <w:p w14:paraId="0516877D" w14:textId="77777777" w:rsidR="00C27D91" w:rsidRPr="00C70EB4" w:rsidRDefault="00C27D91" w:rsidP="00C70EB4">
      <w:pPr>
        <w:spacing w:after="0" w:line="276" w:lineRule="auto"/>
        <w:jc w:val="both"/>
        <w:rPr>
          <w:rFonts w:ascii="Times New Roman" w:hAnsi="Times New Roman" w:cs="Times New Roman"/>
          <w:sz w:val="24"/>
          <w:szCs w:val="24"/>
        </w:rPr>
      </w:pPr>
    </w:p>
    <w:p w14:paraId="4C586EF2" w14:textId="77777777"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Par ailleurs, si le Conseil d’Etat fait expressément référence, dans l’arrêt commenté, à la base industrielle et technologique de Défense nationale, il ne mentionne toutefois pas la loi de programmation militaire du 23 mai 2017</w:t>
      </w:r>
      <w:r w:rsidRPr="00C70EB4">
        <w:rPr>
          <w:rStyle w:val="Appelnotedebasdep"/>
          <w:rFonts w:ascii="Times New Roman" w:hAnsi="Times New Roman" w:cs="Times New Roman"/>
          <w:sz w:val="24"/>
          <w:szCs w:val="24"/>
        </w:rPr>
        <w:footnoteReference w:id="55"/>
      </w:r>
      <w:r w:rsidRPr="00C70EB4">
        <w:rPr>
          <w:rFonts w:ascii="Times New Roman" w:hAnsi="Times New Roman" w:cs="Times New Roman"/>
          <w:sz w:val="24"/>
          <w:szCs w:val="24"/>
        </w:rPr>
        <w:t xml:space="preserve">, modifiée en profondeur par une loi du 20 juillet </w:t>
      </w:r>
      <w:r w:rsidRPr="00C70EB4">
        <w:rPr>
          <w:rFonts w:ascii="Times New Roman" w:hAnsi="Times New Roman" w:cs="Times New Roman"/>
          <w:sz w:val="24"/>
          <w:szCs w:val="24"/>
        </w:rPr>
        <w:lastRenderedPageBreak/>
        <w:t>2022</w:t>
      </w:r>
      <w:r w:rsidRPr="00C70EB4">
        <w:rPr>
          <w:rStyle w:val="Appelnotedebasdep"/>
          <w:rFonts w:ascii="Times New Roman" w:hAnsi="Times New Roman" w:cs="Times New Roman"/>
          <w:sz w:val="24"/>
          <w:szCs w:val="24"/>
        </w:rPr>
        <w:footnoteReference w:id="56"/>
      </w:r>
      <w:r w:rsidRPr="00C70EB4">
        <w:rPr>
          <w:rFonts w:ascii="Times New Roman" w:hAnsi="Times New Roman" w:cs="Times New Roman"/>
          <w:sz w:val="24"/>
          <w:szCs w:val="24"/>
        </w:rPr>
        <w:t>, qui constitue pourtant la consécration légale d’une telle base industrielle et technologique. L’article 6/2, alinéa 1</w:t>
      </w:r>
      <w:r w:rsidRPr="00C70EB4">
        <w:rPr>
          <w:rFonts w:ascii="Times New Roman" w:hAnsi="Times New Roman" w:cs="Times New Roman"/>
          <w:sz w:val="24"/>
          <w:szCs w:val="24"/>
          <w:vertAlign w:val="superscript"/>
        </w:rPr>
        <w:t>er</w:t>
      </w:r>
      <w:r w:rsidRPr="00C70EB4">
        <w:rPr>
          <w:rFonts w:ascii="Times New Roman" w:hAnsi="Times New Roman" w:cs="Times New Roman"/>
          <w:sz w:val="24"/>
          <w:szCs w:val="24"/>
        </w:rPr>
        <w:t>, de la loi du 23 mai 2017 énonce en effet que « les moyens budgétaires permettent le renforcement de la base technologique et industrielle nationale dans le domaine de la sécurité et défense, permettant à la Belgique d'être reconnue comme un partenaire technologique important et fiable pour le développement des capacités européennes et transatlantiques, et de disposer de l'autonomie technologique et industrielle nécessaire dans certains domaines critiques », étant entendu qu’en vertu de l’alinéa 2, 1°, de cette disposition, ce renforcement comprend notamment « le financement par le budget de défense de la Stratégie Défense, Industrie et Recherche (SDIR ou "</w:t>
      </w:r>
      <w:proofErr w:type="spellStart"/>
      <w:r w:rsidRPr="00C70EB4">
        <w:rPr>
          <w:rFonts w:ascii="Times New Roman" w:hAnsi="Times New Roman" w:cs="Times New Roman"/>
          <w:sz w:val="24"/>
          <w:szCs w:val="24"/>
        </w:rPr>
        <w:t>Defence</w:t>
      </w:r>
      <w:proofErr w:type="spellEnd"/>
      <w:r w:rsidRPr="00C70EB4">
        <w:rPr>
          <w:rFonts w:ascii="Times New Roman" w:hAnsi="Times New Roman" w:cs="Times New Roman"/>
          <w:sz w:val="24"/>
          <w:szCs w:val="24"/>
        </w:rPr>
        <w:t xml:space="preserve">, </w:t>
      </w:r>
      <w:proofErr w:type="spellStart"/>
      <w:r w:rsidRPr="00C70EB4">
        <w:rPr>
          <w:rFonts w:ascii="Times New Roman" w:hAnsi="Times New Roman" w:cs="Times New Roman"/>
          <w:sz w:val="24"/>
          <w:szCs w:val="24"/>
        </w:rPr>
        <w:t>Industry</w:t>
      </w:r>
      <w:proofErr w:type="spellEnd"/>
      <w:r w:rsidRPr="00C70EB4">
        <w:rPr>
          <w:rFonts w:ascii="Times New Roman" w:hAnsi="Times New Roman" w:cs="Times New Roman"/>
          <w:sz w:val="24"/>
          <w:szCs w:val="24"/>
        </w:rPr>
        <w:t xml:space="preserve"> and </w:t>
      </w:r>
      <w:proofErr w:type="spellStart"/>
      <w:r w:rsidRPr="00C70EB4">
        <w:rPr>
          <w:rFonts w:ascii="Times New Roman" w:hAnsi="Times New Roman" w:cs="Times New Roman"/>
          <w:sz w:val="24"/>
          <w:szCs w:val="24"/>
        </w:rPr>
        <w:t>Research</w:t>
      </w:r>
      <w:proofErr w:type="spellEnd"/>
      <w:r w:rsidRPr="00C70EB4">
        <w:rPr>
          <w:rFonts w:ascii="Times New Roman" w:hAnsi="Times New Roman" w:cs="Times New Roman"/>
          <w:sz w:val="24"/>
          <w:szCs w:val="24"/>
        </w:rPr>
        <w:t xml:space="preserve"> </w:t>
      </w:r>
      <w:proofErr w:type="spellStart"/>
      <w:r w:rsidRPr="00C70EB4">
        <w:rPr>
          <w:rFonts w:ascii="Times New Roman" w:hAnsi="Times New Roman" w:cs="Times New Roman"/>
          <w:sz w:val="24"/>
          <w:szCs w:val="24"/>
        </w:rPr>
        <w:t>Strategy</w:t>
      </w:r>
      <w:proofErr w:type="spellEnd"/>
      <w:r w:rsidRPr="00C70EB4">
        <w:rPr>
          <w:rFonts w:ascii="Times New Roman" w:hAnsi="Times New Roman" w:cs="Times New Roman"/>
          <w:sz w:val="24"/>
          <w:szCs w:val="24"/>
        </w:rPr>
        <w:t>", DIRS) qui vise à instaurer un partenariat pragmatique entre le Ministère, les institutions de recherche et l'industrie » et que l’article 6/3, alinéa 1</w:t>
      </w:r>
      <w:r w:rsidRPr="00C70EB4">
        <w:rPr>
          <w:rFonts w:ascii="Times New Roman" w:hAnsi="Times New Roman" w:cs="Times New Roman"/>
          <w:sz w:val="24"/>
          <w:szCs w:val="24"/>
          <w:vertAlign w:val="superscript"/>
        </w:rPr>
        <w:t>er</w:t>
      </w:r>
      <w:r w:rsidRPr="00C70EB4">
        <w:rPr>
          <w:rFonts w:ascii="Times New Roman" w:hAnsi="Times New Roman" w:cs="Times New Roman"/>
          <w:sz w:val="24"/>
          <w:szCs w:val="24"/>
        </w:rPr>
        <w:t xml:space="preserve">, de cette loi prévoit que « le financement de la SDIR vise à réserver chaque année budgétaire à partir de 2026 la moitié de l'effort de défense appliquée sur le budget de défense ». </w:t>
      </w:r>
    </w:p>
    <w:p w14:paraId="77A51E04" w14:textId="77777777" w:rsidR="00C27D91" w:rsidRPr="00C70EB4" w:rsidRDefault="00C27D91" w:rsidP="00C70EB4">
      <w:pPr>
        <w:spacing w:after="0" w:line="276" w:lineRule="auto"/>
        <w:rPr>
          <w:rFonts w:ascii="Times New Roman" w:hAnsi="Times New Roman" w:cs="Times New Roman"/>
          <w:sz w:val="24"/>
          <w:szCs w:val="24"/>
        </w:rPr>
      </w:pPr>
    </w:p>
    <w:p w14:paraId="147D7312" w14:textId="1047E5C1" w:rsidR="00C27D91" w:rsidRPr="00C70EB4" w:rsidRDefault="00C27D91" w:rsidP="00C70EB4">
      <w:pPr>
        <w:spacing w:after="0" w:line="276" w:lineRule="auto"/>
        <w:rPr>
          <w:rFonts w:ascii="Times New Roman" w:hAnsi="Times New Roman" w:cs="Times New Roman"/>
          <w:sz w:val="24"/>
          <w:szCs w:val="24"/>
        </w:rPr>
      </w:pPr>
      <w:r w:rsidRPr="00C70EB4">
        <w:rPr>
          <w:rFonts w:ascii="Times New Roman" w:hAnsi="Times New Roman" w:cs="Times New Roman"/>
          <w:i/>
          <w:iCs/>
          <w:sz w:val="24"/>
          <w:szCs w:val="24"/>
        </w:rPr>
        <w:t>b) Le matériel de guerre</w:t>
      </w:r>
      <w:r w:rsidRPr="00C70EB4">
        <w:rPr>
          <w:rFonts w:ascii="Times New Roman" w:hAnsi="Times New Roman" w:cs="Times New Roman"/>
          <w:sz w:val="24"/>
          <w:szCs w:val="24"/>
        </w:rPr>
        <w:t xml:space="preserve"> </w:t>
      </w:r>
      <w:r w:rsidR="0006237E">
        <w:rPr>
          <w:rFonts w:ascii="Times New Roman" w:hAnsi="Times New Roman" w:cs="Times New Roman"/>
          <w:sz w:val="24"/>
          <w:szCs w:val="24"/>
        </w:rPr>
        <w:t xml:space="preserve"> </w:t>
      </w:r>
    </w:p>
    <w:p w14:paraId="2BB43782" w14:textId="77777777" w:rsidR="00C27D91" w:rsidRPr="00C70EB4" w:rsidRDefault="00C27D91" w:rsidP="00C70EB4">
      <w:pPr>
        <w:spacing w:after="0" w:line="276" w:lineRule="auto"/>
        <w:rPr>
          <w:rFonts w:ascii="Times New Roman" w:hAnsi="Times New Roman" w:cs="Times New Roman"/>
          <w:sz w:val="24"/>
          <w:szCs w:val="24"/>
        </w:rPr>
      </w:pPr>
    </w:p>
    <w:p w14:paraId="3BC23205" w14:textId="61D27AD3" w:rsidR="00C27D91" w:rsidRPr="00C70EB4" w:rsidRDefault="0006237E"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13.</w:t>
      </w:r>
      <w:r w:rsidR="00C27D91" w:rsidRPr="00C70EB4">
        <w:rPr>
          <w:rFonts w:ascii="Times New Roman" w:hAnsi="Times New Roman" w:cs="Times New Roman"/>
          <w:sz w:val="24"/>
          <w:szCs w:val="24"/>
        </w:rPr>
        <w:t xml:space="preserve"> L’autre condition imposée par l’article 346, paragraphe 1</w:t>
      </w:r>
      <w:r w:rsidR="00C27D91" w:rsidRPr="00C70EB4">
        <w:rPr>
          <w:rFonts w:ascii="Times New Roman" w:hAnsi="Times New Roman" w:cs="Times New Roman"/>
          <w:sz w:val="24"/>
          <w:szCs w:val="24"/>
          <w:vertAlign w:val="superscript"/>
        </w:rPr>
        <w:t>er</w:t>
      </w:r>
      <w:r w:rsidR="00C27D91" w:rsidRPr="00C70EB4">
        <w:rPr>
          <w:rFonts w:ascii="Times New Roman" w:hAnsi="Times New Roman" w:cs="Times New Roman"/>
          <w:sz w:val="24"/>
          <w:szCs w:val="24"/>
        </w:rPr>
        <w:t>, b), du TFUE correspond à un élément objectif : le marché doit porter sur des armes, des munitions ou du matériel de guerre. L’Etat membre ne dispose, dans ce cadre, d’aucune marge d</w:t>
      </w:r>
      <w:r>
        <w:rPr>
          <w:rFonts w:ascii="Times New Roman" w:hAnsi="Times New Roman" w:cs="Times New Roman"/>
          <w:sz w:val="24"/>
          <w:szCs w:val="24"/>
        </w:rPr>
        <w:t xml:space="preserve">’appréciation </w:t>
      </w:r>
      <w:r w:rsidR="00C27D91" w:rsidRPr="00C70EB4">
        <w:rPr>
          <w:rFonts w:ascii="Times New Roman" w:hAnsi="Times New Roman" w:cs="Times New Roman"/>
          <w:sz w:val="24"/>
          <w:szCs w:val="24"/>
        </w:rPr>
        <w:t xml:space="preserve">: comme l’article 346, paragraphe 2, du TFUE le laisse entrevoir, le matériel militaire concerné fait l’objet d’une liste issue d’une décision </w:t>
      </w:r>
      <w:r w:rsidR="00D13ED5">
        <w:rPr>
          <w:rFonts w:ascii="Times New Roman" w:hAnsi="Times New Roman" w:cs="Times New Roman"/>
          <w:sz w:val="24"/>
          <w:szCs w:val="24"/>
        </w:rPr>
        <w:t xml:space="preserve">n° 255/58 </w:t>
      </w:r>
      <w:r w:rsidR="00C27D91" w:rsidRPr="00C70EB4">
        <w:rPr>
          <w:rFonts w:ascii="Times New Roman" w:hAnsi="Times New Roman" w:cs="Times New Roman"/>
          <w:sz w:val="24"/>
          <w:szCs w:val="24"/>
        </w:rPr>
        <w:t>du Conseil du 15 avril 1958</w:t>
      </w:r>
      <w:r w:rsidR="00C27D91" w:rsidRPr="00C70EB4">
        <w:rPr>
          <w:rStyle w:val="Appelnotedebasdep"/>
          <w:rFonts w:ascii="Times New Roman" w:hAnsi="Times New Roman" w:cs="Times New Roman"/>
          <w:sz w:val="24"/>
          <w:szCs w:val="24"/>
        </w:rPr>
        <w:footnoteReference w:id="57"/>
      </w:r>
      <w:r w:rsidR="00C27D91" w:rsidRPr="00C70EB4">
        <w:rPr>
          <w:rFonts w:ascii="Times New Roman" w:hAnsi="Times New Roman" w:cs="Times New Roman"/>
          <w:sz w:val="24"/>
          <w:szCs w:val="24"/>
        </w:rPr>
        <w:t>. Dans le cadre du champ d’application de l’article 346 du TFUE, on considère que cette liste est exhaustive</w:t>
      </w:r>
      <w:r w:rsidR="00C27D91" w:rsidRPr="00C70EB4">
        <w:rPr>
          <w:rStyle w:val="Appelnotedebasdep"/>
          <w:rFonts w:ascii="Times New Roman" w:hAnsi="Times New Roman" w:cs="Times New Roman"/>
          <w:sz w:val="24"/>
          <w:szCs w:val="24"/>
        </w:rPr>
        <w:footnoteReference w:id="58"/>
      </w:r>
      <w:r w:rsidR="00C27D91" w:rsidRPr="00C70EB4">
        <w:rPr>
          <w:rFonts w:ascii="Times New Roman" w:hAnsi="Times New Roman" w:cs="Times New Roman"/>
          <w:sz w:val="24"/>
          <w:szCs w:val="24"/>
        </w:rPr>
        <w:t>. Par ailleurs, le matériel concerné doit être destiné à des fins spécifiquement militaires et pas à des fins civiles, ne fût-ce qu’en partie. Autrement dit, les biens à double emploi ne peuvent bénéficier du régime dérogatoire</w:t>
      </w:r>
      <w:r w:rsidR="00C27D91" w:rsidRPr="00C70EB4">
        <w:rPr>
          <w:rStyle w:val="Appelnotedebasdep"/>
          <w:rFonts w:ascii="Times New Roman" w:hAnsi="Times New Roman" w:cs="Times New Roman"/>
          <w:sz w:val="24"/>
          <w:szCs w:val="24"/>
        </w:rPr>
        <w:footnoteReference w:id="59"/>
      </w:r>
      <w:r w:rsidR="00C27D91" w:rsidRPr="00C70EB4">
        <w:rPr>
          <w:rFonts w:ascii="Times New Roman" w:hAnsi="Times New Roman" w:cs="Times New Roman"/>
          <w:sz w:val="24"/>
          <w:szCs w:val="24"/>
        </w:rPr>
        <w:t>.</w:t>
      </w:r>
    </w:p>
    <w:p w14:paraId="2405C1B6" w14:textId="77777777" w:rsidR="00C27D91" w:rsidRPr="00C70EB4" w:rsidRDefault="00C27D91" w:rsidP="00C70EB4">
      <w:pPr>
        <w:spacing w:after="0" w:line="276" w:lineRule="auto"/>
        <w:jc w:val="both"/>
        <w:rPr>
          <w:rFonts w:ascii="Times New Roman" w:hAnsi="Times New Roman" w:cs="Times New Roman"/>
          <w:sz w:val="24"/>
          <w:szCs w:val="24"/>
        </w:rPr>
      </w:pPr>
    </w:p>
    <w:p w14:paraId="0BE51912" w14:textId="62BECADD"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Il faut préciser que la liste du 15 avril 1958 n’a jamais fait l’objet d’une publication officielle, mais a été dévoilée en 2001 en réponse à une question d’un parlementaire européen</w:t>
      </w:r>
      <w:r w:rsidRPr="00C70EB4">
        <w:rPr>
          <w:rStyle w:val="Appelnotedebasdep"/>
          <w:rFonts w:ascii="Times New Roman" w:hAnsi="Times New Roman" w:cs="Times New Roman"/>
          <w:sz w:val="24"/>
          <w:szCs w:val="24"/>
        </w:rPr>
        <w:footnoteReference w:id="60"/>
      </w:r>
      <w:r w:rsidRPr="00C70EB4">
        <w:rPr>
          <w:rFonts w:ascii="Times New Roman" w:hAnsi="Times New Roman" w:cs="Times New Roman"/>
          <w:sz w:val="24"/>
          <w:szCs w:val="24"/>
        </w:rPr>
        <w:t>. Le matériel mentionné sur cette liste est considéré par certains comme daté</w:t>
      </w:r>
      <w:r w:rsidRPr="00C70EB4">
        <w:rPr>
          <w:rStyle w:val="Appelnotedebasdep"/>
          <w:rFonts w:ascii="Times New Roman" w:hAnsi="Times New Roman" w:cs="Times New Roman"/>
          <w:sz w:val="24"/>
          <w:szCs w:val="24"/>
        </w:rPr>
        <w:footnoteReference w:id="61"/>
      </w:r>
      <w:r w:rsidRPr="00C70EB4">
        <w:rPr>
          <w:rFonts w:ascii="Times New Roman" w:hAnsi="Times New Roman" w:cs="Times New Roman"/>
          <w:sz w:val="24"/>
          <w:szCs w:val="24"/>
        </w:rPr>
        <w:t>, voire obsolète</w:t>
      </w:r>
      <w:r w:rsidRPr="00C70EB4">
        <w:rPr>
          <w:rStyle w:val="Appelnotedebasdep"/>
          <w:rFonts w:ascii="Times New Roman" w:hAnsi="Times New Roman" w:cs="Times New Roman"/>
          <w:sz w:val="24"/>
          <w:szCs w:val="24"/>
        </w:rPr>
        <w:footnoteReference w:id="62"/>
      </w:r>
      <w:r w:rsidRPr="00C70EB4">
        <w:rPr>
          <w:rFonts w:ascii="Times New Roman" w:hAnsi="Times New Roman" w:cs="Times New Roman"/>
          <w:sz w:val="24"/>
          <w:szCs w:val="24"/>
        </w:rPr>
        <w:t>. S’il est vrai qu’elle apparaît moins d’actualité que certaines listes plus récentes adoptées par l’Union européenne en matière militaire</w:t>
      </w:r>
      <w:r w:rsidRPr="00C70EB4">
        <w:rPr>
          <w:rStyle w:val="Appelnotedebasdep"/>
          <w:rFonts w:ascii="Times New Roman" w:hAnsi="Times New Roman" w:cs="Times New Roman"/>
          <w:sz w:val="24"/>
          <w:szCs w:val="24"/>
        </w:rPr>
        <w:footnoteReference w:id="63"/>
      </w:r>
      <w:r w:rsidRPr="00C70EB4">
        <w:rPr>
          <w:rFonts w:ascii="Times New Roman" w:hAnsi="Times New Roman" w:cs="Times New Roman"/>
          <w:sz w:val="24"/>
          <w:szCs w:val="24"/>
        </w:rPr>
        <w:t xml:space="preserve">, il faut constater que son libellé relativement général permet une interprétation souple et dynamique par les Etats, </w:t>
      </w:r>
      <w:r w:rsidR="0006237E">
        <w:rPr>
          <w:rFonts w:ascii="Times New Roman" w:hAnsi="Times New Roman" w:cs="Times New Roman"/>
          <w:sz w:val="24"/>
          <w:szCs w:val="24"/>
        </w:rPr>
        <w:t xml:space="preserve">certes </w:t>
      </w:r>
      <w:r w:rsidRPr="00C70EB4">
        <w:rPr>
          <w:rFonts w:ascii="Times New Roman" w:hAnsi="Times New Roman" w:cs="Times New Roman"/>
          <w:sz w:val="24"/>
          <w:szCs w:val="24"/>
        </w:rPr>
        <w:t xml:space="preserve">avec le risque </w:t>
      </w:r>
      <w:r w:rsidRPr="00C70EB4">
        <w:rPr>
          <w:rFonts w:ascii="Times New Roman" w:hAnsi="Times New Roman" w:cs="Times New Roman"/>
          <w:sz w:val="24"/>
          <w:szCs w:val="24"/>
        </w:rPr>
        <w:lastRenderedPageBreak/>
        <w:t>d’interprétation divergentes</w:t>
      </w:r>
      <w:r w:rsidRPr="00C70EB4">
        <w:rPr>
          <w:rStyle w:val="Appelnotedebasdep"/>
          <w:rFonts w:ascii="Times New Roman" w:hAnsi="Times New Roman" w:cs="Times New Roman"/>
          <w:sz w:val="24"/>
          <w:szCs w:val="24"/>
        </w:rPr>
        <w:footnoteReference w:id="64"/>
      </w:r>
      <w:r w:rsidRPr="00C70EB4">
        <w:rPr>
          <w:rFonts w:ascii="Times New Roman" w:hAnsi="Times New Roman" w:cs="Times New Roman"/>
          <w:sz w:val="24"/>
          <w:szCs w:val="24"/>
        </w:rPr>
        <w:t xml:space="preserve">. La liste vise par exemple les « aéronefs et leurs équipements à usage militaire », ce qui permet d’englober les drones de combats, qui n’existaient pas en 1958. Cependant, </w:t>
      </w:r>
      <w:r w:rsidR="0006237E">
        <w:rPr>
          <w:rFonts w:ascii="Times New Roman" w:hAnsi="Times New Roman" w:cs="Times New Roman"/>
          <w:sz w:val="24"/>
          <w:szCs w:val="24"/>
        </w:rPr>
        <w:t>elle</w:t>
      </w:r>
      <w:r w:rsidRPr="00C70EB4">
        <w:rPr>
          <w:rFonts w:ascii="Times New Roman" w:hAnsi="Times New Roman" w:cs="Times New Roman"/>
          <w:sz w:val="24"/>
          <w:szCs w:val="24"/>
        </w:rPr>
        <w:t xml:space="preserve"> semble passablement inadaptée aux enjeux liés aux nouveaux domaines stratégiques, comme l’espace extra-atmosphérique ou le cyberespace</w:t>
      </w:r>
      <w:r w:rsidRPr="00C70EB4">
        <w:rPr>
          <w:rStyle w:val="Appelnotedebasdep"/>
          <w:rFonts w:ascii="Times New Roman" w:hAnsi="Times New Roman" w:cs="Times New Roman"/>
          <w:sz w:val="24"/>
          <w:szCs w:val="24"/>
        </w:rPr>
        <w:footnoteReference w:id="65"/>
      </w:r>
      <w:r w:rsidRPr="00C70EB4">
        <w:rPr>
          <w:rFonts w:ascii="Times New Roman" w:hAnsi="Times New Roman" w:cs="Times New Roman"/>
          <w:sz w:val="24"/>
          <w:szCs w:val="24"/>
        </w:rPr>
        <w:t>.</w:t>
      </w:r>
    </w:p>
    <w:p w14:paraId="6EFF729F" w14:textId="77777777" w:rsidR="00C27D91" w:rsidRPr="00C70EB4" w:rsidRDefault="00C27D91" w:rsidP="00C70EB4">
      <w:pPr>
        <w:spacing w:after="0" w:line="276" w:lineRule="auto"/>
        <w:jc w:val="both"/>
        <w:rPr>
          <w:rFonts w:ascii="Times New Roman" w:hAnsi="Times New Roman" w:cs="Times New Roman"/>
          <w:sz w:val="24"/>
          <w:szCs w:val="24"/>
        </w:rPr>
      </w:pPr>
    </w:p>
    <w:p w14:paraId="58DD289C" w14:textId="4C7974CC" w:rsidR="00C27D91" w:rsidRPr="00C70EB4" w:rsidRDefault="00217A70"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14</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Dans l’arrêt commenté, le Conseil d’Etat ne s’attarde pas outre mesure sur la condition de matériel militaire, qui n’est d’ailleurs pas contesté par la partie requérante. Celle-ci se limite à dénoncer le fait que le matériel visé par le partenariat avec la FN Herstal, à savoir un système d’armes légères, ne serait pas utilisé uniquement à des fins militaires, dès lors que la Police fédérale serait partie à l’accord. La Haute juridiction administrative considère que ce grief manque en fait dès lors que la décision du Conseil des ministres du 17 novembre 2023, attaquée, ne mentionne pas la participation de la Police fédérale</w:t>
      </w:r>
      <w:r w:rsidR="00C27D91" w:rsidRPr="00C70EB4">
        <w:rPr>
          <w:rStyle w:val="Appelnotedebasdep"/>
          <w:rFonts w:ascii="Times New Roman" w:hAnsi="Times New Roman" w:cs="Times New Roman"/>
          <w:sz w:val="24"/>
          <w:szCs w:val="24"/>
        </w:rPr>
        <w:footnoteReference w:id="66"/>
      </w:r>
      <w:r w:rsidR="00C27D91" w:rsidRPr="00C70EB4">
        <w:rPr>
          <w:rFonts w:ascii="Times New Roman" w:hAnsi="Times New Roman" w:cs="Times New Roman"/>
          <w:sz w:val="24"/>
          <w:szCs w:val="24"/>
        </w:rPr>
        <w:t>. A toutes fins utiles, on peut relever que les armes légères précitées paraissent bien mentionnées par la liste du 15 avril 1958, qui vise notamment les armes à feu portatives et automatiques, telles que les fusils, carabines, revolvers, pistolets et mitrailleuses, à l’exception toutefois des armes chasse, pistolets et autres armées à petit calibre, d’un calibre inférieur à 7 millimètres</w:t>
      </w:r>
      <w:r w:rsidR="00C27D91" w:rsidRPr="00C70EB4">
        <w:rPr>
          <w:rStyle w:val="Appelnotedebasdep"/>
          <w:rFonts w:ascii="Times New Roman" w:hAnsi="Times New Roman" w:cs="Times New Roman"/>
          <w:sz w:val="24"/>
          <w:szCs w:val="24"/>
        </w:rPr>
        <w:footnoteReference w:id="67"/>
      </w:r>
      <w:r w:rsidR="00C27D91" w:rsidRPr="00C70EB4">
        <w:rPr>
          <w:rFonts w:ascii="Times New Roman" w:hAnsi="Times New Roman" w:cs="Times New Roman"/>
          <w:sz w:val="24"/>
          <w:szCs w:val="24"/>
        </w:rPr>
        <w:t>.</w:t>
      </w:r>
    </w:p>
    <w:p w14:paraId="376BC369" w14:textId="77777777" w:rsidR="00C27D91" w:rsidRPr="00C70EB4" w:rsidRDefault="00C27D91" w:rsidP="00C70EB4">
      <w:pPr>
        <w:spacing w:after="0" w:line="276" w:lineRule="auto"/>
        <w:rPr>
          <w:rFonts w:ascii="Times New Roman" w:hAnsi="Times New Roman" w:cs="Times New Roman"/>
          <w:sz w:val="24"/>
          <w:szCs w:val="24"/>
        </w:rPr>
      </w:pPr>
    </w:p>
    <w:p w14:paraId="3C346BB6" w14:textId="6A82A141" w:rsidR="00C27D91" w:rsidRPr="00C70EB4" w:rsidRDefault="00C27D91" w:rsidP="00E9508A">
      <w:pPr>
        <w:spacing w:after="0" w:line="276" w:lineRule="auto"/>
        <w:rPr>
          <w:rFonts w:ascii="Times New Roman" w:hAnsi="Times New Roman" w:cs="Times New Roman"/>
          <w:sz w:val="24"/>
          <w:szCs w:val="24"/>
        </w:rPr>
      </w:pPr>
      <w:r w:rsidRPr="00C70EB4">
        <w:rPr>
          <w:rFonts w:ascii="Times New Roman" w:hAnsi="Times New Roman" w:cs="Times New Roman"/>
          <w:i/>
          <w:iCs/>
          <w:sz w:val="24"/>
          <w:szCs w:val="24"/>
        </w:rPr>
        <w:t>c) La proportionnalité</w:t>
      </w:r>
      <w:r w:rsidRPr="00C70EB4">
        <w:rPr>
          <w:rFonts w:ascii="Times New Roman" w:hAnsi="Times New Roman" w:cs="Times New Roman"/>
          <w:sz w:val="24"/>
          <w:szCs w:val="24"/>
        </w:rPr>
        <w:t xml:space="preserve"> </w:t>
      </w:r>
    </w:p>
    <w:p w14:paraId="1059C590" w14:textId="77777777" w:rsidR="009D58A5" w:rsidRPr="00C70EB4" w:rsidRDefault="009D58A5" w:rsidP="00C70EB4">
      <w:pPr>
        <w:spacing w:after="0" w:line="276" w:lineRule="auto"/>
        <w:rPr>
          <w:rFonts w:ascii="Times New Roman" w:hAnsi="Times New Roman" w:cs="Times New Roman"/>
          <w:sz w:val="24"/>
          <w:szCs w:val="24"/>
        </w:rPr>
      </w:pPr>
    </w:p>
    <w:p w14:paraId="2BEC29B4" w14:textId="137EA3AE" w:rsidR="007F6D4D" w:rsidRDefault="00217A70" w:rsidP="00E9508A">
      <w:pPr>
        <w:spacing w:after="0" w:line="276" w:lineRule="auto"/>
        <w:jc w:val="both"/>
        <w:rPr>
          <w:rFonts w:ascii="Times New Roman" w:hAnsi="Times New Roman" w:cs="Times New Roman"/>
          <w:sz w:val="24"/>
          <w:szCs w:val="24"/>
        </w:rPr>
      </w:pPr>
      <w:r w:rsidRPr="00C70EB4">
        <w:rPr>
          <w:rFonts w:ascii="Times New Roman" w:hAnsi="Times New Roman" w:cs="Times New Roman"/>
          <w:b/>
          <w:bCs/>
          <w:sz w:val="24"/>
          <w:szCs w:val="24"/>
        </w:rPr>
        <w:t>15.</w:t>
      </w:r>
      <w:r>
        <w:rPr>
          <w:rFonts w:ascii="Times New Roman" w:hAnsi="Times New Roman" w:cs="Times New Roman"/>
          <w:sz w:val="24"/>
          <w:szCs w:val="24"/>
        </w:rPr>
        <w:t xml:space="preserve"> </w:t>
      </w:r>
      <w:r w:rsidR="00E47F65" w:rsidRPr="00C70EB4">
        <w:rPr>
          <w:rFonts w:ascii="Times New Roman" w:hAnsi="Times New Roman" w:cs="Times New Roman"/>
          <w:sz w:val="24"/>
          <w:szCs w:val="24"/>
        </w:rPr>
        <w:t xml:space="preserve">La dernière condition est celle de la proportionnalité. </w:t>
      </w:r>
      <w:r w:rsidR="007F6D4D" w:rsidRPr="00C70EB4">
        <w:rPr>
          <w:rFonts w:ascii="Times New Roman" w:hAnsi="Times New Roman" w:cs="Times New Roman"/>
          <w:sz w:val="24"/>
          <w:szCs w:val="24"/>
        </w:rPr>
        <w:t>l'État qui se prévaut de l'exception prévue par l’article 346 TFUE doit démontrer que la mesure prise « conformément au principe de proportionnalité ne va pas au-delà de ce qui est approprié et nécessaire pour atteindre l'objectif poursuivi »</w:t>
      </w:r>
      <w:r w:rsidR="007F6D4D" w:rsidRPr="00C70EB4">
        <w:rPr>
          <w:rFonts w:ascii="Times New Roman" w:hAnsi="Times New Roman" w:cs="Times New Roman"/>
          <w:sz w:val="24"/>
          <w:szCs w:val="24"/>
          <w:vertAlign w:val="superscript"/>
        </w:rPr>
        <w:footnoteReference w:id="68"/>
      </w:r>
      <w:r w:rsidR="007F6D4D" w:rsidRPr="00C70EB4">
        <w:rPr>
          <w:rFonts w:ascii="Times New Roman" w:hAnsi="Times New Roman" w:cs="Times New Roman"/>
          <w:sz w:val="24"/>
          <w:szCs w:val="24"/>
        </w:rPr>
        <w:t>.</w:t>
      </w:r>
    </w:p>
    <w:p w14:paraId="4CE99319" w14:textId="77777777" w:rsidR="009D58A5" w:rsidRPr="00C70EB4" w:rsidRDefault="009D58A5" w:rsidP="00C70EB4">
      <w:pPr>
        <w:spacing w:after="0" w:line="276" w:lineRule="auto"/>
        <w:jc w:val="both"/>
        <w:rPr>
          <w:rFonts w:ascii="Times New Roman" w:hAnsi="Times New Roman" w:cs="Times New Roman"/>
          <w:sz w:val="24"/>
          <w:szCs w:val="24"/>
        </w:rPr>
      </w:pPr>
    </w:p>
    <w:p w14:paraId="320C4DEA" w14:textId="0174866A" w:rsidR="00E47F65" w:rsidRPr="00C70EB4" w:rsidRDefault="007F6D4D" w:rsidP="00E9508A">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En d’autres termes, il incombe à l’Etat de</w:t>
      </w:r>
      <w:r w:rsidR="00E47F65" w:rsidRPr="00C70EB4">
        <w:rPr>
          <w:rFonts w:ascii="Times New Roman" w:hAnsi="Times New Roman" w:cs="Times New Roman"/>
          <w:sz w:val="24"/>
          <w:szCs w:val="24"/>
        </w:rPr>
        <w:t xml:space="preserve"> démontrer que la protection offerte par l’article 346 du TFUE n’aurait pu être atteinte en respectant des règles moins restrictives de concurrence, telles celles contenues dans les directives marchés publics</w:t>
      </w:r>
      <w:r w:rsidR="005F7A3B" w:rsidRPr="00C70EB4">
        <w:rPr>
          <w:rStyle w:val="Appelnotedebasdep"/>
          <w:rFonts w:ascii="Times New Roman" w:hAnsi="Times New Roman" w:cs="Times New Roman"/>
          <w:sz w:val="24"/>
          <w:szCs w:val="24"/>
        </w:rPr>
        <w:footnoteReference w:id="69"/>
      </w:r>
      <w:r w:rsidR="00E47F65" w:rsidRPr="00C70EB4">
        <w:rPr>
          <w:rFonts w:ascii="Times New Roman" w:hAnsi="Times New Roman" w:cs="Times New Roman"/>
          <w:sz w:val="24"/>
          <w:szCs w:val="24"/>
        </w:rPr>
        <w:t xml:space="preserve">, en </w:t>
      </w:r>
      <w:r w:rsidR="005F7A3B" w:rsidRPr="00C70EB4">
        <w:rPr>
          <w:rFonts w:ascii="Times New Roman" w:hAnsi="Times New Roman" w:cs="Times New Roman"/>
          <w:sz w:val="24"/>
          <w:szCs w:val="24"/>
        </w:rPr>
        <w:t>l’occurrence</w:t>
      </w:r>
      <w:r w:rsidR="00E47F65" w:rsidRPr="00C70EB4">
        <w:rPr>
          <w:rFonts w:ascii="Times New Roman" w:hAnsi="Times New Roman" w:cs="Times New Roman"/>
          <w:sz w:val="24"/>
          <w:szCs w:val="24"/>
        </w:rPr>
        <w:t xml:space="preserve"> la directive 2009/81/CE</w:t>
      </w:r>
      <w:r w:rsidR="00BC7AE8" w:rsidRPr="00C70EB4">
        <w:rPr>
          <w:rFonts w:ascii="Times New Roman" w:hAnsi="Times New Roman" w:cs="Times New Roman"/>
          <w:sz w:val="24"/>
          <w:szCs w:val="24"/>
        </w:rPr>
        <w:t>, transposé en droit belge par la loi précitée du 13 août 20</w:t>
      </w:r>
      <w:r w:rsidR="00217A70">
        <w:rPr>
          <w:rFonts w:ascii="Times New Roman" w:hAnsi="Times New Roman" w:cs="Times New Roman"/>
          <w:sz w:val="24"/>
          <w:szCs w:val="24"/>
        </w:rPr>
        <w:t>1</w:t>
      </w:r>
      <w:r w:rsidR="00BC7AE8" w:rsidRPr="00C70EB4">
        <w:rPr>
          <w:rFonts w:ascii="Times New Roman" w:hAnsi="Times New Roman" w:cs="Times New Roman"/>
          <w:sz w:val="24"/>
          <w:szCs w:val="24"/>
        </w:rPr>
        <w:t>1, ce qui risque</w:t>
      </w:r>
      <w:r w:rsidR="00FC1118" w:rsidRPr="00C70EB4">
        <w:rPr>
          <w:rFonts w:ascii="Times New Roman" w:hAnsi="Times New Roman" w:cs="Times New Roman"/>
          <w:sz w:val="24"/>
          <w:szCs w:val="24"/>
        </w:rPr>
        <w:t>, pour certains auteurs,</w:t>
      </w:r>
      <w:r w:rsidR="00BC7AE8" w:rsidRPr="00C70EB4">
        <w:rPr>
          <w:rFonts w:ascii="Times New Roman" w:hAnsi="Times New Roman" w:cs="Times New Roman"/>
          <w:sz w:val="24"/>
          <w:szCs w:val="24"/>
        </w:rPr>
        <w:t xml:space="preserve"> de rendre cette condition plus difficile à démontrer</w:t>
      </w:r>
      <w:r w:rsidR="00BC7AE8" w:rsidRPr="00C70EB4">
        <w:rPr>
          <w:rStyle w:val="Appelnotedebasdep"/>
          <w:rFonts w:ascii="Times New Roman" w:hAnsi="Times New Roman" w:cs="Times New Roman"/>
          <w:sz w:val="24"/>
          <w:szCs w:val="24"/>
        </w:rPr>
        <w:footnoteReference w:id="70"/>
      </w:r>
      <w:r w:rsidR="00BC7AE8" w:rsidRPr="00C70EB4">
        <w:rPr>
          <w:rFonts w:ascii="Times New Roman" w:hAnsi="Times New Roman" w:cs="Times New Roman"/>
          <w:sz w:val="24"/>
          <w:szCs w:val="24"/>
        </w:rPr>
        <w:t>.</w:t>
      </w:r>
      <w:r w:rsidRPr="00C70EB4">
        <w:rPr>
          <w:rFonts w:ascii="Times New Roman" w:hAnsi="Times New Roman" w:cs="Times New Roman"/>
          <w:sz w:val="24"/>
          <w:szCs w:val="24"/>
        </w:rPr>
        <w:t xml:space="preserve"> </w:t>
      </w:r>
    </w:p>
    <w:p w14:paraId="068EEABC" w14:textId="77777777" w:rsidR="009D58A5" w:rsidRPr="00C70EB4" w:rsidRDefault="009D58A5" w:rsidP="00C70EB4">
      <w:pPr>
        <w:spacing w:after="0" w:line="276" w:lineRule="auto"/>
        <w:jc w:val="both"/>
        <w:rPr>
          <w:rFonts w:ascii="Times New Roman" w:hAnsi="Times New Roman" w:cs="Times New Roman"/>
          <w:sz w:val="24"/>
          <w:szCs w:val="24"/>
        </w:rPr>
      </w:pPr>
    </w:p>
    <w:p w14:paraId="5444E7EF" w14:textId="6E55422F" w:rsidR="00BC7AE8" w:rsidRPr="00C70EB4" w:rsidRDefault="00217A70" w:rsidP="00E9508A">
      <w:pPr>
        <w:spacing w:after="0" w:line="276" w:lineRule="auto"/>
        <w:jc w:val="both"/>
        <w:rPr>
          <w:rFonts w:ascii="Times New Roman" w:hAnsi="Times New Roman" w:cs="Times New Roman"/>
          <w:sz w:val="24"/>
          <w:szCs w:val="24"/>
        </w:rPr>
      </w:pPr>
      <w:r w:rsidRPr="00C70EB4">
        <w:rPr>
          <w:rFonts w:ascii="Times New Roman" w:hAnsi="Times New Roman" w:cs="Times New Roman"/>
          <w:b/>
          <w:bCs/>
          <w:sz w:val="24"/>
          <w:szCs w:val="24"/>
        </w:rPr>
        <w:t>16.</w:t>
      </w:r>
      <w:r>
        <w:rPr>
          <w:rFonts w:ascii="Times New Roman" w:hAnsi="Times New Roman" w:cs="Times New Roman"/>
          <w:sz w:val="24"/>
          <w:szCs w:val="24"/>
        </w:rPr>
        <w:t xml:space="preserve"> </w:t>
      </w:r>
      <w:r w:rsidR="009D6386" w:rsidRPr="00C70EB4">
        <w:rPr>
          <w:rFonts w:ascii="Times New Roman" w:hAnsi="Times New Roman" w:cs="Times New Roman"/>
          <w:sz w:val="24"/>
          <w:szCs w:val="24"/>
        </w:rPr>
        <w:t xml:space="preserve">En l’espèce, dans son arrêt, le Conseil d’Etat </w:t>
      </w:r>
      <w:r w:rsidR="0065173D" w:rsidRPr="00C70EB4">
        <w:rPr>
          <w:rFonts w:ascii="Times New Roman" w:hAnsi="Times New Roman" w:cs="Times New Roman"/>
          <w:sz w:val="24"/>
          <w:szCs w:val="24"/>
        </w:rPr>
        <w:t xml:space="preserve">fait d’abord remarquer que le fait que des armes légères ou des munitions aient été acquises jusqu'à présent par le biais d'une procédure de marché public n'est pas pertinent, étant donné que le partenariat envisagé </w:t>
      </w:r>
      <w:r>
        <w:rPr>
          <w:rFonts w:ascii="Times New Roman" w:hAnsi="Times New Roman" w:cs="Times New Roman"/>
          <w:sz w:val="24"/>
          <w:szCs w:val="24"/>
        </w:rPr>
        <w:t>a une portée large</w:t>
      </w:r>
      <w:r w:rsidR="0065173D" w:rsidRPr="00C70EB4">
        <w:rPr>
          <w:rFonts w:ascii="Times New Roman" w:hAnsi="Times New Roman" w:cs="Times New Roman"/>
          <w:sz w:val="24"/>
          <w:szCs w:val="24"/>
        </w:rPr>
        <w:t xml:space="preserve">, </w:t>
      </w:r>
      <w:r w:rsidR="0065173D" w:rsidRPr="00C70EB4">
        <w:rPr>
          <w:rFonts w:ascii="Times New Roman" w:hAnsi="Times New Roman" w:cs="Times New Roman"/>
          <w:sz w:val="24"/>
          <w:szCs w:val="24"/>
        </w:rPr>
        <w:lastRenderedPageBreak/>
        <w:t>à savoir le développement et le soutien du potentiel scientifique, technologique et industriel national dans le domaine des systèmes d'armes légères</w:t>
      </w:r>
      <w:r w:rsidR="00742D31">
        <w:rPr>
          <w:rStyle w:val="Appelnotedebasdep"/>
          <w:rFonts w:ascii="Times New Roman" w:hAnsi="Times New Roman" w:cs="Times New Roman"/>
          <w:sz w:val="24"/>
          <w:szCs w:val="24"/>
        </w:rPr>
        <w:footnoteReference w:id="71"/>
      </w:r>
      <w:r w:rsidR="0065173D" w:rsidRPr="00C70EB4">
        <w:rPr>
          <w:rFonts w:ascii="Times New Roman" w:hAnsi="Times New Roman" w:cs="Times New Roman"/>
          <w:sz w:val="24"/>
          <w:szCs w:val="24"/>
        </w:rPr>
        <w:t>.</w:t>
      </w:r>
    </w:p>
    <w:p w14:paraId="0842BE14" w14:textId="77777777" w:rsidR="009D58A5" w:rsidRPr="00C70EB4" w:rsidRDefault="009D58A5" w:rsidP="00C70EB4">
      <w:pPr>
        <w:spacing w:after="0" w:line="276" w:lineRule="auto"/>
        <w:jc w:val="both"/>
        <w:rPr>
          <w:rFonts w:ascii="Times New Roman" w:hAnsi="Times New Roman" w:cs="Times New Roman"/>
          <w:sz w:val="24"/>
          <w:szCs w:val="24"/>
        </w:rPr>
      </w:pPr>
    </w:p>
    <w:p w14:paraId="20B60346" w14:textId="7EDE95BC" w:rsidR="00FC1118" w:rsidRPr="00C70EB4" w:rsidRDefault="0065173D" w:rsidP="00E9508A">
      <w:pPr>
        <w:spacing w:after="0" w:line="276" w:lineRule="auto"/>
        <w:jc w:val="both"/>
        <w:rPr>
          <w:rFonts w:ascii="Times New Roman" w:hAnsi="Times New Roman" w:cs="Times New Roman"/>
          <w:kern w:val="0"/>
          <w:sz w:val="24"/>
          <w:szCs w:val="24"/>
        </w:rPr>
      </w:pPr>
      <w:r w:rsidRPr="00C70EB4">
        <w:rPr>
          <w:rFonts w:ascii="Times New Roman" w:hAnsi="Times New Roman" w:cs="Times New Roman"/>
          <w:sz w:val="24"/>
          <w:szCs w:val="24"/>
        </w:rPr>
        <w:t xml:space="preserve">Ensuite, </w:t>
      </w:r>
      <w:r w:rsidR="00FC1118" w:rsidRPr="00C70EB4">
        <w:rPr>
          <w:rFonts w:ascii="Times New Roman" w:hAnsi="Times New Roman" w:cs="Times New Roman"/>
          <w:sz w:val="24"/>
          <w:szCs w:val="24"/>
        </w:rPr>
        <w:t xml:space="preserve">le </w:t>
      </w:r>
      <w:r w:rsidRPr="00C70EB4">
        <w:rPr>
          <w:rFonts w:ascii="Times New Roman" w:hAnsi="Times New Roman" w:cs="Times New Roman"/>
          <w:sz w:val="24"/>
          <w:szCs w:val="24"/>
        </w:rPr>
        <w:t xml:space="preserve">Conseil d’Etat examine </w:t>
      </w:r>
      <w:r w:rsidRPr="00C70EB4">
        <w:rPr>
          <w:rFonts w:ascii="Times New Roman" w:hAnsi="Times New Roman" w:cs="Times New Roman"/>
          <w:i/>
          <w:iCs/>
          <w:sz w:val="24"/>
          <w:szCs w:val="24"/>
        </w:rPr>
        <w:t xml:space="preserve">in </w:t>
      </w:r>
      <w:proofErr w:type="spellStart"/>
      <w:r w:rsidRPr="00C70EB4">
        <w:rPr>
          <w:rFonts w:ascii="Times New Roman" w:hAnsi="Times New Roman" w:cs="Times New Roman"/>
          <w:i/>
          <w:iCs/>
          <w:sz w:val="24"/>
          <w:szCs w:val="24"/>
        </w:rPr>
        <w:t>concreto</w:t>
      </w:r>
      <w:proofErr w:type="spellEnd"/>
      <w:r w:rsidRPr="00C70EB4">
        <w:rPr>
          <w:rFonts w:ascii="Times New Roman" w:hAnsi="Times New Roman" w:cs="Times New Roman"/>
          <w:i/>
          <w:iCs/>
          <w:sz w:val="24"/>
          <w:szCs w:val="24"/>
        </w:rPr>
        <w:t xml:space="preserve"> </w:t>
      </w:r>
      <w:r w:rsidRPr="00C70EB4">
        <w:rPr>
          <w:rFonts w:ascii="Times New Roman" w:hAnsi="Times New Roman" w:cs="Times New Roman"/>
          <w:sz w:val="24"/>
          <w:szCs w:val="24"/>
        </w:rPr>
        <w:t>si</w:t>
      </w:r>
      <w:r w:rsidRPr="00C70EB4">
        <w:rPr>
          <w:rFonts w:ascii="Times New Roman" w:hAnsi="Times New Roman" w:cs="Times New Roman"/>
          <w:i/>
          <w:iCs/>
          <w:sz w:val="24"/>
          <w:szCs w:val="24"/>
        </w:rPr>
        <w:t xml:space="preserve"> </w:t>
      </w:r>
      <w:r w:rsidRPr="00C70EB4">
        <w:rPr>
          <w:rFonts w:ascii="Times New Roman" w:hAnsi="Times New Roman" w:cs="Times New Roman"/>
          <w:sz w:val="24"/>
          <w:szCs w:val="24"/>
        </w:rPr>
        <w:t>les</w:t>
      </w:r>
      <w:r w:rsidRPr="00C70EB4">
        <w:rPr>
          <w:rFonts w:ascii="Times New Roman" w:hAnsi="Times New Roman" w:cs="Times New Roman"/>
          <w:kern w:val="0"/>
          <w:sz w:val="24"/>
          <w:szCs w:val="24"/>
        </w:rPr>
        <w:t xml:space="preserve"> intérêts essentiels de sécurité de l'État exigent que le marché puisse être attribué </w:t>
      </w:r>
      <w:r w:rsidRPr="00C70EB4">
        <w:rPr>
          <w:rFonts w:ascii="Times New Roman" w:hAnsi="Times New Roman" w:cs="Times New Roman"/>
          <w:sz w:val="24"/>
          <w:szCs w:val="24"/>
        </w:rPr>
        <w:t>sans</w:t>
      </w:r>
      <w:r w:rsidRPr="00C70EB4">
        <w:rPr>
          <w:rFonts w:ascii="Times New Roman" w:hAnsi="Times New Roman" w:cs="Times New Roman"/>
          <w:kern w:val="0"/>
          <w:sz w:val="24"/>
          <w:szCs w:val="24"/>
        </w:rPr>
        <w:t xml:space="preserve"> recours à la concurrence</w:t>
      </w:r>
      <w:r w:rsidR="00A40AF0" w:rsidRPr="00C70EB4">
        <w:rPr>
          <w:rFonts w:ascii="Times New Roman" w:hAnsi="Times New Roman" w:cs="Times New Roman"/>
          <w:kern w:val="0"/>
          <w:sz w:val="24"/>
          <w:szCs w:val="24"/>
        </w:rPr>
        <w:t xml:space="preserve">, en particulier si le partenariat avec une entreprise nationale est </w:t>
      </w:r>
      <w:r w:rsidR="00A40AF0" w:rsidRPr="00C70EB4">
        <w:rPr>
          <w:rFonts w:ascii="Times New Roman" w:hAnsi="Times New Roman" w:cs="Times New Roman"/>
          <w:sz w:val="24"/>
          <w:szCs w:val="24"/>
        </w:rPr>
        <w:t>nécessaire</w:t>
      </w:r>
      <w:r w:rsidR="00A40AF0" w:rsidRPr="00C70EB4">
        <w:rPr>
          <w:rFonts w:ascii="Times New Roman" w:hAnsi="Times New Roman" w:cs="Times New Roman"/>
          <w:kern w:val="0"/>
          <w:sz w:val="24"/>
          <w:szCs w:val="24"/>
        </w:rPr>
        <w:t xml:space="preserve"> pour acquérir et maintenir l'autonomie stratégique nationale. C’est ainsi qu’il observe que l’Etat a d'abord vérifié si une coopération avec une société non étrangère pouvait permettre d'atteindre cet objectif. Il ressort du dossier que le fait l'entreprise soit située en Belgique présente l'avantage qu'en cas de crise, la Belgique peut prendre des mesures restrictives ou coercitives pour donner la priorité aux commandes de la Défense, voire intervenir dans les installations de production du contractant si nécessaire, ce qui serait impossible avec une entreprise étrangère. A l’inverse, </w:t>
      </w:r>
      <w:r w:rsidR="00FC1118" w:rsidRPr="00C70EB4">
        <w:rPr>
          <w:rFonts w:ascii="Times New Roman" w:hAnsi="Times New Roman" w:cs="Times New Roman"/>
          <w:kern w:val="0"/>
          <w:sz w:val="24"/>
          <w:szCs w:val="24"/>
        </w:rPr>
        <w:t>e</w:t>
      </w:r>
      <w:r w:rsidR="00A40AF0" w:rsidRPr="00C70EB4">
        <w:rPr>
          <w:rFonts w:ascii="Times New Roman" w:hAnsi="Times New Roman" w:cs="Times New Roman"/>
          <w:kern w:val="0"/>
          <w:sz w:val="24"/>
          <w:szCs w:val="24"/>
        </w:rPr>
        <w:t>n cas de conflit, une entreprise basée en dehors du territoire national</w:t>
      </w:r>
      <w:r w:rsidR="00FC1118" w:rsidRPr="00C70EB4">
        <w:rPr>
          <w:rFonts w:ascii="Times New Roman" w:hAnsi="Times New Roman" w:cs="Times New Roman"/>
          <w:kern w:val="0"/>
          <w:sz w:val="24"/>
          <w:szCs w:val="24"/>
        </w:rPr>
        <w:t xml:space="preserve"> </w:t>
      </w:r>
      <w:r w:rsidR="00A40AF0" w:rsidRPr="00C70EB4">
        <w:rPr>
          <w:rFonts w:ascii="Times New Roman" w:hAnsi="Times New Roman" w:cs="Times New Roman"/>
          <w:kern w:val="0"/>
          <w:sz w:val="24"/>
          <w:szCs w:val="24"/>
        </w:rPr>
        <w:t xml:space="preserve">peut se voir interdire d'exporter du matériel vers la Belgique en vertu des </w:t>
      </w:r>
      <w:r w:rsidR="00A40AF0" w:rsidRPr="00C70EB4">
        <w:rPr>
          <w:rFonts w:ascii="Times New Roman" w:hAnsi="Times New Roman" w:cs="Times New Roman"/>
          <w:sz w:val="24"/>
          <w:szCs w:val="24"/>
        </w:rPr>
        <w:t>règles</w:t>
      </w:r>
      <w:r w:rsidR="00FC1118" w:rsidRPr="00C70EB4">
        <w:rPr>
          <w:rFonts w:ascii="Times New Roman" w:hAnsi="Times New Roman" w:cs="Times New Roman"/>
          <w:kern w:val="0"/>
          <w:sz w:val="24"/>
          <w:szCs w:val="24"/>
        </w:rPr>
        <w:t xml:space="preserve"> </w:t>
      </w:r>
      <w:r w:rsidR="00A40AF0" w:rsidRPr="00C70EB4">
        <w:rPr>
          <w:rFonts w:ascii="Times New Roman" w:hAnsi="Times New Roman" w:cs="Times New Roman"/>
          <w:kern w:val="0"/>
          <w:sz w:val="24"/>
          <w:szCs w:val="24"/>
        </w:rPr>
        <w:t>d'exportation ou de transfert de son propre pays, et ce même au sein de l'Union</w:t>
      </w:r>
      <w:r w:rsidR="00FC1118" w:rsidRPr="00C70EB4">
        <w:rPr>
          <w:rFonts w:ascii="Times New Roman" w:hAnsi="Times New Roman" w:cs="Times New Roman"/>
          <w:kern w:val="0"/>
          <w:sz w:val="24"/>
          <w:szCs w:val="24"/>
        </w:rPr>
        <w:t xml:space="preserve"> </w:t>
      </w:r>
      <w:r w:rsidR="00A40AF0" w:rsidRPr="00C70EB4">
        <w:rPr>
          <w:rFonts w:ascii="Times New Roman" w:hAnsi="Times New Roman" w:cs="Times New Roman"/>
          <w:kern w:val="0"/>
          <w:sz w:val="24"/>
          <w:szCs w:val="24"/>
        </w:rPr>
        <w:t>européenne, puisque le transfert de matériel militaire entre les Etats membres</w:t>
      </w:r>
      <w:r w:rsidR="00FC1118" w:rsidRPr="00C70EB4">
        <w:rPr>
          <w:rFonts w:ascii="Times New Roman" w:hAnsi="Times New Roman" w:cs="Times New Roman"/>
          <w:kern w:val="0"/>
          <w:sz w:val="24"/>
          <w:szCs w:val="24"/>
        </w:rPr>
        <w:t xml:space="preserve"> </w:t>
      </w:r>
      <w:r w:rsidR="00A40AF0" w:rsidRPr="00C70EB4">
        <w:rPr>
          <w:rFonts w:ascii="Times New Roman" w:hAnsi="Times New Roman" w:cs="Times New Roman"/>
          <w:kern w:val="0"/>
          <w:sz w:val="24"/>
          <w:szCs w:val="24"/>
        </w:rPr>
        <w:t>reste une compétence nationale. Il n'y a donc pas de sécurité d'approvisionnement</w:t>
      </w:r>
      <w:r w:rsidR="00FC1118" w:rsidRPr="00C70EB4">
        <w:rPr>
          <w:rFonts w:ascii="Times New Roman" w:hAnsi="Times New Roman" w:cs="Times New Roman"/>
          <w:kern w:val="0"/>
          <w:sz w:val="24"/>
          <w:szCs w:val="24"/>
        </w:rPr>
        <w:t xml:space="preserve"> </w:t>
      </w:r>
      <w:r w:rsidR="00A40AF0" w:rsidRPr="00C70EB4">
        <w:rPr>
          <w:rFonts w:ascii="Times New Roman" w:hAnsi="Times New Roman" w:cs="Times New Roman"/>
          <w:kern w:val="0"/>
          <w:sz w:val="24"/>
          <w:szCs w:val="24"/>
        </w:rPr>
        <w:t>garantie</w:t>
      </w:r>
      <w:r w:rsidR="00742D31">
        <w:rPr>
          <w:rStyle w:val="Appelnotedebasdep"/>
          <w:rFonts w:ascii="Times New Roman" w:hAnsi="Times New Roman" w:cs="Times New Roman"/>
          <w:kern w:val="0"/>
          <w:sz w:val="24"/>
          <w:szCs w:val="24"/>
        </w:rPr>
        <w:footnoteReference w:id="72"/>
      </w:r>
      <w:r w:rsidR="00A40AF0" w:rsidRPr="00C70EB4">
        <w:rPr>
          <w:rFonts w:ascii="Times New Roman" w:hAnsi="Times New Roman" w:cs="Times New Roman"/>
          <w:kern w:val="0"/>
          <w:sz w:val="24"/>
          <w:szCs w:val="24"/>
        </w:rPr>
        <w:t>.</w:t>
      </w:r>
    </w:p>
    <w:p w14:paraId="020FAB58" w14:textId="77777777" w:rsidR="009D58A5" w:rsidRPr="00C70EB4" w:rsidRDefault="009D58A5" w:rsidP="00C70EB4">
      <w:pPr>
        <w:spacing w:after="0" w:line="276" w:lineRule="auto"/>
        <w:jc w:val="both"/>
        <w:rPr>
          <w:rFonts w:ascii="Times New Roman" w:hAnsi="Times New Roman" w:cs="Times New Roman"/>
          <w:kern w:val="0"/>
          <w:sz w:val="24"/>
          <w:szCs w:val="24"/>
        </w:rPr>
      </w:pPr>
    </w:p>
    <w:p w14:paraId="3A0188D0" w14:textId="50D57FCA" w:rsidR="00FC1118" w:rsidRPr="009D58A5" w:rsidRDefault="00FC1118" w:rsidP="00E9508A">
      <w:pPr>
        <w:spacing w:after="0" w:line="276" w:lineRule="auto"/>
        <w:jc w:val="both"/>
        <w:rPr>
          <w:rFonts w:ascii="Times New Roman" w:hAnsi="Times New Roman" w:cs="Times New Roman"/>
          <w:kern w:val="0"/>
          <w:sz w:val="24"/>
          <w:szCs w:val="24"/>
        </w:rPr>
      </w:pPr>
      <w:r w:rsidRPr="00C70EB4">
        <w:rPr>
          <w:rFonts w:ascii="Times New Roman" w:hAnsi="Times New Roman" w:cs="Times New Roman"/>
          <w:kern w:val="0"/>
          <w:sz w:val="24"/>
          <w:szCs w:val="24"/>
        </w:rPr>
        <w:t xml:space="preserve">Par ailleurs, en ce qui concerne l'approvisionnement en munitions, il est avancé que celles-ci sont de plus en plus difficiles à obtenir et que les matières premières sont rares et chères, chaque Etat membre prenant conscience que ses propres intérêts doivent primer, ce qui </w:t>
      </w:r>
      <w:r w:rsidRPr="00C70EB4">
        <w:rPr>
          <w:rFonts w:ascii="Times New Roman" w:hAnsi="Times New Roman" w:cs="Times New Roman"/>
          <w:sz w:val="24"/>
          <w:szCs w:val="24"/>
        </w:rPr>
        <w:t>rend</w:t>
      </w:r>
      <w:r w:rsidRPr="00C70EB4">
        <w:rPr>
          <w:rFonts w:ascii="Times New Roman" w:hAnsi="Times New Roman" w:cs="Times New Roman"/>
          <w:kern w:val="0"/>
          <w:sz w:val="24"/>
          <w:szCs w:val="24"/>
        </w:rPr>
        <w:t xml:space="preserve"> les exportations plus difficile</w:t>
      </w:r>
      <w:r w:rsidR="00D83E46" w:rsidRPr="00C70EB4">
        <w:rPr>
          <w:rFonts w:ascii="Times New Roman" w:hAnsi="Times New Roman" w:cs="Times New Roman"/>
          <w:kern w:val="0"/>
          <w:sz w:val="24"/>
          <w:szCs w:val="24"/>
        </w:rPr>
        <w:t xml:space="preserve">s. Dans ce contexte, l’Etat </w:t>
      </w:r>
      <w:r w:rsidRPr="00C70EB4">
        <w:rPr>
          <w:rFonts w:ascii="Times New Roman" w:hAnsi="Times New Roman" w:cs="Times New Roman"/>
          <w:kern w:val="0"/>
          <w:sz w:val="24"/>
          <w:szCs w:val="24"/>
        </w:rPr>
        <w:t xml:space="preserve">a </w:t>
      </w:r>
      <w:r w:rsidR="00D83E46" w:rsidRPr="00C70EB4">
        <w:rPr>
          <w:rFonts w:ascii="Times New Roman" w:hAnsi="Times New Roman" w:cs="Times New Roman"/>
          <w:kern w:val="0"/>
          <w:sz w:val="24"/>
          <w:szCs w:val="24"/>
        </w:rPr>
        <w:t>dès lors</w:t>
      </w:r>
      <w:r w:rsidRPr="00C70EB4">
        <w:rPr>
          <w:rFonts w:ascii="Times New Roman" w:hAnsi="Times New Roman" w:cs="Times New Roman"/>
          <w:kern w:val="0"/>
          <w:sz w:val="24"/>
          <w:szCs w:val="24"/>
        </w:rPr>
        <w:t xml:space="preserve"> besoin d'une BITD belge et de centres d'excellence belges capables de rivaliser au niveau international</w:t>
      </w:r>
      <w:r w:rsidR="00D83E46" w:rsidRPr="00C70EB4">
        <w:rPr>
          <w:rFonts w:ascii="Times New Roman" w:hAnsi="Times New Roman" w:cs="Times New Roman"/>
          <w:kern w:val="0"/>
          <w:sz w:val="24"/>
          <w:szCs w:val="24"/>
        </w:rPr>
        <w:t>. Par ailleurs, le Conseil d’Etat constate encore que l’Etat belge a examiné au niveau belge si la FN Herstal était bien le seul fabricant de systèmes d'armes légères et de munitions, et que l'ouverture du partenariat à d'autres entreprises belges ne permettrait pas d'atteindre l’objec</w:t>
      </w:r>
      <w:r w:rsidR="009D58A5" w:rsidRPr="009D58A5">
        <w:rPr>
          <w:rFonts w:ascii="Times New Roman" w:hAnsi="Times New Roman" w:cs="Times New Roman"/>
          <w:kern w:val="0"/>
          <w:sz w:val="24"/>
          <w:szCs w:val="24"/>
        </w:rPr>
        <w:t>t</w:t>
      </w:r>
      <w:r w:rsidR="00D83E46" w:rsidRPr="00C70EB4">
        <w:rPr>
          <w:rFonts w:ascii="Times New Roman" w:hAnsi="Times New Roman" w:cs="Times New Roman"/>
          <w:kern w:val="0"/>
          <w:sz w:val="24"/>
          <w:szCs w:val="24"/>
        </w:rPr>
        <w:t>if poursuivi</w:t>
      </w:r>
      <w:r w:rsidR="00742D31">
        <w:rPr>
          <w:rStyle w:val="Appelnotedebasdep"/>
          <w:rFonts w:ascii="Times New Roman" w:hAnsi="Times New Roman" w:cs="Times New Roman"/>
          <w:kern w:val="0"/>
          <w:sz w:val="24"/>
          <w:szCs w:val="24"/>
        </w:rPr>
        <w:footnoteReference w:id="73"/>
      </w:r>
      <w:r w:rsidR="00D83E46" w:rsidRPr="00C70EB4">
        <w:rPr>
          <w:rFonts w:ascii="Times New Roman" w:hAnsi="Times New Roman" w:cs="Times New Roman"/>
          <w:kern w:val="0"/>
          <w:sz w:val="24"/>
          <w:szCs w:val="24"/>
        </w:rPr>
        <w:t>.</w:t>
      </w:r>
    </w:p>
    <w:p w14:paraId="6F162298" w14:textId="77777777" w:rsidR="009D58A5" w:rsidRPr="00C70EB4" w:rsidRDefault="009D58A5" w:rsidP="00C70EB4">
      <w:pPr>
        <w:spacing w:after="0" w:line="276" w:lineRule="auto"/>
        <w:jc w:val="both"/>
        <w:rPr>
          <w:rFonts w:ascii="Times New Roman" w:hAnsi="Times New Roman" w:cs="Times New Roman"/>
          <w:kern w:val="0"/>
          <w:sz w:val="24"/>
          <w:szCs w:val="24"/>
        </w:rPr>
      </w:pPr>
    </w:p>
    <w:p w14:paraId="139D19BA" w14:textId="77777777" w:rsidR="00D83E46" w:rsidRPr="00C70EB4" w:rsidRDefault="00D83E46" w:rsidP="00C70EB4">
      <w:pPr>
        <w:spacing w:after="0" w:line="276" w:lineRule="auto"/>
        <w:jc w:val="both"/>
        <w:rPr>
          <w:rFonts w:ascii="Times New Roman" w:hAnsi="Times New Roman" w:cs="Times New Roman"/>
          <w:kern w:val="0"/>
          <w:sz w:val="24"/>
          <w:szCs w:val="24"/>
        </w:rPr>
      </w:pPr>
      <w:r w:rsidRPr="00C70EB4">
        <w:rPr>
          <w:rFonts w:ascii="Times New Roman" w:hAnsi="Times New Roman" w:cs="Times New Roman"/>
          <w:kern w:val="0"/>
          <w:sz w:val="24"/>
          <w:szCs w:val="24"/>
        </w:rPr>
        <w:t>Dans ces conditions,</w:t>
      </w:r>
      <w:r w:rsidR="00FC1118" w:rsidRPr="00C70EB4">
        <w:rPr>
          <w:rFonts w:ascii="Times New Roman" w:hAnsi="Times New Roman" w:cs="Times New Roman"/>
          <w:kern w:val="0"/>
          <w:sz w:val="24"/>
          <w:szCs w:val="24"/>
        </w:rPr>
        <w:t xml:space="preserve"> la non-application de la directive 2009/81/CE est dès lors essentielle à la protection des intérêts essentiels de sécurité et justifie le recours à l'article 346 du TFUE.</w:t>
      </w:r>
    </w:p>
    <w:p w14:paraId="309E44AF" w14:textId="77777777" w:rsidR="00FC1118" w:rsidRPr="00C70EB4" w:rsidRDefault="00FC1118" w:rsidP="00E9508A">
      <w:pPr>
        <w:autoSpaceDE w:val="0"/>
        <w:autoSpaceDN w:val="0"/>
        <w:adjustRightInd w:val="0"/>
        <w:spacing w:after="0" w:line="240" w:lineRule="auto"/>
        <w:rPr>
          <w:rFonts w:ascii="Times New Roman" w:hAnsi="Times New Roman" w:cs="Times New Roman"/>
          <w:kern w:val="0"/>
          <w:sz w:val="24"/>
          <w:szCs w:val="24"/>
        </w:rPr>
      </w:pPr>
    </w:p>
    <w:p w14:paraId="38CB2298" w14:textId="77777777" w:rsidR="00C27D91" w:rsidRPr="00C70EB4" w:rsidRDefault="00C27D91" w:rsidP="00C70EB4">
      <w:pPr>
        <w:spacing w:after="0" w:line="276" w:lineRule="auto"/>
        <w:rPr>
          <w:rFonts w:ascii="Times New Roman" w:hAnsi="Times New Roman" w:cs="Times New Roman"/>
          <w:sz w:val="24"/>
          <w:szCs w:val="24"/>
        </w:rPr>
      </w:pPr>
      <w:r w:rsidRPr="00C70EB4">
        <w:rPr>
          <w:rFonts w:ascii="Times New Roman" w:hAnsi="Times New Roman" w:cs="Times New Roman"/>
          <w:b/>
          <w:bCs/>
          <w:sz w:val="24"/>
          <w:szCs w:val="24"/>
        </w:rPr>
        <w:t>Conclusion</w:t>
      </w:r>
    </w:p>
    <w:p w14:paraId="63FAE913" w14:textId="77777777" w:rsidR="00C27D91" w:rsidRPr="00C70EB4" w:rsidRDefault="00C27D91" w:rsidP="00C70EB4">
      <w:pPr>
        <w:spacing w:after="0" w:line="276" w:lineRule="auto"/>
        <w:rPr>
          <w:rFonts w:ascii="Times New Roman" w:hAnsi="Times New Roman" w:cs="Times New Roman"/>
          <w:sz w:val="24"/>
          <w:szCs w:val="24"/>
        </w:rPr>
      </w:pPr>
    </w:p>
    <w:p w14:paraId="2BCC5F29" w14:textId="57D8EF53" w:rsidR="00C27D91" w:rsidRPr="00C70EB4" w:rsidRDefault="00A32A59"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17</w:t>
      </w:r>
      <w:r w:rsidR="00C27D91" w:rsidRPr="00C70EB4">
        <w:rPr>
          <w:rFonts w:ascii="Times New Roman" w:hAnsi="Times New Roman" w:cs="Times New Roman"/>
          <w:b/>
          <w:bCs/>
          <w:sz w:val="24"/>
          <w:szCs w:val="24"/>
        </w:rPr>
        <w:t xml:space="preserve">. </w:t>
      </w:r>
      <w:r w:rsidR="00C27D91" w:rsidRPr="00C70EB4">
        <w:rPr>
          <w:rFonts w:ascii="Times New Roman" w:hAnsi="Times New Roman" w:cs="Times New Roman"/>
          <w:sz w:val="24"/>
          <w:szCs w:val="24"/>
        </w:rPr>
        <w:t xml:space="preserve">En guise de conclusion, il nous paraît opportun d’évaluer brièvement le cadre juridique applicable aux marchés exemptés visés par l’article 346 du TFUE, tant du point de vue du droit interne que du droit de l’Union européenne. </w:t>
      </w:r>
    </w:p>
    <w:p w14:paraId="5A6B78E4" w14:textId="77777777" w:rsidR="00C27D91" w:rsidRPr="00C70EB4" w:rsidRDefault="00C27D91" w:rsidP="00C70EB4">
      <w:pPr>
        <w:spacing w:after="0" w:line="276" w:lineRule="auto"/>
        <w:jc w:val="both"/>
        <w:rPr>
          <w:rFonts w:ascii="Times New Roman" w:hAnsi="Times New Roman" w:cs="Times New Roman"/>
          <w:sz w:val="24"/>
          <w:szCs w:val="24"/>
        </w:rPr>
      </w:pPr>
    </w:p>
    <w:p w14:paraId="6809AA3A" w14:textId="386217E6" w:rsidR="00C27D91" w:rsidRPr="00C70EB4" w:rsidRDefault="00A32A59"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18</w:t>
      </w:r>
      <w:r w:rsidR="00C27D91" w:rsidRPr="00C70EB4">
        <w:rPr>
          <w:rFonts w:ascii="Times New Roman" w:hAnsi="Times New Roman" w:cs="Times New Roman"/>
          <w:b/>
          <w:bCs/>
          <w:sz w:val="24"/>
          <w:szCs w:val="24"/>
        </w:rPr>
        <w:t xml:space="preserve">. </w:t>
      </w:r>
      <w:r w:rsidR="00C27D91" w:rsidRPr="00C70EB4">
        <w:rPr>
          <w:rFonts w:ascii="Times New Roman" w:hAnsi="Times New Roman" w:cs="Times New Roman"/>
          <w:sz w:val="24"/>
          <w:szCs w:val="24"/>
        </w:rPr>
        <w:t xml:space="preserve">Lorsque l’article 346 est valablement invoqué par les autorités belges, la loi du 13 août 2011, telle qu’actuellement en vigueur, se limite à permettre aux autorités de passer le marché par une procédure négociée sans publicité, mais si possible après consultation de plusieurs entrepreneurs fournisseurs ou prestataires de services, et ce, dans l’attente de l’entrée en vigueur du Titre 3/1 de cette loi, qui permet au Roi de rendre applicable certaines règles de passation, de contrôle ou d’exécution spécifiques. C’est en tous cas ce qu’estime le Conseil </w:t>
      </w:r>
      <w:r w:rsidR="00C27D91" w:rsidRPr="00C70EB4">
        <w:rPr>
          <w:rFonts w:ascii="Times New Roman" w:hAnsi="Times New Roman" w:cs="Times New Roman"/>
          <w:sz w:val="24"/>
          <w:szCs w:val="24"/>
        </w:rPr>
        <w:lastRenderedPageBreak/>
        <w:t>d’Etat dans l’arrêt commenté</w:t>
      </w:r>
      <w:r w:rsidR="00C27D91" w:rsidRPr="00C70EB4">
        <w:rPr>
          <w:rStyle w:val="Appelnotedebasdep"/>
          <w:rFonts w:ascii="Times New Roman" w:hAnsi="Times New Roman" w:cs="Times New Roman"/>
          <w:sz w:val="24"/>
          <w:szCs w:val="24"/>
        </w:rPr>
        <w:footnoteReference w:id="74"/>
      </w:r>
      <w:r w:rsidR="00C27D91" w:rsidRPr="00C70EB4">
        <w:rPr>
          <w:rFonts w:ascii="Times New Roman" w:hAnsi="Times New Roman" w:cs="Times New Roman"/>
          <w:sz w:val="24"/>
          <w:szCs w:val="24"/>
        </w:rPr>
        <w:t xml:space="preserve">. Autrement dit, pour l’heure, les autorités se retrouvent face un vide juridique relatif dans le cas de l’activation de l’article 346 du TFUE. Il est déjà arrivé que ce vide soit comblé par des règles de circonstances. Ainsi, dans le cadre du remplacement des avions de combat F-16, l’Etat belge avait souhaité encadrer la procédure par un acte administratif de portée individuelle, intitulé </w:t>
      </w:r>
      <w:proofErr w:type="spellStart"/>
      <w:r w:rsidR="00C27D91" w:rsidRPr="00C70EB4">
        <w:rPr>
          <w:rFonts w:ascii="Times New Roman" w:hAnsi="Times New Roman" w:cs="Times New Roman"/>
          <w:i/>
          <w:iCs/>
          <w:sz w:val="24"/>
          <w:szCs w:val="24"/>
        </w:rPr>
        <w:t>Request</w:t>
      </w:r>
      <w:proofErr w:type="spellEnd"/>
      <w:r w:rsidR="00C27D91" w:rsidRPr="00C70EB4">
        <w:rPr>
          <w:rFonts w:ascii="Times New Roman" w:hAnsi="Times New Roman" w:cs="Times New Roman"/>
          <w:i/>
          <w:iCs/>
          <w:sz w:val="24"/>
          <w:szCs w:val="24"/>
        </w:rPr>
        <w:t xml:space="preserve"> for </w:t>
      </w:r>
      <w:proofErr w:type="spellStart"/>
      <w:r w:rsidR="00C27D91" w:rsidRPr="00C70EB4">
        <w:rPr>
          <w:rFonts w:ascii="Times New Roman" w:hAnsi="Times New Roman" w:cs="Times New Roman"/>
          <w:i/>
          <w:iCs/>
          <w:sz w:val="24"/>
          <w:szCs w:val="24"/>
        </w:rPr>
        <w:t>Government</w:t>
      </w:r>
      <w:proofErr w:type="spellEnd"/>
      <w:r w:rsidR="00C27D91" w:rsidRPr="00C70EB4">
        <w:rPr>
          <w:rFonts w:ascii="Times New Roman" w:hAnsi="Times New Roman" w:cs="Times New Roman"/>
          <w:i/>
          <w:iCs/>
          <w:sz w:val="24"/>
          <w:szCs w:val="24"/>
        </w:rPr>
        <w:t xml:space="preserve"> </w:t>
      </w:r>
      <w:proofErr w:type="spellStart"/>
      <w:r w:rsidR="00C27D91" w:rsidRPr="00C70EB4">
        <w:rPr>
          <w:rFonts w:ascii="Times New Roman" w:hAnsi="Times New Roman" w:cs="Times New Roman"/>
          <w:i/>
          <w:iCs/>
          <w:sz w:val="24"/>
          <w:szCs w:val="24"/>
        </w:rPr>
        <w:t>Proposal</w:t>
      </w:r>
      <w:proofErr w:type="spellEnd"/>
      <w:r w:rsidR="00C27D91" w:rsidRPr="00C70EB4">
        <w:rPr>
          <w:rFonts w:ascii="Times New Roman" w:hAnsi="Times New Roman" w:cs="Times New Roman"/>
          <w:sz w:val="24"/>
          <w:szCs w:val="24"/>
        </w:rPr>
        <w:t>, lequel faisait office de cahier spécial des charges</w:t>
      </w:r>
      <w:r w:rsidR="00C27D91" w:rsidRPr="00C70EB4">
        <w:rPr>
          <w:rStyle w:val="Appelnotedebasdep"/>
          <w:rFonts w:ascii="Times New Roman" w:hAnsi="Times New Roman" w:cs="Times New Roman"/>
          <w:sz w:val="24"/>
          <w:szCs w:val="24"/>
        </w:rPr>
        <w:footnoteReference w:id="75"/>
      </w:r>
      <w:r w:rsidR="00C27D91" w:rsidRPr="00C70EB4">
        <w:rPr>
          <w:rFonts w:ascii="Times New Roman" w:hAnsi="Times New Roman" w:cs="Times New Roman"/>
          <w:sz w:val="24"/>
          <w:szCs w:val="24"/>
        </w:rPr>
        <w:t xml:space="preserve">. Une telle manière de procéder permet d’assurer une certaine sécurité juridique aux différents candidats, voire à l’unique candidat, en prévoyant, en vertu d’un acte de droit interne, certains principes régulateurs devant être respectés par l’autorité en vertu du principe </w:t>
      </w:r>
      <w:proofErr w:type="spellStart"/>
      <w:r w:rsidR="00C27D91" w:rsidRPr="00C70EB4">
        <w:rPr>
          <w:rFonts w:ascii="Times New Roman" w:hAnsi="Times New Roman" w:cs="Times New Roman"/>
          <w:i/>
          <w:iCs/>
          <w:sz w:val="24"/>
          <w:szCs w:val="24"/>
        </w:rPr>
        <w:t>patere</w:t>
      </w:r>
      <w:proofErr w:type="spellEnd"/>
      <w:r w:rsidR="00C27D91" w:rsidRPr="00C70EB4">
        <w:rPr>
          <w:rFonts w:ascii="Times New Roman" w:hAnsi="Times New Roman" w:cs="Times New Roman"/>
          <w:i/>
          <w:iCs/>
          <w:sz w:val="24"/>
          <w:szCs w:val="24"/>
        </w:rPr>
        <w:t xml:space="preserve"> legem </w:t>
      </w:r>
      <w:proofErr w:type="spellStart"/>
      <w:r w:rsidR="00C27D91" w:rsidRPr="00C70EB4">
        <w:rPr>
          <w:rFonts w:ascii="Times New Roman" w:hAnsi="Times New Roman" w:cs="Times New Roman"/>
          <w:i/>
          <w:iCs/>
          <w:sz w:val="24"/>
          <w:szCs w:val="24"/>
        </w:rPr>
        <w:t>quam</w:t>
      </w:r>
      <w:proofErr w:type="spellEnd"/>
      <w:r w:rsidR="00C27D91" w:rsidRPr="00C70EB4">
        <w:rPr>
          <w:rFonts w:ascii="Times New Roman" w:hAnsi="Times New Roman" w:cs="Times New Roman"/>
          <w:i/>
          <w:iCs/>
          <w:sz w:val="24"/>
          <w:szCs w:val="24"/>
        </w:rPr>
        <w:t xml:space="preserve"> </w:t>
      </w:r>
      <w:proofErr w:type="spellStart"/>
      <w:r w:rsidR="00C27D91" w:rsidRPr="00C70EB4">
        <w:rPr>
          <w:rFonts w:ascii="Times New Roman" w:hAnsi="Times New Roman" w:cs="Times New Roman"/>
          <w:i/>
          <w:iCs/>
          <w:sz w:val="24"/>
          <w:szCs w:val="24"/>
        </w:rPr>
        <w:t>ipse</w:t>
      </w:r>
      <w:proofErr w:type="spellEnd"/>
      <w:r w:rsidR="00C27D91" w:rsidRPr="00C70EB4">
        <w:rPr>
          <w:rFonts w:ascii="Times New Roman" w:hAnsi="Times New Roman" w:cs="Times New Roman"/>
          <w:i/>
          <w:iCs/>
          <w:sz w:val="24"/>
          <w:szCs w:val="24"/>
        </w:rPr>
        <w:t xml:space="preserve"> </w:t>
      </w:r>
      <w:proofErr w:type="spellStart"/>
      <w:r w:rsidR="00C27D91" w:rsidRPr="00C70EB4">
        <w:rPr>
          <w:rFonts w:ascii="Times New Roman" w:hAnsi="Times New Roman" w:cs="Times New Roman"/>
          <w:i/>
          <w:iCs/>
          <w:sz w:val="24"/>
          <w:szCs w:val="24"/>
        </w:rPr>
        <w:t>fecisti</w:t>
      </w:r>
      <w:proofErr w:type="spellEnd"/>
      <w:r w:rsidRPr="00C70EB4">
        <w:rPr>
          <w:rStyle w:val="Appelnotedebasdep"/>
          <w:rFonts w:ascii="Times New Roman" w:hAnsi="Times New Roman" w:cs="Times New Roman"/>
          <w:sz w:val="24"/>
          <w:szCs w:val="24"/>
        </w:rPr>
        <w:footnoteReference w:id="76"/>
      </w:r>
      <w:r w:rsidR="00C27D91" w:rsidRPr="00C70EB4">
        <w:rPr>
          <w:rFonts w:ascii="Times New Roman" w:hAnsi="Times New Roman" w:cs="Times New Roman"/>
          <w:sz w:val="24"/>
          <w:szCs w:val="24"/>
        </w:rPr>
        <w:t xml:space="preserve">. Dans ce cadre, toujours dans un souci de sécurité juridique, on ne peut qu’inciter le législateur à faire entrer en vigueur le Titre 3/1 de la loi du 13 août 2011, puis inviter le Roi à prendre un arrêté royal sur cette base. </w:t>
      </w:r>
    </w:p>
    <w:p w14:paraId="55D46662" w14:textId="77777777" w:rsidR="00C27D91" w:rsidRPr="00C70EB4" w:rsidRDefault="00C27D91" w:rsidP="00C70EB4">
      <w:pPr>
        <w:spacing w:after="0" w:line="276" w:lineRule="auto"/>
        <w:jc w:val="both"/>
        <w:rPr>
          <w:rFonts w:ascii="Times New Roman" w:hAnsi="Times New Roman" w:cs="Times New Roman"/>
          <w:sz w:val="24"/>
          <w:szCs w:val="24"/>
        </w:rPr>
      </w:pPr>
    </w:p>
    <w:p w14:paraId="5068AC58" w14:textId="038E2AD3" w:rsidR="00C27D91" w:rsidRPr="00C70EB4" w:rsidRDefault="00C27D91" w:rsidP="00C70EB4">
      <w:pPr>
        <w:spacing w:after="0" w:line="276" w:lineRule="auto"/>
        <w:jc w:val="both"/>
        <w:rPr>
          <w:rFonts w:ascii="Times New Roman" w:hAnsi="Times New Roman" w:cs="Times New Roman"/>
          <w:sz w:val="24"/>
          <w:szCs w:val="24"/>
        </w:rPr>
      </w:pPr>
      <w:r w:rsidRPr="00C70EB4">
        <w:rPr>
          <w:rFonts w:ascii="Times New Roman" w:hAnsi="Times New Roman" w:cs="Times New Roman"/>
          <w:sz w:val="24"/>
          <w:szCs w:val="24"/>
        </w:rPr>
        <w:t>Du point de vue du droit de l’Union européenne, il paraît indubitable que le recours à l’article 346 du TFUE constitue un frein à l’émergence d’une Défense européenne</w:t>
      </w:r>
      <w:r w:rsidRPr="00C70EB4">
        <w:rPr>
          <w:rStyle w:val="Appelnotedebasdep"/>
          <w:rFonts w:ascii="Times New Roman" w:hAnsi="Times New Roman" w:cs="Times New Roman"/>
          <w:sz w:val="24"/>
          <w:szCs w:val="24"/>
        </w:rPr>
        <w:footnoteReference w:id="77"/>
      </w:r>
      <w:r w:rsidRPr="00C70EB4">
        <w:rPr>
          <w:rFonts w:ascii="Times New Roman" w:hAnsi="Times New Roman" w:cs="Times New Roman"/>
          <w:sz w:val="24"/>
          <w:szCs w:val="24"/>
        </w:rPr>
        <w:t>, dont la nécessité paraît de plus en plus urgente au regard de l’évolution du contexte géostratégique contemporain, marqué par le conflit russo-ukrainien à la frontière orientale de l’Union et par la remise en question, par les Etats-Unis d’Amérique, de l’engagement de l’OTAN envers les Etats européens</w:t>
      </w:r>
      <w:r w:rsidRPr="00C70EB4">
        <w:rPr>
          <w:rStyle w:val="Appelnotedebasdep"/>
          <w:rFonts w:ascii="Times New Roman" w:hAnsi="Times New Roman" w:cs="Times New Roman"/>
          <w:sz w:val="24"/>
          <w:szCs w:val="24"/>
        </w:rPr>
        <w:footnoteReference w:id="78"/>
      </w:r>
      <w:r w:rsidRPr="00C70EB4">
        <w:rPr>
          <w:rFonts w:ascii="Times New Roman" w:hAnsi="Times New Roman" w:cs="Times New Roman"/>
          <w:sz w:val="24"/>
          <w:szCs w:val="24"/>
        </w:rPr>
        <w:t>. Dans ce cadre, le livre vert de la Commission de 2004, dont il a été question dans les lignes qui précèdent</w:t>
      </w:r>
      <w:r w:rsidR="00A32A59">
        <w:rPr>
          <w:rStyle w:val="Appelnotedebasdep"/>
          <w:rFonts w:ascii="Times New Roman" w:hAnsi="Times New Roman" w:cs="Times New Roman"/>
          <w:sz w:val="24"/>
          <w:szCs w:val="24"/>
        </w:rPr>
        <w:footnoteReference w:id="79"/>
      </w:r>
      <w:r w:rsidRPr="00C70EB4">
        <w:rPr>
          <w:rFonts w:ascii="Times New Roman" w:hAnsi="Times New Roman" w:cs="Times New Roman"/>
          <w:sz w:val="24"/>
          <w:szCs w:val="24"/>
        </w:rPr>
        <w:t>, paraît pouvoir faire l’objet d’un regain d’intérêt. Dans ce document, la Commission explore les possibilités d’adoption d’un instrument de droit dérivé spécifique aux marchés de Défense relevant du champ d’application de l’ancien article 296 du Traité sur la Communauté européenne, à une époque où la directive 2009/81/CE n’existait pas encore. Il s’agirait de rendre applicable certains principes issus du droit primaire, comme les principes de transparence, de non-discrimination et de publicité, en prenant en compte les spécificités de ces marchés</w:t>
      </w:r>
      <w:r w:rsidRPr="00C70EB4">
        <w:rPr>
          <w:rStyle w:val="Appelnotedebasdep"/>
          <w:rFonts w:ascii="Times New Roman" w:hAnsi="Times New Roman" w:cs="Times New Roman"/>
          <w:sz w:val="24"/>
          <w:szCs w:val="24"/>
        </w:rPr>
        <w:footnoteReference w:id="80"/>
      </w:r>
      <w:r w:rsidRPr="00C70EB4">
        <w:rPr>
          <w:rFonts w:ascii="Times New Roman" w:hAnsi="Times New Roman" w:cs="Times New Roman"/>
          <w:sz w:val="24"/>
          <w:szCs w:val="24"/>
        </w:rPr>
        <w:t xml:space="preserve">. Cependant, sauf à imaginer une soumission des Etats à un tel système sur une base volontaire, l’adoption d’un tel instrument à portée contraignante nécessiterait une révision des traités, qui paraît hypothétique à ce stade.  </w:t>
      </w:r>
    </w:p>
    <w:p w14:paraId="5AA897A4" w14:textId="77777777" w:rsidR="00C27D91" w:rsidRPr="00C70EB4" w:rsidRDefault="00C27D91" w:rsidP="00C70EB4">
      <w:pPr>
        <w:spacing w:after="0" w:line="276" w:lineRule="auto"/>
        <w:jc w:val="both"/>
        <w:rPr>
          <w:rFonts w:ascii="Times New Roman" w:hAnsi="Times New Roman" w:cs="Times New Roman"/>
          <w:sz w:val="24"/>
          <w:szCs w:val="24"/>
        </w:rPr>
      </w:pPr>
    </w:p>
    <w:p w14:paraId="10CE4918" w14:textId="263B96BE" w:rsidR="00C27D91" w:rsidRPr="00C70EB4" w:rsidRDefault="00A32A59" w:rsidP="00C70EB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19</w:t>
      </w:r>
      <w:r w:rsidR="00C27D91" w:rsidRPr="00C70EB4">
        <w:rPr>
          <w:rFonts w:ascii="Times New Roman" w:hAnsi="Times New Roman" w:cs="Times New Roman"/>
          <w:b/>
          <w:bCs/>
          <w:sz w:val="24"/>
          <w:szCs w:val="24"/>
        </w:rPr>
        <w:t>.</w:t>
      </w:r>
      <w:r w:rsidR="00C27D91" w:rsidRPr="00C70EB4">
        <w:rPr>
          <w:rFonts w:ascii="Times New Roman" w:hAnsi="Times New Roman" w:cs="Times New Roman"/>
          <w:sz w:val="24"/>
          <w:szCs w:val="24"/>
        </w:rPr>
        <w:t xml:space="preserve"> L’arrêt commenté nous semble donc d’une actualité brûlante. Outre qu’il constitue, à notre connaissance, le premier exemple d’un examen substantiel du respect de l’article 346 du TFUE par le Conseil d’Etat de Belgique – et, partant, un premier cas de validation du recours à cette disposition– il atteste aussi du subtil exercice d’équilibriste auquel sont confrontés les Etats membres de l’Union européenne, entre les tendances de souveraineté stratégique, d’une part, et d’intégration militaire supranationale, d’autre part. Dans le cadre du partenariat attaqué, l’arrêt donne son aval à la première tendance. </w:t>
      </w:r>
    </w:p>
    <w:p w14:paraId="2CBC70D2" w14:textId="77777777" w:rsidR="00C27D91" w:rsidRPr="00C70EB4" w:rsidRDefault="00C27D91" w:rsidP="00C70EB4">
      <w:pPr>
        <w:pStyle w:val="Paragraphedeliste"/>
        <w:spacing w:after="0"/>
        <w:ind w:left="1080"/>
        <w:jc w:val="both"/>
        <w:rPr>
          <w:rFonts w:ascii="Times New Roman" w:hAnsi="Times New Roman" w:cs="Times New Roman"/>
          <w:sz w:val="24"/>
          <w:szCs w:val="24"/>
        </w:rPr>
      </w:pPr>
    </w:p>
    <w:p w14:paraId="0B6EC146" w14:textId="77777777" w:rsidR="00C27D91" w:rsidRPr="00083BE7" w:rsidRDefault="00C27D91" w:rsidP="00C70EB4"/>
    <w:sectPr w:rsidR="00C27D91" w:rsidRPr="00083BE7">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38C30" w14:textId="77777777" w:rsidR="0062448C" w:rsidRDefault="0062448C" w:rsidP="00D42582">
      <w:pPr>
        <w:spacing w:after="0" w:line="240" w:lineRule="auto"/>
      </w:pPr>
      <w:r>
        <w:separator/>
      </w:r>
    </w:p>
  </w:endnote>
  <w:endnote w:type="continuationSeparator" w:id="0">
    <w:p w14:paraId="4BD8B54E" w14:textId="77777777" w:rsidR="0062448C" w:rsidRDefault="0062448C" w:rsidP="00D42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89097500"/>
      <w:docPartObj>
        <w:docPartGallery w:val="Page Numbers (Bottom of Page)"/>
        <w:docPartUnique/>
      </w:docPartObj>
    </w:sdtPr>
    <w:sdtContent>
      <w:p w14:paraId="1000E448" w14:textId="4434262C" w:rsidR="006C6312" w:rsidRDefault="006C6312" w:rsidP="007D6FE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00A8E45" w14:textId="77777777" w:rsidR="006C6312" w:rsidRDefault="006C6312" w:rsidP="00C70EB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Times New Roman" w:hAnsi="Times New Roman" w:cs="Times New Roman"/>
        <w:sz w:val="24"/>
        <w:szCs w:val="24"/>
      </w:rPr>
      <w:id w:val="535859038"/>
      <w:docPartObj>
        <w:docPartGallery w:val="Page Numbers (Bottom of Page)"/>
        <w:docPartUnique/>
      </w:docPartObj>
    </w:sdtPr>
    <w:sdtContent>
      <w:p w14:paraId="63A58CD1" w14:textId="648D8ABD" w:rsidR="006C6312" w:rsidRPr="00C70EB4" w:rsidRDefault="006C6312" w:rsidP="007D6FEB">
        <w:pPr>
          <w:pStyle w:val="Pieddepage"/>
          <w:framePr w:wrap="none" w:vAnchor="text" w:hAnchor="margin" w:xAlign="right" w:y="1"/>
          <w:rPr>
            <w:rStyle w:val="Numrodepage"/>
            <w:rFonts w:ascii="Times New Roman" w:hAnsi="Times New Roman" w:cs="Times New Roman"/>
            <w:sz w:val="24"/>
            <w:szCs w:val="24"/>
          </w:rPr>
        </w:pPr>
        <w:r w:rsidRPr="00C70EB4">
          <w:rPr>
            <w:rStyle w:val="Numrodepage"/>
            <w:rFonts w:ascii="Times New Roman" w:hAnsi="Times New Roman" w:cs="Times New Roman"/>
            <w:sz w:val="24"/>
            <w:szCs w:val="24"/>
          </w:rPr>
          <w:fldChar w:fldCharType="begin"/>
        </w:r>
        <w:r w:rsidRPr="00C70EB4">
          <w:rPr>
            <w:rStyle w:val="Numrodepage"/>
            <w:rFonts w:ascii="Times New Roman" w:hAnsi="Times New Roman" w:cs="Times New Roman"/>
            <w:sz w:val="24"/>
            <w:szCs w:val="24"/>
          </w:rPr>
          <w:instrText xml:space="preserve"> PAGE </w:instrText>
        </w:r>
        <w:r w:rsidRPr="00C70EB4">
          <w:rPr>
            <w:rStyle w:val="Numrodepage"/>
            <w:rFonts w:ascii="Times New Roman" w:hAnsi="Times New Roman" w:cs="Times New Roman"/>
            <w:sz w:val="24"/>
            <w:szCs w:val="24"/>
          </w:rPr>
          <w:fldChar w:fldCharType="separate"/>
        </w:r>
        <w:r w:rsidRPr="00C70EB4">
          <w:rPr>
            <w:rStyle w:val="Numrodepage"/>
            <w:rFonts w:ascii="Times New Roman" w:hAnsi="Times New Roman" w:cs="Times New Roman"/>
            <w:noProof/>
            <w:sz w:val="24"/>
            <w:szCs w:val="24"/>
          </w:rPr>
          <w:t>1</w:t>
        </w:r>
        <w:r w:rsidRPr="00C70EB4">
          <w:rPr>
            <w:rStyle w:val="Numrodepage"/>
            <w:rFonts w:ascii="Times New Roman" w:hAnsi="Times New Roman" w:cs="Times New Roman"/>
            <w:sz w:val="24"/>
            <w:szCs w:val="24"/>
          </w:rPr>
          <w:fldChar w:fldCharType="end"/>
        </w:r>
      </w:p>
    </w:sdtContent>
  </w:sdt>
  <w:p w14:paraId="444D46E5" w14:textId="77777777" w:rsidR="006C6312" w:rsidRDefault="006C6312" w:rsidP="00C70EB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7C4BC" w14:textId="77777777" w:rsidR="0062448C" w:rsidRDefault="0062448C" w:rsidP="00D42582">
      <w:pPr>
        <w:spacing w:after="0" w:line="240" w:lineRule="auto"/>
      </w:pPr>
      <w:r>
        <w:separator/>
      </w:r>
    </w:p>
  </w:footnote>
  <w:footnote w:type="continuationSeparator" w:id="0">
    <w:p w14:paraId="1CF0946C" w14:textId="77777777" w:rsidR="0062448C" w:rsidRDefault="0062448C" w:rsidP="00D42582">
      <w:pPr>
        <w:spacing w:after="0" w:line="240" w:lineRule="auto"/>
      </w:pPr>
      <w:r>
        <w:continuationSeparator/>
      </w:r>
    </w:p>
  </w:footnote>
  <w:footnote w:id="1">
    <w:p w14:paraId="421601A2" w14:textId="2BC2AD38" w:rsidR="00593BB5" w:rsidRPr="00C70EB4" w:rsidRDefault="00593BB5">
      <w:pPr>
        <w:pStyle w:val="Notedebasdepage"/>
        <w:rPr>
          <w:sz w:val="20"/>
          <w:szCs w:val="20"/>
          <w:lang w:val="de-DE"/>
        </w:rPr>
      </w:pPr>
      <w:r w:rsidRPr="00C70EB4">
        <w:rPr>
          <w:rStyle w:val="Appelnotedebasdep"/>
          <w:sz w:val="20"/>
          <w:szCs w:val="20"/>
        </w:rPr>
        <w:footnoteRef/>
      </w:r>
      <w:r w:rsidRPr="00C70EB4">
        <w:rPr>
          <w:sz w:val="20"/>
          <w:szCs w:val="20"/>
          <w:lang w:val="de-DE"/>
        </w:rPr>
        <w:t xml:space="preserve"> C.E., 10 </w:t>
      </w:r>
      <w:proofErr w:type="spellStart"/>
      <w:r w:rsidRPr="00C70EB4">
        <w:rPr>
          <w:sz w:val="20"/>
          <w:szCs w:val="20"/>
          <w:lang w:val="de-DE"/>
        </w:rPr>
        <w:t>janvier</w:t>
      </w:r>
      <w:proofErr w:type="spellEnd"/>
      <w:r w:rsidRPr="00C70EB4">
        <w:rPr>
          <w:sz w:val="20"/>
          <w:szCs w:val="20"/>
          <w:lang w:val="de-DE"/>
        </w:rPr>
        <w:t xml:space="preserve"> 2024, n° 248.383, </w:t>
      </w:r>
      <w:proofErr w:type="spellStart"/>
      <w:r w:rsidRPr="00C70EB4">
        <w:rPr>
          <w:i/>
          <w:iCs/>
          <w:sz w:val="20"/>
          <w:szCs w:val="20"/>
          <w:lang w:val="de-DE"/>
        </w:rPr>
        <w:t>Heckler</w:t>
      </w:r>
      <w:proofErr w:type="spellEnd"/>
      <w:r w:rsidRPr="00C70EB4">
        <w:rPr>
          <w:i/>
          <w:iCs/>
          <w:sz w:val="20"/>
          <w:szCs w:val="20"/>
          <w:lang w:val="de-DE"/>
        </w:rPr>
        <w:t xml:space="preserve"> &amp; Koch</w:t>
      </w:r>
      <w:r w:rsidRPr="00C70EB4">
        <w:rPr>
          <w:sz w:val="20"/>
          <w:szCs w:val="20"/>
          <w:lang w:val="de-DE"/>
        </w:rPr>
        <w:t>.</w:t>
      </w:r>
    </w:p>
  </w:footnote>
  <w:footnote w:id="2">
    <w:p w14:paraId="3BA6C062" w14:textId="2B69328C" w:rsidR="00D42582" w:rsidRPr="00C70EB4" w:rsidRDefault="00D42582" w:rsidP="00101B43">
      <w:pPr>
        <w:pStyle w:val="Notedebasdepage"/>
        <w:jc w:val="both"/>
        <w:rPr>
          <w:sz w:val="20"/>
          <w:szCs w:val="20"/>
          <w:lang w:eastAsia="fr-FR"/>
        </w:rPr>
      </w:pPr>
      <w:r w:rsidRPr="003369F1">
        <w:rPr>
          <w:rStyle w:val="Appelnotedebasdep"/>
          <w:sz w:val="20"/>
          <w:szCs w:val="20"/>
        </w:rPr>
        <w:footnoteRef/>
      </w:r>
      <w:r w:rsidRPr="003369F1">
        <w:rPr>
          <w:sz w:val="20"/>
          <w:szCs w:val="20"/>
          <w:lang w:val="en-US"/>
        </w:rPr>
        <w:t xml:space="preserve"> B. </w:t>
      </w:r>
      <w:proofErr w:type="spellStart"/>
      <w:r w:rsidRPr="003369F1">
        <w:rPr>
          <w:smallCaps/>
          <w:sz w:val="20"/>
          <w:szCs w:val="20"/>
          <w:lang w:val="en-US"/>
        </w:rPr>
        <w:t>Heuninckx</w:t>
      </w:r>
      <w:proofErr w:type="spellEnd"/>
      <w:r w:rsidRPr="003369F1">
        <w:rPr>
          <w:sz w:val="20"/>
          <w:szCs w:val="20"/>
          <w:lang w:val="en-US"/>
        </w:rPr>
        <w:t xml:space="preserve">, « 346, the number of the </w:t>
      </w:r>
      <w:proofErr w:type="gramStart"/>
      <w:r w:rsidRPr="003369F1">
        <w:rPr>
          <w:sz w:val="20"/>
          <w:szCs w:val="20"/>
          <w:lang w:val="en-US"/>
        </w:rPr>
        <w:t>beast ?</w:t>
      </w:r>
      <w:proofErr w:type="gramEnd"/>
      <w:r w:rsidRPr="003369F1">
        <w:rPr>
          <w:sz w:val="20"/>
          <w:szCs w:val="20"/>
          <w:lang w:val="en-US"/>
        </w:rPr>
        <w:t xml:space="preserve"> </w:t>
      </w:r>
      <w:r w:rsidRPr="00C70EB4">
        <w:rPr>
          <w:sz w:val="20"/>
          <w:szCs w:val="20"/>
        </w:rPr>
        <w:t xml:space="preserve">A </w:t>
      </w:r>
      <w:proofErr w:type="spellStart"/>
      <w:r w:rsidRPr="00C70EB4">
        <w:rPr>
          <w:sz w:val="20"/>
          <w:szCs w:val="20"/>
        </w:rPr>
        <w:t>blueprint</w:t>
      </w:r>
      <w:proofErr w:type="spellEnd"/>
      <w:r w:rsidRPr="00C70EB4">
        <w:rPr>
          <w:sz w:val="20"/>
          <w:szCs w:val="20"/>
        </w:rPr>
        <w:t xml:space="preserve"> for the protection of essential </w:t>
      </w:r>
      <w:proofErr w:type="spellStart"/>
      <w:r w:rsidRPr="00C70EB4">
        <w:rPr>
          <w:sz w:val="20"/>
          <w:szCs w:val="20"/>
        </w:rPr>
        <w:t>security</w:t>
      </w:r>
      <w:proofErr w:type="spellEnd"/>
      <w:r w:rsidRPr="00C70EB4">
        <w:rPr>
          <w:sz w:val="20"/>
          <w:szCs w:val="20"/>
        </w:rPr>
        <w:t xml:space="preserve"> </w:t>
      </w:r>
      <w:proofErr w:type="spellStart"/>
      <w:r w:rsidRPr="00C70EB4">
        <w:rPr>
          <w:sz w:val="20"/>
          <w:szCs w:val="20"/>
        </w:rPr>
        <w:t>interests</w:t>
      </w:r>
      <w:proofErr w:type="spellEnd"/>
      <w:r w:rsidRPr="00C70EB4">
        <w:rPr>
          <w:sz w:val="20"/>
          <w:szCs w:val="20"/>
        </w:rPr>
        <w:t xml:space="preserve"> in EU </w:t>
      </w:r>
      <w:proofErr w:type="spellStart"/>
      <w:r w:rsidRPr="00C70EB4">
        <w:rPr>
          <w:sz w:val="20"/>
          <w:szCs w:val="20"/>
        </w:rPr>
        <w:t>defence</w:t>
      </w:r>
      <w:proofErr w:type="spellEnd"/>
      <w:r w:rsidRPr="00C70EB4">
        <w:rPr>
          <w:sz w:val="20"/>
          <w:szCs w:val="20"/>
        </w:rPr>
        <w:t xml:space="preserve"> </w:t>
      </w:r>
      <w:proofErr w:type="spellStart"/>
      <w:r w:rsidRPr="00C70EB4">
        <w:rPr>
          <w:sz w:val="20"/>
          <w:szCs w:val="20"/>
        </w:rPr>
        <w:t>procurement</w:t>
      </w:r>
      <w:proofErr w:type="spellEnd"/>
      <w:r w:rsidRPr="00C70EB4">
        <w:rPr>
          <w:sz w:val="20"/>
          <w:szCs w:val="20"/>
        </w:rPr>
        <w:t xml:space="preserve"> », </w:t>
      </w:r>
      <w:r w:rsidR="0010763C" w:rsidRPr="00C70EB4">
        <w:rPr>
          <w:i/>
          <w:sz w:val="20"/>
          <w:szCs w:val="20"/>
        </w:rPr>
        <w:t>P.P.L.R.</w:t>
      </w:r>
      <w:r w:rsidRPr="00C70EB4">
        <w:rPr>
          <w:i/>
          <w:sz w:val="20"/>
          <w:szCs w:val="20"/>
        </w:rPr>
        <w:t>.</w:t>
      </w:r>
      <w:r w:rsidRPr="00C70EB4">
        <w:rPr>
          <w:sz w:val="20"/>
          <w:szCs w:val="20"/>
        </w:rPr>
        <w:t>,</w:t>
      </w:r>
      <w:r w:rsidR="00101B43" w:rsidRPr="00C70EB4">
        <w:rPr>
          <w:sz w:val="20"/>
          <w:szCs w:val="20"/>
        </w:rPr>
        <w:t xml:space="preserve"> </w:t>
      </w:r>
      <w:r w:rsidR="0010763C" w:rsidRPr="00C70EB4">
        <w:rPr>
          <w:sz w:val="20"/>
          <w:szCs w:val="20"/>
        </w:rPr>
        <w:t>2018</w:t>
      </w:r>
      <w:r w:rsidRPr="00C70EB4">
        <w:rPr>
          <w:sz w:val="20"/>
          <w:szCs w:val="20"/>
        </w:rPr>
        <w:t xml:space="preserve"> p. 4</w:t>
      </w:r>
      <w:r w:rsidR="00C55F1A" w:rsidRPr="00C70EB4">
        <w:rPr>
          <w:sz w:val="20"/>
          <w:szCs w:val="20"/>
        </w:rPr>
        <w:t>: Directive 2009/81/CE du 13 juillet 2009</w:t>
      </w:r>
      <w:r w:rsidR="00C55F1A" w:rsidRPr="00C70EB4">
        <w:rPr>
          <w:rStyle w:val="Marquedecommentaire"/>
          <w:sz w:val="20"/>
          <w:szCs w:val="20"/>
        </w:rPr>
        <w:t/>
      </w:r>
      <w:r w:rsidR="00C55F1A" w:rsidRPr="00C70EB4">
        <w:rPr>
          <w:sz w:val="20"/>
          <w:szCs w:val="20"/>
        </w:rPr>
        <w:t xml:space="preserve">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J.O.U.E, L216/76, 20 août 2009.</w:t>
      </w:r>
    </w:p>
  </w:footnote>
  <w:footnote w:id="3">
    <w:p w14:paraId="2E7A4ABC" w14:textId="12C04A39" w:rsidR="00094078" w:rsidRPr="003369F1" w:rsidRDefault="00094078"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3369F1">
        <w:rPr>
          <w:sz w:val="20"/>
          <w:szCs w:val="20"/>
        </w:rPr>
        <w:t xml:space="preserve">C.E., 2 décembre 2005, n° 152.174, </w:t>
      </w:r>
      <w:r w:rsidRPr="00C70EB4">
        <w:rPr>
          <w:i/>
          <w:iCs/>
          <w:sz w:val="20"/>
          <w:szCs w:val="20"/>
        </w:rPr>
        <w:t xml:space="preserve">S.A. </w:t>
      </w:r>
      <w:proofErr w:type="spellStart"/>
      <w:r w:rsidRPr="00C70EB4">
        <w:rPr>
          <w:i/>
          <w:iCs/>
          <w:sz w:val="20"/>
          <w:szCs w:val="20"/>
        </w:rPr>
        <w:t>Labornom</w:t>
      </w:r>
      <w:proofErr w:type="spellEnd"/>
      <w:r w:rsidRPr="003369F1">
        <w:rPr>
          <w:sz w:val="20"/>
          <w:szCs w:val="20"/>
        </w:rPr>
        <w:t xml:space="preserve"> et C.E., 2 décembre 2005, n° 152.174, S</w:t>
      </w:r>
      <w:r w:rsidRPr="00C70EB4">
        <w:rPr>
          <w:i/>
          <w:iCs/>
          <w:sz w:val="20"/>
          <w:szCs w:val="20"/>
        </w:rPr>
        <w:t xml:space="preserve">.A. Amec Spie </w:t>
      </w:r>
      <w:proofErr w:type="spellStart"/>
      <w:r w:rsidRPr="00C70EB4">
        <w:rPr>
          <w:i/>
          <w:iCs/>
          <w:sz w:val="20"/>
          <w:szCs w:val="20"/>
        </w:rPr>
        <w:t>Belgium</w:t>
      </w:r>
      <w:proofErr w:type="spellEnd"/>
      <w:r w:rsidRPr="003369F1">
        <w:rPr>
          <w:sz w:val="20"/>
          <w:szCs w:val="20"/>
        </w:rPr>
        <w:t>.</w:t>
      </w:r>
    </w:p>
  </w:footnote>
  <w:footnote w:id="4">
    <w:p w14:paraId="4E52E950" w14:textId="35956F4C" w:rsidR="00EA0B58" w:rsidRPr="003369F1" w:rsidRDefault="00EA0B58"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3369F1">
        <w:rPr>
          <w:sz w:val="20"/>
          <w:szCs w:val="20"/>
        </w:rPr>
        <w:t xml:space="preserve">P. </w:t>
      </w:r>
      <w:proofErr w:type="spellStart"/>
      <w:r w:rsidRPr="003369F1">
        <w:rPr>
          <w:smallCaps/>
          <w:sz w:val="20"/>
          <w:szCs w:val="20"/>
        </w:rPr>
        <w:t>Goffaux</w:t>
      </w:r>
      <w:proofErr w:type="spellEnd"/>
      <w:r w:rsidRPr="003369F1">
        <w:rPr>
          <w:sz w:val="20"/>
          <w:szCs w:val="20"/>
        </w:rPr>
        <w:t xml:space="preserve">, </w:t>
      </w:r>
      <w:r w:rsidRPr="003369F1">
        <w:rPr>
          <w:i/>
          <w:iCs/>
          <w:sz w:val="20"/>
          <w:szCs w:val="20"/>
        </w:rPr>
        <w:t>Dictionnaire de droit administratif</w:t>
      </w:r>
      <w:r w:rsidRPr="003369F1">
        <w:rPr>
          <w:sz w:val="20"/>
          <w:szCs w:val="20"/>
        </w:rPr>
        <w:t>, 2</w:t>
      </w:r>
      <w:r w:rsidRPr="003369F1">
        <w:rPr>
          <w:sz w:val="20"/>
          <w:szCs w:val="20"/>
          <w:vertAlign w:val="superscript"/>
        </w:rPr>
        <w:t>è</w:t>
      </w:r>
      <w:r w:rsidRPr="003369F1">
        <w:rPr>
          <w:sz w:val="20"/>
          <w:szCs w:val="20"/>
        </w:rPr>
        <w:t xml:space="preserve"> éd., Bruxelles, Bruylant, </w:t>
      </w:r>
      <w:r w:rsidR="008303FD" w:rsidRPr="003369F1">
        <w:rPr>
          <w:sz w:val="20"/>
          <w:szCs w:val="20"/>
        </w:rPr>
        <w:t xml:space="preserve">2016, </w:t>
      </w:r>
      <w:r w:rsidRPr="003369F1">
        <w:rPr>
          <w:sz w:val="20"/>
          <w:szCs w:val="20"/>
        </w:rPr>
        <w:t>p. 438.</w:t>
      </w:r>
    </w:p>
  </w:footnote>
  <w:footnote w:id="5">
    <w:p w14:paraId="6BE84ED3" w14:textId="4C8581B4" w:rsidR="000C1630" w:rsidRPr="003369F1" w:rsidRDefault="000C1630"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3369F1">
        <w:rPr>
          <w:sz w:val="20"/>
          <w:szCs w:val="20"/>
        </w:rPr>
        <w:t>Loi du 17 juin 2013</w:t>
      </w:r>
      <w:r w:rsidRPr="00C70EB4">
        <w:rPr>
          <w:sz w:val="20"/>
          <w:szCs w:val="20"/>
        </w:rPr>
        <w:t xml:space="preserve"> </w:t>
      </w:r>
      <w:r w:rsidRPr="003369F1">
        <w:rPr>
          <w:color w:val="09181B"/>
          <w:sz w:val="20"/>
          <w:szCs w:val="20"/>
          <w:shd w:val="clear" w:color="auto" w:fill="FFFFFF"/>
        </w:rPr>
        <w:t>relative à la motivation, à l’information et aux voies de recours en matière de marchés publics, de certains marchés de travaux, de fournitures et de services et de concessions,</w:t>
      </w:r>
      <w:r w:rsidR="00101B43" w:rsidRPr="003369F1">
        <w:rPr>
          <w:color w:val="09181B"/>
          <w:sz w:val="20"/>
          <w:szCs w:val="20"/>
          <w:shd w:val="clear" w:color="auto" w:fill="FFFFFF"/>
        </w:rPr>
        <w:t xml:space="preserve"> </w:t>
      </w:r>
      <w:r w:rsidRPr="003369F1">
        <w:rPr>
          <w:i/>
          <w:iCs/>
          <w:color w:val="09181B"/>
          <w:sz w:val="20"/>
          <w:szCs w:val="20"/>
          <w:shd w:val="clear" w:color="auto" w:fill="FFFFFF"/>
        </w:rPr>
        <w:t>M.B.</w:t>
      </w:r>
      <w:r w:rsidRPr="003369F1">
        <w:rPr>
          <w:color w:val="09181B"/>
          <w:sz w:val="20"/>
          <w:szCs w:val="20"/>
          <w:shd w:val="clear" w:color="auto" w:fill="FFFFFF"/>
        </w:rPr>
        <w:t>, 21 juin 2013.</w:t>
      </w:r>
    </w:p>
  </w:footnote>
  <w:footnote w:id="6">
    <w:p w14:paraId="19F5FF24" w14:textId="67D4F3A8" w:rsidR="00101B43" w:rsidRPr="00C70EB4" w:rsidRDefault="00101B43"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Sur le secret de la Défense nationale, mais en France, </w:t>
      </w:r>
      <w:proofErr w:type="spellStart"/>
      <w:r w:rsidRPr="00C70EB4">
        <w:rPr>
          <w:sz w:val="20"/>
          <w:szCs w:val="20"/>
        </w:rPr>
        <w:t>voy</w:t>
      </w:r>
      <w:proofErr w:type="spellEnd"/>
      <w:r w:rsidRPr="00C70EB4">
        <w:rPr>
          <w:sz w:val="20"/>
          <w:szCs w:val="20"/>
        </w:rPr>
        <w:t xml:space="preserve">. J.-J. </w:t>
      </w:r>
      <w:r w:rsidRPr="00C70EB4">
        <w:rPr>
          <w:smallCaps/>
          <w:sz w:val="20"/>
          <w:szCs w:val="20"/>
        </w:rPr>
        <w:t>Urvoas</w:t>
      </w:r>
      <w:r w:rsidRPr="00C70EB4">
        <w:rPr>
          <w:sz w:val="20"/>
          <w:szCs w:val="20"/>
        </w:rPr>
        <w:t xml:space="preserve">, « Le secret de la Défense nationale », </w:t>
      </w:r>
      <w:r w:rsidR="006C6312" w:rsidRPr="00C70EB4">
        <w:rPr>
          <w:i/>
          <w:iCs/>
          <w:sz w:val="20"/>
          <w:szCs w:val="20"/>
        </w:rPr>
        <w:t>Titre VII</w:t>
      </w:r>
      <w:r w:rsidR="006C6312" w:rsidRPr="00C70EB4">
        <w:rPr>
          <w:sz w:val="20"/>
          <w:szCs w:val="20"/>
        </w:rPr>
        <w:t xml:space="preserve">, avril 2023, n° 10, www.conseil-constitutionnel.fr. </w:t>
      </w:r>
    </w:p>
  </w:footnote>
  <w:footnote w:id="7">
    <w:p w14:paraId="791A19F5" w14:textId="25B15B86" w:rsidR="00D85726" w:rsidRPr="00C70EB4" w:rsidRDefault="00D85726"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Arrêté royal du 6 février 1997 relatif aux marchés publics de fournitures et de services auxquels s’applique l’article 3, §3, de la loi du 24 décembre 1993 relative aux marchés publics et à certains marchés de travaux, de fournitures et de services, </w:t>
      </w:r>
      <w:r w:rsidRPr="00C70EB4">
        <w:rPr>
          <w:i/>
          <w:iCs/>
          <w:sz w:val="20"/>
          <w:szCs w:val="20"/>
        </w:rPr>
        <w:t>M.B.</w:t>
      </w:r>
      <w:r w:rsidRPr="00C70EB4">
        <w:rPr>
          <w:sz w:val="20"/>
          <w:szCs w:val="20"/>
        </w:rPr>
        <w:t>, 25 février 1997.</w:t>
      </w:r>
    </w:p>
  </w:footnote>
  <w:footnote w:id="8">
    <w:p w14:paraId="41EFA255" w14:textId="7DC50178" w:rsidR="00197A67" w:rsidRPr="00C70EB4" w:rsidRDefault="00197A67"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543FD1" w:rsidRPr="003369F1">
        <w:rPr>
          <w:sz w:val="20"/>
          <w:szCs w:val="20"/>
        </w:rPr>
        <w:t xml:space="preserve">N. </w:t>
      </w:r>
      <w:r w:rsidR="00543FD1" w:rsidRPr="003369F1">
        <w:rPr>
          <w:smallCaps/>
          <w:sz w:val="20"/>
          <w:szCs w:val="20"/>
        </w:rPr>
        <w:t>Bernard</w:t>
      </w:r>
      <w:r w:rsidR="00543FD1" w:rsidRPr="003369F1">
        <w:rPr>
          <w:sz w:val="20"/>
          <w:szCs w:val="20"/>
        </w:rPr>
        <w:t xml:space="preserve">, « La procédure de remplacement des F-16, entre transparence et opacité », </w:t>
      </w:r>
      <w:r w:rsidR="00543FD1" w:rsidRPr="003369F1">
        <w:rPr>
          <w:i/>
          <w:iCs/>
          <w:sz w:val="20"/>
          <w:szCs w:val="20"/>
        </w:rPr>
        <w:t>R.B.D.C</w:t>
      </w:r>
      <w:r w:rsidR="00543FD1" w:rsidRPr="003369F1">
        <w:rPr>
          <w:sz w:val="20"/>
          <w:szCs w:val="20"/>
        </w:rPr>
        <w:t xml:space="preserve">., 2019, p. 191 ; E. </w:t>
      </w:r>
      <w:r w:rsidR="00543FD1" w:rsidRPr="003369F1">
        <w:rPr>
          <w:smallCaps/>
          <w:sz w:val="20"/>
          <w:szCs w:val="20"/>
        </w:rPr>
        <w:t>Thibaut</w:t>
      </w:r>
      <w:r w:rsidR="00543FD1" w:rsidRPr="003369F1">
        <w:rPr>
          <w:sz w:val="20"/>
          <w:szCs w:val="20"/>
        </w:rPr>
        <w:t xml:space="preserve"> et M. </w:t>
      </w:r>
      <w:r w:rsidR="00543FD1" w:rsidRPr="003369F1">
        <w:rPr>
          <w:smallCaps/>
          <w:sz w:val="20"/>
          <w:szCs w:val="20"/>
        </w:rPr>
        <w:t>Heine</w:t>
      </w:r>
      <w:r w:rsidR="00543FD1" w:rsidRPr="003369F1">
        <w:rPr>
          <w:sz w:val="20"/>
          <w:szCs w:val="20"/>
        </w:rPr>
        <w:t>, « Les marchés publics en matière de sécurité et de d</w:t>
      </w:r>
      <w:r w:rsidR="00E50CDB" w:rsidRPr="003369F1">
        <w:rPr>
          <w:sz w:val="20"/>
          <w:szCs w:val="20"/>
        </w:rPr>
        <w:t xml:space="preserve">éfense », </w:t>
      </w:r>
      <w:r w:rsidR="00E50CDB" w:rsidRPr="003369F1">
        <w:rPr>
          <w:i/>
          <w:iCs/>
          <w:sz w:val="20"/>
          <w:szCs w:val="20"/>
        </w:rPr>
        <w:t>Questions juridiques d’actualité en lien avec la défense</w:t>
      </w:r>
      <w:r w:rsidR="00E50CDB" w:rsidRPr="003369F1">
        <w:rPr>
          <w:sz w:val="20"/>
          <w:szCs w:val="20"/>
        </w:rPr>
        <w:t xml:space="preserve">, Valéry De Saedeleer, Nicolas </w:t>
      </w:r>
      <w:proofErr w:type="spellStart"/>
      <w:r w:rsidR="00E50CDB" w:rsidRPr="003369F1">
        <w:rPr>
          <w:sz w:val="20"/>
          <w:szCs w:val="20"/>
        </w:rPr>
        <w:t>Lagasse</w:t>
      </w:r>
      <w:proofErr w:type="spellEnd"/>
      <w:r w:rsidR="00E50CDB" w:rsidRPr="003369F1">
        <w:rPr>
          <w:sz w:val="20"/>
          <w:szCs w:val="20"/>
        </w:rPr>
        <w:t xml:space="preserve"> et Emmanuel </w:t>
      </w:r>
      <w:proofErr w:type="spellStart"/>
      <w:r w:rsidR="00E50CDB" w:rsidRPr="003369F1">
        <w:rPr>
          <w:sz w:val="20"/>
          <w:szCs w:val="20"/>
        </w:rPr>
        <w:t>Vandenbossche</w:t>
      </w:r>
      <w:proofErr w:type="spellEnd"/>
      <w:r w:rsidR="00E50CDB" w:rsidRPr="003369F1">
        <w:rPr>
          <w:sz w:val="20"/>
          <w:szCs w:val="20"/>
        </w:rPr>
        <w:t xml:space="preserve"> (</w:t>
      </w:r>
      <w:proofErr w:type="spellStart"/>
      <w:r w:rsidR="00E50CDB" w:rsidRPr="003369F1">
        <w:rPr>
          <w:sz w:val="20"/>
          <w:szCs w:val="20"/>
        </w:rPr>
        <w:t>dir</w:t>
      </w:r>
      <w:proofErr w:type="spellEnd"/>
      <w:r w:rsidR="00E50CDB" w:rsidRPr="003369F1">
        <w:rPr>
          <w:sz w:val="20"/>
          <w:szCs w:val="20"/>
        </w:rPr>
        <w:t>.), Bruges, la Charte, 2017, p. 400</w:t>
      </w:r>
      <w:r w:rsidR="005F7A3B" w:rsidRPr="003369F1">
        <w:rPr>
          <w:sz w:val="20"/>
          <w:szCs w:val="20"/>
        </w:rPr>
        <w:t xml:space="preserve"> ; D. </w:t>
      </w:r>
      <w:proofErr w:type="spellStart"/>
      <w:r w:rsidR="005F7A3B" w:rsidRPr="00C70EB4">
        <w:rPr>
          <w:smallCaps/>
          <w:sz w:val="20"/>
          <w:szCs w:val="20"/>
        </w:rPr>
        <w:t>Batselé</w:t>
      </w:r>
      <w:proofErr w:type="spellEnd"/>
      <w:r w:rsidR="005F7A3B" w:rsidRPr="003369F1">
        <w:rPr>
          <w:sz w:val="20"/>
          <w:szCs w:val="20"/>
        </w:rPr>
        <w:t xml:space="preserve"> </w:t>
      </w:r>
      <w:r w:rsidR="005F7A3B" w:rsidRPr="003369F1">
        <w:rPr>
          <w:i/>
          <w:iCs/>
          <w:sz w:val="20"/>
          <w:szCs w:val="20"/>
        </w:rPr>
        <w:t>et al.</w:t>
      </w:r>
      <w:r w:rsidR="005F7A3B" w:rsidRPr="003369F1">
        <w:rPr>
          <w:sz w:val="20"/>
          <w:szCs w:val="20"/>
        </w:rPr>
        <w:t xml:space="preserve">, </w:t>
      </w:r>
      <w:r w:rsidR="005F7A3B" w:rsidRPr="003369F1">
        <w:rPr>
          <w:i/>
          <w:iCs/>
          <w:sz w:val="20"/>
          <w:szCs w:val="20"/>
        </w:rPr>
        <w:t>Réussir ses marchés publics spécifiques</w:t>
      </w:r>
      <w:r w:rsidR="005F7A3B" w:rsidRPr="003369F1">
        <w:rPr>
          <w:sz w:val="20"/>
          <w:szCs w:val="20"/>
        </w:rPr>
        <w:t xml:space="preserve">, Bruxelles, Larcier, </w:t>
      </w:r>
      <w:r w:rsidR="006C6312" w:rsidRPr="003369F1">
        <w:rPr>
          <w:sz w:val="20"/>
          <w:szCs w:val="20"/>
        </w:rPr>
        <w:t xml:space="preserve">2016, </w:t>
      </w:r>
      <w:r w:rsidR="005F7A3B" w:rsidRPr="003369F1">
        <w:rPr>
          <w:sz w:val="20"/>
          <w:szCs w:val="20"/>
        </w:rPr>
        <w:t>p. 212.</w:t>
      </w:r>
    </w:p>
  </w:footnote>
  <w:footnote w:id="9">
    <w:p w14:paraId="71308878" w14:textId="6B95CF27" w:rsidR="006C6312" w:rsidRPr="00C70EB4" w:rsidRDefault="006C6312"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Pour une analyse des grands principes établis par la directive 2009/81/CE, </w:t>
      </w:r>
      <w:proofErr w:type="spellStart"/>
      <w:r w:rsidRPr="00C70EB4">
        <w:rPr>
          <w:sz w:val="20"/>
          <w:szCs w:val="20"/>
        </w:rPr>
        <w:t>voy</w:t>
      </w:r>
      <w:proofErr w:type="spellEnd"/>
      <w:r w:rsidRPr="00C70EB4">
        <w:rPr>
          <w:sz w:val="20"/>
          <w:szCs w:val="20"/>
        </w:rPr>
        <w:t xml:space="preserve">. C. </w:t>
      </w:r>
      <w:proofErr w:type="spellStart"/>
      <w:r w:rsidRPr="00C70EB4">
        <w:rPr>
          <w:smallCaps/>
          <w:sz w:val="20"/>
          <w:szCs w:val="20"/>
        </w:rPr>
        <w:t>Chardigny</w:t>
      </w:r>
      <w:proofErr w:type="spellEnd"/>
      <w:r w:rsidRPr="00C70EB4">
        <w:rPr>
          <w:sz w:val="20"/>
          <w:szCs w:val="20"/>
        </w:rPr>
        <w:t xml:space="preserve">, </w:t>
      </w:r>
      <w:r w:rsidRPr="00C70EB4">
        <w:rPr>
          <w:i/>
          <w:iCs/>
          <w:sz w:val="20"/>
          <w:szCs w:val="20"/>
        </w:rPr>
        <w:t>Contrats et marchés publics de Défense</w:t>
      </w:r>
      <w:r w:rsidRPr="00C70EB4">
        <w:rPr>
          <w:sz w:val="20"/>
          <w:szCs w:val="20"/>
        </w:rPr>
        <w:t xml:space="preserve">, Bruxelles, Bruylant, 2013, pp. </w:t>
      </w:r>
      <w:r w:rsidR="003369F1" w:rsidRPr="003369F1">
        <w:rPr>
          <w:sz w:val="20"/>
          <w:szCs w:val="20"/>
        </w:rPr>
        <w:t>69 à 77</w:t>
      </w:r>
      <w:r w:rsidRPr="00C70EB4">
        <w:rPr>
          <w:sz w:val="20"/>
          <w:szCs w:val="20"/>
        </w:rPr>
        <w:t>.</w:t>
      </w:r>
    </w:p>
  </w:footnote>
  <w:footnote w:id="10">
    <w:p w14:paraId="0557A24F" w14:textId="2A43CF3C" w:rsidR="00C86496" w:rsidRPr="003369F1" w:rsidRDefault="00C86496" w:rsidP="00C70EB4">
      <w:pPr>
        <w:pStyle w:val="Notedebasdepage"/>
        <w:jc w:val="both"/>
        <w:rPr>
          <w:sz w:val="20"/>
          <w:szCs w:val="20"/>
        </w:rPr>
      </w:pPr>
      <w:r w:rsidRPr="003369F1">
        <w:rPr>
          <w:rStyle w:val="Appelnotedebasdep"/>
          <w:sz w:val="20"/>
          <w:szCs w:val="20"/>
        </w:rPr>
        <w:footnoteRef/>
      </w:r>
      <w:r w:rsidRPr="003369F1">
        <w:rPr>
          <w:sz w:val="20"/>
          <w:szCs w:val="20"/>
        </w:rPr>
        <w:t xml:space="preserve"> </w:t>
      </w:r>
      <w:r w:rsidRPr="003369F1">
        <w:rPr>
          <w:sz w:val="20"/>
          <w:szCs w:val="20"/>
        </w:rPr>
        <w:t xml:space="preserve">Loi du 13 août 2011 relative aux marchés publics et à certains marchés de travaux, de fournitures et de services dans les domaines de la défense et de la sécurité, </w:t>
      </w:r>
      <w:r w:rsidRPr="003369F1">
        <w:rPr>
          <w:i/>
          <w:iCs/>
          <w:sz w:val="20"/>
          <w:szCs w:val="20"/>
        </w:rPr>
        <w:t>M.B.</w:t>
      </w:r>
      <w:r w:rsidRPr="003369F1">
        <w:rPr>
          <w:sz w:val="20"/>
          <w:szCs w:val="20"/>
        </w:rPr>
        <w:t>, 1</w:t>
      </w:r>
      <w:r w:rsidRPr="003369F1">
        <w:rPr>
          <w:sz w:val="20"/>
          <w:szCs w:val="20"/>
          <w:vertAlign w:val="superscript"/>
        </w:rPr>
        <w:t>er</w:t>
      </w:r>
      <w:r w:rsidRPr="003369F1">
        <w:rPr>
          <w:sz w:val="20"/>
          <w:szCs w:val="20"/>
        </w:rPr>
        <w:t xml:space="preserve"> février 2012.</w:t>
      </w:r>
      <w:r w:rsidR="003544CA" w:rsidRPr="003369F1">
        <w:rPr>
          <w:sz w:val="20"/>
          <w:szCs w:val="20"/>
        </w:rPr>
        <w:t xml:space="preserve"> Pour les arrêtés d’exécution, </w:t>
      </w:r>
      <w:proofErr w:type="spellStart"/>
      <w:r w:rsidR="003544CA" w:rsidRPr="003369F1">
        <w:rPr>
          <w:sz w:val="20"/>
          <w:szCs w:val="20"/>
        </w:rPr>
        <w:t>voy</w:t>
      </w:r>
      <w:proofErr w:type="spellEnd"/>
      <w:r w:rsidR="003544CA" w:rsidRPr="003369F1">
        <w:rPr>
          <w:sz w:val="20"/>
          <w:szCs w:val="20"/>
        </w:rPr>
        <w:t xml:space="preserve">. arrêté royal du 14 janvier 2013 établissant les règles générales d’exécution des marchés publics, </w:t>
      </w:r>
      <w:r w:rsidR="003544CA" w:rsidRPr="003369F1">
        <w:rPr>
          <w:i/>
          <w:iCs/>
          <w:sz w:val="20"/>
          <w:szCs w:val="20"/>
        </w:rPr>
        <w:t>M.B.</w:t>
      </w:r>
      <w:r w:rsidR="003544CA" w:rsidRPr="003369F1">
        <w:rPr>
          <w:sz w:val="20"/>
          <w:szCs w:val="20"/>
        </w:rPr>
        <w:t xml:space="preserve">, 14 février 2013 et arrêté royal du 23 janvier 2012 relatif à la passation des marchés publics et de certains marchés de travaux, de fournitures et de services dans le domaine de la défense et de la sécurité, </w:t>
      </w:r>
      <w:r w:rsidR="003544CA" w:rsidRPr="003369F1">
        <w:rPr>
          <w:i/>
          <w:iCs/>
          <w:sz w:val="20"/>
          <w:szCs w:val="20"/>
        </w:rPr>
        <w:t>M.B.</w:t>
      </w:r>
      <w:r w:rsidR="003544CA" w:rsidRPr="003369F1">
        <w:rPr>
          <w:sz w:val="20"/>
          <w:szCs w:val="20"/>
        </w:rPr>
        <w:t>, 1</w:t>
      </w:r>
      <w:r w:rsidR="003544CA" w:rsidRPr="00C70EB4">
        <w:rPr>
          <w:sz w:val="20"/>
          <w:szCs w:val="20"/>
          <w:vertAlign w:val="superscript"/>
        </w:rPr>
        <w:t>er</w:t>
      </w:r>
      <w:r w:rsidR="003544CA" w:rsidRPr="003369F1">
        <w:rPr>
          <w:sz w:val="20"/>
          <w:szCs w:val="20"/>
        </w:rPr>
        <w:t xml:space="preserve"> février 2012. </w:t>
      </w:r>
    </w:p>
  </w:footnote>
  <w:footnote w:id="11">
    <w:p w14:paraId="01928FEA" w14:textId="7C44FC71" w:rsidR="00112CE8" w:rsidRPr="00C70EB4" w:rsidRDefault="00112CE8"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Pr="00C70EB4">
        <w:rPr>
          <w:sz w:val="20"/>
          <w:szCs w:val="20"/>
          <w:lang w:val="nl-BE"/>
        </w:rPr>
        <w:t xml:space="preserve">D. </w:t>
      </w:r>
      <w:r w:rsidRPr="00C70EB4">
        <w:rPr>
          <w:smallCaps/>
          <w:sz w:val="20"/>
          <w:szCs w:val="20"/>
          <w:lang w:val="nl-BE"/>
        </w:rPr>
        <w:t>Batsel</w:t>
      </w:r>
      <w:r w:rsidR="00263CED" w:rsidRPr="00C70EB4">
        <w:rPr>
          <w:smallCaps/>
          <w:sz w:val="20"/>
          <w:szCs w:val="20"/>
          <w:lang w:val="nl-BE"/>
        </w:rPr>
        <w:t>é</w:t>
      </w:r>
      <w:r w:rsidRPr="00C70EB4">
        <w:rPr>
          <w:sz w:val="20"/>
          <w:szCs w:val="20"/>
          <w:lang w:val="nl-BE"/>
        </w:rPr>
        <w:t xml:space="preserve"> </w:t>
      </w:r>
      <w:r w:rsidRPr="00C70EB4">
        <w:rPr>
          <w:i/>
          <w:iCs/>
          <w:sz w:val="20"/>
          <w:szCs w:val="20"/>
          <w:lang w:val="nl-BE"/>
        </w:rPr>
        <w:t xml:space="preserve">et </w:t>
      </w:r>
      <w:r w:rsidRPr="00C70EB4">
        <w:rPr>
          <w:i/>
          <w:iCs/>
          <w:sz w:val="20"/>
          <w:szCs w:val="20"/>
          <w:lang w:val="nl-BE"/>
        </w:rPr>
        <w:t>al.</w:t>
      </w:r>
      <w:r w:rsidRPr="00C70EB4">
        <w:rPr>
          <w:sz w:val="20"/>
          <w:szCs w:val="20"/>
          <w:lang w:val="nl-BE"/>
        </w:rPr>
        <w:t xml:space="preserve">, </w:t>
      </w:r>
      <w:r w:rsidR="00E9508A" w:rsidRPr="00C70EB4">
        <w:rPr>
          <w:i/>
          <w:iCs/>
          <w:sz w:val="20"/>
          <w:szCs w:val="20"/>
          <w:lang w:val="nl-BE"/>
        </w:rPr>
        <w:t>op. cit.</w:t>
      </w:r>
      <w:r w:rsidRPr="00C70EB4">
        <w:rPr>
          <w:sz w:val="20"/>
          <w:szCs w:val="20"/>
          <w:lang w:val="nl-BE"/>
        </w:rPr>
        <w:t>, p. 207.</w:t>
      </w:r>
    </w:p>
  </w:footnote>
  <w:footnote w:id="12">
    <w:p w14:paraId="2F6A765D" w14:textId="7D958477" w:rsidR="00F2735C" w:rsidRPr="003369F1" w:rsidRDefault="00F2735C"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3369F1">
        <w:rPr>
          <w:sz w:val="20"/>
          <w:szCs w:val="20"/>
        </w:rPr>
        <w:t xml:space="preserve">Communication interprétative de la Commission sur l’application de l’article 296 du traité dans le domaine des marchés publics de la Défense, COM (2006) 779 final, 7 </w:t>
      </w:r>
      <w:r w:rsidR="00E9508A" w:rsidRPr="003369F1">
        <w:rPr>
          <w:sz w:val="20"/>
          <w:szCs w:val="20"/>
        </w:rPr>
        <w:t>décembre</w:t>
      </w:r>
      <w:r w:rsidRPr="003369F1">
        <w:rPr>
          <w:sz w:val="20"/>
          <w:szCs w:val="20"/>
        </w:rPr>
        <w:t xml:space="preserve"> 2006.</w:t>
      </w:r>
    </w:p>
  </w:footnote>
  <w:footnote w:id="13">
    <w:p w14:paraId="2102D7BC" w14:textId="6C07CE60" w:rsidR="00263CED" w:rsidRPr="003369F1" w:rsidRDefault="00263CED"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3369F1">
        <w:rPr>
          <w:sz w:val="20"/>
          <w:szCs w:val="20"/>
        </w:rPr>
        <w:t xml:space="preserve">Voir </w:t>
      </w:r>
      <w:r w:rsidRPr="00C70EB4">
        <w:rPr>
          <w:i/>
          <w:iCs/>
          <w:sz w:val="20"/>
          <w:szCs w:val="20"/>
        </w:rPr>
        <w:t>infra</w:t>
      </w:r>
      <w:r w:rsidRPr="003369F1">
        <w:rPr>
          <w:sz w:val="20"/>
          <w:szCs w:val="20"/>
        </w:rPr>
        <w:t xml:space="preserve">, </w:t>
      </w:r>
      <w:r w:rsidR="00593BB5" w:rsidRPr="003369F1">
        <w:rPr>
          <w:sz w:val="20"/>
          <w:szCs w:val="20"/>
        </w:rPr>
        <w:t>n</w:t>
      </w:r>
      <w:r w:rsidR="00593BB5" w:rsidRPr="00C70EB4">
        <w:rPr>
          <w:sz w:val="20"/>
          <w:szCs w:val="20"/>
          <w:vertAlign w:val="superscript"/>
        </w:rPr>
        <w:t>os</w:t>
      </w:r>
      <w:r w:rsidR="00593BB5" w:rsidRPr="003369F1">
        <w:rPr>
          <w:sz w:val="20"/>
          <w:szCs w:val="20"/>
        </w:rPr>
        <w:t xml:space="preserve"> 8 et s. </w:t>
      </w:r>
    </w:p>
  </w:footnote>
  <w:footnote w:id="14">
    <w:p w14:paraId="67D1E62B" w14:textId="1844015C" w:rsidR="00A261CB" w:rsidRPr="00C70EB4" w:rsidRDefault="00A261CB">
      <w:pPr>
        <w:pStyle w:val="Notedebasdepage"/>
        <w:rPr>
          <w:sz w:val="20"/>
          <w:szCs w:val="20"/>
          <w:lang w:val="de-DE"/>
        </w:rPr>
      </w:pPr>
      <w:r w:rsidRPr="00C70EB4">
        <w:rPr>
          <w:rStyle w:val="Appelnotedebasdep"/>
          <w:sz w:val="20"/>
          <w:szCs w:val="20"/>
        </w:rPr>
        <w:footnoteRef/>
      </w:r>
      <w:r w:rsidRPr="00C70EB4">
        <w:rPr>
          <w:sz w:val="20"/>
          <w:szCs w:val="20"/>
          <w:lang w:val="de-DE"/>
        </w:rPr>
        <w:t xml:space="preserve"> </w:t>
      </w:r>
      <w:r w:rsidR="00593BB5" w:rsidRPr="00C70EB4">
        <w:rPr>
          <w:sz w:val="20"/>
          <w:szCs w:val="20"/>
          <w:lang w:val="de-DE"/>
        </w:rPr>
        <w:t xml:space="preserve">C.E., 10 </w:t>
      </w:r>
      <w:proofErr w:type="spellStart"/>
      <w:r w:rsidR="00593BB5" w:rsidRPr="00C70EB4">
        <w:rPr>
          <w:sz w:val="20"/>
          <w:szCs w:val="20"/>
          <w:lang w:val="de-DE"/>
        </w:rPr>
        <w:t>janvier</w:t>
      </w:r>
      <w:proofErr w:type="spellEnd"/>
      <w:r w:rsidR="00593BB5" w:rsidRPr="00C70EB4">
        <w:rPr>
          <w:sz w:val="20"/>
          <w:szCs w:val="20"/>
          <w:lang w:val="de-DE"/>
        </w:rPr>
        <w:t xml:space="preserve"> 2024, n° 248.383, </w:t>
      </w:r>
      <w:proofErr w:type="spellStart"/>
      <w:r w:rsidR="00593BB5" w:rsidRPr="00C70EB4">
        <w:rPr>
          <w:i/>
          <w:iCs/>
          <w:sz w:val="20"/>
          <w:szCs w:val="20"/>
          <w:lang w:val="de-DE"/>
        </w:rPr>
        <w:t>Heckler</w:t>
      </w:r>
      <w:proofErr w:type="spellEnd"/>
      <w:r w:rsidR="00593BB5" w:rsidRPr="00C70EB4">
        <w:rPr>
          <w:i/>
          <w:iCs/>
          <w:sz w:val="20"/>
          <w:szCs w:val="20"/>
          <w:lang w:val="de-DE"/>
        </w:rPr>
        <w:t xml:space="preserve"> &amp; </w:t>
      </w:r>
      <w:proofErr w:type="gramStart"/>
      <w:r w:rsidR="00593BB5" w:rsidRPr="00C70EB4">
        <w:rPr>
          <w:i/>
          <w:iCs/>
          <w:sz w:val="20"/>
          <w:szCs w:val="20"/>
          <w:lang w:val="de-DE"/>
        </w:rPr>
        <w:t>Koch</w:t>
      </w:r>
      <w:r w:rsidR="00593BB5" w:rsidRPr="00C70EB4">
        <w:rPr>
          <w:sz w:val="20"/>
          <w:szCs w:val="20"/>
          <w:lang w:val="de-DE"/>
        </w:rPr>
        <w:t xml:space="preserve"> ,</w:t>
      </w:r>
      <w:proofErr w:type="gramEnd"/>
      <w:r w:rsidR="00593BB5" w:rsidRPr="00C70EB4">
        <w:rPr>
          <w:sz w:val="20"/>
          <w:szCs w:val="20"/>
          <w:lang w:val="de-DE"/>
        </w:rPr>
        <w:t xml:space="preserve"> </w:t>
      </w:r>
      <w:proofErr w:type="spellStart"/>
      <w:r w:rsidR="00593BB5" w:rsidRPr="00C70EB4">
        <w:rPr>
          <w:sz w:val="20"/>
          <w:szCs w:val="20"/>
          <w:lang w:val="de-DE"/>
        </w:rPr>
        <w:t>pt</w:t>
      </w:r>
      <w:proofErr w:type="spellEnd"/>
      <w:r w:rsidR="00593BB5" w:rsidRPr="00C70EB4">
        <w:rPr>
          <w:sz w:val="20"/>
          <w:szCs w:val="20"/>
          <w:lang w:val="de-DE"/>
        </w:rPr>
        <w:t xml:space="preserve"> 25. </w:t>
      </w:r>
    </w:p>
  </w:footnote>
  <w:footnote w:id="15">
    <w:p w14:paraId="19FD0302" w14:textId="3A8443B0" w:rsidR="00377E56" w:rsidRPr="00C70EB4" w:rsidRDefault="00377E56">
      <w:pPr>
        <w:pStyle w:val="Notedebasdepage"/>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Loi précitée du 13 août 2011, article 15. </w:t>
      </w:r>
    </w:p>
  </w:footnote>
  <w:footnote w:id="16">
    <w:p w14:paraId="53939CA0" w14:textId="077DDC74" w:rsidR="00377E56" w:rsidRPr="00C70EB4" w:rsidRDefault="00377E56">
      <w:pPr>
        <w:pStyle w:val="Notedebasdepage"/>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Loi du 17 juin 2016 relative aux marchés publics, </w:t>
      </w:r>
      <w:r w:rsidRPr="00C70EB4">
        <w:rPr>
          <w:i/>
          <w:iCs/>
          <w:sz w:val="20"/>
          <w:szCs w:val="20"/>
        </w:rPr>
        <w:t>M.B.</w:t>
      </w:r>
      <w:r w:rsidRPr="00C70EB4">
        <w:rPr>
          <w:sz w:val="20"/>
          <w:szCs w:val="20"/>
        </w:rPr>
        <w:t xml:space="preserve">, 14 juillet 2016. </w:t>
      </w:r>
      <w:r w:rsidR="003544CA" w:rsidRPr="00C70EB4">
        <w:rPr>
          <w:sz w:val="20"/>
          <w:szCs w:val="20"/>
        </w:rPr>
        <w:t xml:space="preserve">En règle, l’application de la loi du 13 août 2011 exclut l’application de celle du 17 juin 2016. </w:t>
      </w:r>
      <w:proofErr w:type="spellStart"/>
      <w:r w:rsidR="003544CA" w:rsidRPr="00C70EB4">
        <w:rPr>
          <w:sz w:val="20"/>
          <w:szCs w:val="20"/>
        </w:rPr>
        <w:t>Voy</w:t>
      </w:r>
      <w:proofErr w:type="spellEnd"/>
      <w:r w:rsidR="003544CA" w:rsidRPr="00C70EB4">
        <w:rPr>
          <w:sz w:val="20"/>
          <w:szCs w:val="20"/>
        </w:rPr>
        <w:t xml:space="preserve">. loi précitée du 17 juin 2016, art. 33. </w:t>
      </w:r>
    </w:p>
  </w:footnote>
  <w:footnote w:id="17">
    <w:p w14:paraId="54D6E161" w14:textId="0285308A"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9508A" w:rsidRPr="003369F1">
        <w:rPr>
          <w:sz w:val="20"/>
          <w:szCs w:val="20"/>
        </w:rPr>
        <w:t xml:space="preserve">E. </w:t>
      </w:r>
      <w:r w:rsidR="00E9508A" w:rsidRPr="003369F1">
        <w:rPr>
          <w:smallCaps/>
          <w:sz w:val="20"/>
          <w:szCs w:val="20"/>
        </w:rPr>
        <w:t>Thibaut</w:t>
      </w:r>
      <w:r w:rsidR="00E9508A" w:rsidRPr="003369F1">
        <w:rPr>
          <w:sz w:val="20"/>
          <w:szCs w:val="20"/>
        </w:rPr>
        <w:t xml:space="preserve"> et M. </w:t>
      </w:r>
      <w:r w:rsidR="00E9508A" w:rsidRPr="003369F1">
        <w:rPr>
          <w:smallCaps/>
          <w:sz w:val="20"/>
          <w:szCs w:val="20"/>
        </w:rPr>
        <w:t>Heine</w:t>
      </w:r>
      <w:r w:rsidR="00E9508A" w:rsidRPr="00C70EB4">
        <w:rPr>
          <w:sz w:val="20"/>
          <w:szCs w:val="20"/>
        </w:rPr>
        <w:t xml:space="preserve">, </w:t>
      </w:r>
      <w:r w:rsidR="00E9508A" w:rsidRPr="00C70EB4">
        <w:rPr>
          <w:i/>
          <w:iCs/>
          <w:sz w:val="20"/>
          <w:szCs w:val="20"/>
        </w:rPr>
        <w:t xml:space="preserve">op. </w:t>
      </w:r>
      <w:proofErr w:type="spellStart"/>
      <w:r w:rsidR="00E9508A" w:rsidRPr="00C70EB4">
        <w:rPr>
          <w:i/>
          <w:iCs/>
          <w:sz w:val="20"/>
          <w:szCs w:val="20"/>
        </w:rPr>
        <w:t>cit</w:t>
      </w:r>
      <w:proofErr w:type="spellEnd"/>
      <w:r w:rsidR="00E9508A" w:rsidRPr="00C70EB4">
        <w:rPr>
          <w:i/>
          <w:iCs/>
          <w:sz w:val="20"/>
          <w:szCs w:val="20"/>
        </w:rPr>
        <w:t>.</w:t>
      </w:r>
      <w:r w:rsidR="00E9508A" w:rsidRPr="00C70EB4">
        <w:rPr>
          <w:sz w:val="20"/>
          <w:szCs w:val="20"/>
        </w:rPr>
        <w:t xml:space="preserve">, </w:t>
      </w:r>
      <w:r w:rsidRPr="00C70EB4">
        <w:rPr>
          <w:sz w:val="20"/>
          <w:szCs w:val="20"/>
        </w:rPr>
        <w:t xml:space="preserve">p. 380 ; </w:t>
      </w:r>
      <w:r w:rsidR="00E9508A" w:rsidRPr="00C70EB4">
        <w:rPr>
          <w:sz w:val="20"/>
          <w:szCs w:val="20"/>
        </w:rPr>
        <w:t xml:space="preserve">B. </w:t>
      </w:r>
      <w:r w:rsidR="00E9508A" w:rsidRPr="00C70EB4">
        <w:rPr>
          <w:smallCaps/>
          <w:sz w:val="20"/>
          <w:szCs w:val="20"/>
        </w:rPr>
        <w:t>Florent</w:t>
      </w:r>
      <w:r w:rsidR="00E9508A" w:rsidRPr="00C70EB4">
        <w:rPr>
          <w:sz w:val="20"/>
          <w:szCs w:val="20"/>
        </w:rPr>
        <w:t xml:space="preserve"> et F. </w:t>
      </w:r>
      <w:r w:rsidR="00E9508A" w:rsidRPr="00C70EB4">
        <w:rPr>
          <w:smallCaps/>
          <w:sz w:val="20"/>
          <w:szCs w:val="20"/>
        </w:rPr>
        <w:t>Vallée</w:t>
      </w:r>
      <w:r w:rsidR="00E9508A" w:rsidRPr="00C70EB4">
        <w:rPr>
          <w:sz w:val="20"/>
          <w:szCs w:val="20"/>
        </w:rPr>
        <w:t xml:space="preserve">, </w:t>
      </w:r>
      <w:r w:rsidR="00E9508A" w:rsidRPr="00C70EB4">
        <w:rPr>
          <w:i/>
          <w:iCs/>
          <w:sz w:val="20"/>
          <w:szCs w:val="20"/>
        </w:rPr>
        <w:t>Droit de la défense</w:t>
      </w:r>
      <w:r w:rsidR="00E9508A" w:rsidRPr="00C70EB4">
        <w:rPr>
          <w:sz w:val="20"/>
          <w:szCs w:val="20"/>
        </w:rPr>
        <w:t xml:space="preserve">, Paris, </w:t>
      </w:r>
      <w:r w:rsidRPr="00C70EB4">
        <w:rPr>
          <w:sz w:val="20"/>
          <w:szCs w:val="20"/>
        </w:rPr>
        <w:t>Ellipses</w:t>
      </w:r>
      <w:r w:rsidR="00E9508A" w:rsidRPr="00C70EB4">
        <w:rPr>
          <w:sz w:val="20"/>
          <w:szCs w:val="20"/>
        </w:rPr>
        <w:t>, 2012,</w:t>
      </w:r>
      <w:r w:rsidRPr="00C70EB4">
        <w:rPr>
          <w:sz w:val="20"/>
          <w:szCs w:val="20"/>
        </w:rPr>
        <w:t xml:space="preserve"> p. 725.</w:t>
      </w:r>
    </w:p>
  </w:footnote>
  <w:footnote w:id="18">
    <w:p w14:paraId="529120E7" w14:textId="4AA3D4C1"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3544CA" w:rsidRPr="00C70EB4">
        <w:rPr>
          <w:sz w:val="20"/>
          <w:szCs w:val="20"/>
        </w:rPr>
        <w:t xml:space="preserve">D. </w:t>
      </w:r>
      <w:proofErr w:type="spellStart"/>
      <w:r w:rsidR="003544CA" w:rsidRPr="00C70EB4">
        <w:rPr>
          <w:smallCaps/>
          <w:sz w:val="20"/>
          <w:szCs w:val="20"/>
        </w:rPr>
        <w:t>Batselé</w:t>
      </w:r>
      <w:proofErr w:type="spellEnd"/>
      <w:r w:rsidR="003544CA" w:rsidRPr="00C70EB4">
        <w:rPr>
          <w:sz w:val="20"/>
          <w:szCs w:val="20"/>
        </w:rPr>
        <w:t xml:space="preserve"> </w:t>
      </w:r>
      <w:r w:rsidR="003544CA" w:rsidRPr="00C70EB4">
        <w:rPr>
          <w:i/>
          <w:iCs/>
          <w:sz w:val="20"/>
          <w:szCs w:val="20"/>
        </w:rPr>
        <w:t>et al.</w:t>
      </w:r>
      <w:r w:rsidR="003544CA" w:rsidRPr="00C70EB4">
        <w:rPr>
          <w:sz w:val="20"/>
          <w:szCs w:val="20"/>
        </w:rPr>
        <w:t xml:space="preserve">, </w:t>
      </w:r>
      <w:r w:rsidR="003544CA" w:rsidRPr="00C70EB4">
        <w:rPr>
          <w:i/>
          <w:iCs/>
          <w:sz w:val="20"/>
          <w:szCs w:val="20"/>
        </w:rPr>
        <w:t xml:space="preserve">op. </w:t>
      </w:r>
      <w:proofErr w:type="spellStart"/>
      <w:r w:rsidR="003544CA" w:rsidRPr="00C70EB4">
        <w:rPr>
          <w:i/>
          <w:iCs/>
          <w:sz w:val="20"/>
          <w:szCs w:val="20"/>
        </w:rPr>
        <w:t>cit</w:t>
      </w:r>
      <w:proofErr w:type="spellEnd"/>
      <w:r w:rsidR="003544CA" w:rsidRPr="00C70EB4">
        <w:rPr>
          <w:i/>
          <w:iCs/>
          <w:sz w:val="20"/>
          <w:szCs w:val="20"/>
        </w:rPr>
        <w:t>.</w:t>
      </w:r>
      <w:r w:rsidR="003544CA" w:rsidRPr="00C70EB4">
        <w:rPr>
          <w:sz w:val="20"/>
          <w:szCs w:val="20"/>
        </w:rPr>
        <w:t xml:space="preserve">, p. 206; J.-C. </w:t>
      </w:r>
      <w:proofErr w:type="spellStart"/>
      <w:r w:rsidR="003544CA" w:rsidRPr="00C70EB4">
        <w:rPr>
          <w:smallCaps/>
          <w:sz w:val="20"/>
          <w:szCs w:val="20"/>
        </w:rPr>
        <w:t>Videlin</w:t>
      </w:r>
      <w:proofErr w:type="spellEnd"/>
      <w:r w:rsidR="003544CA" w:rsidRPr="00C70EB4">
        <w:rPr>
          <w:sz w:val="20"/>
          <w:szCs w:val="20"/>
        </w:rPr>
        <w:t xml:space="preserve">, </w:t>
      </w:r>
      <w:r w:rsidR="003544CA" w:rsidRPr="00C70EB4">
        <w:rPr>
          <w:i/>
          <w:iCs/>
          <w:sz w:val="20"/>
          <w:szCs w:val="20"/>
        </w:rPr>
        <w:t>Droit public de la Défense nationale</w:t>
      </w:r>
      <w:r w:rsidR="003544CA" w:rsidRPr="00C70EB4">
        <w:rPr>
          <w:sz w:val="20"/>
          <w:szCs w:val="20"/>
        </w:rPr>
        <w:t xml:space="preserve">, 1ère </w:t>
      </w:r>
      <w:r w:rsidR="00083BE7" w:rsidRPr="003369F1">
        <w:rPr>
          <w:sz w:val="20"/>
          <w:szCs w:val="20"/>
        </w:rPr>
        <w:t>éd., Bruxelles, Bruylant, 2009, p. 206.</w:t>
      </w:r>
      <w:r w:rsidR="003544CA" w:rsidRPr="00C70EB4">
        <w:rPr>
          <w:sz w:val="20"/>
          <w:szCs w:val="20"/>
        </w:rPr>
        <w:t xml:space="preserve"> </w:t>
      </w:r>
    </w:p>
  </w:footnote>
  <w:footnote w:id="19">
    <w:p w14:paraId="24A80F84" w14:textId="6925C2C4"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8133B" w:rsidRPr="003369F1">
        <w:rPr>
          <w:sz w:val="20"/>
          <w:szCs w:val="20"/>
        </w:rPr>
        <w:t xml:space="preserve">S. </w:t>
      </w:r>
      <w:r w:rsidR="00E8133B" w:rsidRPr="00C70EB4">
        <w:rPr>
          <w:smallCaps/>
          <w:sz w:val="20"/>
          <w:szCs w:val="20"/>
        </w:rPr>
        <w:t>Rodrigues</w:t>
      </w:r>
      <w:r w:rsidR="00E8133B" w:rsidRPr="003369F1">
        <w:rPr>
          <w:sz w:val="20"/>
          <w:szCs w:val="20"/>
        </w:rPr>
        <w:t xml:space="preserve">, « Le développement de l’industrie de défense européenne et la protection des intérêts essentiels de sécurité : antagonisme ou complémentarité ? », </w:t>
      </w:r>
      <w:r w:rsidR="00E8133B" w:rsidRPr="003369F1">
        <w:rPr>
          <w:i/>
          <w:iCs/>
          <w:sz w:val="20"/>
          <w:szCs w:val="20"/>
        </w:rPr>
        <w:t>Quel(s) projet(s de Défense pour l’Union européenne</w:t>
      </w:r>
      <w:r w:rsidR="00E8133B" w:rsidRPr="003369F1">
        <w:rPr>
          <w:sz w:val="20"/>
          <w:szCs w:val="20"/>
        </w:rPr>
        <w:t xml:space="preserve">, R. </w:t>
      </w:r>
      <w:proofErr w:type="spellStart"/>
      <w:r w:rsidR="00E8133B" w:rsidRPr="003369F1">
        <w:rPr>
          <w:sz w:val="20"/>
          <w:szCs w:val="20"/>
        </w:rPr>
        <w:t>Wakote</w:t>
      </w:r>
      <w:proofErr w:type="spellEnd"/>
      <w:r w:rsidR="00E8133B" w:rsidRPr="003369F1">
        <w:rPr>
          <w:sz w:val="20"/>
          <w:szCs w:val="20"/>
        </w:rPr>
        <w:t xml:space="preserve"> et L. </w:t>
      </w:r>
      <w:proofErr w:type="spellStart"/>
      <w:r w:rsidR="00E8133B" w:rsidRPr="003369F1">
        <w:rPr>
          <w:sz w:val="20"/>
          <w:szCs w:val="20"/>
        </w:rPr>
        <w:t>Matala</w:t>
      </w:r>
      <w:proofErr w:type="spellEnd"/>
      <w:r w:rsidR="00E8133B" w:rsidRPr="003369F1">
        <w:rPr>
          <w:sz w:val="20"/>
          <w:szCs w:val="20"/>
        </w:rPr>
        <w:t>-Tala (</w:t>
      </w:r>
      <w:proofErr w:type="spellStart"/>
      <w:r w:rsidR="00E8133B" w:rsidRPr="003369F1">
        <w:rPr>
          <w:sz w:val="20"/>
          <w:szCs w:val="20"/>
        </w:rPr>
        <w:t>dir</w:t>
      </w:r>
      <w:proofErr w:type="spellEnd"/>
      <w:r w:rsidR="00E8133B" w:rsidRPr="003369F1">
        <w:rPr>
          <w:sz w:val="20"/>
          <w:szCs w:val="20"/>
        </w:rPr>
        <w:t xml:space="preserve">.), Bruxelles, Bruylant, à paraître ; ; B. </w:t>
      </w:r>
      <w:r w:rsidR="00E8133B" w:rsidRPr="003369F1">
        <w:rPr>
          <w:smallCaps/>
          <w:sz w:val="20"/>
          <w:szCs w:val="20"/>
        </w:rPr>
        <w:t>Florent</w:t>
      </w:r>
      <w:r w:rsidR="00E8133B" w:rsidRPr="003369F1">
        <w:rPr>
          <w:sz w:val="20"/>
          <w:szCs w:val="20"/>
        </w:rPr>
        <w:t xml:space="preserve"> et F. </w:t>
      </w:r>
      <w:r w:rsidR="00E8133B" w:rsidRPr="003369F1">
        <w:rPr>
          <w:smallCaps/>
          <w:sz w:val="20"/>
          <w:szCs w:val="20"/>
        </w:rPr>
        <w:t xml:space="preserve">Vallée, </w:t>
      </w:r>
      <w:r w:rsidR="00E8133B" w:rsidRPr="00C70EB4">
        <w:rPr>
          <w:i/>
          <w:iCs/>
          <w:sz w:val="20"/>
          <w:szCs w:val="20"/>
        </w:rPr>
        <w:t xml:space="preserve">op. </w:t>
      </w:r>
      <w:proofErr w:type="spellStart"/>
      <w:r w:rsidR="00E8133B" w:rsidRPr="00C70EB4">
        <w:rPr>
          <w:i/>
          <w:iCs/>
          <w:sz w:val="20"/>
          <w:szCs w:val="20"/>
        </w:rPr>
        <w:t>cit</w:t>
      </w:r>
      <w:proofErr w:type="spellEnd"/>
      <w:r w:rsidR="00E8133B" w:rsidRPr="003369F1">
        <w:rPr>
          <w:sz w:val="20"/>
          <w:szCs w:val="20"/>
        </w:rPr>
        <w:t>., p. 275.</w:t>
      </w:r>
    </w:p>
  </w:footnote>
  <w:footnote w:id="20">
    <w:p w14:paraId="5E680D5F" w14:textId="6FBC84FC"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xml:space="preserve">. not. CJUE, 15 décembre 2009, C-284/05 e.a., </w:t>
      </w:r>
      <w:r w:rsidRPr="00C70EB4">
        <w:rPr>
          <w:i/>
          <w:sz w:val="20"/>
          <w:szCs w:val="20"/>
        </w:rPr>
        <w:t>Commission c. Finlande</w:t>
      </w:r>
      <w:r w:rsidRPr="00C70EB4">
        <w:rPr>
          <w:iCs/>
          <w:sz w:val="20"/>
          <w:szCs w:val="20"/>
        </w:rPr>
        <w:t>.</w:t>
      </w:r>
    </w:p>
  </w:footnote>
  <w:footnote w:id="21">
    <w:p w14:paraId="58D5EE38" w14:textId="77777777" w:rsidR="00C27D91" w:rsidRPr="00C70EB4" w:rsidRDefault="00C27D91" w:rsidP="00C70EB4">
      <w:pPr>
        <w:pStyle w:val="Notedebasdepage"/>
        <w:jc w:val="both"/>
        <w:rPr>
          <w:iCs/>
          <w:sz w:val="20"/>
          <w:szCs w:val="20"/>
          <w:lang w:val="en-US"/>
        </w:rPr>
      </w:pPr>
      <w:r w:rsidRPr="00C70EB4">
        <w:rPr>
          <w:rStyle w:val="Appelnotedebasdep"/>
          <w:sz w:val="20"/>
          <w:szCs w:val="20"/>
        </w:rPr>
        <w:footnoteRef/>
      </w:r>
      <w:r w:rsidRPr="00C70EB4">
        <w:rPr>
          <w:sz w:val="20"/>
          <w:szCs w:val="20"/>
          <w:lang w:val="en-US"/>
        </w:rPr>
        <w:t xml:space="preserve"> </w:t>
      </w:r>
      <w:proofErr w:type="spellStart"/>
      <w:r w:rsidRPr="00C70EB4">
        <w:rPr>
          <w:sz w:val="20"/>
          <w:szCs w:val="20"/>
          <w:lang w:val="en-US"/>
        </w:rPr>
        <w:t>Voy</w:t>
      </w:r>
      <w:proofErr w:type="spellEnd"/>
      <w:r w:rsidRPr="00C70EB4">
        <w:rPr>
          <w:sz w:val="20"/>
          <w:szCs w:val="20"/>
          <w:lang w:val="en-US"/>
        </w:rPr>
        <w:t xml:space="preserve">. not. CJUE, 4 </w:t>
      </w:r>
      <w:proofErr w:type="spellStart"/>
      <w:r w:rsidRPr="00C70EB4">
        <w:rPr>
          <w:sz w:val="20"/>
          <w:szCs w:val="20"/>
          <w:lang w:val="en-US"/>
        </w:rPr>
        <w:t>septembre</w:t>
      </w:r>
      <w:proofErr w:type="spellEnd"/>
      <w:r w:rsidRPr="00C70EB4">
        <w:rPr>
          <w:sz w:val="20"/>
          <w:szCs w:val="20"/>
          <w:lang w:val="en-US"/>
        </w:rPr>
        <w:t xml:space="preserve"> 2014, C-474/12, </w:t>
      </w:r>
      <w:proofErr w:type="spellStart"/>
      <w:r w:rsidRPr="00C70EB4">
        <w:rPr>
          <w:i/>
          <w:sz w:val="20"/>
          <w:szCs w:val="20"/>
          <w:lang w:val="en-US"/>
        </w:rPr>
        <w:t>Schiebel</w:t>
      </w:r>
      <w:proofErr w:type="spellEnd"/>
      <w:r w:rsidRPr="00C70EB4">
        <w:rPr>
          <w:i/>
          <w:sz w:val="20"/>
          <w:szCs w:val="20"/>
          <w:lang w:val="en-US"/>
        </w:rPr>
        <w:t xml:space="preserve"> Aircraft GmbH</w:t>
      </w:r>
      <w:r w:rsidRPr="00C70EB4">
        <w:rPr>
          <w:iCs/>
          <w:sz w:val="20"/>
          <w:szCs w:val="20"/>
          <w:lang w:val="en-US"/>
        </w:rPr>
        <w:t xml:space="preserve">. </w:t>
      </w:r>
    </w:p>
  </w:footnote>
  <w:footnote w:id="22">
    <w:p w14:paraId="2220CC16" w14:textId="50A92F45"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8133B" w:rsidRPr="003369F1">
        <w:rPr>
          <w:sz w:val="20"/>
          <w:szCs w:val="20"/>
        </w:rPr>
        <w:t xml:space="preserve">I. </w:t>
      </w:r>
      <w:r w:rsidRPr="00C70EB4">
        <w:rPr>
          <w:smallCaps/>
          <w:sz w:val="20"/>
          <w:szCs w:val="20"/>
        </w:rPr>
        <w:t>Barbe</w:t>
      </w:r>
      <w:r w:rsidR="00E8133B" w:rsidRPr="003369F1">
        <w:rPr>
          <w:sz w:val="20"/>
          <w:szCs w:val="20"/>
        </w:rPr>
        <w:t xml:space="preserve">, « L’article 223 du Traité de Rome : un article controversé », </w:t>
      </w:r>
      <w:r w:rsidR="00E8133B" w:rsidRPr="003369F1">
        <w:rPr>
          <w:i/>
          <w:iCs/>
          <w:sz w:val="20"/>
          <w:szCs w:val="20"/>
        </w:rPr>
        <w:t>Revue Droit et Défense</w:t>
      </w:r>
      <w:r w:rsidR="00E8133B" w:rsidRPr="003369F1">
        <w:rPr>
          <w:sz w:val="20"/>
          <w:szCs w:val="20"/>
        </w:rPr>
        <w:t xml:space="preserve">, </w:t>
      </w:r>
      <w:r w:rsidRPr="00C70EB4">
        <w:rPr>
          <w:sz w:val="20"/>
          <w:szCs w:val="20"/>
        </w:rPr>
        <w:t xml:space="preserve"> </w:t>
      </w:r>
      <w:r w:rsidR="00E8133B" w:rsidRPr="003369F1">
        <w:rPr>
          <w:sz w:val="20"/>
          <w:szCs w:val="20"/>
        </w:rPr>
        <w:t xml:space="preserve">1998/1, </w:t>
      </w:r>
      <w:r w:rsidRPr="00C70EB4">
        <w:rPr>
          <w:sz w:val="20"/>
          <w:szCs w:val="20"/>
        </w:rPr>
        <w:t>p. 20.</w:t>
      </w:r>
    </w:p>
  </w:footnote>
  <w:footnote w:id="23">
    <w:p w14:paraId="5F42377D" w14:textId="77777777" w:rsidR="00C27D91" w:rsidRPr="00C70EB4" w:rsidRDefault="00C27D91" w:rsidP="00101B43">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C. </w:t>
      </w:r>
      <w:r w:rsidRPr="00C70EB4">
        <w:rPr>
          <w:smallCaps/>
          <w:sz w:val="20"/>
          <w:szCs w:val="20"/>
        </w:rPr>
        <w:t>Lecomte</w:t>
      </w:r>
      <w:r w:rsidRPr="00C70EB4">
        <w:rPr>
          <w:sz w:val="20"/>
          <w:szCs w:val="20"/>
        </w:rPr>
        <w:t xml:space="preserve">, « Droits régaliens », D. </w:t>
      </w:r>
      <w:proofErr w:type="spellStart"/>
      <w:r w:rsidRPr="00C70EB4">
        <w:rPr>
          <w:sz w:val="20"/>
          <w:szCs w:val="20"/>
        </w:rPr>
        <w:t>Alland</w:t>
      </w:r>
      <w:proofErr w:type="spellEnd"/>
      <w:r w:rsidRPr="00C70EB4">
        <w:rPr>
          <w:sz w:val="20"/>
          <w:szCs w:val="20"/>
        </w:rPr>
        <w:t xml:space="preserve"> et S. Rials (</w:t>
      </w:r>
      <w:proofErr w:type="spellStart"/>
      <w:r w:rsidRPr="00C70EB4">
        <w:rPr>
          <w:sz w:val="20"/>
          <w:szCs w:val="20"/>
        </w:rPr>
        <w:t>dir</w:t>
      </w:r>
      <w:proofErr w:type="spellEnd"/>
      <w:r w:rsidRPr="00C70EB4">
        <w:rPr>
          <w:sz w:val="20"/>
          <w:szCs w:val="20"/>
        </w:rPr>
        <w:t xml:space="preserve">.), </w:t>
      </w:r>
      <w:r w:rsidRPr="00C70EB4">
        <w:rPr>
          <w:i/>
          <w:iCs/>
          <w:sz w:val="20"/>
          <w:szCs w:val="20"/>
        </w:rPr>
        <w:t>Dictionnaire de la culture juridique</w:t>
      </w:r>
      <w:r w:rsidRPr="00C70EB4">
        <w:rPr>
          <w:sz w:val="20"/>
          <w:szCs w:val="20"/>
        </w:rPr>
        <w:t xml:space="preserve">, Paris, P.U.F., 2003, p. 549. Jean de Soto écrit à cet égard que l’activité militaire « est une incarnation de l’Etat en tant </w:t>
      </w:r>
      <w:r w:rsidRPr="00C70EB4">
        <w:rPr>
          <w:i/>
          <w:iCs/>
          <w:sz w:val="20"/>
          <w:szCs w:val="20"/>
        </w:rPr>
        <w:t>qu’imperium</w:t>
      </w:r>
      <w:r w:rsidRPr="00C70EB4">
        <w:rPr>
          <w:sz w:val="20"/>
          <w:szCs w:val="20"/>
        </w:rPr>
        <w:t xml:space="preserve"> » (J. </w:t>
      </w:r>
      <w:r w:rsidRPr="00C70EB4">
        <w:rPr>
          <w:smallCaps/>
          <w:sz w:val="20"/>
          <w:szCs w:val="20"/>
        </w:rPr>
        <w:t>de Soto</w:t>
      </w:r>
      <w:r w:rsidRPr="00C70EB4">
        <w:rPr>
          <w:sz w:val="20"/>
          <w:szCs w:val="20"/>
        </w:rPr>
        <w:t xml:space="preserve">, « Pouvoir civil et pouvoir militaire », </w:t>
      </w:r>
      <w:r w:rsidRPr="00C70EB4">
        <w:rPr>
          <w:i/>
          <w:iCs/>
          <w:sz w:val="20"/>
          <w:szCs w:val="20"/>
        </w:rPr>
        <w:t>La Défense nationale</w:t>
      </w:r>
      <w:r w:rsidRPr="00C70EB4">
        <w:rPr>
          <w:sz w:val="20"/>
          <w:szCs w:val="20"/>
        </w:rPr>
        <w:t>, Paris, P.U.F., 1966, p. 88).</w:t>
      </w:r>
    </w:p>
  </w:footnote>
  <w:footnote w:id="24">
    <w:p w14:paraId="0A57ABE7" w14:textId="6A770D52"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D13ED5" w:rsidRPr="003369F1">
        <w:rPr>
          <w:sz w:val="20"/>
          <w:szCs w:val="20"/>
        </w:rPr>
        <w:t xml:space="preserve">N. B. </w:t>
      </w:r>
      <w:r w:rsidR="00D13ED5" w:rsidRPr="00C70EB4">
        <w:rPr>
          <w:smallCaps/>
          <w:sz w:val="20"/>
          <w:szCs w:val="20"/>
        </w:rPr>
        <w:t>Bernard</w:t>
      </w:r>
      <w:r w:rsidR="00D13ED5" w:rsidRPr="003369F1">
        <w:rPr>
          <w:sz w:val="20"/>
          <w:szCs w:val="20"/>
        </w:rPr>
        <w:t xml:space="preserve">, </w:t>
      </w:r>
      <w:r w:rsidR="00D13ED5" w:rsidRPr="003369F1">
        <w:rPr>
          <w:i/>
          <w:iCs/>
          <w:sz w:val="20"/>
          <w:szCs w:val="20"/>
        </w:rPr>
        <w:t>Défense nationale</w:t>
      </w:r>
      <w:r w:rsidR="00D13ED5" w:rsidRPr="003369F1">
        <w:rPr>
          <w:sz w:val="20"/>
          <w:szCs w:val="20"/>
        </w:rPr>
        <w:t xml:space="preserve">, Bruxelles, Larcier, 2022, pp. 263 à 265 ; </w:t>
      </w:r>
      <w:r w:rsidR="00083BE7" w:rsidRPr="003369F1">
        <w:rPr>
          <w:sz w:val="20"/>
          <w:szCs w:val="20"/>
        </w:rPr>
        <w:t xml:space="preserve">C. </w:t>
      </w:r>
      <w:proofErr w:type="spellStart"/>
      <w:r w:rsidR="00083BE7" w:rsidRPr="003369F1">
        <w:rPr>
          <w:smallCaps/>
          <w:sz w:val="20"/>
          <w:szCs w:val="20"/>
        </w:rPr>
        <w:t>Chardigny</w:t>
      </w:r>
      <w:proofErr w:type="spellEnd"/>
      <w:r w:rsidR="00083BE7" w:rsidRPr="003369F1">
        <w:rPr>
          <w:sz w:val="20"/>
          <w:szCs w:val="20"/>
        </w:rPr>
        <w:t xml:space="preserve">,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 p. 65</w:t>
      </w:r>
      <w:r w:rsidR="00D13ED5" w:rsidRPr="003369F1">
        <w:rPr>
          <w:sz w:val="20"/>
          <w:szCs w:val="20"/>
        </w:rPr>
        <w:t>.</w:t>
      </w:r>
      <w:r w:rsidR="00083BE7" w:rsidRPr="003369F1">
        <w:rPr>
          <w:sz w:val="20"/>
          <w:szCs w:val="20"/>
        </w:rPr>
        <w:t> </w:t>
      </w:r>
    </w:p>
  </w:footnote>
  <w:footnote w:id="25">
    <w:p w14:paraId="606A6933" w14:textId="7446FE1E"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8133B" w:rsidRPr="003369F1">
        <w:rPr>
          <w:sz w:val="20"/>
          <w:szCs w:val="20"/>
        </w:rPr>
        <w:t>Communication interprétative de la Commission sur l’application de l’article 296 du traité dans le domaine des marchés publics de la Défense, COM (2006) 779 final, 7 décembre 2006</w:t>
      </w:r>
      <w:r w:rsidRPr="00C70EB4">
        <w:rPr>
          <w:sz w:val="20"/>
          <w:szCs w:val="20"/>
        </w:rPr>
        <w:t>.</w:t>
      </w:r>
    </w:p>
  </w:footnote>
  <w:footnote w:id="26">
    <w:p w14:paraId="6D52B0C7" w14:textId="406C897C"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083BE7" w:rsidRPr="003369F1">
        <w:rPr>
          <w:sz w:val="20"/>
          <w:szCs w:val="20"/>
        </w:rPr>
        <w:t xml:space="preserve">D. </w:t>
      </w:r>
      <w:proofErr w:type="spellStart"/>
      <w:r w:rsidR="00083BE7" w:rsidRPr="00C70EB4">
        <w:rPr>
          <w:smallCaps/>
          <w:sz w:val="20"/>
          <w:szCs w:val="20"/>
        </w:rPr>
        <w:t>Batselé</w:t>
      </w:r>
      <w:proofErr w:type="spellEnd"/>
      <w:r w:rsidR="00083BE7" w:rsidRPr="003369F1">
        <w:rPr>
          <w:sz w:val="20"/>
          <w:szCs w:val="20"/>
        </w:rPr>
        <w:t xml:space="preserve"> et al.,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w:t>
      </w:r>
      <w:r w:rsidR="00083BE7" w:rsidRPr="00C70EB4">
        <w:rPr>
          <w:sz w:val="20"/>
          <w:szCs w:val="20"/>
        </w:rPr>
        <w:t xml:space="preserve"> </w:t>
      </w:r>
      <w:r w:rsidRPr="00C70EB4">
        <w:rPr>
          <w:sz w:val="20"/>
          <w:szCs w:val="20"/>
        </w:rPr>
        <w:t>pp</w:t>
      </w:r>
      <w:r w:rsidR="00083BE7" w:rsidRPr="003369F1">
        <w:rPr>
          <w:sz w:val="20"/>
          <w:szCs w:val="20"/>
        </w:rPr>
        <w:t>.</w:t>
      </w:r>
      <w:r w:rsidRPr="00C70EB4">
        <w:rPr>
          <w:sz w:val="20"/>
          <w:szCs w:val="20"/>
        </w:rPr>
        <w:t xml:space="preserve"> 210</w:t>
      </w:r>
      <w:r w:rsidR="00083BE7" w:rsidRPr="00C70EB4">
        <w:rPr>
          <w:sz w:val="20"/>
          <w:szCs w:val="20"/>
        </w:rPr>
        <w:t xml:space="preserve"> et </w:t>
      </w:r>
      <w:r w:rsidRPr="00C70EB4">
        <w:rPr>
          <w:sz w:val="20"/>
          <w:szCs w:val="20"/>
        </w:rPr>
        <w:t>211.</w:t>
      </w:r>
    </w:p>
  </w:footnote>
  <w:footnote w:id="27">
    <w:p w14:paraId="1854A7AC" w14:textId="1EE33D41"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xml:space="preserve">. </w:t>
      </w:r>
      <w:r w:rsidRPr="00C70EB4">
        <w:rPr>
          <w:i/>
          <w:iCs/>
          <w:sz w:val="20"/>
          <w:szCs w:val="20"/>
        </w:rPr>
        <w:t>infra</w:t>
      </w:r>
      <w:r w:rsidR="00D13ED5" w:rsidRPr="003369F1">
        <w:rPr>
          <w:sz w:val="20"/>
          <w:szCs w:val="20"/>
        </w:rPr>
        <w:t>, n</w:t>
      </w:r>
      <w:r w:rsidR="00593BB5" w:rsidRPr="00C70EB4">
        <w:rPr>
          <w:sz w:val="20"/>
          <w:szCs w:val="20"/>
          <w:vertAlign w:val="superscript"/>
        </w:rPr>
        <w:t>os</w:t>
      </w:r>
      <w:r w:rsidR="00593BB5" w:rsidRPr="003369F1">
        <w:rPr>
          <w:sz w:val="20"/>
          <w:szCs w:val="20"/>
        </w:rPr>
        <w:t xml:space="preserve"> 8 et s. </w:t>
      </w:r>
    </w:p>
  </w:footnote>
  <w:footnote w:id="28">
    <w:p w14:paraId="02B14230" w14:textId="72BDEB69"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not.</w:t>
      </w:r>
      <w:r w:rsidR="00E9508A" w:rsidRPr="00C70EB4">
        <w:rPr>
          <w:sz w:val="20"/>
          <w:szCs w:val="20"/>
        </w:rPr>
        <w:t xml:space="preserve"> </w:t>
      </w:r>
      <w:r w:rsidR="00E9508A" w:rsidRPr="003369F1">
        <w:rPr>
          <w:sz w:val="20"/>
          <w:szCs w:val="20"/>
        </w:rPr>
        <w:t xml:space="preserve">E. </w:t>
      </w:r>
      <w:r w:rsidR="00E9508A" w:rsidRPr="003369F1">
        <w:rPr>
          <w:smallCaps/>
          <w:sz w:val="20"/>
          <w:szCs w:val="20"/>
        </w:rPr>
        <w:t>Thibaut</w:t>
      </w:r>
      <w:r w:rsidR="00E9508A" w:rsidRPr="003369F1">
        <w:rPr>
          <w:sz w:val="20"/>
          <w:szCs w:val="20"/>
        </w:rPr>
        <w:t xml:space="preserve"> et M. </w:t>
      </w:r>
      <w:r w:rsidR="00E9508A" w:rsidRPr="003369F1">
        <w:rPr>
          <w:smallCaps/>
          <w:sz w:val="20"/>
          <w:szCs w:val="20"/>
        </w:rPr>
        <w:t>Heine</w:t>
      </w:r>
      <w:r w:rsidR="00E9508A" w:rsidRPr="003369F1">
        <w:rPr>
          <w:sz w:val="20"/>
          <w:szCs w:val="20"/>
        </w:rPr>
        <w:t xml:space="preserve">, </w:t>
      </w:r>
      <w:r w:rsidR="00E9508A" w:rsidRPr="003369F1">
        <w:rPr>
          <w:i/>
          <w:iCs/>
          <w:sz w:val="20"/>
          <w:szCs w:val="20"/>
        </w:rPr>
        <w:t xml:space="preserve">op. </w:t>
      </w:r>
      <w:proofErr w:type="spellStart"/>
      <w:r w:rsidR="00E9508A" w:rsidRPr="003369F1">
        <w:rPr>
          <w:i/>
          <w:iCs/>
          <w:sz w:val="20"/>
          <w:szCs w:val="20"/>
        </w:rPr>
        <w:t>cit</w:t>
      </w:r>
      <w:proofErr w:type="spellEnd"/>
      <w:r w:rsidR="00E9508A" w:rsidRPr="003369F1">
        <w:rPr>
          <w:i/>
          <w:iCs/>
          <w:sz w:val="20"/>
          <w:szCs w:val="20"/>
        </w:rPr>
        <w:t>.</w:t>
      </w:r>
      <w:r w:rsidR="00E9508A" w:rsidRPr="003369F1">
        <w:rPr>
          <w:sz w:val="20"/>
          <w:szCs w:val="20"/>
        </w:rPr>
        <w:t>, p. 381</w:t>
      </w:r>
      <w:r w:rsidR="00083BE7" w:rsidRPr="003369F1">
        <w:rPr>
          <w:sz w:val="20"/>
          <w:szCs w:val="20"/>
        </w:rPr>
        <w:t xml:space="preserve"> </w:t>
      </w:r>
      <w:r w:rsidR="00E9508A" w:rsidRPr="003369F1">
        <w:rPr>
          <w:sz w:val="20"/>
          <w:szCs w:val="20"/>
        </w:rPr>
        <w:t>;</w:t>
      </w:r>
      <w:r w:rsidRPr="00C70EB4">
        <w:rPr>
          <w:sz w:val="20"/>
          <w:szCs w:val="20"/>
        </w:rPr>
        <w:t xml:space="preserve"> </w:t>
      </w:r>
      <w:r w:rsidR="00083BE7" w:rsidRPr="003369F1">
        <w:rPr>
          <w:sz w:val="20"/>
          <w:szCs w:val="20"/>
        </w:rPr>
        <w:t xml:space="preserve">D. </w:t>
      </w:r>
      <w:proofErr w:type="spellStart"/>
      <w:r w:rsidR="00083BE7" w:rsidRPr="00C70EB4">
        <w:rPr>
          <w:smallCaps/>
          <w:sz w:val="20"/>
          <w:szCs w:val="20"/>
        </w:rPr>
        <w:t>Batselé</w:t>
      </w:r>
      <w:proofErr w:type="spellEnd"/>
      <w:r w:rsidR="00083BE7" w:rsidRPr="003369F1">
        <w:rPr>
          <w:sz w:val="20"/>
          <w:szCs w:val="20"/>
        </w:rPr>
        <w:t xml:space="preserve"> et. al.,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 xml:space="preserve">, pp. 204 208 ; C. </w:t>
      </w:r>
      <w:proofErr w:type="spellStart"/>
      <w:r w:rsidR="00083BE7" w:rsidRPr="00C70EB4">
        <w:rPr>
          <w:smallCaps/>
          <w:sz w:val="20"/>
          <w:szCs w:val="20"/>
        </w:rPr>
        <w:t>Chardigny</w:t>
      </w:r>
      <w:proofErr w:type="spellEnd"/>
      <w:r w:rsidR="00083BE7" w:rsidRPr="003369F1">
        <w:rPr>
          <w:sz w:val="20"/>
          <w:szCs w:val="20"/>
        </w:rPr>
        <w:t xml:space="preserve">,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 xml:space="preserve">, p. 65 ; </w:t>
      </w:r>
      <w:r w:rsidR="00E9508A" w:rsidRPr="00C70EB4">
        <w:rPr>
          <w:sz w:val="20"/>
          <w:szCs w:val="20"/>
        </w:rPr>
        <w:t xml:space="preserve">B. </w:t>
      </w:r>
      <w:r w:rsidR="00E9508A" w:rsidRPr="00C70EB4">
        <w:rPr>
          <w:smallCaps/>
          <w:sz w:val="20"/>
          <w:szCs w:val="20"/>
        </w:rPr>
        <w:t>Florent</w:t>
      </w:r>
      <w:r w:rsidR="00E9508A" w:rsidRPr="00C70EB4">
        <w:rPr>
          <w:sz w:val="20"/>
          <w:szCs w:val="20"/>
        </w:rPr>
        <w:t xml:space="preserve"> et F. </w:t>
      </w:r>
      <w:r w:rsidR="00E9508A" w:rsidRPr="00C70EB4">
        <w:rPr>
          <w:smallCaps/>
          <w:sz w:val="20"/>
          <w:szCs w:val="20"/>
        </w:rPr>
        <w:t>Vallée</w:t>
      </w:r>
      <w:r w:rsidRPr="00C70EB4">
        <w:rPr>
          <w:sz w:val="20"/>
          <w:szCs w:val="20"/>
        </w:rPr>
        <w:t>,</w:t>
      </w:r>
      <w:r w:rsidR="00E9508A" w:rsidRPr="00C70EB4">
        <w:rPr>
          <w:sz w:val="20"/>
          <w:szCs w:val="20"/>
        </w:rPr>
        <w:t xml:space="preserve"> </w:t>
      </w:r>
      <w:r w:rsidR="00E9508A" w:rsidRPr="00C70EB4">
        <w:rPr>
          <w:i/>
          <w:iCs/>
          <w:sz w:val="20"/>
          <w:szCs w:val="20"/>
        </w:rPr>
        <w:t xml:space="preserve">op. </w:t>
      </w:r>
      <w:proofErr w:type="spellStart"/>
      <w:r w:rsidR="00E9508A" w:rsidRPr="00C70EB4">
        <w:rPr>
          <w:i/>
          <w:iCs/>
          <w:sz w:val="20"/>
          <w:szCs w:val="20"/>
        </w:rPr>
        <w:t>cit</w:t>
      </w:r>
      <w:proofErr w:type="spellEnd"/>
      <w:r w:rsidR="00E9508A" w:rsidRPr="00C70EB4">
        <w:rPr>
          <w:i/>
          <w:iCs/>
          <w:sz w:val="20"/>
          <w:szCs w:val="20"/>
        </w:rPr>
        <w:t>.</w:t>
      </w:r>
      <w:r w:rsidR="00E9508A" w:rsidRPr="00C70EB4">
        <w:rPr>
          <w:sz w:val="20"/>
          <w:szCs w:val="20"/>
        </w:rPr>
        <w:t>, p.</w:t>
      </w:r>
      <w:r w:rsidRPr="00C70EB4">
        <w:rPr>
          <w:sz w:val="20"/>
          <w:szCs w:val="20"/>
        </w:rPr>
        <w:t xml:space="preserve"> 725</w:t>
      </w:r>
      <w:r w:rsidR="00083BE7" w:rsidRPr="003369F1">
        <w:rPr>
          <w:sz w:val="20"/>
          <w:szCs w:val="20"/>
        </w:rPr>
        <w:t> ;</w:t>
      </w:r>
      <w:r w:rsidRPr="00C70EB4">
        <w:rPr>
          <w:sz w:val="20"/>
          <w:szCs w:val="20"/>
        </w:rPr>
        <w:t xml:space="preserve"> </w:t>
      </w:r>
      <w:r w:rsidR="00083BE7" w:rsidRPr="003369F1">
        <w:rPr>
          <w:sz w:val="20"/>
          <w:szCs w:val="20"/>
        </w:rPr>
        <w:t xml:space="preserve">J.-C. </w:t>
      </w:r>
      <w:proofErr w:type="spellStart"/>
      <w:r w:rsidR="00083BE7" w:rsidRPr="003369F1">
        <w:rPr>
          <w:smallCaps/>
          <w:sz w:val="20"/>
          <w:szCs w:val="20"/>
        </w:rPr>
        <w:t>Videlin</w:t>
      </w:r>
      <w:proofErr w:type="spellEnd"/>
      <w:r w:rsidR="00083BE7" w:rsidRPr="003369F1">
        <w:rPr>
          <w:sz w:val="20"/>
          <w:szCs w:val="20"/>
        </w:rPr>
        <w:t xml:space="preserve">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 pp. 204 et 205.</w:t>
      </w:r>
    </w:p>
  </w:footnote>
  <w:footnote w:id="29">
    <w:p w14:paraId="6544D09A" w14:textId="69EE81C8" w:rsidR="00C27D91" w:rsidRPr="00C70EB4" w:rsidRDefault="00C27D91" w:rsidP="003544CA">
      <w:pPr>
        <w:pStyle w:val="Notedebasdepage"/>
        <w:jc w:val="both"/>
        <w:rPr>
          <w:sz w:val="20"/>
          <w:szCs w:val="20"/>
        </w:rPr>
      </w:pPr>
      <w:r w:rsidRPr="00C70EB4">
        <w:rPr>
          <w:rStyle w:val="Appelnotedebasdep"/>
          <w:sz w:val="20"/>
          <w:szCs w:val="20"/>
        </w:rPr>
        <w:footnoteRef/>
      </w:r>
      <w:r w:rsidRPr="00C70EB4">
        <w:rPr>
          <w:sz w:val="20"/>
          <w:szCs w:val="20"/>
        </w:rPr>
        <w:t xml:space="preserve"> </w:t>
      </w:r>
      <w:r w:rsidR="003544CA" w:rsidRPr="003369F1">
        <w:rPr>
          <w:sz w:val="20"/>
          <w:szCs w:val="20"/>
        </w:rPr>
        <w:t xml:space="preserve">Communication interprétative de la Commission sur l’application de l’article 296 du traité dans le domaine des marchés publics de la Défense, COM (2006) 779 final, 7 décembre 2006 ; livre vert sur les marchés publics de la Défense présenté par la Commission, COM (2004) 608 final, 23 septembre 2004, </w:t>
      </w:r>
      <w:r w:rsidRPr="00C70EB4">
        <w:rPr>
          <w:sz w:val="20"/>
          <w:szCs w:val="20"/>
        </w:rPr>
        <w:t xml:space="preserve">p. 7: </w:t>
      </w:r>
      <w:r w:rsidR="003544CA" w:rsidRPr="003369F1">
        <w:rPr>
          <w:sz w:val="20"/>
          <w:szCs w:val="20"/>
        </w:rPr>
        <w:t>« </w:t>
      </w:r>
      <w:r w:rsidRPr="00C70EB4">
        <w:rPr>
          <w:sz w:val="20"/>
          <w:szCs w:val="20"/>
        </w:rPr>
        <w:t xml:space="preserve">les </w:t>
      </w:r>
      <w:proofErr w:type="spellStart"/>
      <w:r w:rsidRPr="00C70EB4">
        <w:rPr>
          <w:sz w:val="20"/>
          <w:szCs w:val="20"/>
        </w:rPr>
        <w:t>Etats</w:t>
      </w:r>
      <w:proofErr w:type="spellEnd"/>
      <w:r w:rsidRPr="00C70EB4">
        <w:rPr>
          <w:sz w:val="20"/>
          <w:szCs w:val="20"/>
        </w:rPr>
        <w:t xml:space="preserve"> membres peuvent donc déroger aux règles du traité et des directives communautaires, mais uniquement sous des conditions bien déterminées ». Dans son livre vert, la Commission milite néanmoins pour une approche plus restrictive du système et suggère l’application de certains principes issus du droit primaire, notamment la transparence et la non-discrimination (p. 11).</w:t>
      </w:r>
      <w:r w:rsidR="003544CA" w:rsidRPr="003369F1">
        <w:rPr>
          <w:sz w:val="20"/>
          <w:szCs w:val="20"/>
        </w:rPr>
        <w:t xml:space="preserve"> A ce sujet, </w:t>
      </w:r>
      <w:proofErr w:type="spellStart"/>
      <w:r w:rsidR="003544CA" w:rsidRPr="003369F1">
        <w:rPr>
          <w:sz w:val="20"/>
          <w:szCs w:val="20"/>
        </w:rPr>
        <w:t>voy</w:t>
      </w:r>
      <w:proofErr w:type="spellEnd"/>
      <w:r w:rsidR="003544CA" w:rsidRPr="003369F1">
        <w:rPr>
          <w:sz w:val="20"/>
          <w:szCs w:val="20"/>
        </w:rPr>
        <w:t xml:space="preserve">. </w:t>
      </w:r>
      <w:r w:rsidR="005B2078" w:rsidRPr="00C70EB4">
        <w:rPr>
          <w:sz w:val="20"/>
          <w:szCs w:val="20"/>
        </w:rPr>
        <w:t>ci-après</w:t>
      </w:r>
      <w:r w:rsidR="005B2078" w:rsidRPr="003369F1">
        <w:rPr>
          <w:sz w:val="20"/>
          <w:szCs w:val="20"/>
        </w:rPr>
        <w:t>, note 32.</w:t>
      </w:r>
    </w:p>
  </w:footnote>
  <w:footnote w:id="30">
    <w:p w14:paraId="1C038163" w14:textId="3A44C956" w:rsidR="00C27D91" w:rsidRPr="00C70EB4" w:rsidRDefault="00C27D91" w:rsidP="00C70EB4">
      <w:pPr>
        <w:pStyle w:val="Notedebasdepage"/>
        <w:jc w:val="both"/>
        <w:rPr>
          <w:sz w:val="20"/>
          <w:szCs w:val="20"/>
        </w:rPr>
      </w:pPr>
      <w:r w:rsidRPr="00C70EB4">
        <w:rPr>
          <w:rStyle w:val="Appelnotedebasdep"/>
          <w:sz w:val="20"/>
          <w:szCs w:val="20"/>
        </w:rPr>
        <w:footnoteRef/>
      </w:r>
      <w:r w:rsidR="00E8133B" w:rsidRPr="003369F1">
        <w:rPr>
          <w:sz w:val="20"/>
          <w:szCs w:val="20"/>
        </w:rPr>
        <w:t xml:space="preserve"> </w:t>
      </w:r>
      <w:r w:rsidR="00E8133B" w:rsidRPr="003369F1">
        <w:rPr>
          <w:sz w:val="20"/>
          <w:szCs w:val="20"/>
        </w:rPr>
        <w:t xml:space="preserve">CJUE, </w:t>
      </w:r>
      <w:r w:rsidRPr="00C70EB4">
        <w:rPr>
          <w:sz w:val="20"/>
          <w:szCs w:val="20"/>
        </w:rPr>
        <w:t xml:space="preserve">28 février 2013, </w:t>
      </w:r>
      <w:proofErr w:type="spellStart"/>
      <w:r w:rsidRPr="00C70EB4">
        <w:rPr>
          <w:sz w:val="20"/>
          <w:szCs w:val="20"/>
        </w:rPr>
        <w:t>Ellinika</w:t>
      </w:r>
      <w:proofErr w:type="spellEnd"/>
      <w:r w:rsidRPr="00C70EB4">
        <w:rPr>
          <w:sz w:val="20"/>
          <w:szCs w:val="20"/>
        </w:rPr>
        <w:t xml:space="preserve"> </w:t>
      </w:r>
      <w:proofErr w:type="spellStart"/>
      <w:r w:rsidRPr="00C70EB4">
        <w:rPr>
          <w:sz w:val="20"/>
          <w:szCs w:val="20"/>
        </w:rPr>
        <w:t>Nafpigeia</w:t>
      </w:r>
      <w:proofErr w:type="spellEnd"/>
      <w:r w:rsidRPr="00C70EB4">
        <w:rPr>
          <w:sz w:val="20"/>
          <w:szCs w:val="20"/>
        </w:rPr>
        <w:t xml:space="preserve"> AE, C-246/12, pts 17 et s.</w:t>
      </w:r>
      <w:r w:rsidR="005B2078" w:rsidRPr="003369F1">
        <w:rPr>
          <w:sz w:val="20"/>
          <w:szCs w:val="20"/>
        </w:rPr>
        <w:t> </w:t>
      </w:r>
      <w:r w:rsidR="00E8133B" w:rsidRPr="003369F1">
        <w:rPr>
          <w:sz w:val="20"/>
          <w:szCs w:val="20"/>
        </w:rPr>
        <w:t xml:space="preserve">; CJUE, 7 juin 2012, </w:t>
      </w:r>
      <w:proofErr w:type="spellStart"/>
      <w:r w:rsidR="00E8133B" w:rsidRPr="003369F1">
        <w:rPr>
          <w:i/>
          <w:iCs/>
          <w:sz w:val="20"/>
          <w:szCs w:val="20"/>
        </w:rPr>
        <w:t>Insinööritoimisto</w:t>
      </w:r>
      <w:proofErr w:type="spellEnd"/>
      <w:r w:rsidR="00E8133B" w:rsidRPr="003369F1">
        <w:rPr>
          <w:i/>
          <w:iCs/>
          <w:sz w:val="20"/>
          <w:szCs w:val="20"/>
        </w:rPr>
        <w:t xml:space="preserve"> </w:t>
      </w:r>
      <w:proofErr w:type="spellStart"/>
      <w:r w:rsidR="00E8133B" w:rsidRPr="003369F1">
        <w:rPr>
          <w:i/>
          <w:iCs/>
          <w:sz w:val="20"/>
          <w:szCs w:val="20"/>
        </w:rPr>
        <w:t>InsTiimi</w:t>
      </w:r>
      <w:proofErr w:type="spellEnd"/>
      <w:r w:rsidR="00E8133B" w:rsidRPr="003369F1">
        <w:rPr>
          <w:i/>
          <w:iCs/>
          <w:sz w:val="20"/>
          <w:szCs w:val="20"/>
        </w:rPr>
        <w:t xml:space="preserve"> Oy</w:t>
      </w:r>
      <w:r w:rsidR="00E8133B" w:rsidRPr="003369F1">
        <w:rPr>
          <w:sz w:val="20"/>
          <w:szCs w:val="20"/>
        </w:rPr>
        <w:t>, C-615/10, pts 35 et s.</w:t>
      </w:r>
      <w:r w:rsidR="005B2078" w:rsidRPr="003369F1">
        <w:rPr>
          <w:sz w:val="20"/>
          <w:szCs w:val="20"/>
        </w:rPr>
        <w:t> </w:t>
      </w:r>
      <w:r w:rsidR="00E8133B" w:rsidRPr="003369F1">
        <w:rPr>
          <w:sz w:val="20"/>
          <w:szCs w:val="20"/>
        </w:rPr>
        <w:t xml:space="preserve">; CJUE, 15 décembre 2009, </w:t>
      </w:r>
      <w:r w:rsidR="00E8133B" w:rsidRPr="003369F1">
        <w:rPr>
          <w:i/>
          <w:iCs/>
          <w:sz w:val="20"/>
          <w:szCs w:val="20"/>
        </w:rPr>
        <w:t>Commission c. Finlande</w:t>
      </w:r>
      <w:r w:rsidR="00E8133B" w:rsidRPr="003369F1">
        <w:rPr>
          <w:sz w:val="20"/>
          <w:szCs w:val="20"/>
        </w:rPr>
        <w:t>, C-284/05, pt 46.</w:t>
      </w:r>
    </w:p>
  </w:footnote>
  <w:footnote w:id="31">
    <w:p w14:paraId="4D876A7C" w14:textId="2B742A2C"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8133B" w:rsidRPr="003369F1">
        <w:rPr>
          <w:sz w:val="20"/>
          <w:szCs w:val="20"/>
        </w:rPr>
        <w:t xml:space="preserve">I. </w:t>
      </w:r>
      <w:r w:rsidRPr="00C70EB4">
        <w:rPr>
          <w:smallCaps/>
          <w:sz w:val="20"/>
          <w:szCs w:val="20"/>
        </w:rPr>
        <w:t>Barbe</w:t>
      </w:r>
      <w:r w:rsidR="00E8133B" w:rsidRPr="003369F1">
        <w:rPr>
          <w:sz w:val="20"/>
          <w:szCs w:val="20"/>
        </w:rPr>
        <w:t xml:space="preserve">, </w:t>
      </w:r>
      <w:r w:rsidR="00E8133B" w:rsidRPr="003369F1">
        <w:rPr>
          <w:i/>
          <w:iCs/>
          <w:sz w:val="20"/>
          <w:szCs w:val="20"/>
        </w:rPr>
        <w:t xml:space="preserve">op. </w:t>
      </w:r>
      <w:proofErr w:type="spellStart"/>
      <w:r w:rsidR="00E8133B" w:rsidRPr="003369F1">
        <w:rPr>
          <w:i/>
          <w:iCs/>
          <w:sz w:val="20"/>
          <w:szCs w:val="20"/>
        </w:rPr>
        <w:t>cit</w:t>
      </w:r>
      <w:proofErr w:type="spellEnd"/>
      <w:r w:rsidR="00E8133B" w:rsidRPr="003369F1">
        <w:rPr>
          <w:i/>
          <w:iCs/>
          <w:sz w:val="20"/>
          <w:szCs w:val="20"/>
        </w:rPr>
        <w:t>.</w:t>
      </w:r>
      <w:r w:rsidR="00E8133B" w:rsidRPr="003369F1">
        <w:rPr>
          <w:sz w:val="20"/>
          <w:szCs w:val="20"/>
        </w:rPr>
        <w:t>,</w:t>
      </w:r>
      <w:r w:rsidRPr="00C70EB4">
        <w:rPr>
          <w:sz w:val="20"/>
          <w:szCs w:val="20"/>
        </w:rPr>
        <w:t xml:space="preserve"> p. 20.</w:t>
      </w:r>
    </w:p>
  </w:footnote>
  <w:footnote w:id="32">
    <w:p w14:paraId="7F31DF05" w14:textId="0D6785A7" w:rsidR="001A6D18" w:rsidRPr="00C70EB4" w:rsidRDefault="001A6D18"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L’inverse a parfois été soutenu. </w:t>
      </w:r>
      <w:proofErr w:type="spellStart"/>
      <w:r w:rsidRPr="00C70EB4">
        <w:rPr>
          <w:sz w:val="20"/>
          <w:szCs w:val="20"/>
        </w:rPr>
        <w:t>Voy</w:t>
      </w:r>
      <w:proofErr w:type="spellEnd"/>
      <w:r w:rsidRPr="00C70EB4">
        <w:rPr>
          <w:sz w:val="20"/>
          <w:szCs w:val="20"/>
        </w:rPr>
        <w:t xml:space="preserve">., not. Commissions réunies de l’Economie, de la Politique scientifique, de l’Education, des Institutions culturelles nationales, des Classes moyennes et de l’Agriculture et de la Défense nationale, </w:t>
      </w:r>
      <w:r w:rsidRPr="00C70EB4">
        <w:rPr>
          <w:i/>
          <w:iCs/>
          <w:sz w:val="20"/>
          <w:szCs w:val="20"/>
        </w:rPr>
        <w:t>C.R.I.V.</w:t>
      </w:r>
      <w:r w:rsidRPr="00C70EB4">
        <w:rPr>
          <w:sz w:val="20"/>
          <w:szCs w:val="20"/>
        </w:rPr>
        <w:t>, 2018‑2019, séance du 24 octobre 2018, n° 990, pp. 37 à 44.</w:t>
      </w:r>
      <w:r w:rsidRPr="003369F1">
        <w:rPr>
          <w:sz w:val="20"/>
          <w:szCs w:val="20"/>
        </w:rPr>
        <w:t xml:space="preserve"> Pour les raisons qui précèdent, cette thèse ne nous paraît pas admissible. </w:t>
      </w:r>
    </w:p>
  </w:footnote>
  <w:footnote w:id="33">
    <w:p w14:paraId="5F0D07BD" w14:textId="7BECB770"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083BE7" w:rsidRPr="003369F1">
        <w:rPr>
          <w:sz w:val="20"/>
          <w:szCs w:val="20"/>
        </w:rPr>
        <w:t xml:space="preserve">E. </w:t>
      </w:r>
      <w:r w:rsidR="00083BE7" w:rsidRPr="003369F1">
        <w:rPr>
          <w:smallCaps/>
          <w:sz w:val="20"/>
          <w:szCs w:val="20"/>
        </w:rPr>
        <w:t>Thibaut</w:t>
      </w:r>
      <w:r w:rsidR="00083BE7" w:rsidRPr="003369F1">
        <w:rPr>
          <w:sz w:val="20"/>
          <w:szCs w:val="20"/>
        </w:rPr>
        <w:t xml:space="preserve"> et M. </w:t>
      </w:r>
      <w:r w:rsidR="00083BE7" w:rsidRPr="003369F1">
        <w:rPr>
          <w:smallCaps/>
          <w:sz w:val="20"/>
          <w:szCs w:val="20"/>
        </w:rPr>
        <w:t>Heine</w:t>
      </w:r>
      <w:r w:rsidR="00083BE7" w:rsidRPr="003369F1">
        <w:rPr>
          <w:sz w:val="20"/>
          <w:szCs w:val="20"/>
        </w:rPr>
        <w:t xml:space="preserve">,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 xml:space="preserve">, </w:t>
      </w:r>
      <w:r w:rsidRPr="00C70EB4">
        <w:rPr>
          <w:sz w:val="20"/>
          <w:szCs w:val="20"/>
        </w:rPr>
        <w:t>p. 381.</w:t>
      </w:r>
    </w:p>
  </w:footnote>
  <w:footnote w:id="34">
    <w:p w14:paraId="11EEBEB2" w14:textId="4853D2BF"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xml:space="preserve">. </w:t>
      </w:r>
      <w:r w:rsidRPr="00C70EB4">
        <w:rPr>
          <w:i/>
          <w:iCs/>
          <w:sz w:val="20"/>
          <w:szCs w:val="20"/>
        </w:rPr>
        <w:t>infra</w:t>
      </w:r>
      <w:r w:rsidR="005B2078" w:rsidRPr="00C70EB4">
        <w:rPr>
          <w:sz w:val="20"/>
          <w:szCs w:val="20"/>
        </w:rPr>
        <w:t>, n</w:t>
      </w:r>
      <w:r w:rsidR="005B2078" w:rsidRPr="00C70EB4">
        <w:rPr>
          <w:sz w:val="20"/>
          <w:szCs w:val="20"/>
          <w:vertAlign w:val="superscript"/>
        </w:rPr>
        <w:t>os</w:t>
      </w:r>
      <w:r w:rsidR="005B2078" w:rsidRPr="00C70EB4">
        <w:rPr>
          <w:sz w:val="20"/>
          <w:szCs w:val="20"/>
        </w:rPr>
        <w:t xml:space="preserve"> 8 et s.,</w:t>
      </w:r>
      <w:r w:rsidRPr="00C70EB4">
        <w:rPr>
          <w:sz w:val="20"/>
          <w:szCs w:val="20"/>
        </w:rPr>
        <w:t xml:space="preserve"> pour l’analyse de cette partie de l’arrêt, relative au premier moyen.</w:t>
      </w:r>
    </w:p>
  </w:footnote>
  <w:footnote w:id="35">
    <w:p w14:paraId="0F166EC3" w14:textId="434643AA"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5B2078" w:rsidRPr="00C70EB4">
        <w:rPr>
          <w:sz w:val="20"/>
          <w:szCs w:val="20"/>
        </w:rPr>
        <w:t xml:space="preserve">C.E., 10 janvier 2024, n° 248.383, </w:t>
      </w:r>
      <w:proofErr w:type="spellStart"/>
      <w:r w:rsidR="005B2078" w:rsidRPr="00C70EB4">
        <w:rPr>
          <w:i/>
          <w:iCs/>
          <w:sz w:val="20"/>
          <w:szCs w:val="20"/>
        </w:rPr>
        <w:t>Heckler</w:t>
      </w:r>
      <w:proofErr w:type="spellEnd"/>
      <w:r w:rsidR="005B2078" w:rsidRPr="00C70EB4">
        <w:rPr>
          <w:i/>
          <w:iCs/>
          <w:sz w:val="20"/>
          <w:szCs w:val="20"/>
        </w:rPr>
        <w:t xml:space="preserve"> &amp; Koch</w:t>
      </w:r>
      <w:r w:rsidRPr="00C70EB4">
        <w:rPr>
          <w:sz w:val="20"/>
          <w:szCs w:val="20"/>
        </w:rPr>
        <w:t>, pts 48 à 50.</w:t>
      </w:r>
    </w:p>
  </w:footnote>
  <w:footnote w:id="36">
    <w:p w14:paraId="6AA3D5E0" w14:textId="799EB3E2"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9D58A5" w:rsidRPr="003369F1">
        <w:rPr>
          <w:sz w:val="20"/>
          <w:szCs w:val="20"/>
        </w:rPr>
        <w:t xml:space="preserve">E. </w:t>
      </w:r>
      <w:r w:rsidR="009D58A5" w:rsidRPr="003369F1">
        <w:rPr>
          <w:smallCaps/>
          <w:sz w:val="20"/>
          <w:szCs w:val="20"/>
        </w:rPr>
        <w:t>Thibaut</w:t>
      </w:r>
      <w:r w:rsidR="009D58A5" w:rsidRPr="003369F1">
        <w:rPr>
          <w:sz w:val="20"/>
          <w:szCs w:val="20"/>
        </w:rPr>
        <w:t xml:space="preserve"> et M. </w:t>
      </w:r>
      <w:r w:rsidR="009D58A5" w:rsidRPr="003369F1">
        <w:rPr>
          <w:smallCaps/>
          <w:sz w:val="20"/>
          <w:szCs w:val="20"/>
        </w:rPr>
        <w:t>Heine</w:t>
      </w:r>
      <w:r w:rsidR="009D58A5" w:rsidRPr="003369F1">
        <w:rPr>
          <w:sz w:val="20"/>
          <w:szCs w:val="20"/>
        </w:rPr>
        <w:t xml:space="preserve">, </w:t>
      </w:r>
      <w:r w:rsidR="009D58A5" w:rsidRPr="003369F1">
        <w:rPr>
          <w:i/>
          <w:iCs/>
          <w:sz w:val="20"/>
          <w:szCs w:val="20"/>
        </w:rPr>
        <w:t xml:space="preserve">op. </w:t>
      </w:r>
      <w:proofErr w:type="spellStart"/>
      <w:r w:rsidR="009D58A5" w:rsidRPr="003369F1">
        <w:rPr>
          <w:i/>
          <w:iCs/>
          <w:sz w:val="20"/>
          <w:szCs w:val="20"/>
        </w:rPr>
        <w:t>cit</w:t>
      </w:r>
      <w:proofErr w:type="spellEnd"/>
      <w:r w:rsidR="009D58A5" w:rsidRPr="003369F1">
        <w:rPr>
          <w:i/>
          <w:iCs/>
          <w:sz w:val="20"/>
          <w:szCs w:val="20"/>
        </w:rPr>
        <w:t>.</w:t>
      </w:r>
      <w:r w:rsidR="009D58A5" w:rsidRPr="003369F1">
        <w:rPr>
          <w:sz w:val="20"/>
          <w:szCs w:val="20"/>
        </w:rPr>
        <w:t xml:space="preserve">, </w:t>
      </w:r>
      <w:r w:rsidRPr="00C70EB4">
        <w:rPr>
          <w:sz w:val="20"/>
          <w:szCs w:val="20"/>
        </w:rPr>
        <w:t>p. 383.</w:t>
      </w:r>
    </w:p>
  </w:footnote>
  <w:footnote w:id="37">
    <w:p w14:paraId="2A50E491" w14:textId="5867F137"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083BE7" w:rsidRPr="00C70EB4">
        <w:rPr>
          <w:sz w:val="20"/>
          <w:szCs w:val="20"/>
        </w:rPr>
        <w:t xml:space="preserve">D. </w:t>
      </w:r>
      <w:proofErr w:type="spellStart"/>
      <w:r w:rsidR="00083BE7" w:rsidRPr="00C70EB4">
        <w:rPr>
          <w:smallCaps/>
          <w:sz w:val="20"/>
          <w:szCs w:val="20"/>
        </w:rPr>
        <w:t>Batselé</w:t>
      </w:r>
      <w:proofErr w:type="spellEnd"/>
      <w:r w:rsidR="00083BE7" w:rsidRPr="00C70EB4">
        <w:rPr>
          <w:sz w:val="20"/>
          <w:szCs w:val="20"/>
        </w:rPr>
        <w:t xml:space="preserve"> et al., </w:t>
      </w:r>
      <w:r w:rsidR="00083BE7" w:rsidRPr="00C70EB4">
        <w:rPr>
          <w:i/>
          <w:iCs/>
          <w:sz w:val="20"/>
          <w:szCs w:val="20"/>
        </w:rPr>
        <w:t xml:space="preserve">op. </w:t>
      </w:r>
      <w:proofErr w:type="spellStart"/>
      <w:r w:rsidR="00083BE7" w:rsidRPr="00C70EB4">
        <w:rPr>
          <w:i/>
          <w:iCs/>
          <w:sz w:val="20"/>
          <w:szCs w:val="20"/>
        </w:rPr>
        <w:t>cit</w:t>
      </w:r>
      <w:proofErr w:type="spellEnd"/>
      <w:r w:rsidR="00083BE7" w:rsidRPr="00C70EB4">
        <w:rPr>
          <w:i/>
          <w:iCs/>
          <w:sz w:val="20"/>
          <w:szCs w:val="20"/>
        </w:rPr>
        <w:t>.</w:t>
      </w:r>
      <w:r w:rsidR="00083BE7" w:rsidRPr="00C70EB4">
        <w:rPr>
          <w:sz w:val="20"/>
          <w:szCs w:val="20"/>
        </w:rPr>
        <w:t xml:space="preserve">, </w:t>
      </w:r>
      <w:r w:rsidRPr="00C70EB4">
        <w:rPr>
          <w:sz w:val="20"/>
          <w:szCs w:val="20"/>
        </w:rPr>
        <w:t>p. 209 et la jurisprudence citée.</w:t>
      </w:r>
    </w:p>
  </w:footnote>
  <w:footnote w:id="38">
    <w:p w14:paraId="7C5D619E" w14:textId="269DBE72"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8133B" w:rsidRPr="003369F1">
        <w:rPr>
          <w:sz w:val="20"/>
          <w:szCs w:val="20"/>
        </w:rPr>
        <w:t xml:space="preserve">S. </w:t>
      </w:r>
      <w:r w:rsidRPr="00C70EB4">
        <w:rPr>
          <w:smallCaps/>
          <w:sz w:val="20"/>
          <w:szCs w:val="20"/>
        </w:rPr>
        <w:t>Rodrigues</w:t>
      </w:r>
      <w:r w:rsidRPr="00C70EB4">
        <w:rPr>
          <w:sz w:val="20"/>
          <w:szCs w:val="20"/>
        </w:rPr>
        <w:t xml:space="preserve">, </w:t>
      </w:r>
      <w:r w:rsidRPr="00C70EB4">
        <w:rPr>
          <w:i/>
          <w:iCs/>
          <w:sz w:val="20"/>
          <w:szCs w:val="20"/>
        </w:rPr>
        <w:t>op</w:t>
      </w:r>
      <w:r w:rsidR="00E8133B" w:rsidRPr="003369F1">
        <w:rPr>
          <w:i/>
          <w:iCs/>
          <w:sz w:val="20"/>
          <w:szCs w:val="20"/>
        </w:rPr>
        <w:t>.</w:t>
      </w:r>
      <w:r w:rsidRPr="00C70EB4">
        <w:rPr>
          <w:i/>
          <w:iCs/>
          <w:sz w:val="20"/>
          <w:szCs w:val="20"/>
        </w:rPr>
        <w:t xml:space="preserve"> </w:t>
      </w:r>
      <w:proofErr w:type="spellStart"/>
      <w:r w:rsidRPr="00C70EB4">
        <w:rPr>
          <w:i/>
          <w:iCs/>
          <w:sz w:val="20"/>
          <w:szCs w:val="20"/>
        </w:rPr>
        <w:t>cit</w:t>
      </w:r>
      <w:proofErr w:type="spellEnd"/>
      <w:r w:rsidR="00E8133B" w:rsidRPr="00C70EB4">
        <w:rPr>
          <w:i/>
          <w:iCs/>
          <w:sz w:val="20"/>
          <w:szCs w:val="20"/>
        </w:rPr>
        <w:t>.</w:t>
      </w:r>
      <w:r w:rsidRPr="00C70EB4">
        <w:rPr>
          <w:sz w:val="20"/>
          <w:szCs w:val="20"/>
        </w:rPr>
        <w:t xml:space="preserve"> ; </w:t>
      </w:r>
      <w:r w:rsidR="009D58A5" w:rsidRPr="003369F1">
        <w:rPr>
          <w:sz w:val="20"/>
          <w:szCs w:val="20"/>
        </w:rPr>
        <w:t xml:space="preserve">E. </w:t>
      </w:r>
      <w:r w:rsidR="009D58A5" w:rsidRPr="003369F1">
        <w:rPr>
          <w:smallCaps/>
          <w:sz w:val="20"/>
          <w:szCs w:val="20"/>
        </w:rPr>
        <w:t>Thibaut</w:t>
      </w:r>
      <w:r w:rsidR="009D58A5" w:rsidRPr="003369F1">
        <w:rPr>
          <w:sz w:val="20"/>
          <w:szCs w:val="20"/>
        </w:rPr>
        <w:t xml:space="preserve"> et M. </w:t>
      </w:r>
      <w:r w:rsidR="009D58A5" w:rsidRPr="003369F1">
        <w:rPr>
          <w:smallCaps/>
          <w:sz w:val="20"/>
          <w:szCs w:val="20"/>
        </w:rPr>
        <w:t>Heine</w:t>
      </w:r>
      <w:r w:rsidR="009D58A5" w:rsidRPr="003369F1">
        <w:rPr>
          <w:sz w:val="20"/>
          <w:szCs w:val="20"/>
        </w:rPr>
        <w:t xml:space="preserve">, </w:t>
      </w:r>
      <w:r w:rsidR="009D58A5" w:rsidRPr="003369F1">
        <w:rPr>
          <w:i/>
          <w:iCs/>
          <w:sz w:val="20"/>
          <w:szCs w:val="20"/>
        </w:rPr>
        <w:t xml:space="preserve">op. </w:t>
      </w:r>
      <w:proofErr w:type="spellStart"/>
      <w:r w:rsidR="009D58A5" w:rsidRPr="003369F1">
        <w:rPr>
          <w:i/>
          <w:iCs/>
          <w:sz w:val="20"/>
          <w:szCs w:val="20"/>
        </w:rPr>
        <w:t>cit</w:t>
      </w:r>
      <w:proofErr w:type="spellEnd"/>
      <w:r w:rsidR="009D58A5" w:rsidRPr="003369F1">
        <w:rPr>
          <w:i/>
          <w:iCs/>
          <w:sz w:val="20"/>
          <w:szCs w:val="20"/>
        </w:rPr>
        <w:t>.</w:t>
      </w:r>
      <w:r w:rsidR="009D58A5" w:rsidRPr="003369F1">
        <w:rPr>
          <w:sz w:val="20"/>
          <w:szCs w:val="20"/>
        </w:rPr>
        <w:t xml:space="preserve">, </w:t>
      </w:r>
      <w:r w:rsidRPr="00C70EB4">
        <w:rPr>
          <w:sz w:val="20"/>
          <w:szCs w:val="20"/>
        </w:rPr>
        <w:t>p. 383.</w:t>
      </w:r>
    </w:p>
  </w:footnote>
  <w:footnote w:id="39">
    <w:p w14:paraId="2576ED86" w14:textId="77777777" w:rsidR="00C27D91" w:rsidRPr="00C70EB4" w:rsidRDefault="00C27D91" w:rsidP="00101B43">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L'Union respecte l'</w:t>
      </w:r>
      <w:proofErr w:type="spellStart"/>
      <w:r w:rsidRPr="00C70EB4">
        <w:rPr>
          <w:sz w:val="20"/>
          <w:szCs w:val="20"/>
        </w:rPr>
        <w:t>égalite</w:t>
      </w:r>
      <w:proofErr w:type="spellEnd"/>
      <w:r w:rsidRPr="00C70EB4">
        <w:rPr>
          <w:sz w:val="20"/>
          <w:szCs w:val="20"/>
        </w:rPr>
        <w:t xml:space="preserve">́ des </w:t>
      </w:r>
      <w:proofErr w:type="spellStart"/>
      <w:r w:rsidRPr="00C70EB4">
        <w:rPr>
          <w:sz w:val="20"/>
          <w:szCs w:val="20"/>
        </w:rPr>
        <w:t>États</w:t>
      </w:r>
      <w:proofErr w:type="spellEnd"/>
      <w:r w:rsidRPr="00C70EB4">
        <w:rPr>
          <w:sz w:val="20"/>
          <w:szCs w:val="20"/>
        </w:rPr>
        <w:t xml:space="preserve"> membres devant les </w:t>
      </w:r>
      <w:proofErr w:type="spellStart"/>
      <w:r w:rsidRPr="00C70EB4">
        <w:rPr>
          <w:sz w:val="20"/>
          <w:szCs w:val="20"/>
        </w:rPr>
        <w:t>traités</w:t>
      </w:r>
      <w:proofErr w:type="spellEnd"/>
      <w:r w:rsidRPr="00C70EB4">
        <w:rPr>
          <w:sz w:val="20"/>
          <w:szCs w:val="20"/>
        </w:rPr>
        <w:t xml:space="preserve"> ainsi que leur </w:t>
      </w:r>
      <w:proofErr w:type="spellStart"/>
      <w:r w:rsidRPr="00C70EB4">
        <w:rPr>
          <w:sz w:val="20"/>
          <w:szCs w:val="20"/>
        </w:rPr>
        <w:t>iidentite</w:t>
      </w:r>
      <w:proofErr w:type="spellEnd"/>
      <w:r w:rsidRPr="00C70EB4">
        <w:rPr>
          <w:sz w:val="20"/>
          <w:szCs w:val="20"/>
        </w:rPr>
        <w:t xml:space="preserve">́ nationale, </w:t>
      </w:r>
      <w:proofErr w:type="spellStart"/>
      <w:r w:rsidRPr="00C70EB4">
        <w:rPr>
          <w:sz w:val="20"/>
          <w:szCs w:val="20"/>
        </w:rPr>
        <w:t>inhérente</w:t>
      </w:r>
      <w:proofErr w:type="spellEnd"/>
      <w:r w:rsidRPr="00C70EB4">
        <w:rPr>
          <w:sz w:val="20"/>
          <w:szCs w:val="20"/>
        </w:rPr>
        <w:t xml:space="preserve"> à leurs structures fondamentales politiques et constitutionnelles, y compris en ce qui concerne l'autonomie locale et </w:t>
      </w:r>
      <w:proofErr w:type="spellStart"/>
      <w:r w:rsidRPr="00C70EB4">
        <w:rPr>
          <w:sz w:val="20"/>
          <w:szCs w:val="20"/>
        </w:rPr>
        <w:t>régionale</w:t>
      </w:r>
      <w:proofErr w:type="spellEnd"/>
      <w:r w:rsidRPr="00C70EB4">
        <w:rPr>
          <w:sz w:val="20"/>
          <w:szCs w:val="20"/>
        </w:rPr>
        <w:t>. Elle respecte les fonctions essentielles de l'</w:t>
      </w:r>
      <w:proofErr w:type="spellStart"/>
      <w:r w:rsidRPr="00C70EB4">
        <w:rPr>
          <w:sz w:val="20"/>
          <w:szCs w:val="20"/>
        </w:rPr>
        <w:t>État</w:t>
      </w:r>
      <w:proofErr w:type="spellEnd"/>
      <w:r w:rsidRPr="00C70EB4">
        <w:rPr>
          <w:sz w:val="20"/>
          <w:szCs w:val="20"/>
        </w:rPr>
        <w:t xml:space="preserve">, notamment celles qui ont pour objet d'assurer son </w:t>
      </w:r>
      <w:proofErr w:type="spellStart"/>
      <w:r w:rsidRPr="00C70EB4">
        <w:rPr>
          <w:sz w:val="20"/>
          <w:szCs w:val="20"/>
        </w:rPr>
        <w:t>intégrite</w:t>
      </w:r>
      <w:proofErr w:type="spellEnd"/>
      <w:r w:rsidRPr="00C70EB4">
        <w:rPr>
          <w:sz w:val="20"/>
          <w:szCs w:val="20"/>
        </w:rPr>
        <w:t xml:space="preserve">́ territoriale, de maintenir l'ordre public et de sauve­ garder la </w:t>
      </w:r>
      <w:proofErr w:type="spellStart"/>
      <w:r w:rsidRPr="00C70EB4">
        <w:rPr>
          <w:sz w:val="20"/>
          <w:szCs w:val="20"/>
        </w:rPr>
        <w:t>sécurite</w:t>
      </w:r>
      <w:proofErr w:type="spellEnd"/>
      <w:r w:rsidRPr="00C70EB4">
        <w:rPr>
          <w:sz w:val="20"/>
          <w:szCs w:val="20"/>
        </w:rPr>
        <w:t xml:space="preserve">́ nationale. En particulier, la </w:t>
      </w:r>
      <w:proofErr w:type="spellStart"/>
      <w:r w:rsidRPr="00C70EB4">
        <w:rPr>
          <w:sz w:val="20"/>
          <w:szCs w:val="20"/>
        </w:rPr>
        <w:t>sécurite</w:t>
      </w:r>
      <w:proofErr w:type="spellEnd"/>
      <w:r w:rsidRPr="00C70EB4">
        <w:rPr>
          <w:sz w:val="20"/>
          <w:szCs w:val="20"/>
        </w:rPr>
        <w:t xml:space="preserve">́ nationale reste de la seule </w:t>
      </w:r>
      <w:proofErr w:type="spellStart"/>
      <w:r w:rsidRPr="00C70EB4">
        <w:rPr>
          <w:sz w:val="20"/>
          <w:szCs w:val="20"/>
        </w:rPr>
        <w:t>responsabilite</w:t>
      </w:r>
      <w:proofErr w:type="spellEnd"/>
      <w:r w:rsidRPr="00C70EB4">
        <w:rPr>
          <w:sz w:val="20"/>
          <w:szCs w:val="20"/>
        </w:rPr>
        <w:t xml:space="preserve">́ de chaque </w:t>
      </w:r>
      <w:proofErr w:type="spellStart"/>
      <w:r w:rsidRPr="00C70EB4">
        <w:rPr>
          <w:sz w:val="20"/>
          <w:szCs w:val="20"/>
        </w:rPr>
        <w:t>État</w:t>
      </w:r>
      <w:proofErr w:type="spellEnd"/>
      <w:r w:rsidRPr="00C70EB4">
        <w:rPr>
          <w:sz w:val="20"/>
          <w:szCs w:val="20"/>
        </w:rPr>
        <w:t xml:space="preserve"> membre ».</w:t>
      </w:r>
    </w:p>
  </w:footnote>
  <w:footnote w:id="40">
    <w:p w14:paraId="5E8302B9" w14:textId="0C9FF1BC"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CJUE, 6 octobre 2020, </w:t>
      </w:r>
      <w:r w:rsidRPr="00C70EB4">
        <w:rPr>
          <w:i/>
          <w:iCs/>
          <w:sz w:val="20"/>
          <w:szCs w:val="20"/>
        </w:rPr>
        <w:t>La Quadrature du Net e.a.,</w:t>
      </w:r>
      <w:r w:rsidRPr="00C70EB4">
        <w:rPr>
          <w:sz w:val="20"/>
          <w:szCs w:val="20"/>
        </w:rPr>
        <w:t xml:space="preserve"> C‑511/18, C‑512/18 et C‑520/18, </w:t>
      </w:r>
      <w:r w:rsidR="00E8133B" w:rsidRPr="003369F1">
        <w:rPr>
          <w:sz w:val="20"/>
          <w:szCs w:val="20"/>
        </w:rPr>
        <w:t>pt</w:t>
      </w:r>
      <w:r w:rsidRPr="00C70EB4">
        <w:rPr>
          <w:sz w:val="20"/>
          <w:szCs w:val="20"/>
        </w:rPr>
        <w:t xml:space="preserve"> 135, du 5 avril 2022. </w:t>
      </w:r>
    </w:p>
  </w:footnote>
  <w:footnote w:id="41">
    <w:p w14:paraId="630C5343" w14:textId="73B1256B"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8133B" w:rsidRPr="003369F1">
        <w:rPr>
          <w:sz w:val="20"/>
          <w:szCs w:val="20"/>
        </w:rPr>
        <w:t>C</w:t>
      </w:r>
      <w:r w:rsidRPr="00C70EB4">
        <w:rPr>
          <w:sz w:val="20"/>
          <w:szCs w:val="20"/>
        </w:rPr>
        <w:t xml:space="preserve">ette notion n’avait </w:t>
      </w:r>
      <w:r w:rsidR="00AE48CD" w:rsidRPr="003369F1">
        <w:rPr>
          <w:sz w:val="20"/>
          <w:szCs w:val="20"/>
        </w:rPr>
        <w:t>jusque-là</w:t>
      </w:r>
      <w:r w:rsidR="00E8133B" w:rsidRPr="003369F1">
        <w:rPr>
          <w:sz w:val="20"/>
          <w:szCs w:val="20"/>
        </w:rPr>
        <w:t xml:space="preserve"> pas</w:t>
      </w:r>
      <w:r w:rsidR="00E8133B" w:rsidRPr="00C70EB4">
        <w:rPr>
          <w:sz w:val="20"/>
          <w:szCs w:val="20"/>
        </w:rPr>
        <w:t xml:space="preserve"> </w:t>
      </w:r>
      <w:r w:rsidRPr="00C70EB4">
        <w:rPr>
          <w:sz w:val="20"/>
          <w:szCs w:val="20"/>
        </w:rPr>
        <w:t xml:space="preserve">été définie par la Cour de </w:t>
      </w:r>
      <w:r w:rsidR="00E8133B" w:rsidRPr="003369F1">
        <w:rPr>
          <w:sz w:val="20"/>
          <w:szCs w:val="20"/>
        </w:rPr>
        <w:t>justice</w:t>
      </w:r>
      <w:r w:rsidR="00E8133B" w:rsidRPr="00C70EB4">
        <w:rPr>
          <w:sz w:val="20"/>
          <w:szCs w:val="20"/>
        </w:rPr>
        <w:t xml:space="preserve"> </w:t>
      </w:r>
      <w:r w:rsidRPr="00C70EB4">
        <w:rPr>
          <w:sz w:val="20"/>
          <w:szCs w:val="20"/>
        </w:rPr>
        <w:t>de l’Union européenne (</w:t>
      </w:r>
      <w:r w:rsidR="00E8133B" w:rsidRPr="003369F1">
        <w:rPr>
          <w:sz w:val="20"/>
          <w:szCs w:val="20"/>
        </w:rPr>
        <w:t xml:space="preserve">N. B. </w:t>
      </w:r>
      <w:r w:rsidR="00E8133B" w:rsidRPr="00C70EB4">
        <w:rPr>
          <w:smallCaps/>
          <w:sz w:val="20"/>
          <w:szCs w:val="20"/>
        </w:rPr>
        <w:t>Bernard</w:t>
      </w:r>
      <w:r w:rsidR="00E8133B" w:rsidRPr="003369F1">
        <w:rPr>
          <w:sz w:val="20"/>
          <w:szCs w:val="20"/>
        </w:rPr>
        <w:t xml:space="preserve">, « La procédure de remplacement des F-16 : entre transparence et opacité », </w:t>
      </w:r>
      <w:r w:rsidR="00E8133B" w:rsidRPr="003369F1">
        <w:rPr>
          <w:i/>
          <w:iCs/>
          <w:sz w:val="20"/>
          <w:szCs w:val="20"/>
        </w:rPr>
        <w:t xml:space="preserve">op. </w:t>
      </w:r>
      <w:proofErr w:type="spellStart"/>
      <w:r w:rsidR="00E8133B" w:rsidRPr="003369F1">
        <w:rPr>
          <w:i/>
          <w:iCs/>
          <w:sz w:val="20"/>
          <w:szCs w:val="20"/>
        </w:rPr>
        <w:t>cit</w:t>
      </w:r>
      <w:proofErr w:type="spellEnd"/>
      <w:r w:rsidR="00E8133B" w:rsidRPr="003369F1">
        <w:rPr>
          <w:i/>
          <w:iCs/>
          <w:sz w:val="20"/>
          <w:szCs w:val="20"/>
        </w:rPr>
        <w:t>.</w:t>
      </w:r>
      <w:r w:rsidR="00E8133B" w:rsidRPr="003369F1">
        <w:rPr>
          <w:sz w:val="20"/>
          <w:szCs w:val="20"/>
        </w:rPr>
        <w:t>, p. 187</w:t>
      </w:r>
      <w:r w:rsidRPr="00C70EB4">
        <w:rPr>
          <w:sz w:val="20"/>
          <w:szCs w:val="20"/>
        </w:rPr>
        <w:t>).</w:t>
      </w:r>
    </w:p>
  </w:footnote>
  <w:footnote w:id="42">
    <w:p w14:paraId="6AE32C4B" w14:textId="126B5DAD"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CJUE, 7 septembre 2023,</w:t>
      </w:r>
      <w:r w:rsidR="00E8133B" w:rsidRPr="003369F1">
        <w:rPr>
          <w:i/>
          <w:iCs/>
          <w:sz w:val="20"/>
          <w:szCs w:val="20"/>
        </w:rPr>
        <w:t>Commission c. Pologne</w:t>
      </w:r>
      <w:r w:rsidR="00E8133B" w:rsidRPr="003369F1">
        <w:rPr>
          <w:sz w:val="20"/>
          <w:szCs w:val="20"/>
        </w:rPr>
        <w:t>,</w:t>
      </w:r>
      <w:r w:rsidRPr="00C70EB4">
        <w:rPr>
          <w:sz w:val="20"/>
          <w:szCs w:val="20"/>
        </w:rPr>
        <w:t xml:space="preserve"> C-601/21, pt 78.</w:t>
      </w:r>
    </w:p>
  </w:footnote>
  <w:footnote w:id="43">
    <w:p w14:paraId="28273C39" w14:textId="74BEDB69"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w:t>
      </w:r>
      <w:r w:rsidRPr="00C70EB4">
        <w:rPr>
          <w:color w:val="000000"/>
          <w:sz w:val="20"/>
          <w:szCs w:val="20"/>
        </w:rPr>
        <w:t>À cet égard, il convient de rappeler que, selon une jurisprudence constante, l’objectif de préservation de la sécurité nationale correspond à l’intérêt primordial de protéger les fonctions essentielles de l’État et les intérêts fondamentaux de la société, par la prévention et la répression des activités de nature à déstabiliser gravement les structures constitutionnelles, politiques, économiques ou sociales fondamentales d’un pays, et en particulier à menacer directement la société, la population ou l’État en tant que tel, telles que notamment des activités de terrorisme » (CJUE, 7 septembre 2023,</w:t>
      </w:r>
      <w:r w:rsidR="00E8133B" w:rsidRPr="003369F1">
        <w:rPr>
          <w:color w:val="000000"/>
          <w:sz w:val="20"/>
          <w:szCs w:val="20"/>
        </w:rPr>
        <w:t xml:space="preserve"> </w:t>
      </w:r>
      <w:r w:rsidR="00E8133B" w:rsidRPr="003369F1">
        <w:rPr>
          <w:i/>
          <w:iCs/>
          <w:sz w:val="20"/>
          <w:szCs w:val="20"/>
        </w:rPr>
        <w:t>Commission c. Pologne</w:t>
      </w:r>
      <w:r w:rsidR="00E8133B" w:rsidRPr="003369F1">
        <w:rPr>
          <w:sz w:val="20"/>
          <w:szCs w:val="20"/>
        </w:rPr>
        <w:t xml:space="preserve">, C-601/21, </w:t>
      </w:r>
      <w:r w:rsidRPr="00C70EB4">
        <w:rPr>
          <w:color w:val="000000"/>
          <w:sz w:val="20"/>
          <w:szCs w:val="20"/>
        </w:rPr>
        <w:t xml:space="preserve"> pt 79).</w:t>
      </w:r>
    </w:p>
  </w:footnote>
  <w:footnote w:id="44">
    <w:p w14:paraId="043E1DAB" w14:textId="6DF57593" w:rsidR="00C27D91" w:rsidRPr="00C70EB4" w:rsidRDefault="00C27D91"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00083BE7" w:rsidRPr="003369F1">
        <w:rPr>
          <w:sz w:val="20"/>
          <w:szCs w:val="20"/>
          <w:lang w:val="nl-BE"/>
        </w:rPr>
        <w:t xml:space="preserve">D. </w:t>
      </w:r>
      <w:r w:rsidR="00083BE7" w:rsidRPr="003369F1">
        <w:rPr>
          <w:smallCaps/>
          <w:sz w:val="20"/>
          <w:szCs w:val="20"/>
          <w:lang w:val="nl-BE"/>
        </w:rPr>
        <w:t>Batselé</w:t>
      </w:r>
      <w:r w:rsidR="00083BE7" w:rsidRPr="003369F1">
        <w:rPr>
          <w:sz w:val="20"/>
          <w:szCs w:val="20"/>
          <w:lang w:val="nl-BE"/>
        </w:rPr>
        <w:t xml:space="preserve"> et al., </w:t>
      </w:r>
      <w:r w:rsidR="00083BE7" w:rsidRPr="003369F1">
        <w:rPr>
          <w:i/>
          <w:iCs/>
          <w:sz w:val="20"/>
          <w:szCs w:val="20"/>
          <w:lang w:val="nl-BE"/>
        </w:rPr>
        <w:t xml:space="preserve">op. </w:t>
      </w:r>
      <w:r w:rsidR="00083BE7" w:rsidRPr="003369F1">
        <w:rPr>
          <w:i/>
          <w:iCs/>
          <w:sz w:val="20"/>
          <w:szCs w:val="20"/>
          <w:lang w:val="nl-BE"/>
        </w:rPr>
        <w:t>cit.</w:t>
      </w:r>
      <w:r w:rsidR="00083BE7" w:rsidRPr="003369F1">
        <w:rPr>
          <w:sz w:val="20"/>
          <w:szCs w:val="20"/>
          <w:lang w:val="nl-BE"/>
        </w:rPr>
        <w:t xml:space="preserve">, </w:t>
      </w:r>
      <w:r w:rsidRPr="00C70EB4">
        <w:rPr>
          <w:sz w:val="20"/>
          <w:szCs w:val="20"/>
          <w:lang w:val="nl-BE"/>
        </w:rPr>
        <w:t>p. 208.</w:t>
      </w:r>
    </w:p>
  </w:footnote>
  <w:footnote w:id="45">
    <w:p w14:paraId="5E04DD1F" w14:textId="1534FD21" w:rsidR="00C27D91" w:rsidRPr="00C70EB4" w:rsidRDefault="00C27D91"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005B2078" w:rsidRPr="00C70EB4">
        <w:rPr>
          <w:sz w:val="20"/>
          <w:szCs w:val="20"/>
          <w:lang w:val="nl-BE"/>
        </w:rPr>
        <w:t xml:space="preserve">C.E., 10 janvier 2024, n° 248.383, </w:t>
      </w:r>
      <w:r w:rsidR="005B2078" w:rsidRPr="00C70EB4">
        <w:rPr>
          <w:i/>
          <w:iCs/>
          <w:sz w:val="20"/>
          <w:szCs w:val="20"/>
          <w:lang w:val="nl-BE"/>
        </w:rPr>
        <w:t>Heckler &amp; Koch</w:t>
      </w:r>
      <w:r w:rsidR="005B2078" w:rsidRPr="00C70EB4">
        <w:rPr>
          <w:sz w:val="20"/>
          <w:szCs w:val="20"/>
          <w:lang w:val="nl-BE"/>
        </w:rPr>
        <w:t xml:space="preserve">, </w:t>
      </w:r>
      <w:r w:rsidRPr="00C70EB4">
        <w:rPr>
          <w:sz w:val="20"/>
          <w:szCs w:val="20"/>
          <w:lang w:val="nl-BE"/>
        </w:rPr>
        <w:t>pts 27 et 28.</w:t>
      </w:r>
    </w:p>
  </w:footnote>
  <w:footnote w:id="46">
    <w:p w14:paraId="7BA3CA58" w14:textId="77E1D5AB" w:rsidR="00C27D91" w:rsidRPr="00C70EB4" w:rsidRDefault="00C27D91"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005B2078" w:rsidRPr="00C70EB4">
        <w:rPr>
          <w:sz w:val="20"/>
          <w:szCs w:val="20"/>
          <w:lang w:val="nl-BE"/>
        </w:rPr>
        <w:t xml:space="preserve">C.E., 10 janvier 2024, n° 248.383, </w:t>
      </w:r>
      <w:r w:rsidR="005B2078" w:rsidRPr="00C70EB4">
        <w:rPr>
          <w:i/>
          <w:iCs/>
          <w:sz w:val="20"/>
          <w:szCs w:val="20"/>
          <w:lang w:val="nl-BE"/>
        </w:rPr>
        <w:t>Heckler &amp; Koch</w:t>
      </w:r>
      <w:r w:rsidR="005B2078" w:rsidRPr="00C70EB4">
        <w:rPr>
          <w:sz w:val="20"/>
          <w:szCs w:val="20"/>
          <w:lang w:val="nl-BE"/>
        </w:rPr>
        <w:t xml:space="preserve">, </w:t>
      </w:r>
      <w:r w:rsidRPr="00C70EB4">
        <w:rPr>
          <w:sz w:val="20"/>
          <w:szCs w:val="20"/>
          <w:lang w:val="nl-BE"/>
        </w:rPr>
        <w:t xml:space="preserve">pt 28. </w:t>
      </w:r>
    </w:p>
  </w:footnote>
  <w:footnote w:id="47">
    <w:p w14:paraId="55969B3D" w14:textId="49458AD1" w:rsidR="00C27D91" w:rsidRPr="00C70EB4" w:rsidRDefault="00C27D91" w:rsidP="00C70EB4">
      <w:pPr>
        <w:pStyle w:val="Notedebasdepage"/>
        <w:jc w:val="both"/>
        <w:rPr>
          <w:sz w:val="20"/>
          <w:szCs w:val="20"/>
          <w:lang w:val="de-DE"/>
        </w:rPr>
      </w:pPr>
      <w:r w:rsidRPr="00C70EB4">
        <w:rPr>
          <w:rStyle w:val="Appelnotedebasdep"/>
          <w:sz w:val="20"/>
          <w:szCs w:val="20"/>
        </w:rPr>
        <w:footnoteRef/>
      </w:r>
      <w:r w:rsidRPr="00C70EB4">
        <w:rPr>
          <w:sz w:val="20"/>
          <w:szCs w:val="20"/>
          <w:lang w:val="de-DE"/>
        </w:rPr>
        <w:t xml:space="preserve"> </w:t>
      </w:r>
      <w:r w:rsidR="005B2078" w:rsidRPr="00C70EB4">
        <w:rPr>
          <w:sz w:val="20"/>
          <w:szCs w:val="20"/>
          <w:lang w:val="de-DE"/>
        </w:rPr>
        <w:t xml:space="preserve">C.E., 10 </w:t>
      </w:r>
      <w:proofErr w:type="spellStart"/>
      <w:r w:rsidR="005B2078" w:rsidRPr="00C70EB4">
        <w:rPr>
          <w:sz w:val="20"/>
          <w:szCs w:val="20"/>
          <w:lang w:val="de-DE"/>
        </w:rPr>
        <w:t>janvier</w:t>
      </w:r>
      <w:proofErr w:type="spellEnd"/>
      <w:r w:rsidR="005B2078" w:rsidRPr="00C70EB4">
        <w:rPr>
          <w:sz w:val="20"/>
          <w:szCs w:val="20"/>
          <w:lang w:val="de-DE"/>
        </w:rPr>
        <w:t xml:space="preserve"> 2024, n° 248.383, </w:t>
      </w:r>
      <w:proofErr w:type="spellStart"/>
      <w:r w:rsidR="005B2078" w:rsidRPr="00C70EB4">
        <w:rPr>
          <w:i/>
          <w:iCs/>
          <w:sz w:val="20"/>
          <w:szCs w:val="20"/>
          <w:lang w:val="de-DE"/>
        </w:rPr>
        <w:t>Heckler</w:t>
      </w:r>
      <w:proofErr w:type="spellEnd"/>
      <w:r w:rsidR="005B2078" w:rsidRPr="00C70EB4">
        <w:rPr>
          <w:i/>
          <w:iCs/>
          <w:sz w:val="20"/>
          <w:szCs w:val="20"/>
          <w:lang w:val="de-DE"/>
        </w:rPr>
        <w:t xml:space="preserve"> &amp; Koch</w:t>
      </w:r>
      <w:r w:rsidR="005B2078" w:rsidRPr="00C70EB4">
        <w:rPr>
          <w:sz w:val="20"/>
          <w:szCs w:val="20"/>
          <w:lang w:val="de-DE"/>
        </w:rPr>
        <w:t xml:space="preserve">, </w:t>
      </w:r>
      <w:proofErr w:type="spellStart"/>
      <w:r w:rsidRPr="00C70EB4">
        <w:rPr>
          <w:sz w:val="20"/>
          <w:szCs w:val="20"/>
          <w:lang w:val="de-DE"/>
        </w:rPr>
        <w:t>pt</w:t>
      </w:r>
      <w:proofErr w:type="spellEnd"/>
      <w:r w:rsidRPr="00C70EB4">
        <w:rPr>
          <w:sz w:val="20"/>
          <w:szCs w:val="20"/>
          <w:lang w:val="de-DE"/>
        </w:rPr>
        <w:t xml:space="preserve"> 29. </w:t>
      </w:r>
    </w:p>
  </w:footnote>
  <w:footnote w:id="48">
    <w:p w14:paraId="0DCE4403" w14:textId="631718B3" w:rsidR="00C27D91" w:rsidRPr="00C70EB4" w:rsidRDefault="00C27D91" w:rsidP="00C70EB4">
      <w:pPr>
        <w:pStyle w:val="Notedebasdepage"/>
        <w:jc w:val="both"/>
        <w:rPr>
          <w:sz w:val="20"/>
          <w:szCs w:val="20"/>
          <w:lang w:val="de-DE"/>
        </w:rPr>
      </w:pPr>
      <w:r w:rsidRPr="00C70EB4">
        <w:rPr>
          <w:rStyle w:val="Appelnotedebasdep"/>
          <w:sz w:val="20"/>
          <w:szCs w:val="20"/>
        </w:rPr>
        <w:footnoteRef/>
      </w:r>
      <w:r w:rsidRPr="00C70EB4">
        <w:rPr>
          <w:sz w:val="20"/>
          <w:szCs w:val="20"/>
          <w:lang w:val="de-DE"/>
        </w:rPr>
        <w:t xml:space="preserve"> </w:t>
      </w:r>
      <w:r w:rsidR="005B2078" w:rsidRPr="00C70EB4">
        <w:rPr>
          <w:sz w:val="20"/>
          <w:szCs w:val="20"/>
          <w:lang w:val="de-DE"/>
        </w:rPr>
        <w:t xml:space="preserve">C.E., 10 </w:t>
      </w:r>
      <w:proofErr w:type="spellStart"/>
      <w:r w:rsidR="005B2078" w:rsidRPr="00C70EB4">
        <w:rPr>
          <w:sz w:val="20"/>
          <w:szCs w:val="20"/>
          <w:lang w:val="de-DE"/>
        </w:rPr>
        <w:t>janvier</w:t>
      </w:r>
      <w:proofErr w:type="spellEnd"/>
      <w:r w:rsidR="005B2078" w:rsidRPr="00C70EB4">
        <w:rPr>
          <w:sz w:val="20"/>
          <w:szCs w:val="20"/>
          <w:lang w:val="de-DE"/>
        </w:rPr>
        <w:t xml:space="preserve"> 2024, n° 248.383, </w:t>
      </w:r>
      <w:proofErr w:type="spellStart"/>
      <w:r w:rsidR="005B2078" w:rsidRPr="00C70EB4">
        <w:rPr>
          <w:i/>
          <w:iCs/>
          <w:sz w:val="20"/>
          <w:szCs w:val="20"/>
          <w:lang w:val="de-DE"/>
        </w:rPr>
        <w:t>Heckler</w:t>
      </w:r>
      <w:proofErr w:type="spellEnd"/>
      <w:r w:rsidR="005B2078" w:rsidRPr="00C70EB4">
        <w:rPr>
          <w:i/>
          <w:iCs/>
          <w:sz w:val="20"/>
          <w:szCs w:val="20"/>
          <w:lang w:val="de-DE"/>
        </w:rPr>
        <w:t xml:space="preserve"> &amp; Koch</w:t>
      </w:r>
      <w:r w:rsidR="005B2078" w:rsidRPr="00C70EB4">
        <w:rPr>
          <w:sz w:val="20"/>
          <w:szCs w:val="20"/>
          <w:lang w:val="de-DE"/>
        </w:rPr>
        <w:t xml:space="preserve">, </w:t>
      </w:r>
      <w:proofErr w:type="spellStart"/>
      <w:r w:rsidRPr="00C70EB4">
        <w:rPr>
          <w:sz w:val="20"/>
          <w:szCs w:val="20"/>
          <w:lang w:val="de-DE"/>
        </w:rPr>
        <w:t>pt</w:t>
      </w:r>
      <w:proofErr w:type="spellEnd"/>
      <w:r w:rsidRPr="00C70EB4">
        <w:rPr>
          <w:sz w:val="20"/>
          <w:szCs w:val="20"/>
          <w:lang w:val="de-DE"/>
        </w:rPr>
        <w:t xml:space="preserve"> 30.</w:t>
      </w:r>
    </w:p>
  </w:footnote>
  <w:footnote w:id="49">
    <w:p w14:paraId="3DA65EFF" w14:textId="7CAC8468"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AE48CD" w:rsidRPr="003369F1">
        <w:rPr>
          <w:sz w:val="20"/>
          <w:szCs w:val="20"/>
        </w:rPr>
        <w:t xml:space="preserve">L. </w:t>
      </w:r>
      <w:proofErr w:type="spellStart"/>
      <w:r w:rsidR="00AE48CD" w:rsidRPr="00C70EB4">
        <w:rPr>
          <w:smallCaps/>
          <w:sz w:val="20"/>
          <w:szCs w:val="20"/>
        </w:rPr>
        <w:t>Dedonder</w:t>
      </w:r>
      <w:proofErr w:type="spellEnd"/>
      <w:r w:rsidR="00AE48CD" w:rsidRPr="003369F1">
        <w:rPr>
          <w:sz w:val="20"/>
          <w:szCs w:val="20"/>
        </w:rPr>
        <w:t xml:space="preserve">, </w:t>
      </w:r>
      <w:r w:rsidR="00AE48CD" w:rsidRPr="003369F1">
        <w:rPr>
          <w:i/>
          <w:iCs/>
          <w:sz w:val="20"/>
          <w:szCs w:val="20"/>
        </w:rPr>
        <w:t xml:space="preserve">Plan STAR 2022 – Security &amp; Service, </w:t>
      </w:r>
      <w:proofErr w:type="spellStart"/>
      <w:r w:rsidR="00AE48CD" w:rsidRPr="003369F1">
        <w:rPr>
          <w:i/>
          <w:iCs/>
          <w:sz w:val="20"/>
          <w:szCs w:val="20"/>
        </w:rPr>
        <w:t>Technology</w:t>
      </w:r>
      <w:proofErr w:type="spellEnd"/>
      <w:r w:rsidR="00AE48CD" w:rsidRPr="003369F1">
        <w:rPr>
          <w:i/>
          <w:iCs/>
          <w:sz w:val="20"/>
          <w:szCs w:val="20"/>
        </w:rPr>
        <w:t xml:space="preserve">, Ambition, </w:t>
      </w:r>
      <w:proofErr w:type="spellStart"/>
      <w:r w:rsidR="00AE48CD" w:rsidRPr="003369F1">
        <w:rPr>
          <w:i/>
          <w:iCs/>
          <w:sz w:val="20"/>
          <w:szCs w:val="20"/>
        </w:rPr>
        <w:t>Res</w:t>
      </w:r>
      <w:r w:rsidR="00AE48CD" w:rsidRPr="00C70EB4">
        <w:rPr>
          <w:i/>
          <w:iCs/>
          <w:sz w:val="20"/>
          <w:szCs w:val="20"/>
        </w:rPr>
        <w:t>ilience</w:t>
      </w:r>
      <w:proofErr w:type="spellEnd"/>
      <w:r w:rsidR="00AE48CD" w:rsidRPr="00C70EB4">
        <w:rPr>
          <w:sz w:val="20"/>
          <w:szCs w:val="20"/>
        </w:rPr>
        <w:t>, Bruxelles Ministère de la Défense,</w:t>
      </w:r>
      <w:r w:rsidR="00AE48CD" w:rsidRPr="003369F1">
        <w:rPr>
          <w:i/>
          <w:iCs/>
          <w:sz w:val="20"/>
          <w:szCs w:val="20"/>
        </w:rPr>
        <w:t xml:space="preserve"> </w:t>
      </w:r>
      <w:r w:rsidR="00AE48CD" w:rsidRPr="003369F1">
        <w:rPr>
          <w:sz w:val="20"/>
          <w:szCs w:val="20"/>
        </w:rPr>
        <w:t>2022,</w:t>
      </w:r>
      <w:r w:rsidRPr="00C70EB4">
        <w:rPr>
          <w:sz w:val="20"/>
          <w:szCs w:val="20"/>
        </w:rPr>
        <w:t xml:space="preserve"> p. 6.</w:t>
      </w:r>
    </w:p>
  </w:footnote>
  <w:footnote w:id="50">
    <w:p w14:paraId="32972445" w14:textId="0786C30D" w:rsidR="00C27D91" w:rsidRPr="00C70EB4" w:rsidRDefault="00C27D91" w:rsidP="00C70EB4">
      <w:pPr>
        <w:pStyle w:val="Notedebasdepage"/>
        <w:jc w:val="both"/>
        <w:rPr>
          <w:sz w:val="20"/>
          <w:szCs w:val="20"/>
          <w:lang w:val="de-DE"/>
        </w:rPr>
      </w:pPr>
      <w:r w:rsidRPr="00C70EB4">
        <w:rPr>
          <w:rStyle w:val="Appelnotedebasdep"/>
          <w:sz w:val="20"/>
          <w:szCs w:val="20"/>
        </w:rPr>
        <w:footnoteRef/>
      </w:r>
      <w:r w:rsidRPr="00C70EB4">
        <w:rPr>
          <w:sz w:val="20"/>
          <w:szCs w:val="20"/>
          <w:lang w:val="de-DE"/>
        </w:rPr>
        <w:t xml:space="preserve"> </w:t>
      </w:r>
      <w:r w:rsidR="005B2078" w:rsidRPr="00C70EB4">
        <w:rPr>
          <w:sz w:val="20"/>
          <w:szCs w:val="20"/>
          <w:lang w:val="de-DE"/>
        </w:rPr>
        <w:t xml:space="preserve">C.E., 10 </w:t>
      </w:r>
      <w:proofErr w:type="spellStart"/>
      <w:r w:rsidR="005B2078" w:rsidRPr="00C70EB4">
        <w:rPr>
          <w:sz w:val="20"/>
          <w:szCs w:val="20"/>
          <w:lang w:val="de-DE"/>
        </w:rPr>
        <w:t>janvier</w:t>
      </w:r>
      <w:proofErr w:type="spellEnd"/>
      <w:r w:rsidR="005B2078" w:rsidRPr="00C70EB4">
        <w:rPr>
          <w:sz w:val="20"/>
          <w:szCs w:val="20"/>
          <w:lang w:val="de-DE"/>
        </w:rPr>
        <w:t xml:space="preserve"> 2024, n° 248.383, </w:t>
      </w:r>
      <w:proofErr w:type="spellStart"/>
      <w:r w:rsidR="005B2078" w:rsidRPr="00C70EB4">
        <w:rPr>
          <w:i/>
          <w:iCs/>
          <w:sz w:val="20"/>
          <w:szCs w:val="20"/>
          <w:lang w:val="de-DE"/>
        </w:rPr>
        <w:t>Heckler</w:t>
      </w:r>
      <w:proofErr w:type="spellEnd"/>
      <w:r w:rsidR="005B2078" w:rsidRPr="00C70EB4">
        <w:rPr>
          <w:i/>
          <w:iCs/>
          <w:sz w:val="20"/>
          <w:szCs w:val="20"/>
          <w:lang w:val="de-DE"/>
        </w:rPr>
        <w:t xml:space="preserve"> &amp; Koch</w:t>
      </w:r>
      <w:r w:rsidR="005B2078" w:rsidRPr="00C70EB4">
        <w:rPr>
          <w:sz w:val="20"/>
          <w:szCs w:val="20"/>
          <w:lang w:val="de-DE"/>
        </w:rPr>
        <w:t xml:space="preserve">, </w:t>
      </w:r>
      <w:proofErr w:type="spellStart"/>
      <w:r w:rsidRPr="00C70EB4">
        <w:rPr>
          <w:sz w:val="20"/>
          <w:szCs w:val="20"/>
          <w:lang w:val="de-DE"/>
        </w:rPr>
        <w:t>pt</w:t>
      </w:r>
      <w:proofErr w:type="spellEnd"/>
      <w:r w:rsidRPr="00C70EB4">
        <w:rPr>
          <w:sz w:val="20"/>
          <w:szCs w:val="20"/>
          <w:lang w:val="de-DE"/>
        </w:rPr>
        <w:t xml:space="preserve"> 34.</w:t>
      </w:r>
    </w:p>
  </w:footnote>
  <w:footnote w:id="51">
    <w:p w14:paraId="6B57376B" w14:textId="01607B4D" w:rsidR="00C27D91" w:rsidRPr="00C70EB4" w:rsidRDefault="00C27D91"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00083BE7" w:rsidRPr="003369F1">
        <w:rPr>
          <w:sz w:val="20"/>
          <w:szCs w:val="20"/>
          <w:lang w:val="nl-BE"/>
        </w:rPr>
        <w:t xml:space="preserve">D. </w:t>
      </w:r>
      <w:r w:rsidR="00083BE7" w:rsidRPr="003369F1">
        <w:rPr>
          <w:smallCaps/>
          <w:sz w:val="20"/>
          <w:szCs w:val="20"/>
          <w:lang w:val="nl-BE"/>
        </w:rPr>
        <w:t>Batselé</w:t>
      </w:r>
      <w:r w:rsidR="00083BE7" w:rsidRPr="003369F1">
        <w:rPr>
          <w:sz w:val="20"/>
          <w:szCs w:val="20"/>
          <w:lang w:val="nl-BE"/>
        </w:rPr>
        <w:t xml:space="preserve"> et al., </w:t>
      </w:r>
      <w:r w:rsidR="00083BE7" w:rsidRPr="003369F1">
        <w:rPr>
          <w:i/>
          <w:iCs/>
          <w:sz w:val="20"/>
          <w:szCs w:val="20"/>
          <w:lang w:val="nl-BE"/>
        </w:rPr>
        <w:t>op. cit.</w:t>
      </w:r>
      <w:r w:rsidR="00083BE7" w:rsidRPr="003369F1">
        <w:rPr>
          <w:sz w:val="20"/>
          <w:szCs w:val="20"/>
          <w:lang w:val="nl-BE"/>
        </w:rPr>
        <w:t xml:space="preserve">, p. </w:t>
      </w:r>
      <w:r w:rsidRPr="00C70EB4">
        <w:rPr>
          <w:sz w:val="20"/>
          <w:szCs w:val="20"/>
          <w:lang w:val="nl-BE"/>
        </w:rPr>
        <w:t>212.</w:t>
      </w:r>
    </w:p>
  </w:footnote>
  <w:footnote w:id="52">
    <w:p w14:paraId="0BF5E13C" w14:textId="39A3340D"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AE48CD" w:rsidRPr="003369F1">
        <w:rPr>
          <w:sz w:val="20"/>
          <w:szCs w:val="20"/>
        </w:rPr>
        <w:t xml:space="preserve">Disponible sur : </w:t>
      </w:r>
      <w:r w:rsidRPr="00C70EB4">
        <w:rPr>
          <w:sz w:val="20"/>
          <w:szCs w:val="20"/>
        </w:rPr>
        <w:t xml:space="preserve">https://economie.fgov.be/sites/default/files/Files/Entreprises/Interets-belges-domaine-politique-Defense-et-securite.pdf. </w:t>
      </w:r>
    </w:p>
  </w:footnote>
  <w:footnote w:id="53">
    <w:p w14:paraId="72CE7ADC" w14:textId="219DBD0A"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AE48CD" w:rsidRPr="003369F1">
        <w:rPr>
          <w:sz w:val="20"/>
          <w:szCs w:val="20"/>
        </w:rPr>
        <w:t xml:space="preserve">N. </w:t>
      </w:r>
      <w:r w:rsidRPr="00C70EB4">
        <w:rPr>
          <w:smallCaps/>
          <w:sz w:val="20"/>
          <w:szCs w:val="20"/>
        </w:rPr>
        <w:t>Lagasse</w:t>
      </w:r>
      <w:r w:rsidR="00AE48CD" w:rsidRPr="003369F1">
        <w:rPr>
          <w:sz w:val="20"/>
          <w:szCs w:val="20"/>
        </w:rPr>
        <w:t xml:space="preserve">, « Le commandement des forces armées : principe et mise en œuvre », </w:t>
      </w:r>
      <w:r w:rsidR="00AE48CD" w:rsidRPr="003369F1">
        <w:rPr>
          <w:i/>
          <w:iCs/>
          <w:sz w:val="20"/>
          <w:szCs w:val="20"/>
        </w:rPr>
        <w:t>Questions juridiques d’actualité en lien avec la défense</w:t>
      </w:r>
      <w:r w:rsidR="00AE48CD" w:rsidRPr="003369F1">
        <w:rPr>
          <w:sz w:val="20"/>
          <w:szCs w:val="20"/>
        </w:rPr>
        <w:t xml:space="preserve">, </w:t>
      </w:r>
      <w:r w:rsidR="00AE48CD" w:rsidRPr="003369F1">
        <w:rPr>
          <w:i/>
          <w:iCs/>
          <w:sz w:val="20"/>
          <w:szCs w:val="20"/>
        </w:rPr>
        <w:t xml:space="preserve">op. </w:t>
      </w:r>
      <w:proofErr w:type="spellStart"/>
      <w:r w:rsidR="00AE48CD" w:rsidRPr="003369F1">
        <w:rPr>
          <w:i/>
          <w:iCs/>
          <w:sz w:val="20"/>
          <w:szCs w:val="20"/>
        </w:rPr>
        <w:t>cit</w:t>
      </w:r>
      <w:proofErr w:type="spellEnd"/>
      <w:r w:rsidR="00AE48CD" w:rsidRPr="003369F1">
        <w:rPr>
          <w:i/>
          <w:iCs/>
          <w:sz w:val="20"/>
          <w:szCs w:val="20"/>
        </w:rPr>
        <w:t>.</w:t>
      </w:r>
      <w:r w:rsidR="00AE48CD" w:rsidRPr="003369F1">
        <w:rPr>
          <w:sz w:val="20"/>
          <w:szCs w:val="20"/>
        </w:rPr>
        <w:t>,</w:t>
      </w:r>
      <w:r w:rsidRPr="00C70EB4">
        <w:rPr>
          <w:sz w:val="20"/>
          <w:szCs w:val="20"/>
        </w:rPr>
        <w:t xml:space="preserve"> p. 17</w:t>
      </w:r>
      <w:r w:rsidR="00AE48CD" w:rsidRPr="003369F1">
        <w:rPr>
          <w:sz w:val="20"/>
          <w:szCs w:val="20"/>
        </w:rPr>
        <w:t>.</w:t>
      </w:r>
    </w:p>
  </w:footnote>
  <w:footnote w:id="54">
    <w:p w14:paraId="764C2F5F" w14:textId="670B7165"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xml:space="preserve">. not. </w:t>
      </w:r>
      <w:r w:rsidR="00AE48CD" w:rsidRPr="003369F1">
        <w:rPr>
          <w:sz w:val="20"/>
          <w:szCs w:val="20"/>
        </w:rPr>
        <w:t>Section de législation du Conseil d’Etat,</w:t>
      </w:r>
      <w:r w:rsidRPr="00C70EB4">
        <w:rPr>
          <w:sz w:val="20"/>
          <w:szCs w:val="20"/>
        </w:rPr>
        <w:t xml:space="preserve"> avis n° 22.854/9 du 8 novembre 1993: « la disposition en projet entend substituer à une décision qu’en vertu de l’article [167] de la Constitution, seul le Roi a le pouvoir de prendre en sa qualité de chef des forces armées, une décision du gouvernement ou du ministre de la Défense nationale, ce qui, au regard de cette disposition constitutionnelle, n’est pas admissible » (pp. 4 et 5). </w:t>
      </w:r>
      <w:r w:rsidR="00F63378" w:rsidRPr="003369F1">
        <w:rPr>
          <w:sz w:val="20"/>
          <w:szCs w:val="20"/>
        </w:rPr>
        <w:t xml:space="preserve"> </w:t>
      </w:r>
    </w:p>
  </w:footnote>
  <w:footnote w:id="55">
    <w:p w14:paraId="63C24D9D" w14:textId="3D0A142C"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AE48CD" w:rsidRPr="00C70EB4">
        <w:rPr>
          <w:sz w:val="20"/>
          <w:szCs w:val="20"/>
        </w:rPr>
        <w:t>Loi du 23 mai 2017 de programmation militaire des investissements pour la période 2016-2030</w:t>
      </w:r>
      <w:r w:rsidR="00AE48CD" w:rsidRPr="00C70EB4">
        <w:rPr>
          <w:b/>
          <w:bCs/>
          <w:color w:val="000000"/>
          <w:sz w:val="20"/>
          <w:szCs w:val="20"/>
          <w:u w:val="single"/>
        </w:rPr>
        <w:t xml:space="preserve"> </w:t>
      </w:r>
      <w:r w:rsidR="00AE48CD" w:rsidRPr="00C70EB4">
        <w:rPr>
          <w:sz w:val="20"/>
          <w:szCs w:val="20"/>
        </w:rPr>
        <w:t xml:space="preserve">; </w:t>
      </w:r>
      <w:r w:rsidR="00AE48CD" w:rsidRPr="00C70EB4">
        <w:rPr>
          <w:i/>
          <w:iCs/>
          <w:sz w:val="20"/>
          <w:szCs w:val="20"/>
        </w:rPr>
        <w:t>M.B.</w:t>
      </w:r>
      <w:r w:rsidR="00AE48CD" w:rsidRPr="00C70EB4">
        <w:rPr>
          <w:sz w:val="20"/>
          <w:szCs w:val="20"/>
        </w:rPr>
        <w:t>, 8 juin 2017.</w:t>
      </w:r>
    </w:p>
  </w:footnote>
  <w:footnote w:id="56">
    <w:p w14:paraId="302874DA" w14:textId="46B4A5B7"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AE48CD" w:rsidRPr="003369F1">
        <w:rPr>
          <w:sz w:val="20"/>
          <w:szCs w:val="20"/>
        </w:rPr>
        <w:t>Loi du 20 juillet 2022 modifiant la loi du 23 mai 2017 de programmation militaire des investissements pour la période 2016-2030</w:t>
      </w:r>
      <w:r w:rsidR="00F63378" w:rsidRPr="003369F1">
        <w:rPr>
          <w:sz w:val="20"/>
          <w:szCs w:val="20"/>
        </w:rPr>
        <w:t xml:space="preserve">, </w:t>
      </w:r>
      <w:r w:rsidR="00F63378" w:rsidRPr="003369F1">
        <w:rPr>
          <w:i/>
          <w:iCs/>
          <w:sz w:val="20"/>
          <w:szCs w:val="20"/>
        </w:rPr>
        <w:t>M.B.</w:t>
      </w:r>
      <w:r w:rsidR="00F63378" w:rsidRPr="003369F1">
        <w:rPr>
          <w:sz w:val="20"/>
          <w:szCs w:val="20"/>
        </w:rPr>
        <w:t>, 2 septembre 2022.</w:t>
      </w:r>
    </w:p>
  </w:footnote>
  <w:footnote w:id="57">
    <w:p w14:paraId="1B17897E" w14:textId="1B462D22"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Comme l’article 346, paragraphe 2, du TFUE le précise, cette liste peut être modifiée par le Conseil à l’unanimité, sur proposition de la Commission,. </w:t>
      </w:r>
    </w:p>
  </w:footnote>
  <w:footnote w:id="58">
    <w:p w14:paraId="71026663" w14:textId="62B9EC54"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T.P.I.C.E., 30 septembre 2003, </w:t>
      </w:r>
      <w:r w:rsidRPr="00C70EB4">
        <w:rPr>
          <w:i/>
          <w:iCs/>
          <w:sz w:val="20"/>
          <w:szCs w:val="20"/>
        </w:rPr>
        <w:t xml:space="preserve">Fiocchi </w:t>
      </w:r>
      <w:proofErr w:type="spellStart"/>
      <w:r w:rsidRPr="00C70EB4">
        <w:rPr>
          <w:i/>
          <w:iCs/>
          <w:sz w:val="20"/>
          <w:szCs w:val="20"/>
        </w:rPr>
        <w:t>munizioni</w:t>
      </w:r>
      <w:proofErr w:type="spellEnd"/>
      <w:r w:rsidRPr="00C70EB4">
        <w:rPr>
          <w:i/>
          <w:iCs/>
          <w:sz w:val="20"/>
          <w:szCs w:val="20"/>
        </w:rPr>
        <w:t xml:space="preserve"> c. Commission</w:t>
      </w:r>
      <w:r w:rsidRPr="00C70EB4">
        <w:rPr>
          <w:sz w:val="20"/>
          <w:szCs w:val="20"/>
        </w:rPr>
        <w:t xml:space="preserve">, T-26/01, pt </w:t>
      </w:r>
      <w:r w:rsidR="00F63378" w:rsidRPr="003369F1">
        <w:rPr>
          <w:sz w:val="20"/>
          <w:szCs w:val="20"/>
        </w:rPr>
        <w:t>6</w:t>
      </w:r>
      <w:r w:rsidRPr="00C70EB4">
        <w:rPr>
          <w:sz w:val="20"/>
          <w:szCs w:val="20"/>
        </w:rPr>
        <w:t>1.</w:t>
      </w:r>
    </w:p>
  </w:footnote>
  <w:footnote w:id="59">
    <w:p w14:paraId="041EC5FA" w14:textId="3311FEF6"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083BE7" w:rsidRPr="00C70EB4">
        <w:rPr>
          <w:sz w:val="20"/>
          <w:szCs w:val="20"/>
        </w:rPr>
        <w:t xml:space="preserve">D. </w:t>
      </w:r>
      <w:proofErr w:type="spellStart"/>
      <w:r w:rsidR="00083BE7" w:rsidRPr="00C70EB4">
        <w:rPr>
          <w:smallCaps/>
          <w:sz w:val="20"/>
          <w:szCs w:val="20"/>
        </w:rPr>
        <w:t>Batselé</w:t>
      </w:r>
      <w:proofErr w:type="spellEnd"/>
      <w:r w:rsidR="00083BE7" w:rsidRPr="00C70EB4">
        <w:rPr>
          <w:sz w:val="20"/>
          <w:szCs w:val="20"/>
        </w:rPr>
        <w:t xml:space="preserve"> et al., </w:t>
      </w:r>
      <w:r w:rsidR="00083BE7" w:rsidRPr="00C70EB4">
        <w:rPr>
          <w:i/>
          <w:iCs/>
          <w:sz w:val="20"/>
          <w:szCs w:val="20"/>
        </w:rPr>
        <w:t xml:space="preserve">op. </w:t>
      </w:r>
      <w:proofErr w:type="spellStart"/>
      <w:r w:rsidR="00083BE7" w:rsidRPr="00C70EB4">
        <w:rPr>
          <w:i/>
          <w:iCs/>
          <w:sz w:val="20"/>
          <w:szCs w:val="20"/>
        </w:rPr>
        <w:t>cit</w:t>
      </w:r>
      <w:proofErr w:type="spellEnd"/>
      <w:r w:rsidR="00083BE7" w:rsidRPr="00C70EB4">
        <w:rPr>
          <w:i/>
          <w:iCs/>
          <w:sz w:val="20"/>
          <w:szCs w:val="20"/>
        </w:rPr>
        <w:t>.</w:t>
      </w:r>
      <w:r w:rsidR="00083BE7" w:rsidRPr="00C70EB4">
        <w:rPr>
          <w:sz w:val="20"/>
          <w:szCs w:val="20"/>
        </w:rPr>
        <w:t xml:space="preserve">, </w:t>
      </w:r>
      <w:r w:rsidRPr="00C70EB4">
        <w:rPr>
          <w:sz w:val="20"/>
          <w:szCs w:val="20"/>
        </w:rPr>
        <w:t xml:space="preserve">p. 209 ; </w:t>
      </w:r>
      <w:r w:rsidR="00D13ED5" w:rsidRPr="003369F1">
        <w:rPr>
          <w:sz w:val="20"/>
          <w:szCs w:val="20"/>
        </w:rPr>
        <w:t xml:space="preserve">CJUE, 7 juin 2012, </w:t>
      </w:r>
      <w:proofErr w:type="spellStart"/>
      <w:r w:rsidR="00D13ED5" w:rsidRPr="003369F1">
        <w:rPr>
          <w:i/>
          <w:iCs/>
          <w:sz w:val="20"/>
          <w:szCs w:val="20"/>
        </w:rPr>
        <w:t>InsTiimi</w:t>
      </w:r>
      <w:proofErr w:type="spellEnd"/>
      <w:r w:rsidR="00D13ED5" w:rsidRPr="003369F1">
        <w:rPr>
          <w:sz w:val="20"/>
          <w:szCs w:val="20"/>
        </w:rPr>
        <w:t xml:space="preserve">, C-615/10, pts 39 et 40 ; CJCE, 2 octobre 2008, </w:t>
      </w:r>
      <w:r w:rsidR="00D13ED5" w:rsidRPr="003369F1">
        <w:rPr>
          <w:i/>
          <w:iCs/>
          <w:sz w:val="20"/>
          <w:szCs w:val="20"/>
        </w:rPr>
        <w:t xml:space="preserve">Commission c. </w:t>
      </w:r>
      <w:r w:rsidR="00D13ED5" w:rsidRPr="003369F1">
        <w:rPr>
          <w:sz w:val="20"/>
          <w:szCs w:val="20"/>
        </w:rPr>
        <w:t>Italie, C-</w:t>
      </w:r>
      <w:r w:rsidR="009A2346" w:rsidRPr="003369F1">
        <w:rPr>
          <w:sz w:val="20"/>
          <w:szCs w:val="20"/>
        </w:rPr>
        <w:t>157</w:t>
      </w:r>
      <w:r w:rsidR="00D13ED5" w:rsidRPr="003369F1">
        <w:rPr>
          <w:sz w:val="20"/>
          <w:szCs w:val="20"/>
        </w:rPr>
        <w:t>/0</w:t>
      </w:r>
      <w:r w:rsidR="009A2346" w:rsidRPr="003369F1">
        <w:rPr>
          <w:sz w:val="20"/>
          <w:szCs w:val="20"/>
        </w:rPr>
        <w:t>6</w:t>
      </w:r>
      <w:r w:rsidR="00D13ED5" w:rsidRPr="003369F1">
        <w:rPr>
          <w:sz w:val="20"/>
          <w:szCs w:val="20"/>
        </w:rPr>
        <w:t xml:space="preserve">, pts 26 à 28 ; CJCE, 8 avril 2008, </w:t>
      </w:r>
      <w:r w:rsidR="00D13ED5" w:rsidRPr="003369F1">
        <w:rPr>
          <w:i/>
          <w:iCs/>
          <w:sz w:val="20"/>
          <w:szCs w:val="20"/>
        </w:rPr>
        <w:t xml:space="preserve">Commission c. </w:t>
      </w:r>
      <w:r w:rsidR="00D13ED5" w:rsidRPr="00C70EB4">
        <w:rPr>
          <w:i/>
          <w:iCs/>
          <w:sz w:val="20"/>
          <w:szCs w:val="20"/>
        </w:rPr>
        <w:t>Italie</w:t>
      </w:r>
      <w:r w:rsidR="00D13ED5" w:rsidRPr="003369F1">
        <w:rPr>
          <w:sz w:val="20"/>
          <w:szCs w:val="20"/>
        </w:rPr>
        <w:t xml:space="preserve">, </w:t>
      </w:r>
      <w:r w:rsidR="009A2346" w:rsidRPr="003369F1">
        <w:rPr>
          <w:sz w:val="20"/>
          <w:szCs w:val="20"/>
        </w:rPr>
        <w:t xml:space="preserve">C-337/05, </w:t>
      </w:r>
      <w:r w:rsidR="00D13ED5" w:rsidRPr="003369F1">
        <w:rPr>
          <w:sz w:val="20"/>
          <w:szCs w:val="20"/>
        </w:rPr>
        <w:t xml:space="preserve">pts 45 à 49 </w:t>
      </w:r>
    </w:p>
  </w:footnote>
  <w:footnote w:id="60">
    <w:p w14:paraId="2B9DAB6A" w14:textId="546EED65"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D13ED5" w:rsidRPr="00C70EB4">
        <w:rPr>
          <w:sz w:val="20"/>
          <w:szCs w:val="20"/>
        </w:rPr>
        <w:t xml:space="preserve"> </w:t>
      </w:r>
      <w:r w:rsidR="00D13ED5" w:rsidRPr="003369F1">
        <w:rPr>
          <w:sz w:val="20"/>
          <w:szCs w:val="20"/>
        </w:rPr>
        <w:t xml:space="preserve">Réponse du 27 septembre 2001 à la question écrite E-1324/01 du 4 mai 2001 posée par Bart </w:t>
      </w:r>
      <w:proofErr w:type="spellStart"/>
      <w:r w:rsidR="00D13ED5" w:rsidRPr="003369F1">
        <w:rPr>
          <w:sz w:val="20"/>
          <w:szCs w:val="20"/>
        </w:rPr>
        <w:t>Staes</w:t>
      </w:r>
      <w:proofErr w:type="spellEnd"/>
      <w:r w:rsidR="00D13ED5" w:rsidRPr="003369F1">
        <w:rPr>
          <w:sz w:val="20"/>
          <w:szCs w:val="20"/>
        </w:rPr>
        <w:t xml:space="preserve"> (Verts/ALE) au Conseil, </w:t>
      </w:r>
      <w:r w:rsidR="00D13ED5" w:rsidRPr="00C70EB4">
        <w:rPr>
          <w:i/>
          <w:iCs/>
          <w:sz w:val="20"/>
          <w:szCs w:val="20"/>
        </w:rPr>
        <w:t>J.O.C.E.</w:t>
      </w:r>
      <w:r w:rsidR="00D13ED5" w:rsidRPr="003369F1">
        <w:rPr>
          <w:sz w:val="20"/>
          <w:szCs w:val="20"/>
        </w:rPr>
        <w:t>, n° C 364 E du 20 décembre 2001, p. 85</w:t>
      </w:r>
    </w:p>
  </w:footnote>
  <w:footnote w:id="61">
    <w:p w14:paraId="5AC5BFB2" w14:textId="3E962737" w:rsidR="00C27D91" w:rsidRPr="00C70EB4" w:rsidRDefault="00C27D91"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00083BE7" w:rsidRPr="00C70EB4">
        <w:rPr>
          <w:sz w:val="20"/>
          <w:szCs w:val="20"/>
          <w:lang w:val="nl-BE"/>
        </w:rPr>
        <w:t xml:space="preserve">J.-C. </w:t>
      </w:r>
      <w:r w:rsidR="00083BE7" w:rsidRPr="00C70EB4">
        <w:rPr>
          <w:smallCaps/>
          <w:sz w:val="20"/>
          <w:szCs w:val="20"/>
          <w:lang w:val="nl-BE"/>
        </w:rPr>
        <w:t>Videlin</w:t>
      </w:r>
      <w:r w:rsidR="00083BE7" w:rsidRPr="00C70EB4">
        <w:rPr>
          <w:sz w:val="20"/>
          <w:szCs w:val="20"/>
          <w:lang w:val="nl-BE"/>
        </w:rPr>
        <w:t xml:space="preserve">, </w:t>
      </w:r>
      <w:r w:rsidR="00083BE7" w:rsidRPr="00C70EB4">
        <w:rPr>
          <w:i/>
          <w:iCs/>
          <w:sz w:val="20"/>
          <w:szCs w:val="20"/>
          <w:lang w:val="nl-BE"/>
        </w:rPr>
        <w:t>op. cit.</w:t>
      </w:r>
      <w:r w:rsidR="00083BE7" w:rsidRPr="003369F1">
        <w:rPr>
          <w:sz w:val="20"/>
          <w:szCs w:val="20"/>
          <w:lang w:val="nl-BE"/>
        </w:rPr>
        <w:t>,</w:t>
      </w:r>
      <w:r w:rsidR="00083BE7" w:rsidRPr="00C70EB4">
        <w:rPr>
          <w:sz w:val="20"/>
          <w:szCs w:val="20"/>
          <w:lang w:val="nl-BE"/>
        </w:rPr>
        <w:t xml:space="preserve"> </w:t>
      </w:r>
      <w:r w:rsidRPr="00C70EB4">
        <w:rPr>
          <w:sz w:val="20"/>
          <w:szCs w:val="20"/>
          <w:lang w:val="nl-BE"/>
        </w:rPr>
        <w:t>p. 205.</w:t>
      </w:r>
    </w:p>
  </w:footnote>
  <w:footnote w:id="62">
    <w:p w14:paraId="6F5806B9" w14:textId="216B358F"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E9508A" w:rsidRPr="00C70EB4">
        <w:rPr>
          <w:sz w:val="20"/>
          <w:szCs w:val="20"/>
        </w:rPr>
        <w:t xml:space="preserve">B. </w:t>
      </w:r>
      <w:r w:rsidR="00E9508A" w:rsidRPr="00C70EB4">
        <w:rPr>
          <w:smallCaps/>
          <w:sz w:val="20"/>
          <w:szCs w:val="20"/>
        </w:rPr>
        <w:t>Florent</w:t>
      </w:r>
      <w:r w:rsidR="00E9508A" w:rsidRPr="00C70EB4">
        <w:rPr>
          <w:sz w:val="20"/>
          <w:szCs w:val="20"/>
        </w:rPr>
        <w:t xml:space="preserve"> et F. </w:t>
      </w:r>
      <w:r w:rsidR="00E9508A" w:rsidRPr="00C70EB4">
        <w:rPr>
          <w:smallCaps/>
          <w:sz w:val="20"/>
          <w:szCs w:val="20"/>
        </w:rPr>
        <w:t>Vallée,</w:t>
      </w:r>
      <w:r w:rsidR="00E9508A" w:rsidRPr="00C70EB4" w:rsidDel="00E9508A">
        <w:rPr>
          <w:sz w:val="20"/>
          <w:szCs w:val="20"/>
        </w:rPr>
        <w:t xml:space="preserve"> </w:t>
      </w:r>
      <w:r w:rsidRPr="00C70EB4">
        <w:rPr>
          <w:sz w:val="20"/>
          <w:szCs w:val="20"/>
        </w:rPr>
        <w:t>p. 72.</w:t>
      </w:r>
    </w:p>
  </w:footnote>
  <w:footnote w:id="63">
    <w:p w14:paraId="1F06D91A" w14:textId="6CCC25CF" w:rsidR="00C27D91" w:rsidRPr="00C70EB4" w:rsidRDefault="00C27D91" w:rsidP="00101B43">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not. la liste commune des équipements militaires de l’Union européenne, adoptée par le Conseil le 17 février 2020 (PESC 2020/C 85/01</w:t>
      </w:r>
      <w:r w:rsidR="00D13ED5" w:rsidRPr="00C70EB4">
        <w:rPr>
          <w:sz w:val="20"/>
          <w:szCs w:val="20"/>
        </w:rPr>
        <w:t>)</w:t>
      </w:r>
      <w:r w:rsidR="00D13ED5" w:rsidRPr="003369F1">
        <w:rPr>
          <w:sz w:val="20"/>
          <w:szCs w:val="20"/>
        </w:rPr>
        <w:t xml:space="preserve">, </w:t>
      </w:r>
      <w:r w:rsidRPr="00C70EB4">
        <w:rPr>
          <w:sz w:val="20"/>
          <w:szCs w:val="20"/>
        </w:rPr>
        <w:t>applicable en matière de contrôle d’exportations de technologie et d’équipements militaires</w:t>
      </w:r>
      <w:r w:rsidR="00D13ED5" w:rsidRPr="003369F1">
        <w:rPr>
          <w:sz w:val="20"/>
          <w:szCs w:val="20"/>
        </w:rPr>
        <w:t>.</w:t>
      </w:r>
    </w:p>
  </w:footnote>
  <w:footnote w:id="64">
    <w:p w14:paraId="64C37184" w14:textId="6ED371E7"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083BE7" w:rsidRPr="00C70EB4">
        <w:rPr>
          <w:sz w:val="20"/>
          <w:szCs w:val="20"/>
        </w:rPr>
        <w:t xml:space="preserve">D. </w:t>
      </w:r>
      <w:proofErr w:type="spellStart"/>
      <w:r w:rsidR="00083BE7" w:rsidRPr="00C70EB4">
        <w:rPr>
          <w:smallCaps/>
          <w:sz w:val="20"/>
          <w:szCs w:val="20"/>
        </w:rPr>
        <w:t>Batselé</w:t>
      </w:r>
      <w:proofErr w:type="spellEnd"/>
      <w:r w:rsidR="00083BE7" w:rsidRPr="00C70EB4">
        <w:rPr>
          <w:sz w:val="20"/>
          <w:szCs w:val="20"/>
        </w:rPr>
        <w:t xml:space="preserve"> et al., </w:t>
      </w:r>
      <w:r w:rsidR="00083BE7" w:rsidRPr="00C70EB4">
        <w:rPr>
          <w:i/>
          <w:iCs/>
          <w:sz w:val="20"/>
          <w:szCs w:val="20"/>
        </w:rPr>
        <w:t xml:space="preserve">op. </w:t>
      </w:r>
      <w:proofErr w:type="spellStart"/>
      <w:r w:rsidR="00083BE7" w:rsidRPr="00C70EB4">
        <w:rPr>
          <w:i/>
          <w:iCs/>
          <w:sz w:val="20"/>
          <w:szCs w:val="20"/>
        </w:rPr>
        <w:t>cit</w:t>
      </w:r>
      <w:proofErr w:type="spellEnd"/>
      <w:r w:rsidR="00083BE7" w:rsidRPr="00C70EB4">
        <w:rPr>
          <w:i/>
          <w:iCs/>
          <w:sz w:val="20"/>
          <w:szCs w:val="20"/>
        </w:rPr>
        <w:t>.</w:t>
      </w:r>
      <w:r w:rsidR="00083BE7" w:rsidRPr="00C70EB4">
        <w:rPr>
          <w:sz w:val="20"/>
          <w:szCs w:val="20"/>
        </w:rPr>
        <w:t xml:space="preserve">, </w:t>
      </w:r>
      <w:r w:rsidRPr="00C70EB4">
        <w:rPr>
          <w:sz w:val="20"/>
          <w:szCs w:val="20"/>
        </w:rPr>
        <w:t>pp. 208 et 209.</w:t>
      </w:r>
    </w:p>
  </w:footnote>
  <w:footnote w:id="65">
    <w:p w14:paraId="38E6C233" w14:textId="79A19D3F"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Sur les enjeux stratégiques liés à ces espaces particuliers, </w:t>
      </w:r>
      <w:proofErr w:type="spellStart"/>
      <w:r w:rsidRPr="00C70EB4">
        <w:rPr>
          <w:sz w:val="20"/>
          <w:szCs w:val="20"/>
        </w:rPr>
        <w:t>voy</w:t>
      </w:r>
      <w:proofErr w:type="spellEnd"/>
      <w:r w:rsidRPr="00C70EB4">
        <w:rPr>
          <w:sz w:val="20"/>
          <w:szCs w:val="20"/>
        </w:rPr>
        <w:t>.</w:t>
      </w:r>
      <w:r w:rsidR="0006237E" w:rsidRPr="00C70EB4">
        <w:rPr>
          <w:sz w:val="20"/>
          <w:szCs w:val="20"/>
        </w:rPr>
        <w:t xml:space="preserve"> M. </w:t>
      </w:r>
      <w:r w:rsidR="0006237E" w:rsidRPr="00C70EB4">
        <w:rPr>
          <w:smallCaps/>
          <w:sz w:val="20"/>
          <w:szCs w:val="20"/>
        </w:rPr>
        <w:t>Motte</w:t>
      </w:r>
      <w:r w:rsidR="0006237E" w:rsidRPr="00C70EB4">
        <w:rPr>
          <w:sz w:val="20"/>
          <w:szCs w:val="20"/>
        </w:rPr>
        <w:t xml:space="preserve">, G.-H. </w:t>
      </w:r>
      <w:proofErr w:type="spellStart"/>
      <w:r w:rsidR="0006237E" w:rsidRPr="00C70EB4">
        <w:rPr>
          <w:smallCaps/>
          <w:sz w:val="20"/>
          <w:szCs w:val="20"/>
        </w:rPr>
        <w:t>Soutou</w:t>
      </w:r>
      <w:proofErr w:type="spellEnd"/>
      <w:r w:rsidR="0006237E" w:rsidRPr="00C70EB4">
        <w:rPr>
          <w:sz w:val="20"/>
          <w:szCs w:val="20"/>
        </w:rPr>
        <w:t xml:space="preserve">, J. </w:t>
      </w:r>
      <w:r w:rsidR="0006237E" w:rsidRPr="00C70EB4">
        <w:rPr>
          <w:smallCaps/>
          <w:sz w:val="20"/>
          <w:szCs w:val="20"/>
        </w:rPr>
        <w:t>De</w:t>
      </w:r>
      <w:r w:rsidR="0006237E" w:rsidRPr="00C70EB4">
        <w:rPr>
          <w:sz w:val="20"/>
          <w:szCs w:val="20"/>
        </w:rPr>
        <w:t xml:space="preserve"> </w:t>
      </w:r>
      <w:proofErr w:type="spellStart"/>
      <w:r w:rsidR="0006237E" w:rsidRPr="00C70EB4">
        <w:rPr>
          <w:smallCaps/>
          <w:sz w:val="20"/>
          <w:szCs w:val="20"/>
        </w:rPr>
        <w:t>Lespinois</w:t>
      </w:r>
      <w:proofErr w:type="spellEnd"/>
      <w:r w:rsidR="0006237E" w:rsidRPr="00C70EB4">
        <w:rPr>
          <w:sz w:val="20"/>
          <w:szCs w:val="20"/>
        </w:rPr>
        <w:t xml:space="preserve">, O. </w:t>
      </w:r>
      <w:proofErr w:type="spellStart"/>
      <w:r w:rsidR="0006237E" w:rsidRPr="00C70EB4">
        <w:rPr>
          <w:smallCaps/>
          <w:sz w:val="20"/>
          <w:szCs w:val="20"/>
        </w:rPr>
        <w:t>Zajec</w:t>
      </w:r>
      <w:proofErr w:type="spellEnd"/>
      <w:r w:rsidR="0006237E" w:rsidRPr="00C70EB4">
        <w:rPr>
          <w:sz w:val="20"/>
          <w:szCs w:val="20"/>
        </w:rPr>
        <w:t xml:space="preserve"> (</w:t>
      </w:r>
      <w:proofErr w:type="spellStart"/>
      <w:r w:rsidR="0006237E" w:rsidRPr="00C70EB4">
        <w:rPr>
          <w:sz w:val="20"/>
          <w:szCs w:val="20"/>
        </w:rPr>
        <w:t>dir</w:t>
      </w:r>
      <w:proofErr w:type="spellEnd"/>
      <w:r w:rsidR="0006237E" w:rsidRPr="00C70EB4">
        <w:rPr>
          <w:sz w:val="20"/>
          <w:szCs w:val="20"/>
        </w:rPr>
        <w:t>.),</w:t>
      </w:r>
      <w:r w:rsidRPr="00C70EB4">
        <w:rPr>
          <w:sz w:val="20"/>
          <w:szCs w:val="20"/>
        </w:rPr>
        <w:t xml:space="preserve"> </w:t>
      </w:r>
      <w:r w:rsidRPr="00C70EB4">
        <w:rPr>
          <w:i/>
          <w:iCs/>
          <w:sz w:val="20"/>
          <w:szCs w:val="20"/>
        </w:rPr>
        <w:t>La mesure de la force</w:t>
      </w:r>
      <w:r w:rsidR="0006237E" w:rsidRPr="00C70EB4">
        <w:rPr>
          <w:i/>
          <w:iCs/>
          <w:sz w:val="20"/>
          <w:szCs w:val="20"/>
        </w:rPr>
        <w:t> </w:t>
      </w:r>
      <w:r w:rsidRPr="00C70EB4">
        <w:rPr>
          <w:i/>
          <w:iCs/>
          <w:sz w:val="20"/>
          <w:szCs w:val="20"/>
        </w:rPr>
        <w:t>: Traité de stratégie de l’Ecole de guerre</w:t>
      </w:r>
      <w:r w:rsidRPr="00C70EB4">
        <w:rPr>
          <w:sz w:val="20"/>
          <w:szCs w:val="20"/>
        </w:rPr>
        <w:t xml:space="preserve">, </w:t>
      </w:r>
      <w:r w:rsidR="0006237E" w:rsidRPr="00C70EB4">
        <w:rPr>
          <w:sz w:val="20"/>
          <w:szCs w:val="20"/>
        </w:rPr>
        <w:t>4</w:t>
      </w:r>
      <w:r w:rsidR="0006237E" w:rsidRPr="00C70EB4">
        <w:rPr>
          <w:sz w:val="20"/>
          <w:szCs w:val="20"/>
          <w:vertAlign w:val="superscript"/>
        </w:rPr>
        <w:t>ème</w:t>
      </w:r>
      <w:r w:rsidR="0006237E" w:rsidRPr="00C70EB4">
        <w:rPr>
          <w:sz w:val="20"/>
          <w:szCs w:val="20"/>
        </w:rPr>
        <w:t xml:space="preserve"> éd., Paris, Tallandier, 2023, pp. </w:t>
      </w:r>
      <w:r w:rsidR="003369F1" w:rsidRPr="00C70EB4">
        <w:rPr>
          <w:sz w:val="20"/>
          <w:szCs w:val="20"/>
        </w:rPr>
        <w:t>351 et s</w:t>
      </w:r>
      <w:r w:rsidR="0006237E" w:rsidRPr="003369F1">
        <w:rPr>
          <w:sz w:val="20"/>
          <w:szCs w:val="20"/>
        </w:rPr>
        <w:t xml:space="preserve">. </w:t>
      </w:r>
    </w:p>
  </w:footnote>
  <w:footnote w:id="66">
    <w:p w14:paraId="07B4F1ED" w14:textId="5E261936"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5B2078" w:rsidRPr="00C70EB4">
        <w:rPr>
          <w:sz w:val="20"/>
          <w:szCs w:val="20"/>
        </w:rPr>
        <w:t xml:space="preserve">C.E., 10 janvier 2024, n° 248.383, </w:t>
      </w:r>
      <w:proofErr w:type="spellStart"/>
      <w:r w:rsidR="005B2078" w:rsidRPr="00C70EB4">
        <w:rPr>
          <w:i/>
          <w:iCs/>
          <w:sz w:val="20"/>
          <w:szCs w:val="20"/>
        </w:rPr>
        <w:t>Heckler</w:t>
      </w:r>
      <w:proofErr w:type="spellEnd"/>
      <w:r w:rsidR="005B2078" w:rsidRPr="00C70EB4">
        <w:rPr>
          <w:i/>
          <w:iCs/>
          <w:sz w:val="20"/>
          <w:szCs w:val="20"/>
        </w:rPr>
        <w:t xml:space="preserve"> &amp; Koch</w:t>
      </w:r>
      <w:r w:rsidR="005B2078" w:rsidRPr="00C70EB4">
        <w:rPr>
          <w:sz w:val="20"/>
          <w:szCs w:val="20"/>
        </w:rPr>
        <w:t>,</w:t>
      </w:r>
      <w:r w:rsidR="005B2078" w:rsidRPr="003369F1">
        <w:rPr>
          <w:sz w:val="20"/>
          <w:szCs w:val="20"/>
        </w:rPr>
        <w:t xml:space="preserve"> </w:t>
      </w:r>
      <w:r w:rsidRPr="00C70EB4">
        <w:rPr>
          <w:sz w:val="20"/>
          <w:szCs w:val="20"/>
        </w:rPr>
        <w:t xml:space="preserve">pt 32. </w:t>
      </w:r>
    </w:p>
  </w:footnote>
  <w:footnote w:id="67">
    <w:p w14:paraId="43B1CAF1" w14:textId="3BDBA9BE"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xml:space="preserve">. </w:t>
      </w:r>
      <w:r w:rsidR="00D13ED5" w:rsidRPr="003369F1">
        <w:rPr>
          <w:sz w:val="20"/>
          <w:szCs w:val="20"/>
        </w:rPr>
        <w:t xml:space="preserve">N. B. </w:t>
      </w:r>
      <w:r w:rsidR="00D13ED5" w:rsidRPr="00C70EB4">
        <w:rPr>
          <w:smallCaps/>
          <w:sz w:val="20"/>
          <w:szCs w:val="20"/>
        </w:rPr>
        <w:t>Bernard</w:t>
      </w:r>
      <w:r w:rsidR="00D13ED5" w:rsidRPr="003369F1">
        <w:rPr>
          <w:sz w:val="20"/>
          <w:szCs w:val="20"/>
        </w:rPr>
        <w:t xml:space="preserve">, </w:t>
      </w:r>
      <w:r w:rsidR="00D13ED5" w:rsidRPr="003369F1">
        <w:rPr>
          <w:i/>
          <w:iCs/>
          <w:sz w:val="20"/>
          <w:szCs w:val="20"/>
        </w:rPr>
        <w:t>Défense nationale</w:t>
      </w:r>
      <w:r w:rsidR="00D13ED5" w:rsidRPr="003369F1">
        <w:rPr>
          <w:sz w:val="20"/>
          <w:szCs w:val="20"/>
        </w:rPr>
        <w:t xml:space="preserve">, </w:t>
      </w:r>
      <w:r w:rsidR="00D13ED5" w:rsidRPr="003369F1">
        <w:rPr>
          <w:i/>
          <w:iCs/>
          <w:sz w:val="20"/>
          <w:szCs w:val="20"/>
        </w:rPr>
        <w:t xml:space="preserve">op. </w:t>
      </w:r>
      <w:proofErr w:type="spellStart"/>
      <w:r w:rsidR="00D13ED5" w:rsidRPr="003369F1">
        <w:rPr>
          <w:i/>
          <w:iCs/>
          <w:sz w:val="20"/>
          <w:szCs w:val="20"/>
        </w:rPr>
        <w:t>cit</w:t>
      </w:r>
      <w:proofErr w:type="spellEnd"/>
      <w:r w:rsidR="00D13ED5" w:rsidRPr="003369F1">
        <w:rPr>
          <w:i/>
          <w:iCs/>
          <w:sz w:val="20"/>
          <w:szCs w:val="20"/>
        </w:rPr>
        <w:t>.</w:t>
      </w:r>
      <w:r w:rsidR="00D13ED5" w:rsidRPr="003369F1">
        <w:rPr>
          <w:sz w:val="20"/>
          <w:szCs w:val="20"/>
        </w:rPr>
        <w:t>,</w:t>
      </w:r>
      <w:r w:rsidR="00D13ED5" w:rsidRPr="00C70EB4">
        <w:rPr>
          <w:sz w:val="20"/>
          <w:szCs w:val="20"/>
        </w:rPr>
        <w:t xml:space="preserve"> </w:t>
      </w:r>
      <w:r w:rsidRPr="00C70EB4">
        <w:rPr>
          <w:sz w:val="20"/>
          <w:szCs w:val="20"/>
        </w:rPr>
        <w:t>pp. 266 et 267.</w:t>
      </w:r>
    </w:p>
  </w:footnote>
  <w:footnote w:id="68">
    <w:p w14:paraId="1E4E950B" w14:textId="401F9448" w:rsidR="007F6D4D" w:rsidRPr="003369F1" w:rsidRDefault="007F6D4D"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3369F1">
        <w:rPr>
          <w:sz w:val="20"/>
          <w:szCs w:val="20"/>
        </w:rPr>
        <w:t>CJUE</w:t>
      </w:r>
      <w:r w:rsidR="00D13ED5" w:rsidRPr="003369F1">
        <w:rPr>
          <w:sz w:val="20"/>
          <w:szCs w:val="20"/>
        </w:rPr>
        <w:t>,</w:t>
      </w:r>
      <w:r w:rsidRPr="003369F1">
        <w:rPr>
          <w:sz w:val="20"/>
          <w:szCs w:val="20"/>
        </w:rPr>
        <w:t xml:space="preserve"> 4 septembre 2014, </w:t>
      </w:r>
      <w:proofErr w:type="spellStart"/>
      <w:r w:rsidRPr="00C70EB4">
        <w:rPr>
          <w:i/>
          <w:iCs/>
          <w:sz w:val="20"/>
          <w:szCs w:val="20"/>
        </w:rPr>
        <w:t>Schiebel</w:t>
      </w:r>
      <w:proofErr w:type="spellEnd"/>
      <w:r w:rsidRPr="00C70EB4">
        <w:rPr>
          <w:i/>
          <w:iCs/>
          <w:sz w:val="20"/>
          <w:szCs w:val="20"/>
        </w:rPr>
        <w:t xml:space="preserve"> Aircraft</w:t>
      </w:r>
      <w:r w:rsidRPr="003369F1">
        <w:rPr>
          <w:sz w:val="20"/>
          <w:szCs w:val="20"/>
        </w:rPr>
        <w:t xml:space="preserve">, C- 474/12, </w:t>
      </w:r>
      <w:r w:rsidR="00D13ED5" w:rsidRPr="003369F1">
        <w:rPr>
          <w:sz w:val="20"/>
          <w:szCs w:val="20"/>
        </w:rPr>
        <w:t xml:space="preserve">pt </w:t>
      </w:r>
      <w:r w:rsidRPr="003369F1">
        <w:rPr>
          <w:sz w:val="20"/>
          <w:szCs w:val="20"/>
        </w:rPr>
        <w:t xml:space="preserve">37, en référence aux arrêts du 15 mai 1986, </w:t>
      </w:r>
      <w:r w:rsidRPr="00C70EB4">
        <w:rPr>
          <w:i/>
          <w:iCs/>
          <w:sz w:val="20"/>
          <w:szCs w:val="20"/>
        </w:rPr>
        <w:t>Johnston c</w:t>
      </w:r>
      <w:r w:rsidR="00D13ED5" w:rsidRPr="003369F1">
        <w:rPr>
          <w:i/>
          <w:iCs/>
          <w:sz w:val="20"/>
          <w:szCs w:val="20"/>
        </w:rPr>
        <w:t xml:space="preserve">. </w:t>
      </w:r>
      <w:r w:rsidRPr="00C70EB4">
        <w:rPr>
          <w:i/>
          <w:iCs/>
          <w:sz w:val="20"/>
          <w:szCs w:val="20"/>
        </w:rPr>
        <w:t xml:space="preserve">Chief Constable of the Royal Ulster </w:t>
      </w:r>
      <w:proofErr w:type="spellStart"/>
      <w:r w:rsidRPr="00C70EB4">
        <w:rPr>
          <w:i/>
          <w:iCs/>
          <w:sz w:val="20"/>
          <w:szCs w:val="20"/>
        </w:rPr>
        <w:t>Constabulary</w:t>
      </w:r>
      <w:proofErr w:type="spellEnd"/>
      <w:r w:rsidRPr="003369F1">
        <w:rPr>
          <w:sz w:val="20"/>
          <w:szCs w:val="20"/>
        </w:rPr>
        <w:t xml:space="preserve">, C-222/84, </w:t>
      </w:r>
      <w:r w:rsidR="00D13ED5" w:rsidRPr="003369F1">
        <w:rPr>
          <w:sz w:val="20"/>
          <w:szCs w:val="20"/>
        </w:rPr>
        <w:t xml:space="preserve">pt </w:t>
      </w:r>
      <w:r w:rsidRPr="003369F1">
        <w:rPr>
          <w:sz w:val="20"/>
          <w:szCs w:val="20"/>
        </w:rPr>
        <w:t xml:space="preserve">38, et du 13 juillet 2000, </w:t>
      </w:r>
      <w:proofErr w:type="spellStart"/>
      <w:r w:rsidRPr="00C70EB4">
        <w:rPr>
          <w:i/>
          <w:iCs/>
          <w:sz w:val="20"/>
          <w:szCs w:val="20"/>
        </w:rPr>
        <w:t>Albore</w:t>
      </w:r>
      <w:proofErr w:type="spellEnd"/>
      <w:r w:rsidRPr="003369F1">
        <w:rPr>
          <w:sz w:val="20"/>
          <w:szCs w:val="20"/>
        </w:rPr>
        <w:t xml:space="preserve">, C-423/98, </w:t>
      </w:r>
      <w:r w:rsidR="00D13ED5" w:rsidRPr="003369F1">
        <w:rPr>
          <w:sz w:val="20"/>
          <w:szCs w:val="20"/>
        </w:rPr>
        <w:t xml:space="preserve">pt </w:t>
      </w:r>
      <w:r w:rsidRPr="003369F1">
        <w:rPr>
          <w:sz w:val="20"/>
          <w:szCs w:val="20"/>
        </w:rPr>
        <w:t>19.</w:t>
      </w:r>
    </w:p>
  </w:footnote>
  <w:footnote w:id="69">
    <w:p w14:paraId="19391AE1" w14:textId="426C3C88" w:rsidR="005F7A3B" w:rsidRPr="003369F1" w:rsidRDefault="005F7A3B" w:rsidP="00C70EB4">
      <w:pPr>
        <w:autoSpaceDE w:val="0"/>
        <w:autoSpaceDN w:val="0"/>
        <w:adjustRightInd w:val="0"/>
        <w:spacing w:after="0" w:line="240" w:lineRule="auto"/>
        <w:jc w:val="both"/>
        <w:rPr>
          <w:rFonts w:ascii="Times New Roman" w:hAnsi="Times New Roman" w:cs="Times New Roman"/>
          <w:kern w:val="0"/>
          <w:sz w:val="20"/>
          <w:szCs w:val="20"/>
        </w:rPr>
      </w:pPr>
      <w:r w:rsidRPr="00C70EB4">
        <w:rPr>
          <w:rStyle w:val="Appelnotedebasdep"/>
          <w:sz w:val="20"/>
          <w:szCs w:val="20"/>
        </w:rPr>
        <w:footnoteRef/>
      </w:r>
      <w:r w:rsidRPr="00C70EB4">
        <w:rPr>
          <w:sz w:val="20"/>
          <w:szCs w:val="20"/>
        </w:rPr>
        <w:t xml:space="preserve"> </w:t>
      </w:r>
      <w:r w:rsidR="007F6D4D" w:rsidRPr="003369F1">
        <w:rPr>
          <w:rFonts w:ascii="Times New Roman" w:hAnsi="Times New Roman" w:cs="Times New Roman"/>
          <w:kern w:val="0"/>
          <w:sz w:val="20"/>
          <w:szCs w:val="20"/>
        </w:rPr>
        <w:t>CJ</w:t>
      </w:r>
      <w:r w:rsidR="00D13ED5" w:rsidRPr="003369F1">
        <w:rPr>
          <w:rFonts w:ascii="Times New Roman" w:hAnsi="Times New Roman" w:cs="Times New Roman"/>
          <w:kern w:val="0"/>
          <w:sz w:val="20"/>
          <w:szCs w:val="20"/>
        </w:rPr>
        <w:t>U</w:t>
      </w:r>
      <w:r w:rsidR="007F6D4D" w:rsidRPr="003369F1">
        <w:rPr>
          <w:rFonts w:ascii="Times New Roman" w:hAnsi="Times New Roman" w:cs="Times New Roman"/>
          <w:kern w:val="0"/>
          <w:sz w:val="20"/>
          <w:szCs w:val="20"/>
        </w:rPr>
        <w:t xml:space="preserve">E 7 septembre 2023, </w:t>
      </w:r>
      <w:r w:rsidR="007F6D4D" w:rsidRPr="00C70EB4">
        <w:rPr>
          <w:rFonts w:ascii="Times New Roman" w:hAnsi="Times New Roman" w:cs="Times New Roman"/>
          <w:i/>
          <w:iCs/>
          <w:kern w:val="0"/>
          <w:sz w:val="20"/>
          <w:szCs w:val="20"/>
        </w:rPr>
        <w:t>Commission/Pologne</w:t>
      </w:r>
      <w:r w:rsidR="007F6D4D" w:rsidRPr="003369F1">
        <w:rPr>
          <w:rFonts w:ascii="Times New Roman" w:hAnsi="Times New Roman" w:cs="Times New Roman"/>
          <w:kern w:val="0"/>
          <w:sz w:val="20"/>
          <w:szCs w:val="20"/>
        </w:rPr>
        <w:t xml:space="preserve">, C-601/21, </w:t>
      </w:r>
      <w:r w:rsidR="00D13ED5" w:rsidRPr="003369F1">
        <w:rPr>
          <w:rFonts w:ascii="Times New Roman" w:hAnsi="Times New Roman" w:cs="Times New Roman"/>
          <w:kern w:val="0"/>
          <w:sz w:val="20"/>
          <w:szCs w:val="20"/>
        </w:rPr>
        <w:t xml:space="preserve">pt </w:t>
      </w:r>
      <w:r w:rsidR="007F6D4D" w:rsidRPr="003369F1">
        <w:rPr>
          <w:rFonts w:ascii="Times New Roman" w:hAnsi="Times New Roman" w:cs="Times New Roman"/>
          <w:kern w:val="0"/>
          <w:sz w:val="20"/>
          <w:szCs w:val="20"/>
        </w:rPr>
        <w:t>82 et référence par analogie à la CJ</w:t>
      </w:r>
      <w:r w:rsidR="00D13ED5" w:rsidRPr="003369F1">
        <w:rPr>
          <w:rFonts w:ascii="Times New Roman" w:hAnsi="Times New Roman" w:cs="Times New Roman"/>
          <w:kern w:val="0"/>
          <w:sz w:val="20"/>
          <w:szCs w:val="20"/>
        </w:rPr>
        <w:t>U</w:t>
      </w:r>
      <w:r w:rsidR="007F6D4D" w:rsidRPr="003369F1">
        <w:rPr>
          <w:rFonts w:ascii="Times New Roman" w:hAnsi="Times New Roman" w:cs="Times New Roman"/>
          <w:kern w:val="0"/>
          <w:sz w:val="20"/>
          <w:szCs w:val="20"/>
        </w:rPr>
        <w:t xml:space="preserve">E 20 mars 2018, </w:t>
      </w:r>
      <w:r w:rsidR="007F6D4D" w:rsidRPr="00C70EB4">
        <w:rPr>
          <w:rFonts w:ascii="Times New Roman" w:hAnsi="Times New Roman" w:cs="Times New Roman"/>
          <w:i/>
          <w:iCs/>
          <w:kern w:val="0"/>
          <w:sz w:val="20"/>
          <w:szCs w:val="20"/>
        </w:rPr>
        <w:t>Commission</w:t>
      </w:r>
      <w:r w:rsidR="00D13ED5" w:rsidRPr="003369F1">
        <w:rPr>
          <w:rFonts w:ascii="Times New Roman" w:hAnsi="Times New Roman" w:cs="Times New Roman"/>
          <w:i/>
          <w:iCs/>
          <w:kern w:val="0"/>
          <w:sz w:val="20"/>
          <w:szCs w:val="20"/>
        </w:rPr>
        <w:t xml:space="preserve"> c. </w:t>
      </w:r>
      <w:r w:rsidR="007F6D4D" w:rsidRPr="00C70EB4">
        <w:rPr>
          <w:rFonts w:ascii="Times New Roman" w:hAnsi="Times New Roman" w:cs="Times New Roman"/>
          <w:i/>
          <w:iCs/>
          <w:kern w:val="0"/>
          <w:sz w:val="20"/>
          <w:szCs w:val="20"/>
        </w:rPr>
        <w:t>Autriche</w:t>
      </w:r>
      <w:r w:rsidR="007F6D4D" w:rsidRPr="003369F1">
        <w:rPr>
          <w:rFonts w:ascii="Times New Roman" w:hAnsi="Times New Roman" w:cs="Times New Roman"/>
          <w:kern w:val="0"/>
          <w:sz w:val="20"/>
          <w:szCs w:val="20"/>
        </w:rPr>
        <w:t xml:space="preserve"> </w:t>
      </w:r>
      <w:r w:rsidR="007F6D4D" w:rsidRPr="00C70EB4">
        <w:rPr>
          <w:rFonts w:ascii="Times New Roman" w:hAnsi="Times New Roman" w:cs="Times New Roman"/>
          <w:i/>
          <w:iCs/>
          <w:kern w:val="0"/>
          <w:sz w:val="20"/>
          <w:szCs w:val="20"/>
        </w:rPr>
        <w:t>(Imprimeries d'État)</w:t>
      </w:r>
      <w:r w:rsidR="007F6D4D" w:rsidRPr="003369F1">
        <w:rPr>
          <w:rFonts w:ascii="Times New Roman" w:hAnsi="Times New Roman" w:cs="Times New Roman"/>
          <w:kern w:val="0"/>
          <w:sz w:val="20"/>
          <w:szCs w:val="20"/>
        </w:rPr>
        <w:t xml:space="preserve">, C-187/16, </w:t>
      </w:r>
      <w:r w:rsidR="00D13ED5" w:rsidRPr="003369F1">
        <w:rPr>
          <w:rFonts w:ascii="Times New Roman" w:hAnsi="Times New Roman" w:cs="Times New Roman"/>
          <w:kern w:val="0"/>
          <w:sz w:val="20"/>
          <w:szCs w:val="20"/>
        </w:rPr>
        <w:t xml:space="preserve">pts </w:t>
      </w:r>
      <w:r w:rsidR="007F6D4D" w:rsidRPr="003369F1">
        <w:rPr>
          <w:rFonts w:ascii="Times New Roman" w:hAnsi="Times New Roman" w:cs="Times New Roman"/>
          <w:kern w:val="0"/>
          <w:sz w:val="20"/>
          <w:szCs w:val="20"/>
        </w:rPr>
        <w:t>78 et7</w:t>
      </w:r>
      <w:r w:rsidR="00D13ED5" w:rsidRPr="003369F1">
        <w:rPr>
          <w:rFonts w:ascii="Times New Roman" w:hAnsi="Times New Roman" w:cs="Times New Roman"/>
          <w:kern w:val="0"/>
          <w:sz w:val="20"/>
          <w:szCs w:val="20"/>
        </w:rPr>
        <w:t xml:space="preserve"> </w:t>
      </w:r>
      <w:r w:rsidR="007F6D4D" w:rsidRPr="003369F1">
        <w:rPr>
          <w:rFonts w:ascii="Times New Roman" w:hAnsi="Times New Roman" w:cs="Times New Roman"/>
          <w:kern w:val="0"/>
          <w:sz w:val="20"/>
          <w:szCs w:val="20"/>
        </w:rPr>
        <w:t>9 ;</w:t>
      </w:r>
      <w:r w:rsidR="00D13ED5" w:rsidRPr="003369F1">
        <w:rPr>
          <w:rFonts w:ascii="Times New Roman" w:hAnsi="Times New Roman" w:cs="Times New Roman"/>
          <w:kern w:val="0"/>
          <w:sz w:val="20"/>
          <w:szCs w:val="20"/>
        </w:rPr>
        <w:t xml:space="preserve"> </w:t>
      </w:r>
      <w:r w:rsidR="00D13ED5" w:rsidRPr="003369F1">
        <w:rPr>
          <w:rFonts w:ascii="Times New Roman" w:hAnsi="Times New Roman" w:cs="Times New Roman"/>
          <w:sz w:val="20"/>
          <w:szCs w:val="20"/>
        </w:rPr>
        <w:t>CJUE</w:t>
      </w:r>
      <w:r w:rsidRPr="003369F1">
        <w:rPr>
          <w:rFonts w:ascii="Times New Roman" w:hAnsi="Times New Roman" w:cs="Times New Roman"/>
          <w:sz w:val="20"/>
          <w:szCs w:val="20"/>
        </w:rPr>
        <w:t xml:space="preserve">, 7 juin 2012, </w:t>
      </w:r>
      <w:proofErr w:type="spellStart"/>
      <w:r w:rsidR="00D13ED5" w:rsidRPr="00C70EB4">
        <w:rPr>
          <w:rFonts w:ascii="Times New Roman" w:hAnsi="Times New Roman" w:cs="Times New Roman"/>
          <w:i/>
          <w:iCs/>
          <w:sz w:val="20"/>
          <w:szCs w:val="20"/>
        </w:rPr>
        <w:t>InsTiimi</w:t>
      </w:r>
      <w:proofErr w:type="spellEnd"/>
      <w:r w:rsidR="00D13ED5" w:rsidRPr="003369F1">
        <w:rPr>
          <w:rFonts w:ascii="Times New Roman" w:hAnsi="Times New Roman" w:cs="Times New Roman"/>
          <w:sz w:val="20"/>
          <w:szCs w:val="20"/>
        </w:rPr>
        <w:t xml:space="preserve">, </w:t>
      </w:r>
      <w:r w:rsidRPr="003369F1">
        <w:rPr>
          <w:rFonts w:ascii="Times New Roman" w:hAnsi="Times New Roman" w:cs="Times New Roman"/>
          <w:sz w:val="20"/>
          <w:szCs w:val="20"/>
        </w:rPr>
        <w:t xml:space="preserve">C-615/10, </w:t>
      </w:r>
      <w:proofErr w:type="spellStart"/>
      <w:r w:rsidR="00D13ED5" w:rsidRPr="003369F1">
        <w:rPr>
          <w:rFonts w:ascii="Times New Roman" w:hAnsi="Times New Roman" w:cs="Times New Roman"/>
          <w:sz w:val="20"/>
          <w:szCs w:val="20"/>
        </w:rPr>
        <w:t>pr</w:t>
      </w:r>
      <w:proofErr w:type="spellEnd"/>
      <w:r w:rsidRPr="003369F1">
        <w:rPr>
          <w:rFonts w:ascii="Times New Roman" w:hAnsi="Times New Roman" w:cs="Times New Roman"/>
          <w:sz w:val="20"/>
          <w:szCs w:val="20"/>
        </w:rPr>
        <w:t xml:space="preserve"> 45 ; </w:t>
      </w:r>
      <w:r w:rsidR="009A2346" w:rsidRPr="003369F1">
        <w:rPr>
          <w:rFonts w:ascii="Times New Roman" w:hAnsi="Times New Roman" w:cs="Times New Roman"/>
          <w:sz w:val="20"/>
          <w:szCs w:val="20"/>
        </w:rPr>
        <w:t>CJCE, 8 avril 2008,</w:t>
      </w:r>
      <w:r w:rsidRPr="003369F1">
        <w:rPr>
          <w:rFonts w:ascii="Times New Roman" w:hAnsi="Times New Roman" w:cs="Times New Roman"/>
          <w:sz w:val="20"/>
          <w:szCs w:val="20"/>
        </w:rPr>
        <w:t xml:space="preserve"> </w:t>
      </w:r>
      <w:r w:rsidR="009A2346" w:rsidRPr="00C70EB4">
        <w:rPr>
          <w:rFonts w:ascii="Times New Roman" w:hAnsi="Times New Roman" w:cs="Times New Roman"/>
          <w:i/>
          <w:iCs/>
          <w:sz w:val="20"/>
          <w:szCs w:val="20"/>
        </w:rPr>
        <w:t>C</w:t>
      </w:r>
      <w:r w:rsidRPr="00C70EB4">
        <w:rPr>
          <w:rFonts w:ascii="Times New Roman" w:hAnsi="Times New Roman" w:cs="Times New Roman"/>
          <w:i/>
          <w:iCs/>
          <w:sz w:val="20"/>
          <w:szCs w:val="20"/>
        </w:rPr>
        <w:t>ommission c. Italie</w:t>
      </w:r>
      <w:r w:rsidRPr="003369F1">
        <w:rPr>
          <w:rFonts w:ascii="Times New Roman" w:hAnsi="Times New Roman" w:cs="Times New Roman"/>
          <w:sz w:val="20"/>
          <w:szCs w:val="20"/>
        </w:rPr>
        <w:t xml:space="preserve">, </w:t>
      </w:r>
      <w:r w:rsidRPr="003369F1">
        <w:rPr>
          <w:rFonts w:ascii="Times New Roman" w:hAnsi="Times New Roman" w:cs="Times New Roman"/>
          <w:color w:val="000000"/>
          <w:sz w:val="20"/>
          <w:szCs w:val="20"/>
        </w:rPr>
        <w:t>C</w:t>
      </w:r>
      <w:r w:rsidRPr="003369F1">
        <w:rPr>
          <w:rFonts w:ascii="Times New Roman" w:hAnsi="Times New Roman" w:cs="Times New Roman"/>
          <w:color w:val="000000"/>
          <w:sz w:val="20"/>
          <w:szCs w:val="20"/>
        </w:rPr>
        <w:noBreakHyphen/>
        <w:t xml:space="preserve">337/05, </w:t>
      </w:r>
      <w:r w:rsidR="009A2346" w:rsidRPr="003369F1">
        <w:rPr>
          <w:rFonts w:ascii="Times New Roman" w:hAnsi="Times New Roman" w:cs="Times New Roman"/>
          <w:color w:val="000000"/>
          <w:sz w:val="20"/>
          <w:szCs w:val="20"/>
        </w:rPr>
        <w:t xml:space="preserve">pts </w:t>
      </w:r>
      <w:r w:rsidRPr="003369F1">
        <w:rPr>
          <w:rFonts w:ascii="Times New Roman" w:hAnsi="Times New Roman" w:cs="Times New Roman"/>
          <w:color w:val="000000"/>
          <w:sz w:val="20"/>
          <w:szCs w:val="20"/>
        </w:rPr>
        <w:t>48 et 49.</w:t>
      </w:r>
    </w:p>
  </w:footnote>
  <w:footnote w:id="70">
    <w:p w14:paraId="39DC78DB" w14:textId="098B5EA6" w:rsidR="00BC7AE8" w:rsidRPr="00C70EB4" w:rsidRDefault="00BC7AE8" w:rsidP="00C70EB4">
      <w:pPr>
        <w:pStyle w:val="Notedebasdepage"/>
        <w:jc w:val="both"/>
        <w:rPr>
          <w:sz w:val="20"/>
          <w:szCs w:val="20"/>
          <w:lang w:val="nl-BE"/>
        </w:rPr>
      </w:pPr>
      <w:r w:rsidRPr="00C70EB4">
        <w:rPr>
          <w:rStyle w:val="Appelnotedebasdep"/>
          <w:sz w:val="20"/>
          <w:szCs w:val="20"/>
        </w:rPr>
        <w:footnoteRef/>
      </w:r>
      <w:r w:rsidRPr="00C70EB4">
        <w:rPr>
          <w:sz w:val="20"/>
          <w:szCs w:val="20"/>
          <w:lang w:val="nl-BE"/>
        </w:rPr>
        <w:t xml:space="preserve"> </w:t>
      </w:r>
      <w:r w:rsidRPr="00C70EB4">
        <w:rPr>
          <w:sz w:val="20"/>
          <w:szCs w:val="20"/>
          <w:lang w:val="nl-BE"/>
        </w:rPr>
        <w:t xml:space="preserve">D. </w:t>
      </w:r>
      <w:r w:rsidRPr="00C70EB4">
        <w:rPr>
          <w:smallCaps/>
          <w:sz w:val="20"/>
          <w:szCs w:val="20"/>
          <w:lang w:val="nl-BE"/>
        </w:rPr>
        <w:t>Batselé</w:t>
      </w:r>
      <w:r w:rsidRPr="00C70EB4">
        <w:rPr>
          <w:sz w:val="20"/>
          <w:szCs w:val="20"/>
          <w:lang w:val="nl-BE"/>
        </w:rPr>
        <w:t xml:space="preserve"> </w:t>
      </w:r>
      <w:r w:rsidRPr="00C70EB4">
        <w:rPr>
          <w:i/>
          <w:iCs/>
          <w:sz w:val="20"/>
          <w:szCs w:val="20"/>
          <w:lang w:val="nl-BE"/>
        </w:rPr>
        <w:t>et al.</w:t>
      </w:r>
      <w:r w:rsidRPr="00C70EB4">
        <w:rPr>
          <w:sz w:val="20"/>
          <w:szCs w:val="20"/>
          <w:lang w:val="nl-BE"/>
        </w:rPr>
        <w:t xml:space="preserve">, </w:t>
      </w:r>
      <w:r w:rsidR="00083BE7" w:rsidRPr="00C70EB4">
        <w:rPr>
          <w:i/>
          <w:iCs/>
          <w:sz w:val="20"/>
          <w:szCs w:val="20"/>
          <w:lang w:val="nl-BE"/>
        </w:rPr>
        <w:t>op. cit.</w:t>
      </w:r>
      <w:r w:rsidR="00083BE7" w:rsidRPr="00C70EB4">
        <w:rPr>
          <w:sz w:val="20"/>
          <w:szCs w:val="20"/>
          <w:lang w:val="nl-BE"/>
        </w:rPr>
        <w:t xml:space="preserve">, </w:t>
      </w:r>
      <w:r w:rsidRPr="00C70EB4">
        <w:rPr>
          <w:sz w:val="20"/>
          <w:szCs w:val="20"/>
          <w:lang w:val="nl-BE"/>
        </w:rPr>
        <w:t>p. 208.</w:t>
      </w:r>
    </w:p>
  </w:footnote>
  <w:footnote w:id="71">
    <w:p w14:paraId="7BE9CA33" w14:textId="75CFC9F0" w:rsidR="00742D31" w:rsidRPr="00C70EB4" w:rsidRDefault="00742D31">
      <w:pPr>
        <w:pStyle w:val="Notedebasdepage"/>
        <w:rPr>
          <w:sz w:val="20"/>
          <w:szCs w:val="20"/>
          <w:lang w:val="de-DE"/>
        </w:rPr>
      </w:pPr>
      <w:r w:rsidRPr="00C70EB4">
        <w:rPr>
          <w:rStyle w:val="Appelnotedebasdep"/>
          <w:sz w:val="20"/>
          <w:szCs w:val="20"/>
        </w:rPr>
        <w:footnoteRef/>
      </w:r>
      <w:r w:rsidRPr="00C70EB4">
        <w:rPr>
          <w:sz w:val="20"/>
          <w:szCs w:val="20"/>
          <w:lang w:val="de-DE"/>
        </w:rPr>
        <w:t xml:space="preserve"> C.E., 10 </w:t>
      </w:r>
      <w:proofErr w:type="spellStart"/>
      <w:r w:rsidRPr="00C70EB4">
        <w:rPr>
          <w:sz w:val="20"/>
          <w:szCs w:val="20"/>
          <w:lang w:val="de-DE"/>
        </w:rPr>
        <w:t>janvier</w:t>
      </w:r>
      <w:proofErr w:type="spellEnd"/>
      <w:r w:rsidRPr="00C70EB4">
        <w:rPr>
          <w:sz w:val="20"/>
          <w:szCs w:val="20"/>
          <w:lang w:val="de-DE"/>
        </w:rPr>
        <w:t xml:space="preserve"> 2024, n° 248.383, </w:t>
      </w:r>
      <w:proofErr w:type="spellStart"/>
      <w:r w:rsidRPr="00C70EB4">
        <w:rPr>
          <w:i/>
          <w:iCs/>
          <w:sz w:val="20"/>
          <w:szCs w:val="20"/>
          <w:lang w:val="de-DE"/>
        </w:rPr>
        <w:t>Heckler</w:t>
      </w:r>
      <w:proofErr w:type="spellEnd"/>
      <w:r w:rsidRPr="00C70EB4">
        <w:rPr>
          <w:i/>
          <w:iCs/>
          <w:sz w:val="20"/>
          <w:szCs w:val="20"/>
          <w:lang w:val="de-DE"/>
        </w:rPr>
        <w:t xml:space="preserve"> &amp; Koch</w:t>
      </w:r>
      <w:r w:rsidRPr="00C70EB4">
        <w:rPr>
          <w:sz w:val="20"/>
          <w:szCs w:val="20"/>
          <w:lang w:val="de-DE"/>
        </w:rPr>
        <w:t xml:space="preserve">, </w:t>
      </w:r>
      <w:proofErr w:type="spellStart"/>
      <w:r w:rsidRPr="00C70EB4">
        <w:rPr>
          <w:sz w:val="20"/>
          <w:szCs w:val="20"/>
          <w:lang w:val="de-DE"/>
        </w:rPr>
        <w:t>pt</w:t>
      </w:r>
      <w:proofErr w:type="spellEnd"/>
      <w:r w:rsidRPr="00C70EB4">
        <w:rPr>
          <w:sz w:val="20"/>
          <w:szCs w:val="20"/>
          <w:lang w:val="de-DE"/>
        </w:rPr>
        <w:t xml:space="preserve"> </w:t>
      </w:r>
      <w:r w:rsidRPr="003369F1">
        <w:rPr>
          <w:sz w:val="20"/>
          <w:szCs w:val="20"/>
          <w:lang w:val="de-DE"/>
        </w:rPr>
        <w:t>30.</w:t>
      </w:r>
    </w:p>
  </w:footnote>
  <w:footnote w:id="72">
    <w:p w14:paraId="3C234209" w14:textId="6742E5DD" w:rsidR="00742D31" w:rsidRPr="00C70EB4" w:rsidRDefault="00742D31">
      <w:pPr>
        <w:pStyle w:val="Notedebasdepage"/>
        <w:rPr>
          <w:sz w:val="20"/>
          <w:szCs w:val="20"/>
          <w:lang w:val="de-DE"/>
        </w:rPr>
      </w:pPr>
      <w:r w:rsidRPr="00C70EB4">
        <w:rPr>
          <w:rStyle w:val="Appelnotedebasdep"/>
          <w:sz w:val="20"/>
          <w:szCs w:val="20"/>
        </w:rPr>
        <w:footnoteRef/>
      </w:r>
      <w:r w:rsidRPr="00C70EB4">
        <w:rPr>
          <w:sz w:val="20"/>
          <w:szCs w:val="20"/>
          <w:lang w:val="de-DE"/>
        </w:rPr>
        <w:t xml:space="preserve"> C.E., 10 </w:t>
      </w:r>
      <w:proofErr w:type="spellStart"/>
      <w:r w:rsidRPr="00C70EB4">
        <w:rPr>
          <w:sz w:val="20"/>
          <w:szCs w:val="20"/>
          <w:lang w:val="de-DE"/>
        </w:rPr>
        <w:t>janvier</w:t>
      </w:r>
      <w:proofErr w:type="spellEnd"/>
      <w:r w:rsidRPr="00C70EB4">
        <w:rPr>
          <w:sz w:val="20"/>
          <w:szCs w:val="20"/>
          <w:lang w:val="de-DE"/>
        </w:rPr>
        <w:t xml:space="preserve"> 2024, n° 248.383, </w:t>
      </w:r>
      <w:proofErr w:type="spellStart"/>
      <w:r w:rsidRPr="00C70EB4">
        <w:rPr>
          <w:i/>
          <w:iCs/>
          <w:sz w:val="20"/>
          <w:szCs w:val="20"/>
          <w:lang w:val="de-DE"/>
        </w:rPr>
        <w:t>Heckler</w:t>
      </w:r>
      <w:proofErr w:type="spellEnd"/>
      <w:r w:rsidRPr="00C70EB4">
        <w:rPr>
          <w:i/>
          <w:iCs/>
          <w:sz w:val="20"/>
          <w:szCs w:val="20"/>
          <w:lang w:val="de-DE"/>
        </w:rPr>
        <w:t xml:space="preserve"> &amp; Koch</w:t>
      </w:r>
      <w:r w:rsidRPr="00C70EB4">
        <w:rPr>
          <w:sz w:val="20"/>
          <w:szCs w:val="20"/>
          <w:lang w:val="de-DE"/>
        </w:rPr>
        <w:t xml:space="preserve">, </w:t>
      </w:r>
      <w:proofErr w:type="spellStart"/>
      <w:r w:rsidRPr="00C70EB4">
        <w:rPr>
          <w:sz w:val="20"/>
          <w:szCs w:val="20"/>
          <w:lang w:val="de-DE"/>
        </w:rPr>
        <w:t>pt</w:t>
      </w:r>
      <w:proofErr w:type="spellEnd"/>
      <w:r w:rsidRPr="00C70EB4">
        <w:rPr>
          <w:sz w:val="20"/>
          <w:szCs w:val="20"/>
          <w:lang w:val="de-DE"/>
        </w:rPr>
        <w:t xml:space="preserve"> 3</w:t>
      </w:r>
      <w:r w:rsidRPr="003369F1">
        <w:rPr>
          <w:sz w:val="20"/>
          <w:szCs w:val="20"/>
          <w:lang w:val="de-DE"/>
        </w:rPr>
        <w:t>9.</w:t>
      </w:r>
    </w:p>
  </w:footnote>
  <w:footnote w:id="73">
    <w:p w14:paraId="2994587A" w14:textId="0E2152C7" w:rsidR="00742D31" w:rsidRPr="00C70EB4" w:rsidRDefault="00742D31">
      <w:pPr>
        <w:pStyle w:val="Notedebasdepage"/>
        <w:rPr>
          <w:sz w:val="20"/>
          <w:szCs w:val="20"/>
          <w:lang w:val="de-DE"/>
        </w:rPr>
      </w:pPr>
      <w:r w:rsidRPr="00C70EB4">
        <w:rPr>
          <w:rStyle w:val="Appelnotedebasdep"/>
          <w:sz w:val="20"/>
          <w:szCs w:val="20"/>
        </w:rPr>
        <w:footnoteRef/>
      </w:r>
      <w:r w:rsidRPr="00C70EB4">
        <w:rPr>
          <w:sz w:val="20"/>
          <w:szCs w:val="20"/>
          <w:lang w:val="de-DE"/>
        </w:rPr>
        <w:t xml:space="preserve"> C.E., 10 </w:t>
      </w:r>
      <w:proofErr w:type="spellStart"/>
      <w:r w:rsidRPr="00C70EB4">
        <w:rPr>
          <w:sz w:val="20"/>
          <w:szCs w:val="20"/>
          <w:lang w:val="de-DE"/>
        </w:rPr>
        <w:t>janvier</w:t>
      </w:r>
      <w:proofErr w:type="spellEnd"/>
      <w:r w:rsidRPr="00C70EB4">
        <w:rPr>
          <w:sz w:val="20"/>
          <w:szCs w:val="20"/>
          <w:lang w:val="de-DE"/>
        </w:rPr>
        <w:t xml:space="preserve"> 2024, n° 248.383, </w:t>
      </w:r>
      <w:proofErr w:type="spellStart"/>
      <w:r w:rsidRPr="00C70EB4">
        <w:rPr>
          <w:i/>
          <w:iCs/>
          <w:sz w:val="20"/>
          <w:szCs w:val="20"/>
          <w:lang w:val="de-DE"/>
        </w:rPr>
        <w:t>Heckler</w:t>
      </w:r>
      <w:proofErr w:type="spellEnd"/>
      <w:r w:rsidRPr="00C70EB4">
        <w:rPr>
          <w:i/>
          <w:iCs/>
          <w:sz w:val="20"/>
          <w:szCs w:val="20"/>
          <w:lang w:val="de-DE"/>
        </w:rPr>
        <w:t xml:space="preserve"> &amp; Koch</w:t>
      </w:r>
      <w:r w:rsidRPr="00C70EB4">
        <w:rPr>
          <w:sz w:val="20"/>
          <w:szCs w:val="20"/>
          <w:lang w:val="de-DE"/>
        </w:rPr>
        <w:t xml:space="preserve">, </w:t>
      </w:r>
      <w:proofErr w:type="spellStart"/>
      <w:r w:rsidRPr="00C70EB4">
        <w:rPr>
          <w:sz w:val="20"/>
          <w:szCs w:val="20"/>
          <w:lang w:val="de-DE"/>
        </w:rPr>
        <w:t>pt</w:t>
      </w:r>
      <w:proofErr w:type="spellEnd"/>
      <w:r w:rsidRPr="00C70EB4">
        <w:rPr>
          <w:sz w:val="20"/>
          <w:szCs w:val="20"/>
          <w:lang w:val="de-DE"/>
        </w:rPr>
        <w:t xml:space="preserve"> 32</w:t>
      </w:r>
      <w:r w:rsidRPr="003369F1">
        <w:rPr>
          <w:sz w:val="20"/>
          <w:szCs w:val="20"/>
          <w:lang w:val="de-DE"/>
        </w:rPr>
        <w:t>.</w:t>
      </w:r>
    </w:p>
  </w:footnote>
  <w:footnote w:id="74">
    <w:p w14:paraId="16C36216" w14:textId="42BAAE77" w:rsidR="00C27D91" w:rsidRPr="00C70EB4" w:rsidRDefault="00C27D91" w:rsidP="00C70EB4">
      <w:pPr>
        <w:pStyle w:val="Notedebasdepage"/>
        <w:jc w:val="both"/>
        <w:rPr>
          <w:sz w:val="20"/>
          <w:szCs w:val="20"/>
          <w:lang w:val="de-DE"/>
        </w:rPr>
      </w:pPr>
      <w:r w:rsidRPr="00C70EB4">
        <w:rPr>
          <w:rStyle w:val="Appelnotedebasdep"/>
          <w:sz w:val="20"/>
          <w:szCs w:val="20"/>
        </w:rPr>
        <w:footnoteRef/>
      </w:r>
      <w:r w:rsidRPr="00C70EB4">
        <w:rPr>
          <w:sz w:val="20"/>
          <w:szCs w:val="20"/>
          <w:lang w:val="de-DE"/>
        </w:rPr>
        <w:t xml:space="preserve"> </w:t>
      </w:r>
      <w:r w:rsidR="005B2078" w:rsidRPr="00C70EB4">
        <w:rPr>
          <w:sz w:val="20"/>
          <w:szCs w:val="20"/>
          <w:lang w:val="de-DE"/>
        </w:rPr>
        <w:t xml:space="preserve">C.E., 10 </w:t>
      </w:r>
      <w:proofErr w:type="spellStart"/>
      <w:r w:rsidR="005B2078" w:rsidRPr="00C70EB4">
        <w:rPr>
          <w:sz w:val="20"/>
          <w:szCs w:val="20"/>
          <w:lang w:val="de-DE"/>
        </w:rPr>
        <w:t>janvier</w:t>
      </w:r>
      <w:proofErr w:type="spellEnd"/>
      <w:r w:rsidR="005B2078" w:rsidRPr="00C70EB4">
        <w:rPr>
          <w:sz w:val="20"/>
          <w:szCs w:val="20"/>
          <w:lang w:val="de-DE"/>
        </w:rPr>
        <w:t xml:space="preserve"> 2024, n° 248.383, </w:t>
      </w:r>
      <w:proofErr w:type="spellStart"/>
      <w:r w:rsidR="005B2078" w:rsidRPr="00C70EB4">
        <w:rPr>
          <w:i/>
          <w:iCs/>
          <w:sz w:val="20"/>
          <w:szCs w:val="20"/>
          <w:lang w:val="de-DE"/>
        </w:rPr>
        <w:t>Heckler</w:t>
      </w:r>
      <w:proofErr w:type="spellEnd"/>
      <w:r w:rsidR="005B2078" w:rsidRPr="00C70EB4">
        <w:rPr>
          <w:i/>
          <w:iCs/>
          <w:sz w:val="20"/>
          <w:szCs w:val="20"/>
          <w:lang w:val="de-DE"/>
        </w:rPr>
        <w:t xml:space="preserve"> &amp; Koch</w:t>
      </w:r>
      <w:r w:rsidR="005B2078" w:rsidRPr="00C70EB4">
        <w:rPr>
          <w:sz w:val="20"/>
          <w:szCs w:val="20"/>
          <w:lang w:val="de-DE"/>
        </w:rPr>
        <w:t xml:space="preserve">, </w:t>
      </w:r>
      <w:proofErr w:type="spellStart"/>
      <w:r w:rsidR="005B2078" w:rsidRPr="00C70EB4">
        <w:rPr>
          <w:sz w:val="20"/>
          <w:szCs w:val="20"/>
          <w:lang w:val="de-DE"/>
        </w:rPr>
        <w:t>p</w:t>
      </w:r>
      <w:r w:rsidRPr="00C70EB4">
        <w:rPr>
          <w:sz w:val="20"/>
          <w:szCs w:val="20"/>
          <w:lang w:val="de-DE"/>
        </w:rPr>
        <w:t>t</w:t>
      </w:r>
      <w:proofErr w:type="spellEnd"/>
      <w:r w:rsidRPr="00C70EB4">
        <w:rPr>
          <w:sz w:val="20"/>
          <w:szCs w:val="20"/>
          <w:lang w:val="de-DE"/>
        </w:rPr>
        <w:t xml:space="preserve"> 25.</w:t>
      </w:r>
    </w:p>
  </w:footnote>
  <w:footnote w:id="75">
    <w:p w14:paraId="609693FF" w14:textId="0E489D6B"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Sur ce sujet, voyez </w:t>
      </w:r>
      <w:r w:rsidR="00593BB5" w:rsidRPr="003369F1">
        <w:rPr>
          <w:sz w:val="20"/>
          <w:szCs w:val="20"/>
        </w:rPr>
        <w:t xml:space="preserve">N. B. </w:t>
      </w:r>
      <w:r w:rsidR="00593BB5" w:rsidRPr="00C70EB4">
        <w:rPr>
          <w:smallCaps/>
          <w:sz w:val="20"/>
          <w:szCs w:val="20"/>
        </w:rPr>
        <w:t>Bernard</w:t>
      </w:r>
      <w:r w:rsidR="00593BB5" w:rsidRPr="003369F1">
        <w:rPr>
          <w:sz w:val="20"/>
          <w:szCs w:val="20"/>
        </w:rPr>
        <w:t xml:space="preserve">, « La procédure de remplacement des F-16 : entre transparence et opacité », </w:t>
      </w:r>
      <w:r w:rsidR="00593BB5" w:rsidRPr="003369F1">
        <w:rPr>
          <w:i/>
          <w:iCs/>
          <w:sz w:val="20"/>
          <w:szCs w:val="20"/>
        </w:rPr>
        <w:t xml:space="preserve">op. </w:t>
      </w:r>
      <w:proofErr w:type="spellStart"/>
      <w:r w:rsidR="00593BB5" w:rsidRPr="003369F1">
        <w:rPr>
          <w:i/>
          <w:iCs/>
          <w:sz w:val="20"/>
          <w:szCs w:val="20"/>
        </w:rPr>
        <w:t>cit</w:t>
      </w:r>
      <w:proofErr w:type="spellEnd"/>
      <w:r w:rsidR="00593BB5" w:rsidRPr="003369F1">
        <w:rPr>
          <w:i/>
          <w:iCs/>
          <w:sz w:val="20"/>
          <w:szCs w:val="20"/>
        </w:rPr>
        <w:t>.</w:t>
      </w:r>
      <w:r w:rsidR="00593BB5" w:rsidRPr="003369F1">
        <w:rPr>
          <w:sz w:val="20"/>
          <w:szCs w:val="20"/>
        </w:rPr>
        <w:t>, pp. 190 à 193.</w:t>
      </w:r>
      <w:r w:rsidR="00593BB5" w:rsidRPr="00C70EB4">
        <w:rPr>
          <w:sz w:val="20"/>
          <w:szCs w:val="20"/>
        </w:rPr>
        <w:t xml:space="preserve"> </w:t>
      </w:r>
    </w:p>
  </w:footnote>
  <w:footnote w:id="76">
    <w:p w14:paraId="70368DC3" w14:textId="2B9A0E4D" w:rsidR="00A32A59" w:rsidRPr="00C70EB4" w:rsidRDefault="00A32A59">
      <w:pPr>
        <w:pStyle w:val="Notedebasdepage"/>
        <w:rPr>
          <w:sz w:val="20"/>
          <w:szCs w:val="20"/>
        </w:rPr>
      </w:pPr>
      <w:r w:rsidRPr="00C70EB4">
        <w:rPr>
          <w:rStyle w:val="Appelnotedebasdep"/>
          <w:sz w:val="20"/>
          <w:szCs w:val="20"/>
        </w:rPr>
        <w:footnoteRef/>
      </w:r>
      <w:r w:rsidRPr="00C70EB4">
        <w:rPr>
          <w:sz w:val="20"/>
          <w:szCs w:val="20"/>
        </w:rPr>
        <w:t xml:space="preserve"> </w:t>
      </w:r>
      <w:r w:rsidRPr="00C70EB4">
        <w:rPr>
          <w:sz w:val="20"/>
          <w:szCs w:val="20"/>
        </w:rPr>
        <w:t xml:space="preserve">Sur ce principe, </w:t>
      </w:r>
      <w:proofErr w:type="spellStart"/>
      <w:r w:rsidRPr="00C70EB4">
        <w:rPr>
          <w:sz w:val="20"/>
          <w:szCs w:val="20"/>
        </w:rPr>
        <w:t>voy</w:t>
      </w:r>
      <w:proofErr w:type="spellEnd"/>
      <w:r w:rsidRPr="00C70EB4">
        <w:rPr>
          <w:sz w:val="20"/>
          <w:szCs w:val="20"/>
        </w:rPr>
        <w:t xml:space="preserve">. M. </w:t>
      </w:r>
      <w:r w:rsidRPr="00C70EB4">
        <w:rPr>
          <w:smallCaps/>
          <w:sz w:val="20"/>
          <w:szCs w:val="20"/>
        </w:rPr>
        <w:t>Pâques</w:t>
      </w:r>
      <w:r w:rsidRPr="00C70EB4">
        <w:rPr>
          <w:sz w:val="20"/>
          <w:szCs w:val="20"/>
        </w:rPr>
        <w:t xml:space="preserve">, </w:t>
      </w:r>
      <w:r w:rsidRPr="00C70EB4">
        <w:rPr>
          <w:i/>
          <w:iCs/>
          <w:sz w:val="20"/>
          <w:szCs w:val="20"/>
        </w:rPr>
        <w:t>Droit administratif</w:t>
      </w:r>
      <w:r w:rsidRPr="00C70EB4">
        <w:rPr>
          <w:sz w:val="20"/>
          <w:szCs w:val="20"/>
        </w:rPr>
        <w:t>, Bruxelles, Larcier, 2024, pp. 126, 127 et 182.</w:t>
      </w:r>
    </w:p>
  </w:footnote>
  <w:footnote w:id="77">
    <w:p w14:paraId="0BB88BB6" w14:textId="12CBCDE4"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083BE7" w:rsidRPr="003369F1">
        <w:rPr>
          <w:sz w:val="20"/>
          <w:szCs w:val="20"/>
        </w:rPr>
        <w:t xml:space="preserve">E. </w:t>
      </w:r>
      <w:r w:rsidR="00083BE7" w:rsidRPr="003369F1">
        <w:rPr>
          <w:smallCaps/>
          <w:sz w:val="20"/>
          <w:szCs w:val="20"/>
        </w:rPr>
        <w:t>Thibaut</w:t>
      </w:r>
      <w:r w:rsidR="00083BE7" w:rsidRPr="003369F1">
        <w:rPr>
          <w:sz w:val="20"/>
          <w:szCs w:val="20"/>
        </w:rPr>
        <w:t xml:space="preserve"> et M. </w:t>
      </w:r>
      <w:r w:rsidR="00083BE7" w:rsidRPr="003369F1">
        <w:rPr>
          <w:smallCaps/>
          <w:sz w:val="20"/>
          <w:szCs w:val="20"/>
        </w:rPr>
        <w:t>Heine</w:t>
      </w:r>
      <w:r w:rsidR="00083BE7" w:rsidRPr="003369F1">
        <w:rPr>
          <w:sz w:val="20"/>
          <w:szCs w:val="20"/>
        </w:rPr>
        <w:t xml:space="preserve">, </w:t>
      </w:r>
      <w:r w:rsidR="00083BE7" w:rsidRPr="003369F1">
        <w:rPr>
          <w:i/>
          <w:iCs/>
          <w:sz w:val="20"/>
          <w:szCs w:val="20"/>
        </w:rPr>
        <w:t xml:space="preserve">op. </w:t>
      </w:r>
      <w:proofErr w:type="spellStart"/>
      <w:r w:rsidR="00083BE7" w:rsidRPr="003369F1">
        <w:rPr>
          <w:i/>
          <w:iCs/>
          <w:sz w:val="20"/>
          <w:szCs w:val="20"/>
        </w:rPr>
        <w:t>cit</w:t>
      </w:r>
      <w:proofErr w:type="spellEnd"/>
      <w:r w:rsidR="00083BE7" w:rsidRPr="003369F1">
        <w:rPr>
          <w:i/>
          <w:iCs/>
          <w:sz w:val="20"/>
          <w:szCs w:val="20"/>
        </w:rPr>
        <w:t>.</w:t>
      </w:r>
      <w:r w:rsidR="00083BE7" w:rsidRPr="003369F1">
        <w:rPr>
          <w:sz w:val="20"/>
          <w:szCs w:val="20"/>
        </w:rPr>
        <w:t xml:space="preserve">, </w:t>
      </w:r>
      <w:r w:rsidRPr="00C70EB4">
        <w:rPr>
          <w:sz w:val="20"/>
          <w:szCs w:val="20"/>
        </w:rPr>
        <w:t>p. 390.</w:t>
      </w:r>
    </w:p>
  </w:footnote>
  <w:footnote w:id="78">
    <w:p w14:paraId="41D47213" w14:textId="2FA66A43"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593BB5" w:rsidRPr="003369F1">
        <w:rPr>
          <w:sz w:val="20"/>
          <w:szCs w:val="20"/>
        </w:rPr>
        <w:t xml:space="preserve">Sur cette question, </w:t>
      </w:r>
      <w:proofErr w:type="spellStart"/>
      <w:r w:rsidR="00593BB5" w:rsidRPr="003369F1">
        <w:rPr>
          <w:sz w:val="20"/>
          <w:szCs w:val="20"/>
        </w:rPr>
        <w:t>voy</w:t>
      </w:r>
      <w:proofErr w:type="spellEnd"/>
      <w:r w:rsidR="00593BB5" w:rsidRPr="003369F1">
        <w:rPr>
          <w:sz w:val="20"/>
          <w:szCs w:val="20"/>
        </w:rPr>
        <w:t xml:space="preserve">. A. </w:t>
      </w:r>
      <w:r w:rsidR="00593BB5" w:rsidRPr="00C70EB4">
        <w:rPr>
          <w:smallCaps/>
          <w:sz w:val="20"/>
          <w:szCs w:val="20"/>
        </w:rPr>
        <w:t>Zima</w:t>
      </w:r>
      <w:r w:rsidR="00593BB5" w:rsidRPr="003369F1">
        <w:rPr>
          <w:sz w:val="20"/>
          <w:szCs w:val="20"/>
        </w:rPr>
        <w:t xml:space="preserve">, </w:t>
      </w:r>
      <w:r w:rsidR="00593BB5" w:rsidRPr="003369F1">
        <w:rPr>
          <w:i/>
          <w:iCs/>
          <w:sz w:val="20"/>
          <w:szCs w:val="20"/>
        </w:rPr>
        <w:t>L’OTAN</w:t>
      </w:r>
      <w:r w:rsidR="00593BB5" w:rsidRPr="003369F1">
        <w:rPr>
          <w:sz w:val="20"/>
          <w:szCs w:val="20"/>
        </w:rPr>
        <w:t xml:space="preserve">, Paris, PUF, 2023, pp. </w:t>
      </w:r>
      <w:r w:rsidR="003369F1" w:rsidRPr="00C70EB4">
        <w:rPr>
          <w:sz w:val="20"/>
          <w:szCs w:val="20"/>
        </w:rPr>
        <w:t>113 à 116</w:t>
      </w:r>
      <w:r w:rsidR="00593BB5" w:rsidRPr="003369F1">
        <w:rPr>
          <w:sz w:val="20"/>
          <w:szCs w:val="20"/>
        </w:rPr>
        <w:t>.</w:t>
      </w:r>
    </w:p>
  </w:footnote>
  <w:footnote w:id="79">
    <w:p w14:paraId="000D9EFF" w14:textId="79EDC5FC" w:rsidR="00A32A59" w:rsidRPr="00C70EB4" w:rsidRDefault="00A32A59">
      <w:pPr>
        <w:pStyle w:val="Notedebasdepage"/>
        <w:rPr>
          <w:sz w:val="20"/>
          <w:szCs w:val="20"/>
        </w:rPr>
      </w:pPr>
      <w:r w:rsidRPr="00C70EB4">
        <w:rPr>
          <w:rStyle w:val="Appelnotedebasdep"/>
          <w:sz w:val="20"/>
          <w:szCs w:val="20"/>
        </w:rPr>
        <w:footnoteRef/>
      </w:r>
      <w:r w:rsidRPr="00C70EB4">
        <w:rPr>
          <w:sz w:val="20"/>
          <w:szCs w:val="20"/>
        </w:rPr>
        <w:t xml:space="preserve"> </w:t>
      </w:r>
      <w:proofErr w:type="spellStart"/>
      <w:r w:rsidRPr="00C70EB4">
        <w:rPr>
          <w:sz w:val="20"/>
          <w:szCs w:val="20"/>
        </w:rPr>
        <w:t>Voy</w:t>
      </w:r>
      <w:proofErr w:type="spellEnd"/>
      <w:r w:rsidRPr="00C70EB4">
        <w:rPr>
          <w:sz w:val="20"/>
          <w:szCs w:val="20"/>
        </w:rPr>
        <w:t xml:space="preserve">. </w:t>
      </w:r>
      <w:r w:rsidRPr="00C70EB4">
        <w:rPr>
          <w:i/>
          <w:iCs/>
          <w:sz w:val="20"/>
          <w:szCs w:val="20"/>
        </w:rPr>
        <w:t>supra</w:t>
      </w:r>
      <w:r w:rsidRPr="00C70EB4">
        <w:rPr>
          <w:sz w:val="20"/>
          <w:szCs w:val="20"/>
        </w:rPr>
        <w:t xml:space="preserve">, n° </w:t>
      </w:r>
      <w:r w:rsidR="00593BB5" w:rsidRPr="00C70EB4">
        <w:rPr>
          <w:sz w:val="20"/>
          <w:szCs w:val="20"/>
        </w:rPr>
        <w:t>6</w:t>
      </w:r>
      <w:r w:rsidRPr="00C70EB4">
        <w:rPr>
          <w:sz w:val="20"/>
          <w:szCs w:val="20"/>
        </w:rPr>
        <w:t>.</w:t>
      </w:r>
    </w:p>
  </w:footnote>
  <w:footnote w:id="80">
    <w:p w14:paraId="0E291C25" w14:textId="7C419F83" w:rsidR="00C27D91" w:rsidRPr="00C70EB4" w:rsidRDefault="00C27D91" w:rsidP="00C70EB4">
      <w:pPr>
        <w:pStyle w:val="Notedebasdepage"/>
        <w:jc w:val="both"/>
        <w:rPr>
          <w:sz w:val="20"/>
          <w:szCs w:val="20"/>
        </w:rPr>
      </w:pPr>
      <w:r w:rsidRPr="00C70EB4">
        <w:rPr>
          <w:rStyle w:val="Appelnotedebasdep"/>
          <w:sz w:val="20"/>
          <w:szCs w:val="20"/>
        </w:rPr>
        <w:footnoteRef/>
      </w:r>
      <w:r w:rsidRPr="00C70EB4">
        <w:rPr>
          <w:sz w:val="20"/>
          <w:szCs w:val="20"/>
        </w:rPr>
        <w:t xml:space="preserve"> </w:t>
      </w:r>
      <w:r w:rsidR="00593BB5" w:rsidRPr="003369F1">
        <w:rPr>
          <w:sz w:val="20"/>
          <w:szCs w:val="20"/>
        </w:rPr>
        <w:t xml:space="preserve">Livre vert sur les marchés publics de la Défense présenté par la Commission, COM (2004) 608 final, 23 septembre 2004, </w:t>
      </w:r>
      <w:r w:rsidRPr="00C70EB4">
        <w:rPr>
          <w:sz w:val="20"/>
          <w:szCs w:val="20"/>
        </w:rPr>
        <w:t>pp. 10 et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104D"/>
    <w:multiLevelType w:val="hybridMultilevel"/>
    <w:tmpl w:val="8326AE0E"/>
    <w:lvl w:ilvl="0" w:tplc="F16AEE4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F25304F"/>
    <w:multiLevelType w:val="hybridMultilevel"/>
    <w:tmpl w:val="0E1A38C6"/>
    <w:lvl w:ilvl="0" w:tplc="D65E5A32">
      <w:start w:val="29"/>
      <w:numFmt w:val="decimal"/>
      <w:lvlText w:val="%1."/>
      <w:lvlJc w:val="left"/>
      <w:pPr>
        <w:ind w:left="360" w:hanging="360"/>
      </w:pPr>
      <w:rPr>
        <w:rFonts w:hint="default"/>
        <w:b w:val="0"/>
        <w:bCs/>
        <w:i w:val="0"/>
        <w:iCs w:val="0"/>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81248439">
    <w:abstractNumId w:val="0"/>
  </w:num>
  <w:num w:numId="2" w16cid:durableId="49630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D4"/>
    <w:rsid w:val="000069BD"/>
    <w:rsid w:val="0006237E"/>
    <w:rsid w:val="00064EA4"/>
    <w:rsid w:val="00083BE7"/>
    <w:rsid w:val="00094078"/>
    <w:rsid w:val="000C1630"/>
    <w:rsid w:val="00101B43"/>
    <w:rsid w:val="0010763C"/>
    <w:rsid w:val="00112CE8"/>
    <w:rsid w:val="00152030"/>
    <w:rsid w:val="00197A67"/>
    <w:rsid w:val="001A6D18"/>
    <w:rsid w:val="001F006F"/>
    <w:rsid w:val="00217A70"/>
    <w:rsid w:val="00240998"/>
    <w:rsid w:val="00263CED"/>
    <w:rsid w:val="002B309A"/>
    <w:rsid w:val="002C6887"/>
    <w:rsid w:val="003369F1"/>
    <w:rsid w:val="003544CA"/>
    <w:rsid w:val="00377E56"/>
    <w:rsid w:val="003A7159"/>
    <w:rsid w:val="003E5FD3"/>
    <w:rsid w:val="00401DAD"/>
    <w:rsid w:val="004D57BB"/>
    <w:rsid w:val="004E3050"/>
    <w:rsid w:val="00543FD1"/>
    <w:rsid w:val="005702D4"/>
    <w:rsid w:val="005846E6"/>
    <w:rsid w:val="005861F5"/>
    <w:rsid w:val="00593BB5"/>
    <w:rsid w:val="005B2078"/>
    <w:rsid w:val="005E0028"/>
    <w:rsid w:val="005F65DD"/>
    <w:rsid w:val="005F7A3B"/>
    <w:rsid w:val="00623971"/>
    <w:rsid w:val="0062448C"/>
    <w:rsid w:val="0065173D"/>
    <w:rsid w:val="00676FB0"/>
    <w:rsid w:val="0068183B"/>
    <w:rsid w:val="00693848"/>
    <w:rsid w:val="006C6312"/>
    <w:rsid w:val="00742D31"/>
    <w:rsid w:val="007504F9"/>
    <w:rsid w:val="007F6D4D"/>
    <w:rsid w:val="0080062A"/>
    <w:rsid w:val="008303FD"/>
    <w:rsid w:val="008849C2"/>
    <w:rsid w:val="008B5E61"/>
    <w:rsid w:val="008C1121"/>
    <w:rsid w:val="008F72D2"/>
    <w:rsid w:val="0090495C"/>
    <w:rsid w:val="00922430"/>
    <w:rsid w:val="009A2346"/>
    <w:rsid w:val="009D58A5"/>
    <w:rsid w:val="009D6386"/>
    <w:rsid w:val="00A261CB"/>
    <w:rsid w:val="00A32A59"/>
    <w:rsid w:val="00A40AF0"/>
    <w:rsid w:val="00A76AD2"/>
    <w:rsid w:val="00AE48CD"/>
    <w:rsid w:val="00B03342"/>
    <w:rsid w:val="00B42A64"/>
    <w:rsid w:val="00B86BCE"/>
    <w:rsid w:val="00BA7C85"/>
    <w:rsid w:val="00BC7AE8"/>
    <w:rsid w:val="00BF438B"/>
    <w:rsid w:val="00C00D1C"/>
    <w:rsid w:val="00C15A92"/>
    <w:rsid w:val="00C27D91"/>
    <w:rsid w:val="00C35B67"/>
    <w:rsid w:val="00C55F1A"/>
    <w:rsid w:val="00C70EB4"/>
    <w:rsid w:val="00C73980"/>
    <w:rsid w:val="00C86496"/>
    <w:rsid w:val="00D13ED5"/>
    <w:rsid w:val="00D239CA"/>
    <w:rsid w:val="00D42582"/>
    <w:rsid w:val="00D65F5D"/>
    <w:rsid w:val="00D83E46"/>
    <w:rsid w:val="00D85196"/>
    <w:rsid w:val="00D85726"/>
    <w:rsid w:val="00DC7123"/>
    <w:rsid w:val="00DD13DD"/>
    <w:rsid w:val="00DD3248"/>
    <w:rsid w:val="00E03B73"/>
    <w:rsid w:val="00E17647"/>
    <w:rsid w:val="00E47F65"/>
    <w:rsid w:val="00E50CDB"/>
    <w:rsid w:val="00E8133B"/>
    <w:rsid w:val="00E9508A"/>
    <w:rsid w:val="00EA0B58"/>
    <w:rsid w:val="00EC0354"/>
    <w:rsid w:val="00F02BA8"/>
    <w:rsid w:val="00F2735C"/>
    <w:rsid w:val="00F63378"/>
    <w:rsid w:val="00F72DF8"/>
    <w:rsid w:val="00FC09A3"/>
    <w:rsid w:val="00FC11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0BA90"/>
  <w15:chartTrackingRefBased/>
  <w15:docId w15:val="{482A7C25-1AA5-490C-95D3-C5937C0B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5702D4"/>
    <w:rPr>
      <w:color w:val="0000FF"/>
      <w:u w:val="single"/>
    </w:rPr>
  </w:style>
  <w:style w:type="character" w:customStyle="1" w:styleId="NotedebasdepageCar">
    <w:name w:val="Note de bas de page Car"/>
    <w:aliases w:val="Footnote Text Char1 Car,Footnote Text Char Char Car,Car Char Char Car,Car Char1 Car,Ftnote-texte Car,Footnote texte Car,Footnote Car,fn Car,Footn Car,Footnote ak Car,Fo Car,footnote text Car,Footnotes Char Car,Footnotes Car"/>
    <w:basedOn w:val="Policepardfaut"/>
    <w:link w:val="Notedebasdepage"/>
    <w:uiPriority w:val="99"/>
    <w:semiHidden/>
    <w:locked/>
    <w:rsid w:val="00D42582"/>
    <w:rPr>
      <w:rFonts w:ascii="Times New Roman" w:hAnsi="Times New Roman" w:cs="Times New Roman"/>
    </w:rPr>
  </w:style>
  <w:style w:type="paragraph" w:styleId="Notedebasdepage">
    <w:name w:val="footnote text"/>
    <w:aliases w:val="Footnote Text Char1,Footnote Text Char Char,Car Char Char,Car Char1,Ftnote-texte,Footnote texte,Footnote,fn,Footn,Footnote ak,Fo,footnote text,Footnotes Char,Footnotes,Foo,Footnot,PYR Fo,Footnote2 Car,Footnote Tex"/>
    <w:basedOn w:val="Normal"/>
    <w:link w:val="NotedebasdepageCar"/>
    <w:uiPriority w:val="99"/>
    <w:semiHidden/>
    <w:unhideWhenUsed/>
    <w:qFormat/>
    <w:rsid w:val="00D42582"/>
    <w:pPr>
      <w:spacing w:after="0" w:line="240" w:lineRule="auto"/>
    </w:pPr>
    <w:rPr>
      <w:rFonts w:ascii="Times New Roman" w:hAnsi="Times New Roman" w:cs="Times New Roman"/>
    </w:rPr>
  </w:style>
  <w:style w:type="character" w:customStyle="1" w:styleId="FootnoteTextChar">
    <w:name w:val="Footnote Text Char"/>
    <w:basedOn w:val="Policepardfaut"/>
    <w:uiPriority w:val="99"/>
    <w:semiHidden/>
    <w:rsid w:val="00D42582"/>
    <w:rPr>
      <w:sz w:val="20"/>
      <w:szCs w:val="20"/>
    </w:rPr>
  </w:style>
  <w:style w:type="character" w:styleId="Appelnotedebasdep">
    <w:name w:val="footnote reference"/>
    <w:aliases w:val="Appel note de bas de,Footnote reference number,Footnote symbol,note TESI,SUPERS,EN Footnote Reference,stylish,BVI fnr,Footnote1,Times 10 Point,Exposant 3 Point,Ref,de nota al pie,number,-E,-E Fu§notenzeichen,Footnote number,FR,fr"/>
    <w:basedOn w:val="Policepardfaut"/>
    <w:uiPriority w:val="99"/>
    <w:unhideWhenUsed/>
    <w:qFormat/>
    <w:rsid w:val="00D42582"/>
    <w:rPr>
      <w:vertAlign w:val="superscript"/>
    </w:rPr>
  </w:style>
  <w:style w:type="paragraph" w:styleId="Paragraphedeliste">
    <w:name w:val="List Paragraph"/>
    <w:basedOn w:val="Normal"/>
    <w:uiPriority w:val="34"/>
    <w:qFormat/>
    <w:rsid w:val="00676FB0"/>
    <w:pPr>
      <w:ind w:left="720"/>
      <w:contextualSpacing/>
    </w:pPr>
  </w:style>
  <w:style w:type="paragraph" w:styleId="Rvision">
    <w:name w:val="Revision"/>
    <w:hidden/>
    <w:uiPriority w:val="99"/>
    <w:semiHidden/>
    <w:rsid w:val="00101B43"/>
    <w:pPr>
      <w:spacing w:after="0" w:line="240" w:lineRule="auto"/>
    </w:pPr>
  </w:style>
  <w:style w:type="character" w:styleId="Marquedecommentaire">
    <w:name w:val="annotation reference"/>
    <w:basedOn w:val="Policepardfaut"/>
    <w:uiPriority w:val="99"/>
    <w:semiHidden/>
    <w:unhideWhenUsed/>
    <w:rsid w:val="00101B43"/>
    <w:rPr>
      <w:sz w:val="16"/>
      <w:szCs w:val="16"/>
    </w:rPr>
  </w:style>
  <w:style w:type="paragraph" w:styleId="Commentaire">
    <w:name w:val="annotation text"/>
    <w:basedOn w:val="Normal"/>
    <w:link w:val="CommentaireCar"/>
    <w:uiPriority w:val="99"/>
    <w:unhideWhenUsed/>
    <w:rsid w:val="00101B43"/>
    <w:pPr>
      <w:spacing w:line="240" w:lineRule="auto"/>
    </w:pPr>
    <w:rPr>
      <w:sz w:val="20"/>
      <w:szCs w:val="20"/>
    </w:rPr>
  </w:style>
  <w:style w:type="character" w:customStyle="1" w:styleId="CommentaireCar">
    <w:name w:val="Commentaire Car"/>
    <w:basedOn w:val="Policepardfaut"/>
    <w:link w:val="Commentaire"/>
    <w:uiPriority w:val="99"/>
    <w:rsid w:val="00101B43"/>
    <w:rPr>
      <w:sz w:val="20"/>
      <w:szCs w:val="20"/>
    </w:rPr>
  </w:style>
  <w:style w:type="paragraph" w:styleId="Objetducommentaire">
    <w:name w:val="annotation subject"/>
    <w:basedOn w:val="Commentaire"/>
    <w:next w:val="Commentaire"/>
    <w:link w:val="ObjetducommentaireCar"/>
    <w:uiPriority w:val="99"/>
    <w:semiHidden/>
    <w:unhideWhenUsed/>
    <w:rsid w:val="00101B43"/>
    <w:rPr>
      <w:b/>
      <w:bCs/>
    </w:rPr>
  </w:style>
  <w:style w:type="character" w:customStyle="1" w:styleId="ObjetducommentaireCar">
    <w:name w:val="Objet du commentaire Car"/>
    <w:basedOn w:val="CommentaireCar"/>
    <w:link w:val="Objetducommentaire"/>
    <w:uiPriority w:val="99"/>
    <w:semiHidden/>
    <w:rsid w:val="00101B43"/>
    <w:rPr>
      <w:b/>
      <w:bCs/>
      <w:sz w:val="20"/>
      <w:szCs w:val="20"/>
    </w:rPr>
  </w:style>
  <w:style w:type="paragraph" w:styleId="Pieddepage">
    <w:name w:val="footer"/>
    <w:basedOn w:val="Normal"/>
    <w:link w:val="PieddepageCar"/>
    <w:uiPriority w:val="99"/>
    <w:unhideWhenUsed/>
    <w:rsid w:val="006C63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6312"/>
  </w:style>
  <w:style w:type="character" w:styleId="Numrodepage">
    <w:name w:val="page number"/>
    <w:basedOn w:val="Policepardfaut"/>
    <w:uiPriority w:val="99"/>
    <w:semiHidden/>
    <w:unhideWhenUsed/>
    <w:rsid w:val="006C6312"/>
  </w:style>
  <w:style w:type="paragraph" w:styleId="En-tte">
    <w:name w:val="header"/>
    <w:basedOn w:val="Normal"/>
    <w:link w:val="En-tteCar"/>
    <w:uiPriority w:val="99"/>
    <w:unhideWhenUsed/>
    <w:rsid w:val="006C6312"/>
    <w:pPr>
      <w:tabs>
        <w:tab w:val="center" w:pos="4536"/>
        <w:tab w:val="right" w:pos="9072"/>
      </w:tabs>
      <w:spacing w:after="0" w:line="240" w:lineRule="auto"/>
    </w:pPr>
  </w:style>
  <w:style w:type="character" w:customStyle="1" w:styleId="En-tteCar">
    <w:name w:val="En-tête Car"/>
    <w:basedOn w:val="Policepardfaut"/>
    <w:link w:val="En-tte"/>
    <w:uiPriority w:val="99"/>
    <w:rsid w:val="006C6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136151">
      <w:bodyDiv w:val="1"/>
      <w:marLeft w:val="0"/>
      <w:marRight w:val="0"/>
      <w:marTop w:val="0"/>
      <w:marBottom w:val="0"/>
      <w:divBdr>
        <w:top w:val="none" w:sz="0" w:space="0" w:color="auto"/>
        <w:left w:val="none" w:sz="0" w:space="0" w:color="auto"/>
        <w:bottom w:val="none" w:sz="0" w:space="0" w:color="auto"/>
        <w:right w:val="none" w:sz="0" w:space="0" w:color="auto"/>
      </w:divBdr>
    </w:div>
    <w:div w:id="179169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B7D81-9F82-4304-9412-CD144B75A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5146</Words>
  <Characters>28304</Characters>
  <Application>Microsoft Office Word</Application>
  <DocSecurity>0</DocSecurity>
  <Lines>235</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CDN</Company>
  <LinksUpToDate>false</LinksUpToDate>
  <CharactersWithSpaces>33384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Saedeleer Valéry</dc:creator>
  <cp:keywords/>
  <dc:description/>
  <cp:lastModifiedBy>Microsoft Office User</cp:lastModifiedBy>
  <cp:revision>4</cp:revision>
  <dcterms:created xsi:type="dcterms:W3CDTF">2024-03-11T13:19:00Z</dcterms:created>
  <dcterms:modified xsi:type="dcterms:W3CDTF">2024-03-11T13:20:00Z</dcterms:modified>
</cp:coreProperties>
</file>