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50C" w:rsidRPr="006C6007" w:rsidRDefault="000B650C" w:rsidP="006C6007">
      <w:pPr>
        <w:tabs>
          <w:tab w:val="right" w:pos="11304"/>
        </w:tabs>
        <w:spacing w:before="49"/>
      </w:pPr>
    </w:p>
    <w:p w:rsidR="000B650C" w:rsidRDefault="000B650C">
      <w:pPr>
        <w:pStyle w:val="Corpsdetexte"/>
        <w:rPr>
          <w:sz w:val="24"/>
        </w:rPr>
      </w:pPr>
    </w:p>
    <w:p w:rsidR="000B650C" w:rsidRDefault="009F3E03">
      <w:pPr>
        <w:ind w:left="1723" w:right="1622"/>
        <w:rPr>
          <w:b/>
          <w:sz w:val="28"/>
        </w:rPr>
      </w:pPr>
      <w:r>
        <w:rPr>
          <w:b/>
          <w:color w:val="231F20"/>
          <w:sz w:val="28"/>
        </w:rPr>
        <w:t>A</w:t>
      </w:r>
      <w:r>
        <w:rPr>
          <w:b/>
          <w:color w:val="231F20"/>
          <w:sz w:val="28"/>
        </w:rPr>
        <w:t xml:space="preserve">cute liver graft cellular rejection after interferon-free antiviral treatment for </w:t>
      </w:r>
      <w:bookmarkStart w:id="0" w:name="_GoBack"/>
      <w:r>
        <w:rPr>
          <w:b/>
          <w:color w:val="231F20"/>
          <w:sz w:val="28"/>
        </w:rPr>
        <w:t>HCV infection. Is there a risk? A warning about three cases”</w:t>
      </w:r>
    </w:p>
    <w:bookmarkEnd w:id="0"/>
    <w:p w:rsidR="000B650C" w:rsidRPr="006C6007" w:rsidRDefault="009F3E03">
      <w:pPr>
        <w:pStyle w:val="Corpsdetexte"/>
        <w:spacing w:before="163"/>
        <w:ind w:left="1723"/>
        <w:rPr>
          <w:sz w:val="10"/>
          <w:lang w:val="fr-BE"/>
        </w:rPr>
      </w:pPr>
      <w:r w:rsidRPr="006C6007">
        <w:rPr>
          <w:color w:val="231F20"/>
          <w:lang w:val="fr-BE"/>
        </w:rPr>
        <w:t xml:space="preserve">G. </w:t>
      </w:r>
      <w:proofErr w:type="spellStart"/>
      <w:r w:rsidRPr="006C6007">
        <w:rPr>
          <w:color w:val="231F20"/>
          <w:lang w:val="fr-BE"/>
        </w:rPr>
        <w:t>Dahlqvist</w:t>
      </w:r>
      <w:proofErr w:type="spellEnd"/>
      <w:r w:rsidRPr="006C6007">
        <w:rPr>
          <w:color w:val="231F20"/>
          <w:position w:val="7"/>
          <w:sz w:val="10"/>
          <w:lang w:val="fr-BE"/>
        </w:rPr>
        <w:t>1</w:t>
      </w:r>
      <w:r w:rsidRPr="006C6007">
        <w:rPr>
          <w:color w:val="231F20"/>
          <w:lang w:val="fr-BE"/>
        </w:rPr>
        <w:t xml:space="preserve">, M. </w:t>
      </w:r>
      <w:proofErr w:type="spellStart"/>
      <w:r w:rsidRPr="006C6007">
        <w:rPr>
          <w:color w:val="231F20"/>
          <w:lang w:val="fr-BE"/>
        </w:rPr>
        <w:t>Komuta</w:t>
      </w:r>
      <w:proofErr w:type="spellEnd"/>
      <w:r w:rsidRPr="006C6007">
        <w:rPr>
          <w:color w:val="231F20"/>
          <w:position w:val="7"/>
          <w:sz w:val="10"/>
          <w:lang w:val="fr-BE"/>
        </w:rPr>
        <w:t>2</w:t>
      </w:r>
      <w:r w:rsidRPr="006C6007">
        <w:rPr>
          <w:color w:val="231F20"/>
          <w:lang w:val="fr-BE"/>
        </w:rPr>
        <w:t xml:space="preserve">, L. </w:t>
      </w:r>
      <w:proofErr w:type="spellStart"/>
      <w:r w:rsidRPr="006C6007">
        <w:rPr>
          <w:color w:val="231F20"/>
          <w:lang w:val="fr-BE"/>
        </w:rPr>
        <w:t>Coubeau</w:t>
      </w:r>
      <w:proofErr w:type="spellEnd"/>
      <w:r w:rsidRPr="006C6007">
        <w:rPr>
          <w:color w:val="231F20"/>
          <w:position w:val="7"/>
          <w:sz w:val="10"/>
          <w:lang w:val="fr-BE"/>
        </w:rPr>
        <w:t>3</w:t>
      </w:r>
      <w:r w:rsidRPr="006C6007">
        <w:rPr>
          <w:color w:val="231F20"/>
          <w:lang w:val="fr-BE"/>
        </w:rPr>
        <w:t>, Y. Horsmans</w:t>
      </w:r>
      <w:r w:rsidRPr="006C6007">
        <w:rPr>
          <w:color w:val="231F20"/>
          <w:position w:val="7"/>
          <w:sz w:val="10"/>
          <w:lang w:val="fr-BE"/>
        </w:rPr>
        <w:t>1</w:t>
      </w:r>
    </w:p>
    <w:p w:rsidR="000B650C" w:rsidRPr="006C6007" w:rsidRDefault="000B650C">
      <w:pPr>
        <w:pStyle w:val="Corpsdetexte"/>
        <w:spacing w:before="7"/>
        <w:rPr>
          <w:sz w:val="19"/>
          <w:lang w:val="fr-BE"/>
        </w:rPr>
      </w:pPr>
    </w:p>
    <w:p w:rsidR="000B650C" w:rsidRDefault="009F3E03">
      <w:pPr>
        <w:ind w:left="1723" w:right="1622"/>
        <w:rPr>
          <w:sz w:val="14"/>
        </w:rPr>
      </w:pPr>
      <w:r>
        <w:rPr>
          <w:color w:val="231F20"/>
          <w:sz w:val="14"/>
        </w:rPr>
        <w:t xml:space="preserve">(1) </w:t>
      </w:r>
      <w:proofErr w:type="spellStart"/>
      <w:r>
        <w:rPr>
          <w:color w:val="231F20"/>
          <w:sz w:val="14"/>
        </w:rPr>
        <w:t>Hepatogastroenterology</w:t>
      </w:r>
      <w:proofErr w:type="spellEnd"/>
      <w:r>
        <w:rPr>
          <w:color w:val="231F20"/>
          <w:sz w:val="14"/>
        </w:rPr>
        <w:t xml:space="preserve"> Department </w:t>
      </w:r>
      <w:proofErr w:type="spellStart"/>
      <w:r>
        <w:rPr>
          <w:color w:val="231F20"/>
          <w:sz w:val="14"/>
        </w:rPr>
        <w:t>Cliniques</w:t>
      </w:r>
      <w:proofErr w:type="spellEnd"/>
      <w:r>
        <w:rPr>
          <w:color w:val="231F20"/>
          <w:sz w:val="14"/>
        </w:rPr>
        <w:t xml:space="preserve"> Universitaires Saint-Luc, Brussels, Belgium ; (2) </w:t>
      </w:r>
      <w:proofErr w:type="spellStart"/>
      <w:r>
        <w:rPr>
          <w:color w:val="231F20"/>
          <w:sz w:val="14"/>
        </w:rPr>
        <w:t>Anatomopathology</w:t>
      </w:r>
      <w:proofErr w:type="spellEnd"/>
      <w:r>
        <w:rPr>
          <w:color w:val="231F20"/>
          <w:sz w:val="14"/>
        </w:rPr>
        <w:t xml:space="preserve"> Department </w:t>
      </w:r>
      <w:proofErr w:type="spellStart"/>
      <w:r>
        <w:rPr>
          <w:color w:val="231F20"/>
          <w:sz w:val="14"/>
        </w:rPr>
        <w:t>Cliniques</w:t>
      </w:r>
      <w:proofErr w:type="spellEnd"/>
      <w:r>
        <w:rPr>
          <w:color w:val="231F20"/>
          <w:sz w:val="14"/>
        </w:rPr>
        <w:t xml:space="preserve"> Universitaires Saint-Luc, Brussels, Belgium ; (3) Abdominal Surgery Department </w:t>
      </w:r>
      <w:proofErr w:type="spellStart"/>
      <w:r>
        <w:rPr>
          <w:color w:val="231F20"/>
          <w:sz w:val="14"/>
        </w:rPr>
        <w:t>Cliniques</w:t>
      </w:r>
      <w:proofErr w:type="spellEnd"/>
      <w:r>
        <w:rPr>
          <w:color w:val="231F20"/>
          <w:sz w:val="14"/>
        </w:rPr>
        <w:t xml:space="preserve"> Universitaires Saint-Luc, Bruss</w:t>
      </w:r>
      <w:r>
        <w:rPr>
          <w:color w:val="231F20"/>
          <w:sz w:val="14"/>
        </w:rPr>
        <w:t>els, Belgium.</w:t>
      </w:r>
    </w:p>
    <w:p w:rsidR="000B650C" w:rsidRDefault="000B650C">
      <w:pPr>
        <w:pStyle w:val="Corpsdetexte"/>
      </w:pPr>
    </w:p>
    <w:p w:rsidR="000B650C" w:rsidRDefault="000B650C">
      <w:pPr>
        <w:pStyle w:val="Corpsdetexte"/>
        <w:spacing w:before="9"/>
        <w:rPr>
          <w:sz w:val="27"/>
        </w:rPr>
      </w:pPr>
    </w:p>
    <w:p w:rsidR="000B650C" w:rsidRDefault="000B650C">
      <w:pPr>
        <w:rPr>
          <w:sz w:val="27"/>
        </w:rPr>
        <w:sectPr w:rsidR="000B650C">
          <w:footerReference w:type="default" r:id="rId8"/>
          <w:type w:val="continuous"/>
          <w:pgSz w:w="13090" w:h="18020"/>
          <w:pgMar w:top="580" w:right="0" w:bottom="580" w:left="0" w:header="0" w:footer="393" w:gutter="0"/>
          <w:pgNumType w:start="53"/>
          <w:cols w:space="720"/>
        </w:sectPr>
      </w:pPr>
    </w:p>
    <w:p w:rsidR="000B650C" w:rsidRDefault="009F3E03">
      <w:pPr>
        <w:spacing w:before="99"/>
        <w:ind w:left="1723"/>
        <w:rPr>
          <w:b/>
          <w:sz w:val="16"/>
        </w:rPr>
      </w:pPr>
      <w:r>
        <w:rPr>
          <w:b/>
          <w:color w:val="231F20"/>
          <w:sz w:val="16"/>
        </w:rPr>
        <w:lastRenderedPageBreak/>
        <w:t>Abstract</w:t>
      </w:r>
    </w:p>
    <w:p w:rsidR="000B650C" w:rsidRDefault="000B650C">
      <w:pPr>
        <w:pStyle w:val="Corpsdetexte"/>
        <w:spacing w:before="8"/>
        <w:rPr>
          <w:b/>
          <w:sz w:val="15"/>
        </w:rPr>
      </w:pPr>
    </w:p>
    <w:p w:rsidR="000B650C" w:rsidRDefault="009F3E03">
      <w:pPr>
        <w:spacing w:before="1" w:line="180" w:lineRule="exact"/>
        <w:ind w:left="1723" w:right="1" w:firstLine="226"/>
        <w:jc w:val="both"/>
        <w:rPr>
          <w:b/>
          <w:sz w:val="16"/>
        </w:rPr>
      </w:pPr>
      <w:r>
        <w:rPr>
          <w:b/>
          <w:color w:val="231F20"/>
          <w:sz w:val="16"/>
        </w:rPr>
        <w:t>All patients transplanted for hepatitis C (HCV</w:t>
      </w:r>
      <w:proofErr w:type="gramStart"/>
      <w:r>
        <w:rPr>
          <w:b/>
          <w:color w:val="231F20"/>
          <w:sz w:val="16"/>
        </w:rPr>
        <w:t>)-</w:t>
      </w:r>
      <w:proofErr w:type="gramEnd"/>
      <w:r>
        <w:rPr>
          <w:b/>
          <w:color w:val="231F20"/>
          <w:sz w:val="16"/>
        </w:rPr>
        <w:t xml:space="preserve"> related cirrhosis will experience a  recurrence  of  the  viral  disease  on  the liver graft with an accelerated course of the disease and a progression to advanced liver fibrosis in up to 50% of the patien</w:t>
      </w:r>
      <w:r>
        <w:rPr>
          <w:b/>
          <w:color w:val="231F20"/>
          <w:sz w:val="16"/>
        </w:rPr>
        <w:t>ts at 5 years post-liver transplantation. HCV infection is a high risk for graft</w:t>
      </w:r>
      <w:r>
        <w:rPr>
          <w:b/>
          <w:color w:val="231F20"/>
          <w:spacing w:val="5"/>
          <w:sz w:val="16"/>
        </w:rPr>
        <w:t xml:space="preserve"> </w:t>
      </w:r>
      <w:r>
        <w:rPr>
          <w:b/>
          <w:color w:val="231F20"/>
          <w:sz w:val="16"/>
        </w:rPr>
        <w:t>lost.</w:t>
      </w:r>
    </w:p>
    <w:p w:rsidR="000B650C" w:rsidRDefault="009F3E03">
      <w:pPr>
        <w:spacing w:line="180" w:lineRule="exact"/>
        <w:ind w:left="1723" w:firstLine="226"/>
        <w:jc w:val="both"/>
        <w:rPr>
          <w:b/>
          <w:sz w:val="16"/>
        </w:rPr>
      </w:pPr>
      <w:r>
        <w:rPr>
          <w:b/>
          <w:color w:val="231F20"/>
          <w:sz w:val="16"/>
        </w:rPr>
        <w:t>We report here three cases of patients transplanted for hepatocellular carcinoma on HCV-related cirrhosis. All cases experienced an acute cellular rejection after the en</w:t>
      </w:r>
      <w:r>
        <w:rPr>
          <w:b/>
          <w:color w:val="231F20"/>
          <w:sz w:val="16"/>
        </w:rPr>
        <w:t>d of HCV therapy with direct acting antivirals (DAAs).</w:t>
      </w:r>
    </w:p>
    <w:p w:rsidR="000B650C" w:rsidRDefault="009F3E03">
      <w:pPr>
        <w:spacing w:line="180" w:lineRule="exact"/>
        <w:ind w:left="1723" w:firstLine="226"/>
        <w:jc w:val="both"/>
        <w:rPr>
          <w:sz w:val="16"/>
        </w:rPr>
      </w:pPr>
      <w:r>
        <w:rPr>
          <w:b/>
          <w:color w:val="231F20"/>
          <w:spacing w:val="-5"/>
          <w:sz w:val="16"/>
        </w:rPr>
        <w:t xml:space="preserve">We </w:t>
      </w:r>
      <w:r>
        <w:rPr>
          <w:b/>
          <w:color w:val="231F20"/>
          <w:sz w:val="16"/>
        </w:rPr>
        <w:t>thus advocate for a close monitoring of tacrolimus and</w:t>
      </w:r>
      <w:r>
        <w:rPr>
          <w:b/>
          <w:color w:val="231F20"/>
          <w:spacing w:val="-20"/>
          <w:sz w:val="16"/>
        </w:rPr>
        <w:t xml:space="preserve"> </w:t>
      </w:r>
      <w:r>
        <w:rPr>
          <w:b/>
          <w:color w:val="231F20"/>
          <w:sz w:val="16"/>
        </w:rPr>
        <w:t>liver tests even a few months after the end of the treatment. Clinicians using DAAs after liver transplantation should be aware of the dynamics</w:t>
      </w:r>
      <w:r>
        <w:rPr>
          <w:b/>
          <w:color w:val="231F20"/>
          <w:sz w:val="16"/>
        </w:rPr>
        <w:t xml:space="preserve"> of tacrolimus levels during therapy and immunological changes that can occur even several weeks (or months) after the end of DAA treatment. </w:t>
      </w:r>
      <w:r>
        <w:rPr>
          <w:color w:val="231F20"/>
          <w:sz w:val="16"/>
        </w:rPr>
        <w:t>(</w:t>
      </w:r>
      <w:proofErr w:type="spellStart"/>
      <w:r>
        <w:rPr>
          <w:color w:val="231F20"/>
          <w:sz w:val="16"/>
        </w:rPr>
        <w:t>Acta</w:t>
      </w:r>
      <w:proofErr w:type="spellEnd"/>
      <w:r>
        <w:rPr>
          <w:color w:val="231F20"/>
          <w:sz w:val="16"/>
        </w:rPr>
        <w:t xml:space="preserve"> </w:t>
      </w:r>
      <w:proofErr w:type="spellStart"/>
      <w:r>
        <w:rPr>
          <w:color w:val="231F20"/>
          <w:sz w:val="16"/>
        </w:rPr>
        <w:t>gastroenterol</w:t>
      </w:r>
      <w:proofErr w:type="spellEnd"/>
      <w:r>
        <w:rPr>
          <w:color w:val="231F20"/>
          <w:sz w:val="16"/>
        </w:rPr>
        <w:t xml:space="preserve">. </w:t>
      </w:r>
      <w:proofErr w:type="spellStart"/>
      <w:proofErr w:type="gramStart"/>
      <w:r>
        <w:rPr>
          <w:color w:val="231F20"/>
          <w:sz w:val="16"/>
        </w:rPr>
        <w:t>belg</w:t>
      </w:r>
      <w:proofErr w:type="gramEnd"/>
      <w:r>
        <w:rPr>
          <w:color w:val="231F20"/>
          <w:sz w:val="16"/>
        </w:rPr>
        <w:t>.</w:t>
      </w:r>
      <w:proofErr w:type="spellEnd"/>
      <w:r>
        <w:rPr>
          <w:color w:val="231F20"/>
          <w:sz w:val="16"/>
        </w:rPr>
        <w:t xml:space="preserve">, </w:t>
      </w:r>
      <w:r>
        <w:rPr>
          <w:b/>
          <w:color w:val="231F20"/>
          <w:sz w:val="16"/>
        </w:rPr>
        <w:t>2019</w:t>
      </w:r>
      <w:r>
        <w:rPr>
          <w:color w:val="231F20"/>
          <w:sz w:val="16"/>
        </w:rPr>
        <w:t>, 82,</w:t>
      </w:r>
      <w:r>
        <w:rPr>
          <w:color w:val="231F20"/>
          <w:spacing w:val="18"/>
          <w:sz w:val="16"/>
        </w:rPr>
        <w:t xml:space="preserve"> </w:t>
      </w:r>
      <w:r>
        <w:rPr>
          <w:b/>
          <w:color w:val="231F20"/>
          <w:sz w:val="16"/>
        </w:rPr>
        <w:t>53-56</w:t>
      </w:r>
      <w:r>
        <w:rPr>
          <w:color w:val="231F20"/>
          <w:sz w:val="16"/>
        </w:rPr>
        <w:t>).</w:t>
      </w:r>
    </w:p>
    <w:p w:rsidR="000B650C" w:rsidRDefault="000B650C">
      <w:pPr>
        <w:pStyle w:val="Corpsdetexte"/>
        <w:spacing w:before="2"/>
        <w:rPr>
          <w:sz w:val="15"/>
        </w:rPr>
      </w:pPr>
    </w:p>
    <w:p w:rsidR="000B650C" w:rsidRDefault="009F3E03">
      <w:pPr>
        <w:spacing w:line="182" w:lineRule="exact"/>
        <w:ind w:left="1723"/>
        <w:rPr>
          <w:sz w:val="16"/>
        </w:rPr>
      </w:pPr>
      <w:proofErr w:type="gramStart"/>
      <w:r>
        <w:rPr>
          <w:b/>
          <w:color w:val="231F20"/>
          <w:sz w:val="16"/>
        </w:rPr>
        <w:t xml:space="preserve">Keywords </w:t>
      </w:r>
      <w:r>
        <w:rPr>
          <w:color w:val="231F20"/>
          <w:sz w:val="16"/>
        </w:rPr>
        <w:t>:</w:t>
      </w:r>
      <w:proofErr w:type="gramEnd"/>
      <w:r>
        <w:rPr>
          <w:color w:val="231F20"/>
          <w:sz w:val="16"/>
        </w:rPr>
        <w:t xml:space="preserve"> Liver transplantation, hepatitis C, direct acting antivir</w:t>
      </w:r>
      <w:r>
        <w:rPr>
          <w:color w:val="231F20"/>
          <w:sz w:val="16"/>
        </w:rPr>
        <w:t>als.</w:t>
      </w:r>
    </w:p>
    <w:p w:rsidR="000B650C" w:rsidRDefault="009F3E03">
      <w:pPr>
        <w:spacing w:line="182" w:lineRule="exact"/>
        <w:ind w:right="2306"/>
        <w:jc w:val="center"/>
        <w:rPr>
          <w:b/>
          <w:sz w:val="16"/>
        </w:rPr>
      </w:pPr>
      <w:r>
        <w:rPr>
          <w:b/>
          <w:color w:val="231F20"/>
          <w:sz w:val="16"/>
        </w:rPr>
        <w:t>`</w:t>
      </w:r>
    </w:p>
    <w:p w:rsidR="000B650C" w:rsidRDefault="009F3E03">
      <w:pPr>
        <w:pStyle w:val="Titre1"/>
        <w:spacing w:before="139"/>
        <w:ind w:left="1723"/>
        <w:jc w:val="left"/>
      </w:pPr>
      <w:r>
        <w:rPr>
          <w:color w:val="231F20"/>
        </w:rPr>
        <w:t>Introduction</w:t>
      </w:r>
    </w:p>
    <w:p w:rsidR="000B650C" w:rsidRDefault="009F3E03">
      <w:pPr>
        <w:pStyle w:val="Corpsdetexte"/>
        <w:spacing w:before="190" w:line="249" w:lineRule="auto"/>
        <w:ind w:left="1723" w:firstLine="226"/>
        <w:jc w:val="both"/>
      </w:pPr>
      <w:r>
        <w:rPr>
          <w:color w:val="231F20"/>
        </w:rPr>
        <w:t>All patients transplanted for hepatitis C (HCV</w:t>
      </w:r>
      <w:proofErr w:type="gramStart"/>
      <w:r>
        <w:rPr>
          <w:color w:val="231F20"/>
        </w:rPr>
        <w:t>)-</w:t>
      </w:r>
      <w:proofErr w:type="gramEnd"/>
      <w:r>
        <w:rPr>
          <w:color w:val="231F20"/>
        </w:rPr>
        <w:t xml:space="preserve"> related cirrhosis will experience a recurrence of the viral disease on the liver  graft  with  an  accelerated  course of the disease and a progression to advanced liver fibrosis in up to 50% of the patients</w:t>
      </w:r>
      <w:r>
        <w:rPr>
          <w:color w:val="231F20"/>
        </w:rPr>
        <w:t xml:space="preserve"> at 5 years post-liver transplantation (1-3). </w:t>
      </w:r>
      <w:proofErr w:type="gramStart"/>
      <w:r>
        <w:rPr>
          <w:color w:val="231F20"/>
        </w:rPr>
        <w:t>HCV  recurrence</w:t>
      </w:r>
      <w:proofErr w:type="gramEnd"/>
      <w:r>
        <w:rPr>
          <w:color w:val="231F20"/>
        </w:rPr>
        <w:t xml:space="preserve">  on  liver  grafts is a major concern as it is the first cause of liver graft loss and death in liver transplant recipient with HCV infection.</w:t>
      </w:r>
    </w:p>
    <w:p w:rsidR="000B650C" w:rsidRDefault="009F3E03">
      <w:pPr>
        <w:pStyle w:val="Corpsdetexte"/>
        <w:spacing w:before="1" w:line="249" w:lineRule="auto"/>
        <w:ind w:left="1723" w:firstLine="226"/>
        <w:jc w:val="both"/>
      </w:pPr>
      <w:r>
        <w:rPr>
          <w:color w:val="231F20"/>
        </w:rPr>
        <w:t xml:space="preserve">Several recent studies have shown </w:t>
      </w:r>
      <w:proofErr w:type="gramStart"/>
      <w:r>
        <w:rPr>
          <w:color w:val="231F20"/>
        </w:rPr>
        <w:t>efficacy  and</w:t>
      </w:r>
      <w:proofErr w:type="gramEnd"/>
      <w:r>
        <w:rPr>
          <w:color w:val="231F20"/>
        </w:rPr>
        <w:t xml:space="preserve">  sa</w:t>
      </w:r>
      <w:r>
        <w:rPr>
          <w:color w:val="231F20"/>
        </w:rPr>
        <w:t>fety of direct acting antivirals (DAAs) in this special population in clinical studies as well as in real-life patients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‘cohorts.</w:t>
      </w:r>
    </w:p>
    <w:p w:rsidR="000B650C" w:rsidRDefault="009F3E03">
      <w:pPr>
        <w:pStyle w:val="Corpsdetexte"/>
        <w:spacing w:before="1" w:line="249" w:lineRule="auto"/>
        <w:ind w:left="1723" w:firstLine="226"/>
        <w:jc w:val="both"/>
      </w:pPr>
      <w:r>
        <w:rPr>
          <w:color w:val="231F20"/>
        </w:rPr>
        <w:t>We report here three cases of patients who underwent a liver transplantation for hepatocellular carcinoma (HCC) on HCV-related</w:t>
      </w:r>
      <w:r>
        <w:rPr>
          <w:color w:val="231F20"/>
        </w:rPr>
        <w:t xml:space="preserve"> cirrhosis who experienced an acute cellular rejection after the end of HCV therapy with DAAs.</w:t>
      </w:r>
    </w:p>
    <w:p w:rsidR="000B650C" w:rsidRDefault="009F3E03">
      <w:pPr>
        <w:pStyle w:val="Titre1"/>
        <w:numPr>
          <w:ilvl w:val="0"/>
          <w:numId w:val="2"/>
        </w:numPr>
        <w:tabs>
          <w:tab w:val="left" w:pos="1929"/>
        </w:tabs>
        <w:spacing w:before="181"/>
        <w:jc w:val="left"/>
      </w:pPr>
      <w:r>
        <w:rPr>
          <w:color w:val="231F20"/>
        </w:rPr>
        <w:t xml:space="preserve">Case reports </w:t>
      </w:r>
      <w:r>
        <w:rPr>
          <w:color w:val="231F20"/>
          <w:spacing w:val="-4"/>
        </w:rPr>
        <w:t>(Table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1)</w:t>
      </w:r>
    </w:p>
    <w:p w:rsidR="000B650C" w:rsidRDefault="000B650C">
      <w:pPr>
        <w:pStyle w:val="Corpsdetexte"/>
        <w:spacing w:before="8"/>
        <w:rPr>
          <w:b/>
          <w:sz w:val="21"/>
        </w:rPr>
      </w:pPr>
    </w:p>
    <w:p w:rsidR="000B650C" w:rsidRDefault="009F3E03">
      <w:pPr>
        <w:pStyle w:val="Paragraphedeliste"/>
        <w:numPr>
          <w:ilvl w:val="1"/>
          <w:numId w:val="2"/>
        </w:numPr>
        <w:tabs>
          <w:tab w:val="left" w:pos="2079"/>
        </w:tabs>
        <w:ind w:right="0"/>
        <w:jc w:val="left"/>
        <w:rPr>
          <w:i/>
          <w:sz w:val="20"/>
        </w:rPr>
      </w:pPr>
      <w:r>
        <w:rPr>
          <w:i/>
          <w:color w:val="231F20"/>
          <w:sz w:val="20"/>
        </w:rPr>
        <w:t>Case</w:t>
      </w:r>
      <w:r>
        <w:rPr>
          <w:i/>
          <w:color w:val="231F20"/>
          <w:spacing w:val="5"/>
          <w:sz w:val="20"/>
        </w:rPr>
        <w:t xml:space="preserve"> </w:t>
      </w:r>
      <w:r>
        <w:rPr>
          <w:i/>
          <w:color w:val="231F20"/>
          <w:sz w:val="20"/>
        </w:rPr>
        <w:t>1</w:t>
      </w:r>
    </w:p>
    <w:p w:rsidR="000B650C" w:rsidRDefault="000B650C">
      <w:pPr>
        <w:pStyle w:val="Corpsdetexte"/>
        <w:spacing w:before="8"/>
        <w:rPr>
          <w:i/>
          <w:sz w:val="21"/>
        </w:rPr>
      </w:pPr>
    </w:p>
    <w:p w:rsidR="000B650C" w:rsidRDefault="009F3E03">
      <w:pPr>
        <w:pStyle w:val="Corpsdetexte"/>
        <w:spacing w:line="249" w:lineRule="auto"/>
        <w:ind w:left="1723" w:firstLine="226"/>
        <w:jc w:val="both"/>
      </w:pPr>
      <w:r>
        <w:rPr>
          <w:color w:val="231F20"/>
        </w:rPr>
        <w:t xml:space="preserve">Patient 1 was a 61-year-old lady with chronic HCV genotype 4 </w:t>
      </w:r>
      <w:proofErr w:type="gramStart"/>
      <w:r>
        <w:rPr>
          <w:color w:val="231F20"/>
        </w:rPr>
        <w:t>infection</w:t>
      </w:r>
      <w:proofErr w:type="gramEnd"/>
      <w:r>
        <w:rPr>
          <w:color w:val="231F20"/>
        </w:rPr>
        <w:t xml:space="preserve">. She had previously been treated with </w:t>
      </w:r>
      <w:proofErr w:type="spellStart"/>
      <w:r>
        <w:rPr>
          <w:color w:val="231F20"/>
        </w:rPr>
        <w:t>pegylated</w:t>
      </w:r>
      <w:proofErr w:type="spellEnd"/>
      <w:r>
        <w:rPr>
          <w:color w:val="231F20"/>
        </w:rPr>
        <w:t xml:space="preserve"> interferon and ribavirin in 2009 without </w:t>
      </w:r>
      <w:proofErr w:type="spellStart"/>
      <w:r>
        <w:rPr>
          <w:color w:val="231F20"/>
        </w:rPr>
        <w:t>virological</w:t>
      </w:r>
      <w:proofErr w:type="spellEnd"/>
      <w:r>
        <w:rPr>
          <w:color w:val="231F20"/>
        </w:rPr>
        <w:t xml:space="preserve"> response and had developed an interferon- induced diabetes mellitus. She developed e</w:t>
      </w:r>
      <w:r>
        <w:rPr>
          <w:color w:val="231F20"/>
        </w:rPr>
        <w:t>nd-stage liver</w:t>
      </w:r>
    </w:p>
    <w:p w:rsidR="000B650C" w:rsidRDefault="009F3E03">
      <w:pPr>
        <w:pStyle w:val="Corpsdetexte"/>
        <w:spacing w:before="92" w:line="249" w:lineRule="auto"/>
        <w:ind w:left="466" w:right="1779"/>
        <w:jc w:val="both"/>
      </w:pPr>
      <w:r>
        <w:br w:type="column"/>
      </w:r>
      <w:proofErr w:type="gramStart"/>
      <w:r>
        <w:rPr>
          <w:color w:val="231F20"/>
        </w:rPr>
        <w:lastRenderedPageBreak/>
        <w:t>disease</w:t>
      </w:r>
      <w:proofErr w:type="gramEnd"/>
      <w:r>
        <w:rPr>
          <w:color w:val="231F20"/>
        </w:rPr>
        <w:t xml:space="preserve"> and hepatocellular carcinoma (HCC) in 2010 leading to a liver transplantation in </w:t>
      </w:r>
      <w:proofErr w:type="spellStart"/>
      <w:r>
        <w:rPr>
          <w:color w:val="231F20"/>
        </w:rPr>
        <w:t>Septembre</w:t>
      </w:r>
      <w:proofErr w:type="spellEnd"/>
      <w:r>
        <w:rPr>
          <w:color w:val="231F20"/>
        </w:rPr>
        <w:t xml:space="preserve"> 2011.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 xml:space="preserve">Her immunosuppression was based on tacrolimus 1.5mg/day in monotherapy, stable since 2013. The trough levels were 5-7 ng/mL before the </w:t>
      </w:r>
      <w:r>
        <w:rPr>
          <w:color w:val="231F20"/>
        </w:rPr>
        <w:t xml:space="preserve">beginning of the antiviral treatment. A liver biopsy was performed in October 2015 showing features of chronic hepatitis compatible with HCV infection with fibrosis stage F2 </w:t>
      </w:r>
      <w:r>
        <w:rPr>
          <w:color w:val="231F20"/>
          <w:spacing w:val="-5"/>
        </w:rPr>
        <w:t xml:space="preserve">(METAVIR.) </w:t>
      </w:r>
      <w:r>
        <w:rPr>
          <w:color w:val="231F20"/>
        </w:rPr>
        <w:t>The viral load at the beginning of the treatment was 5,654,133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IU/</w:t>
      </w:r>
      <w:proofErr w:type="spellStart"/>
      <w:r>
        <w:rPr>
          <w:color w:val="231F20"/>
        </w:rPr>
        <w:t>mL.</w:t>
      </w:r>
      <w:proofErr w:type="spellEnd"/>
    </w:p>
    <w:p w:rsidR="000B650C" w:rsidRDefault="009F3E03">
      <w:pPr>
        <w:pStyle w:val="Corpsdetexte"/>
        <w:spacing w:before="1" w:line="249" w:lineRule="auto"/>
        <w:ind w:left="466" w:right="1778" w:firstLine="226"/>
        <w:jc w:val="both"/>
      </w:pPr>
      <w:r>
        <w:rPr>
          <w:color w:val="231F20"/>
        </w:rPr>
        <w:t xml:space="preserve">A treatment with </w:t>
      </w:r>
      <w:proofErr w:type="spellStart"/>
      <w:r>
        <w:rPr>
          <w:color w:val="231F20"/>
        </w:rPr>
        <w:t>ombitasvir</w:t>
      </w:r>
      <w:proofErr w:type="spellEnd"/>
      <w:r>
        <w:rPr>
          <w:color w:val="231F20"/>
        </w:rPr>
        <w:t>/</w:t>
      </w:r>
      <w:proofErr w:type="spellStart"/>
      <w:r>
        <w:rPr>
          <w:color w:val="231F20"/>
        </w:rPr>
        <w:t>paritaprevir</w:t>
      </w:r>
      <w:proofErr w:type="spellEnd"/>
      <w:r>
        <w:rPr>
          <w:color w:val="231F20"/>
        </w:rPr>
        <w:t>/ritonavir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 xml:space="preserve">and Ribavirin (dose of 800 mg/day) was begun in May 2016 and ended 12 weeks later. The dose of tacrolimus was reduced during the treatment. At the end of the antiviral treatment the dose was </w:t>
      </w:r>
      <w:proofErr w:type="spellStart"/>
      <w:r>
        <w:rPr>
          <w:color w:val="231F20"/>
        </w:rPr>
        <w:t>reincreased</w:t>
      </w:r>
      <w:proofErr w:type="spellEnd"/>
      <w:r>
        <w:rPr>
          <w:color w:val="231F20"/>
        </w:rPr>
        <w:t xml:space="preserve"> at</w:t>
      </w:r>
      <w:r>
        <w:rPr>
          <w:color w:val="231F20"/>
        </w:rPr>
        <w:t xml:space="preserve"> 1mg/day with trough levels </w:t>
      </w:r>
      <w:proofErr w:type="gramStart"/>
      <w:r>
        <w:rPr>
          <w:color w:val="231F20"/>
        </w:rPr>
        <w:t>of 8 ng/</w:t>
      </w:r>
      <w:proofErr w:type="spellStart"/>
      <w:r>
        <w:rPr>
          <w:color w:val="231F20"/>
        </w:rPr>
        <w:t>mL</w:t>
      </w:r>
      <w:proofErr w:type="gramEnd"/>
      <w:r>
        <w:rPr>
          <w:color w:val="231F20"/>
        </w:rPr>
        <w:t>.</w:t>
      </w:r>
      <w:proofErr w:type="spellEnd"/>
      <w:r>
        <w:rPr>
          <w:color w:val="231F20"/>
        </w:rPr>
        <w:t xml:space="preserve"> Sustained </w:t>
      </w:r>
      <w:proofErr w:type="spellStart"/>
      <w:r>
        <w:rPr>
          <w:color w:val="231F20"/>
        </w:rPr>
        <w:t>virological</w:t>
      </w:r>
      <w:proofErr w:type="spellEnd"/>
      <w:r>
        <w:rPr>
          <w:color w:val="231F20"/>
        </w:rPr>
        <w:t xml:space="preserve"> response (SVR) was observed 12 weeks after completing the treatment.</w:t>
      </w:r>
    </w:p>
    <w:p w:rsidR="000B650C" w:rsidRDefault="009F3E03">
      <w:pPr>
        <w:pStyle w:val="Corpsdetexte"/>
        <w:spacing w:before="1" w:line="249" w:lineRule="auto"/>
        <w:ind w:left="466" w:right="1778" w:firstLine="226"/>
        <w:jc w:val="both"/>
      </w:pPr>
      <w:proofErr w:type="gramStart"/>
      <w:r>
        <w:rPr>
          <w:color w:val="231F20"/>
        </w:rPr>
        <w:t>A  5</w:t>
      </w:r>
      <w:proofErr w:type="gramEnd"/>
      <w:r>
        <w:rPr>
          <w:color w:val="231F20"/>
        </w:rPr>
        <w:t>-year  protocol   liver   biopsy   was   performed in October 2016 showing no rejection and a status compatible with post</w:t>
      </w:r>
      <w:r>
        <w:rPr>
          <w:color w:val="231F20"/>
        </w:rPr>
        <w:t>-HCV treatment. Fibrosis was graded METAVIR F1.</w:t>
      </w:r>
    </w:p>
    <w:p w:rsidR="000B650C" w:rsidRDefault="009F3E03">
      <w:pPr>
        <w:pStyle w:val="Corpsdetexte"/>
        <w:spacing w:before="1" w:line="249" w:lineRule="auto"/>
        <w:ind w:left="466" w:right="1778" w:firstLine="226"/>
        <w:jc w:val="both"/>
      </w:pPr>
      <w:r>
        <w:rPr>
          <w:color w:val="231F20"/>
        </w:rPr>
        <w:t>In February 2017 the patient experienced an elevation in ALT and AST levels at respectively 2 and 3-fold the upper limit of normal values (ULN). Tacrolimus trough levels were 3.5ng/mL with a good adherence. H</w:t>
      </w:r>
      <w:r>
        <w:rPr>
          <w:color w:val="231F20"/>
        </w:rPr>
        <w:t>CV- RNA PCR was again negative. Tacrolimus dose was increased at 1.5 mg/day with a control trough level at</w:t>
      </w:r>
    </w:p>
    <w:p w:rsidR="000B650C" w:rsidRDefault="009F3E03">
      <w:pPr>
        <w:pStyle w:val="Corpsdetexte"/>
        <w:spacing w:before="1" w:line="249" w:lineRule="auto"/>
        <w:ind w:left="466" w:right="1778"/>
        <w:jc w:val="both"/>
      </w:pPr>
      <w:proofErr w:type="gramStart"/>
      <w:r>
        <w:rPr>
          <w:color w:val="231F20"/>
        </w:rPr>
        <w:t>7.2 ng/</w:t>
      </w:r>
      <w:proofErr w:type="spellStart"/>
      <w:r>
        <w:rPr>
          <w:color w:val="231F20"/>
        </w:rPr>
        <w:t>mL.</w:t>
      </w:r>
      <w:proofErr w:type="spellEnd"/>
      <w:proofErr w:type="gramEnd"/>
      <w:r>
        <w:rPr>
          <w:color w:val="231F20"/>
        </w:rPr>
        <w:t xml:space="preserve"> However we observed a worsening of the liver tests. Mycophenolate </w:t>
      </w:r>
      <w:proofErr w:type="spellStart"/>
      <w:r>
        <w:rPr>
          <w:color w:val="231F20"/>
        </w:rPr>
        <w:t>Mofetil</w:t>
      </w:r>
      <w:proofErr w:type="spellEnd"/>
      <w:r>
        <w:rPr>
          <w:color w:val="231F20"/>
        </w:rPr>
        <w:t xml:space="preserve"> was added at 500 mg twice </w:t>
      </w:r>
      <w:r>
        <w:rPr>
          <w:color w:val="231F20"/>
          <w:spacing w:val="-3"/>
        </w:rPr>
        <w:t xml:space="preserve">daily. </w:t>
      </w:r>
      <w:r>
        <w:rPr>
          <w:color w:val="231F20"/>
        </w:rPr>
        <w:t>A complete work-up was made including a new liver biopsy in March 2017 (Figure 1A) showing features of acute rejection (Banff P2D0V0.) The liver tests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progressively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improved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normalized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 end of April 2017 and remained stable since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4"/>
        </w:rPr>
        <w:t>now.</w:t>
      </w:r>
    </w:p>
    <w:p w:rsidR="000B650C" w:rsidRDefault="000B650C">
      <w:pPr>
        <w:pStyle w:val="Corpsdetexte"/>
        <w:spacing w:before="11"/>
      </w:pPr>
    </w:p>
    <w:p w:rsidR="000B650C" w:rsidRDefault="009F3E03">
      <w:pPr>
        <w:pStyle w:val="Paragraphedeliste"/>
        <w:numPr>
          <w:ilvl w:val="1"/>
          <w:numId w:val="2"/>
        </w:numPr>
        <w:tabs>
          <w:tab w:val="left" w:pos="822"/>
        </w:tabs>
        <w:ind w:left="821" w:right="0"/>
        <w:jc w:val="both"/>
        <w:rPr>
          <w:i/>
          <w:sz w:val="20"/>
        </w:rPr>
      </w:pPr>
      <w:r>
        <w:rPr>
          <w:i/>
          <w:color w:val="231F20"/>
          <w:sz w:val="20"/>
        </w:rPr>
        <w:t>Case</w:t>
      </w:r>
      <w:r>
        <w:rPr>
          <w:i/>
          <w:color w:val="231F20"/>
          <w:spacing w:val="5"/>
          <w:sz w:val="20"/>
        </w:rPr>
        <w:t xml:space="preserve"> </w:t>
      </w:r>
      <w:r>
        <w:rPr>
          <w:i/>
          <w:color w:val="231F20"/>
          <w:sz w:val="20"/>
        </w:rPr>
        <w:t>2</w:t>
      </w:r>
    </w:p>
    <w:p w:rsidR="000B650C" w:rsidRDefault="000B650C">
      <w:pPr>
        <w:pStyle w:val="Corpsdetexte"/>
        <w:spacing w:before="8"/>
        <w:rPr>
          <w:i/>
          <w:sz w:val="21"/>
        </w:rPr>
      </w:pPr>
    </w:p>
    <w:p w:rsidR="000B650C" w:rsidRDefault="009F3E03">
      <w:pPr>
        <w:pStyle w:val="Corpsdetexte"/>
        <w:spacing w:line="249" w:lineRule="auto"/>
        <w:ind w:left="466" w:right="1774" w:firstLine="226"/>
        <w:jc w:val="both"/>
      </w:pPr>
      <w:r>
        <w:rPr>
          <w:color w:val="231F20"/>
        </w:rPr>
        <w:t xml:space="preserve">Patient 2 was a 49 year-old man with a chronic HCV infection, genotype 3. He had experienced three </w:t>
      </w:r>
      <w:proofErr w:type="gramStart"/>
      <w:r>
        <w:rPr>
          <w:color w:val="231F20"/>
        </w:rPr>
        <w:t>lines  of</w:t>
      </w:r>
      <w:proofErr w:type="gramEnd"/>
    </w:p>
    <w:p w:rsidR="000B650C" w:rsidRDefault="000B650C">
      <w:pPr>
        <w:pStyle w:val="Corpsdetexte"/>
      </w:pPr>
    </w:p>
    <w:p w:rsidR="000B650C" w:rsidRDefault="009F3E03">
      <w:pPr>
        <w:pStyle w:val="Corpsdetexte"/>
        <w:spacing w:before="7"/>
        <w:rPr>
          <w:sz w:val="17"/>
        </w:rPr>
      </w:pPr>
      <w:r>
        <w:pict>
          <v:line id="_x0000_s1026" style="position:absolute;z-index:251662336;mso-wrap-distance-left:0;mso-wrap-distance-right:0;mso-position-horizontal-relative:page" from="338.5pt,12.35pt" to="395.15pt,12.35pt" strokecolor="#231f20" strokeweight=".5pt">
            <w10:wrap type="topAndBottom" anchorx="page"/>
          </v:line>
        </w:pict>
      </w:r>
    </w:p>
    <w:p w:rsidR="000B650C" w:rsidRDefault="000B650C">
      <w:pPr>
        <w:pStyle w:val="Corpsdetexte"/>
        <w:rPr>
          <w:sz w:val="14"/>
        </w:rPr>
      </w:pPr>
    </w:p>
    <w:p w:rsidR="000B650C" w:rsidRDefault="000B650C">
      <w:pPr>
        <w:pStyle w:val="Corpsdetexte"/>
        <w:spacing w:before="3"/>
        <w:rPr>
          <w:sz w:val="14"/>
        </w:rPr>
      </w:pPr>
    </w:p>
    <w:p w:rsidR="000B650C" w:rsidRDefault="000B650C">
      <w:pPr>
        <w:jc w:val="both"/>
        <w:rPr>
          <w:sz w:val="16"/>
        </w:rPr>
        <w:sectPr w:rsidR="000B650C">
          <w:type w:val="continuous"/>
          <w:pgSz w:w="13090" w:h="18020"/>
          <w:pgMar w:top="580" w:right="0" w:bottom="580" w:left="0" w:header="720" w:footer="720" w:gutter="0"/>
          <w:cols w:num="2" w:space="720" w:equalWidth="0">
            <w:col w:w="6264" w:space="40"/>
            <w:col w:w="6786"/>
          </w:cols>
        </w:sectPr>
      </w:pPr>
    </w:p>
    <w:p w:rsidR="000B650C" w:rsidRDefault="000B650C">
      <w:pPr>
        <w:pStyle w:val="Corpsdetexte"/>
        <w:rPr>
          <w:i/>
        </w:rPr>
      </w:pPr>
    </w:p>
    <w:p w:rsidR="000B650C" w:rsidRDefault="000B650C">
      <w:pPr>
        <w:pStyle w:val="Corpsdetexte"/>
        <w:rPr>
          <w:i/>
        </w:rPr>
      </w:pPr>
    </w:p>
    <w:p w:rsidR="000B650C" w:rsidRDefault="000B650C">
      <w:pPr>
        <w:pStyle w:val="Corpsdetexte"/>
        <w:rPr>
          <w:i/>
        </w:rPr>
      </w:pPr>
    </w:p>
    <w:p w:rsidR="000B650C" w:rsidRDefault="009F3E03">
      <w:pPr>
        <w:tabs>
          <w:tab w:val="left" w:pos="9738"/>
        </w:tabs>
        <w:spacing w:before="60"/>
        <w:ind w:left="1780"/>
      </w:pPr>
      <w:r>
        <w:rPr>
          <w:color w:val="231F20"/>
        </w:rPr>
        <w:tab/>
      </w:r>
      <w:r>
        <w:rPr>
          <w:i/>
          <w:color w:val="231F20"/>
        </w:rPr>
        <w:t xml:space="preserve">G. </w:t>
      </w:r>
      <w:proofErr w:type="spellStart"/>
      <w:r>
        <w:rPr>
          <w:i/>
          <w:color w:val="231F20"/>
        </w:rPr>
        <w:t>Dahlqvist</w:t>
      </w:r>
      <w:proofErr w:type="spellEnd"/>
      <w:r>
        <w:rPr>
          <w:i/>
          <w:color w:val="231F20"/>
        </w:rPr>
        <w:t xml:space="preserve"> </w:t>
      </w:r>
      <w:r>
        <w:rPr>
          <w:color w:val="231F20"/>
        </w:rPr>
        <w:t>et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al.</w:t>
      </w:r>
    </w:p>
    <w:p w:rsidR="000B650C" w:rsidRDefault="000B650C">
      <w:pPr>
        <w:pStyle w:val="Corpsdetexte"/>
        <w:spacing w:before="3"/>
        <w:rPr>
          <w:sz w:val="17"/>
        </w:rPr>
      </w:pPr>
    </w:p>
    <w:p w:rsidR="000B650C" w:rsidRDefault="009F3E03">
      <w:pPr>
        <w:spacing w:before="92"/>
        <w:ind w:left="5172" w:right="5172"/>
        <w:jc w:val="center"/>
        <w:rPr>
          <w:b/>
          <w:sz w:val="18"/>
        </w:rPr>
      </w:pPr>
      <w:proofErr w:type="gramStart"/>
      <w:r>
        <w:rPr>
          <w:color w:val="231F20"/>
          <w:sz w:val="18"/>
        </w:rPr>
        <w:t>Table 1.</w:t>
      </w:r>
      <w:proofErr w:type="gramEnd"/>
      <w:r>
        <w:rPr>
          <w:color w:val="231F20"/>
          <w:sz w:val="18"/>
        </w:rPr>
        <w:t xml:space="preserve"> — </w:t>
      </w:r>
      <w:r>
        <w:rPr>
          <w:b/>
          <w:color w:val="231F20"/>
          <w:sz w:val="18"/>
        </w:rPr>
        <w:t>Patients’ characteristics</w:t>
      </w:r>
    </w:p>
    <w:p w:rsidR="000B650C" w:rsidRDefault="000B650C">
      <w:pPr>
        <w:pStyle w:val="Corpsdetexte"/>
        <w:rPr>
          <w:b/>
          <w:sz w:val="14"/>
        </w:rPr>
      </w:pPr>
    </w:p>
    <w:tbl>
      <w:tblPr>
        <w:tblStyle w:val="TableNormal"/>
        <w:tblW w:w="0" w:type="auto"/>
        <w:tblInd w:w="2585" w:type="dxa"/>
        <w:tblBorders>
          <w:top w:val="single" w:sz="5" w:space="0" w:color="231F20"/>
          <w:left w:val="single" w:sz="5" w:space="0" w:color="231F20"/>
          <w:bottom w:val="single" w:sz="5" w:space="0" w:color="231F20"/>
          <w:right w:val="single" w:sz="5" w:space="0" w:color="231F20"/>
          <w:insideH w:val="single" w:sz="5" w:space="0" w:color="231F20"/>
          <w:insideV w:val="single" w:sz="5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408"/>
        <w:gridCol w:w="386"/>
        <w:gridCol w:w="3231"/>
        <w:gridCol w:w="405"/>
        <w:gridCol w:w="408"/>
        <w:gridCol w:w="420"/>
        <w:gridCol w:w="420"/>
        <w:gridCol w:w="374"/>
        <w:gridCol w:w="363"/>
        <w:gridCol w:w="340"/>
        <w:gridCol w:w="374"/>
        <w:gridCol w:w="300"/>
      </w:tblGrid>
      <w:tr w:rsidR="000B650C">
        <w:trPr>
          <w:trHeight w:hRule="exact" w:val="3855"/>
        </w:trPr>
        <w:tc>
          <w:tcPr>
            <w:tcW w:w="425" w:type="dxa"/>
            <w:tcBorders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112"/>
              <w:ind w:left="110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Patient</w:t>
            </w:r>
          </w:p>
        </w:tc>
        <w:tc>
          <w:tcPr>
            <w:tcW w:w="408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ind w:left="110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Ag</w:t>
            </w:r>
            <w:r>
              <w:rPr>
                <w:color w:val="231F20"/>
                <w:sz w:val="16"/>
              </w:rPr>
              <w:t>e  (</w:t>
            </w:r>
            <w:r>
              <w:rPr>
                <w:color w:val="231F20"/>
                <w:spacing w:val="-16"/>
                <w:sz w:val="16"/>
              </w:rPr>
              <w:t>Y</w:t>
            </w:r>
            <w:r>
              <w:rPr>
                <w:color w:val="231F20"/>
                <w:sz w:val="16"/>
              </w:rPr>
              <w:t>ears)</w:t>
            </w:r>
          </w:p>
        </w:tc>
        <w:tc>
          <w:tcPr>
            <w:tcW w:w="386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96"/>
              <w:ind w:left="110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Ag</w:t>
            </w:r>
            <w:r>
              <w:rPr>
                <w:color w:val="231F20"/>
                <w:sz w:val="16"/>
              </w:rPr>
              <w:t>e at transplantation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</w:t>
            </w:r>
            <w:r>
              <w:rPr>
                <w:color w:val="231F20"/>
                <w:spacing w:val="-17"/>
                <w:sz w:val="16"/>
              </w:rPr>
              <w:t>Y</w:t>
            </w:r>
            <w:r>
              <w:rPr>
                <w:color w:val="231F20"/>
                <w:sz w:val="16"/>
              </w:rPr>
              <w:t>ears)</w:t>
            </w:r>
          </w:p>
        </w:tc>
        <w:tc>
          <w:tcPr>
            <w:tcW w:w="3231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0B650C">
            <w:pPr>
              <w:pStyle w:val="TableParagraph"/>
              <w:spacing w:before="2" w:after="1"/>
              <w:rPr>
                <w:b/>
                <w:sz w:val="12"/>
              </w:rPr>
            </w:pPr>
          </w:p>
          <w:p w:rsidR="000B650C" w:rsidRDefault="000B650C">
            <w:pPr>
              <w:pStyle w:val="TableParagraph"/>
              <w:spacing w:before="0"/>
              <w:ind w:left="929"/>
              <w:rPr>
                <w:sz w:val="20"/>
              </w:rPr>
            </w:pPr>
          </w:p>
          <w:p w:rsidR="000B650C" w:rsidRDefault="000B650C">
            <w:pPr>
              <w:pStyle w:val="TableParagraph"/>
              <w:spacing w:before="0"/>
              <w:rPr>
                <w:b/>
                <w:sz w:val="18"/>
              </w:rPr>
            </w:pPr>
          </w:p>
          <w:p w:rsidR="000B650C" w:rsidRDefault="000B650C">
            <w:pPr>
              <w:pStyle w:val="TableParagraph"/>
              <w:spacing w:before="0"/>
              <w:rPr>
                <w:b/>
                <w:sz w:val="18"/>
              </w:rPr>
            </w:pPr>
          </w:p>
          <w:p w:rsidR="000B650C" w:rsidRDefault="000B650C">
            <w:pPr>
              <w:pStyle w:val="TableParagraph"/>
              <w:spacing w:before="0"/>
              <w:rPr>
                <w:b/>
                <w:sz w:val="18"/>
              </w:rPr>
            </w:pPr>
          </w:p>
          <w:p w:rsidR="000B650C" w:rsidRDefault="000B650C">
            <w:pPr>
              <w:pStyle w:val="TableParagraph"/>
              <w:spacing w:before="0"/>
              <w:rPr>
                <w:b/>
                <w:sz w:val="18"/>
              </w:rPr>
            </w:pPr>
          </w:p>
          <w:p w:rsidR="000B650C" w:rsidRDefault="000B650C">
            <w:pPr>
              <w:pStyle w:val="TableParagraph"/>
              <w:spacing w:before="8"/>
              <w:rPr>
                <w:b/>
                <w:sz w:val="26"/>
              </w:rPr>
            </w:pPr>
          </w:p>
          <w:p w:rsidR="000B650C" w:rsidRDefault="009F3E03">
            <w:pPr>
              <w:pStyle w:val="TableParagraph"/>
              <w:spacing w:before="0"/>
              <w:ind w:left="110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Anti-HC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treatment</w:t>
            </w:r>
          </w:p>
        </w:tc>
        <w:tc>
          <w:tcPr>
            <w:tcW w:w="405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105"/>
              <w:ind w:left="110"/>
              <w:rPr>
                <w:sz w:val="16"/>
              </w:rPr>
            </w:pPr>
            <w:r>
              <w:rPr>
                <w:color w:val="231F20"/>
                <w:spacing w:val="-12"/>
                <w:sz w:val="16"/>
              </w:rPr>
              <w:t>T</w:t>
            </w:r>
            <w:r>
              <w:rPr>
                <w:color w:val="231F20"/>
                <w:sz w:val="16"/>
              </w:rPr>
              <w:t>acrolimus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trough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levels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before treatment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(ng/mL)</w:t>
            </w:r>
          </w:p>
        </w:tc>
        <w:tc>
          <w:tcPr>
            <w:tcW w:w="408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ind w:left="110"/>
              <w:rPr>
                <w:sz w:val="16"/>
              </w:rPr>
            </w:pPr>
            <w:r>
              <w:rPr>
                <w:color w:val="231F20"/>
                <w:spacing w:val="-12"/>
                <w:sz w:val="16"/>
              </w:rPr>
              <w:t>T</w:t>
            </w:r>
            <w:r>
              <w:rPr>
                <w:color w:val="231F20"/>
                <w:sz w:val="16"/>
              </w:rPr>
              <w:t>acrolimus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trough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levels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at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the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end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of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treatment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(ng/mL)</w:t>
            </w:r>
          </w:p>
        </w:tc>
        <w:tc>
          <w:tcPr>
            <w:tcW w:w="420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113"/>
              <w:ind w:left="110"/>
              <w:rPr>
                <w:sz w:val="16"/>
              </w:rPr>
            </w:pPr>
            <w:r>
              <w:rPr>
                <w:color w:val="231F20"/>
                <w:spacing w:val="-12"/>
                <w:sz w:val="16"/>
              </w:rPr>
              <w:t>T</w:t>
            </w:r>
            <w:r>
              <w:rPr>
                <w:color w:val="231F20"/>
                <w:sz w:val="16"/>
              </w:rPr>
              <w:t>acrolimus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trough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levels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at </w:t>
            </w:r>
            <w:r>
              <w:rPr>
                <w:color w:val="231F20"/>
                <w:spacing w:val="-1"/>
                <w:sz w:val="16"/>
              </w:rPr>
              <w:t>SV</w:t>
            </w:r>
            <w:r>
              <w:rPr>
                <w:color w:val="231F20"/>
                <w:sz w:val="16"/>
              </w:rPr>
              <w:t>R 3 (ng/mL)</w:t>
            </w:r>
          </w:p>
        </w:tc>
        <w:tc>
          <w:tcPr>
            <w:tcW w:w="420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113"/>
              <w:ind w:left="110"/>
              <w:rPr>
                <w:sz w:val="16"/>
              </w:rPr>
            </w:pPr>
            <w:r>
              <w:rPr>
                <w:color w:val="231F20"/>
                <w:spacing w:val="-12"/>
                <w:sz w:val="16"/>
              </w:rPr>
              <w:t>T</w:t>
            </w:r>
            <w:r>
              <w:rPr>
                <w:color w:val="231F20"/>
                <w:sz w:val="16"/>
              </w:rPr>
              <w:t>acrolimus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dosage before treatment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(mg/day)</w:t>
            </w:r>
          </w:p>
        </w:tc>
        <w:tc>
          <w:tcPr>
            <w:tcW w:w="374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90"/>
              <w:ind w:left="110"/>
              <w:rPr>
                <w:sz w:val="16"/>
              </w:rPr>
            </w:pPr>
            <w:r>
              <w:rPr>
                <w:color w:val="231F20"/>
                <w:spacing w:val="-12"/>
                <w:sz w:val="16"/>
              </w:rPr>
              <w:t>T</w:t>
            </w:r>
            <w:r>
              <w:rPr>
                <w:color w:val="231F20"/>
                <w:sz w:val="16"/>
              </w:rPr>
              <w:t>acrolimus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dosage after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treatment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(mg/day)</w:t>
            </w:r>
          </w:p>
        </w:tc>
        <w:tc>
          <w:tcPr>
            <w:tcW w:w="363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84"/>
              <w:ind w:left="110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A</w:t>
            </w:r>
            <w:r>
              <w:rPr>
                <w:color w:val="231F20"/>
                <w:spacing w:val="-15"/>
                <w:sz w:val="16"/>
              </w:rPr>
              <w:t>L</w:t>
            </w:r>
            <w:r>
              <w:rPr>
                <w:color w:val="231F20"/>
                <w:sz w:val="16"/>
              </w:rPr>
              <w:t>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before treatment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(UI/L)</w:t>
            </w:r>
          </w:p>
        </w:tc>
        <w:tc>
          <w:tcPr>
            <w:tcW w:w="340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73"/>
              <w:ind w:left="110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A</w:t>
            </w:r>
            <w:r>
              <w:rPr>
                <w:color w:val="231F20"/>
                <w:spacing w:val="-15"/>
                <w:sz w:val="16"/>
              </w:rPr>
              <w:t>L</w:t>
            </w:r>
            <w:r>
              <w:rPr>
                <w:color w:val="231F20"/>
                <w:sz w:val="16"/>
              </w:rPr>
              <w:t>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end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of treatment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(UI/L)</w:t>
            </w:r>
          </w:p>
        </w:tc>
        <w:tc>
          <w:tcPr>
            <w:tcW w:w="374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90"/>
              <w:ind w:left="110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A</w:t>
            </w:r>
            <w:r>
              <w:rPr>
                <w:color w:val="231F20"/>
                <w:spacing w:val="-15"/>
                <w:sz w:val="16"/>
              </w:rPr>
              <w:t>L</w:t>
            </w:r>
            <w:r>
              <w:rPr>
                <w:color w:val="231F20"/>
                <w:sz w:val="16"/>
              </w:rPr>
              <w:t>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at </w:t>
            </w:r>
            <w:r>
              <w:rPr>
                <w:color w:val="231F20"/>
                <w:spacing w:val="-1"/>
                <w:sz w:val="16"/>
              </w:rPr>
              <w:t>SV</w:t>
            </w:r>
            <w:r>
              <w:rPr>
                <w:color w:val="231F20"/>
                <w:sz w:val="16"/>
              </w:rPr>
              <w:t>R 3 (UI/L)</w:t>
            </w:r>
          </w:p>
        </w:tc>
        <w:tc>
          <w:tcPr>
            <w:tcW w:w="300" w:type="dxa"/>
            <w:tcBorders>
              <w:left w:val="single" w:sz="2" w:space="0" w:color="231F20"/>
              <w:bottom w:val="single" w:sz="2" w:space="0" w:color="231F20"/>
            </w:tcBorders>
            <w:textDirection w:val="btLr"/>
          </w:tcPr>
          <w:p w:rsidR="000B650C" w:rsidRDefault="009F3E03">
            <w:pPr>
              <w:pStyle w:val="TableParagraph"/>
              <w:spacing w:before="53"/>
              <w:ind w:left="110"/>
              <w:rPr>
                <w:sz w:val="16"/>
              </w:rPr>
            </w:pPr>
            <w:r>
              <w:rPr>
                <w:color w:val="231F20"/>
                <w:sz w:val="16"/>
              </w:rPr>
              <w:t>Interval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between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end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of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treatment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and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rejection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(months)</w:t>
            </w:r>
          </w:p>
        </w:tc>
      </w:tr>
      <w:tr w:rsidR="000B650C">
        <w:trPr>
          <w:trHeight w:hRule="exact" w:val="408"/>
        </w:trPr>
        <w:tc>
          <w:tcPr>
            <w:tcW w:w="425" w:type="dxa"/>
            <w:tcBorders>
              <w:top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right="167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1</w:t>
            </w:r>
          </w:p>
        </w:tc>
        <w:tc>
          <w:tcPr>
            <w:tcW w:w="4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left="121"/>
              <w:rPr>
                <w:sz w:val="16"/>
              </w:rPr>
            </w:pPr>
            <w:r>
              <w:rPr>
                <w:color w:val="231F20"/>
                <w:sz w:val="16"/>
              </w:rPr>
              <w:t>61</w:t>
            </w:r>
          </w:p>
        </w:tc>
        <w:tc>
          <w:tcPr>
            <w:tcW w:w="386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left="109"/>
              <w:rPr>
                <w:sz w:val="16"/>
              </w:rPr>
            </w:pPr>
            <w:r>
              <w:rPr>
                <w:color w:val="231F20"/>
                <w:sz w:val="16"/>
              </w:rPr>
              <w:t>55</w:t>
            </w:r>
          </w:p>
        </w:tc>
        <w:tc>
          <w:tcPr>
            <w:tcW w:w="323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left="73" w:right="73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ombitasvir</w:t>
            </w:r>
            <w:proofErr w:type="spellEnd"/>
            <w:r>
              <w:rPr>
                <w:color w:val="231F20"/>
                <w:sz w:val="16"/>
              </w:rPr>
              <w:t>/</w:t>
            </w:r>
            <w:proofErr w:type="spellStart"/>
            <w:r>
              <w:rPr>
                <w:color w:val="231F20"/>
                <w:sz w:val="16"/>
              </w:rPr>
              <w:t>paritaprevir</w:t>
            </w:r>
            <w:proofErr w:type="spellEnd"/>
            <w:r>
              <w:rPr>
                <w:color w:val="231F20"/>
                <w:sz w:val="16"/>
              </w:rPr>
              <w:t>/ritonavir and Ribavirin</w:t>
            </w:r>
          </w:p>
        </w:tc>
        <w:tc>
          <w:tcPr>
            <w:tcW w:w="40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right="97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6,6</w:t>
            </w:r>
          </w:p>
        </w:tc>
        <w:tc>
          <w:tcPr>
            <w:tcW w:w="4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12,1</w:t>
            </w:r>
          </w:p>
        </w:tc>
        <w:tc>
          <w:tcPr>
            <w:tcW w:w="4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left="166"/>
              <w:rPr>
                <w:sz w:val="16"/>
              </w:rPr>
            </w:pPr>
            <w:r>
              <w:rPr>
                <w:color w:val="231F20"/>
                <w:sz w:val="16"/>
              </w:rPr>
              <w:t>8</w:t>
            </w:r>
          </w:p>
        </w:tc>
        <w:tc>
          <w:tcPr>
            <w:tcW w:w="4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left="66"/>
              <w:rPr>
                <w:sz w:val="16"/>
              </w:rPr>
            </w:pPr>
            <w:r>
              <w:rPr>
                <w:color w:val="231F20"/>
                <w:sz w:val="16"/>
              </w:rPr>
              <w:t>1,75</w:t>
            </w:r>
          </w:p>
        </w:tc>
        <w:tc>
          <w:tcPr>
            <w:tcW w:w="374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1</w:t>
            </w:r>
          </w:p>
        </w:tc>
        <w:tc>
          <w:tcPr>
            <w:tcW w:w="36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left="38" w:right="3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32</w:t>
            </w:r>
          </w:p>
        </w:tc>
        <w:tc>
          <w:tcPr>
            <w:tcW w:w="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left="67" w:right="67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10</w:t>
            </w:r>
          </w:p>
        </w:tc>
        <w:tc>
          <w:tcPr>
            <w:tcW w:w="374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ind w:left="104"/>
              <w:rPr>
                <w:sz w:val="16"/>
              </w:rPr>
            </w:pPr>
            <w:r>
              <w:rPr>
                <w:color w:val="231F20"/>
                <w:sz w:val="16"/>
              </w:rPr>
              <w:t>57</w:t>
            </w:r>
          </w:p>
        </w:tc>
        <w:tc>
          <w:tcPr>
            <w:tcW w:w="3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</w:tcBorders>
          </w:tcPr>
          <w:p w:rsidR="000B650C" w:rsidRDefault="009F3E03">
            <w:pPr>
              <w:pStyle w:val="TableParagraph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6</w:t>
            </w:r>
          </w:p>
        </w:tc>
      </w:tr>
      <w:tr w:rsidR="000B650C">
        <w:trPr>
          <w:trHeight w:hRule="exact" w:val="397"/>
        </w:trPr>
        <w:tc>
          <w:tcPr>
            <w:tcW w:w="425" w:type="dxa"/>
            <w:tcBorders>
              <w:top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right="167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2</w:t>
            </w:r>
          </w:p>
        </w:tc>
        <w:tc>
          <w:tcPr>
            <w:tcW w:w="4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121"/>
              <w:rPr>
                <w:sz w:val="16"/>
              </w:rPr>
            </w:pPr>
            <w:r>
              <w:rPr>
                <w:color w:val="231F20"/>
                <w:sz w:val="16"/>
              </w:rPr>
              <w:t>49</w:t>
            </w:r>
          </w:p>
        </w:tc>
        <w:tc>
          <w:tcPr>
            <w:tcW w:w="386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109"/>
              <w:rPr>
                <w:sz w:val="16"/>
              </w:rPr>
            </w:pPr>
            <w:r>
              <w:rPr>
                <w:color w:val="231F20"/>
                <w:sz w:val="16"/>
              </w:rPr>
              <w:t>46</w:t>
            </w:r>
          </w:p>
        </w:tc>
        <w:tc>
          <w:tcPr>
            <w:tcW w:w="323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73" w:right="73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sofosbuvir</w:t>
            </w:r>
            <w:proofErr w:type="spellEnd"/>
            <w:r>
              <w:rPr>
                <w:color w:val="231F20"/>
                <w:sz w:val="16"/>
              </w:rPr>
              <w:t xml:space="preserve">, </w:t>
            </w:r>
            <w:proofErr w:type="spellStart"/>
            <w:r>
              <w:rPr>
                <w:color w:val="231F20"/>
                <w:sz w:val="16"/>
              </w:rPr>
              <w:t>daclatasvir</w:t>
            </w:r>
            <w:proofErr w:type="spellEnd"/>
            <w:r>
              <w:rPr>
                <w:color w:val="231F20"/>
                <w:sz w:val="16"/>
              </w:rPr>
              <w:t xml:space="preserve"> and ribavirin</w:t>
            </w:r>
          </w:p>
        </w:tc>
        <w:tc>
          <w:tcPr>
            <w:tcW w:w="40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right="97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4,4</w:t>
            </w:r>
          </w:p>
        </w:tc>
        <w:tc>
          <w:tcPr>
            <w:tcW w:w="408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41" w:right="4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4,1</w:t>
            </w:r>
          </w:p>
        </w:tc>
        <w:tc>
          <w:tcPr>
            <w:tcW w:w="4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166"/>
              <w:rPr>
                <w:sz w:val="16"/>
              </w:rPr>
            </w:pPr>
            <w:r>
              <w:rPr>
                <w:color w:val="231F20"/>
                <w:sz w:val="16"/>
              </w:rPr>
              <w:t>2</w:t>
            </w:r>
          </w:p>
        </w:tc>
        <w:tc>
          <w:tcPr>
            <w:tcW w:w="4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106"/>
              <w:rPr>
                <w:sz w:val="16"/>
              </w:rPr>
            </w:pPr>
            <w:r>
              <w:rPr>
                <w:color w:val="231F20"/>
                <w:sz w:val="16"/>
              </w:rPr>
              <w:t>1,5</w:t>
            </w:r>
          </w:p>
        </w:tc>
        <w:tc>
          <w:tcPr>
            <w:tcW w:w="374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64" w:right="6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1,5</w:t>
            </w:r>
          </w:p>
        </w:tc>
        <w:tc>
          <w:tcPr>
            <w:tcW w:w="36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38" w:right="3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57</w:t>
            </w:r>
          </w:p>
        </w:tc>
        <w:tc>
          <w:tcPr>
            <w:tcW w:w="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67" w:right="67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17</w:t>
            </w:r>
          </w:p>
        </w:tc>
        <w:tc>
          <w:tcPr>
            <w:tcW w:w="374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104"/>
              <w:rPr>
                <w:sz w:val="16"/>
              </w:rPr>
            </w:pPr>
            <w:r>
              <w:rPr>
                <w:color w:val="231F20"/>
                <w:sz w:val="16"/>
              </w:rPr>
              <w:t>29</w:t>
            </w:r>
          </w:p>
        </w:tc>
        <w:tc>
          <w:tcPr>
            <w:tcW w:w="3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</w:tcBorders>
          </w:tcPr>
          <w:p w:rsidR="000B650C" w:rsidRDefault="009F3E03">
            <w:pPr>
              <w:pStyle w:val="TableParagraph"/>
              <w:spacing w:before="10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4</w:t>
            </w:r>
          </w:p>
        </w:tc>
      </w:tr>
      <w:tr w:rsidR="000B650C">
        <w:trPr>
          <w:trHeight w:hRule="exact" w:val="391"/>
        </w:trPr>
        <w:tc>
          <w:tcPr>
            <w:tcW w:w="425" w:type="dxa"/>
            <w:tcBorders>
              <w:top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right="167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3</w:t>
            </w:r>
          </w:p>
        </w:tc>
        <w:tc>
          <w:tcPr>
            <w:tcW w:w="408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left="121"/>
              <w:rPr>
                <w:sz w:val="16"/>
              </w:rPr>
            </w:pPr>
            <w:r>
              <w:rPr>
                <w:color w:val="231F20"/>
                <w:sz w:val="16"/>
              </w:rPr>
              <w:t>56</w:t>
            </w:r>
          </w:p>
        </w:tc>
        <w:tc>
          <w:tcPr>
            <w:tcW w:w="386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left="109"/>
              <w:rPr>
                <w:sz w:val="16"/>
              </w:rPr>
            </w:pPr>
            <w:r>
              <w:rPr>
                <w:color w:val="231F20"/>
                <w:sz w:val="16"/>
              </w:rPr>
              <w:t>55</w:t>
            </w:r>
          </w:p>
        </w:tc>
        <w:tc>
          <w:tcPr>
            <w:tcW w:w="3231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left="73" w:right="73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Ombitasvir</w:t>
            </w:r>
            <w:proofErr w:type="spellEnd"/>
            <w:r>
              <w:rPr>
                <w:color w:val="231F20"/>
                <w:sz w:val="16"/>
              </w:rPr>
              <w:t>/</w:t>
            </w:r>
            <w:proofErr w:type="spellStart"/>
            <w:r>
              <w:rPr>
                <w:color w:val="231F20"/>
                <w:sz w:val="16"/>
              </w:rPr>
              <w:t>paritaprevir</w:t>
            </w:r>
            <w:proofErr w:type="spellEnd"/>
            <w:r>
              <w:rPr>
                <w:color w:val="231F20"/>
                <w:sz w:val="16"/>
              </w:rPr>
              <w:t xml:space="preserve">/ritonavir and </w:t>
            </w:r>
            <w:proofErr w:type="spellStart"/>
            <w:r>
              <w:rPr>
                <w:color w:val="231F20"/>
                <w:sz w:val="16"/>
              </w:rPr>
              <w:t>dasabuvir</w:t>
            </w:r>
            <w:proofErr w:type="spellEnd"/>
          </w:p>
        </w:tc>
        <w:tc>
          <w:tcPr>
            <w:tcW w:w="405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right="157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6</w:t>
            </w:r>
          </w:p>
        </w:tc>
        <w:tc>
          <w:tcPr>
            <w:tcW w:w="408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6</w:t>
            </w:r>
          </w:p>
        </w:tc>
        <w:tc>
          <w:tcPr>
            <w:tcW w:w="420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left="106"/>
              <w:rPr>
                <w:sz w:val="16"/>
              </w:rPr>
            </w:pPr>
            <w:r>
              <w:rPr>
                <w:color w:val="231F20"/>
                <w:sz w:val="16"/>
              </w:rPr>
              <w:t>5,3</w:t>
            </w:r>
          </w:p>
        </w:tc>
        <w:tc>
          <w:tcPr>
            <w:tcW w:w="420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left="106"/>
              <w:rPr>
                <w:sz w:val="16"/>
              </w:rPr>
            </w:pPr>
            <w:r>
              <w:rPr>
                <w:color w:val="231F20"/>
                <w:sz w:val="16"/>
              </w:rPr>
              <w:t>1,5</w:t>
            </w:r>
          </w:p>
        </w:tc>
        <w:tc>
          <w:tcPr>
            <w:tcW w:w="374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1</w:t>
            </w:r>
          </w:p>
        </w:tc>
        <w:tc>
          <w:tcPr>
            <w:tcW w:w="363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left="38" w:right="3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100</w:t>
            </w:r>
          </w:p>
        </w:tc>
        <w:tc>
          <w:tcPr>
            <w:tcW w:w="340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left="67" w:right="67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15</w:t>
            </w:r>
          </w:p>
        </w:tc>
        <w:tc>
          <w:tcPr>
            <w:tcW w:w="374" w:type="dxa"/>
            <w:tcBorders>
              <w:top w:val="single" w:sz="2" w:space="0" w:color="231F20"/>
              <w:left w:val="single" w:sz="2" w:space="0" w:color="231F20"/>
              <w:righ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left="64"/>
              <w:rPr>
                <w:sz w:val="16"/>
              </w:rPr>
            </w:pPr>
            <w:r>
              <w:rPr>
                <w:color w:val="231F20"/>
                <w:sz w:val="16"/>
              </w:rPr>
              <w:t>164</w:t>
            </w:r>
          </w:p>
        </w:tc>
        <w:tc>
          <w:tcPr>
            <w:tcW w:w="300" w:type="dxa"/>
            <w:tcBorders>
              <w:top w:val="single" w:sz="2" w:space="0" w:color="231F20"/>
              <w:left w:val="single" w:sz="2" w:space="0" w:color="231F20"/>
            </w:tcBorders>
          </w:tcPr>
          <w:p w:rsidR="000B650C" w:rsidRDefault="009F3E03">
            <w:pPr>
              <w:pStyle w:val="TableParagraph"/>
              <w:spacing w:before="98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3</w:t>
            </w:r>
          </w:p>
        </w:tc>
      </w:tr>
    </w:tbl>
    <w:p w:rsidR="000B650C" w:rsidRDefault="009F3E03">
      <w:pPr>
        <w:pStyle w:val="Corpsdetexte"/>
        <w:spacing w:before="9"/>
        <w:rPr>
          <w:b/>
          <w:sz w:val="18"/>
        </w:rPr>
      </w:pPr>
      <w:r>
        <w:rPr>
          <w:noProof/>
          <w:lang w:val="fr-BE" w:eastAsia="fr-BE"/>
        </w:rPr>
        <w:drawing>
          <wp:anchor distT="0" distB="0" distL="0" distR="0" simplePos="0" relativeHeight="251656192" behindDoc="0" locked="0" layoutInCell="1" allowOverlap="1">
            <wp:simplePos x="0" y="0"/>
            <wp:positionH relativeFrom="page">
              <wp:posOffset>1130896</wp:posOffset>
            </wp:positionH>
            <wp:positionV relativeFrom="paragraph">
              <wp:posOffset>162015</wp:posOffset>
            </wp:positionV>
            <wp:extent cx="6083810" cy="3557016"/>
            <wp:effectExtent l="0" t="0" r="0" b="0"/>
            <wp:wrapTopAndBottom/>
            <wp:docPr id="1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3810" cy="3557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B650C" w:rsidRDefault="009F3E03">
      <w:pPr>
        <w:spacing w:before="63" w:line="254" w:lineRule="auto"/>
        <w:ind w:left="1780" w:right="1622"/>
        <w:rPr>
          <w:sz w:val="18"/>
        </w:rPr>
      </w:pPr>
      <w:r w:rsidRPr="006C6007">
        <w:rPr>
          <w:color w:val="231F20"/>
          <w:sz w:val="18"/>
          <w:lang w:val="fr-BE"/>
        </w:rPr>
        <w:t xml:space="preserve">Figure 1 : A. Dense portal inflammation. </w:t>
      </w:r>
      <w:r>
        <w:rPr>
          <w:color w:val="231F20"/>
          <w:sz w:val="18"/>
        </w:rPr>
        <w:t>Banff 2/7 (P2B0V0</w:t>
      </w:r>
      <w:proofErr w:type="gramStart"/>
      <w:r>
        <w:rPr>
          <w:color w:val="231F20"/>
          <w:sz w:val="18"/>
        </w:rPr>
        <w:t>) ;</w:t>
      </w:r>
      <w:proofErr w:type="gramEnd"/>
      <w:r>
        <w:rPr>
          <w:color w:val="231F20"/>
          <w:sz w:val="18"/>
        </w:rPr>
        <w:t xml:space="preserve"> B. Image of widespread lymphocytic cholangitis ; central </w:t>
      </w:r>
      <w:proofErr w:type="spellStart"/>
      <w:r>
        <w:rPr>
          <w:color w:val="231F20"/>
          <w:sz w:val="18"/>
        </w:rPr>
        <w:t>perivenulitis</w:t>
      </w:r>
      <w:proofErr w:type="spellEnd"/>
      <w:r>
        <w:rPr>
          <w:color w:val="231F20"/>
          <w:sz w:val="18"/>
        </w:rPr>
        <w:t xml:space="preserve"> and </w:t>
      </w:r>
      <w:proofErr w:type="spellStart"/>
      <w:r>
        <w:rPr>
          <w:color w:val="231F20"/>
          <w:sz w:val="18"/>
        </w:rPr>
        <w:t>hepatocanalicular</w:t>
      </w:r>
      <w:proofErr w:type="spellEnd"/>
      <w:r>
        <w:rPr>
          <w:color w:val="231F20"/>
          <w:sz w:val="18"/>
        </w:rPr>
        <w:t xml:space="preserve"> cholestasis ; C. Acute cellular rejection. </w:t>
      </w:r>
      <w:proofErr w:type="gramStart"/>
      <w:r>
        <w:rPr>
          <w:color w:val="231F20"/>
          <w:sz w:val="18"/>
        </w:rPr>
        <w:t>Banff score 7/9 (P3B2V2).</w:t>
      </w:r>
      <w:proofErr w:type="gramEnd"/>
    </w:p>
    <w:p w:rsidR="000B650C" w:rsidRDefault="000B650C">
      <w:pPr>
        <w:pStyle w:val="Corpsdetexte"/>
        <w:spacing w:before="4"/>
        <w:rPr>
          <w:sz w:val="28"/>
        </w:rPr>
      </w:pPr>
    </w:p>
    <w:p w:rsidR="000B650C" w:rsidRDefault="000B650C">
      <w:pPr>
        <w:rPr>
          <w:sz w:val="28"/>
        </w:rPr>
        <w:sectPr w:rsidR="000B650C">
          <w:pgSz w:w="13090" w:h="18020"/>
          <w:pgMar w:top="580" w:right="0" w:bottom="580" w:left="0" w:header="0" w:footer="393" w:gutter="0"/>
          <w:cols w:space="720"/>
        </w:sectPr>
      </w:pPr>
    </w:p>
    <w:p w:rsidR="000B650C" w:rsidRDefault="009F3E03">
      <w:pPr>
        <w:pStyle w:val="Corpsdetexte"/>
        <w:spacing w:before="91" w:line="249" w:lineRule="auto"/>
        <w:ind w:left="1780"/>
        <w:jc w:val="both"/>
      </w:pPr>
      <w:proofErr w:type="gramStart"/>
      <w:r>
        <w:rPr>
          <w:color w:val="231F20"/>
        </w:rPr>
        <w:lastRenderedPageBreak/>
        <w:t>treatment</w:t>
      </w:r>
      <w:proofErr w:type="gramEnd"/>
      <w:r>
        <w:rPr>
          <w:color w:val="231F20"/>
        </w:rPr>
        <w:t xml:space="preserve"> with </w:t>
      </w:r>
      <w:proofErr w:type="spellStart"/>
      <w:r>
        <w:rPr>
          <w:color w:val="231F20"/>
        </w:rPr>
        <w:t>pegylated</w:t>
      </w:r>
      <w:proofErr w:type="spellEnd"/>
      <w:r>
        <w:rPr>
          <w:color w:val="231F20"/>
        </w:rPr>
        <w:t xml:space="preserve"> interferon and ribavirin of 48 weeks with post-treatment recurrences. He </w:t>
      </w:r>
      <w:proofErr w:type="gramStart"/>
      <w:r>
        <w:rPr>
          <w:color w:val="231F20"/>
        </w:rPr>
        <w:t>developed  an</w:t>
      </w:r>
      <w:proofErr w:type="gramEnd"/>
      <w:r>
        <w:rPr>
          <w:color w:val="231F20"/>
        </w:rPr>
        <w:t xml:space="preserve"> HCC on cirrhosis in 2007 and living donor liver transplantation was performed in 2013. He had a recurrence on the liver graft. The annual protoc</w:t>
      </w:r>
      <w:r>
        <w:rPr>
          <w:color w:val="231F20"/>
        </w:rPr>
        <w:t>ol biopsy performed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April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2015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showed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recurrence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 xml:space="preserve">hepatitis C, a </w:t>
      </w:r>
      <w:proofErr w:type="gramStart"/>
      <w:r>
        <w:rPr>
          <w:color w:val="231F20"/>
          <w:spacing w:val="-7"/>
        </w:rPr>
        <w:t xml:space="preserve">METAVIR  </w:t>
      </w:r>
      <w:r>
        <w:rPr>
          <w:color w:val="231F20"/>
        </w:rPr>
        <w:t>score</w:t>
      </w:r>
      <w:proofErr w:type="gramEnd"/>
      <w:r>
        <w:rPr>
          <w:color w:val="231F20"/>
        </w:rPr>
        <w:t xml:space="preserve"> F2 and no sign of rejection.   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The</w:t>
      </w:r>
    </w:p>
    <w:p w:rsidR="000B650C" w:rsidRDefault="009F3E03">
      <w:pPr>
        <w:pStyle w:val="Corpsdetexte"/>
        <w:spacing w:before="111" w:line="249" w:lineRule="auto"/>
        <w:ind w:left="469" w:right="1721"/>
        <w:jc w:val="both"/>
      </w:pPr>
      <w:r>
        <w:br w:type="column"/>
      </w:r>
      <w:proofErr w:type="gramStart"/>
      <w:r>
        <w:rPr>
          <w:color w:val="231F20"/>
        </w:rPr>
        <w:lastRenderedPageBreak/>
        <w:t>patient</w:t>
      </w:r>
      <w:proofErr w:type="gramEnd"/>
      <w:r>
        <w:rPr>
          <w:color w:val="231F20"/>
          <w:spacing w:val="-5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treated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August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2015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November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 xml:space="preserve">2015 with </w:t>
      </w:r>
      <w:proofErr w:type="spellStart"/>
      <w:r>
        <w:rPr>
          <w:color w:val="231F20"/>
        </w:rPr>
        <w:t>sofosbuvir</w:t>
      </w:r>
      <w:proofErr w:type="spellEnd"/>
      <w:r>
        <w:rPr>
          <w:color w:val="231F20"/>
        </w:rPr>
        <w:t xml:space="preserve">, </w:t>
      </w:r>
      <w:proofErr w:type="spellStart"/>
      <w:r>
        <w:rPr>
          <w:color w:val="231F20"/>
        </w:rPr>
        <w:t>daclatasvir</w:t>
      </w:r>
      <w:proofErr w:type="spellEnd"/>
      <w:r>
        <w:rPr>
          <w:color w:val="231F20"/>
        </w:rPr>
        <w:t xml:space="preserve"> and ribavirin (1200 mg/ </w:t>
      </w:r>
      <w:r>
        <w:rPr>
          <w:color w:val="231F20"/>
          <w:spacing w:val="-3"/>
        </w:rPr>
        <w:t xml:space="preserve">day.) </w:t>
      </w:r>
      <w:r>
        <w:rPr>
          <w:color w:val="231F20"/>
        </w:rPr>
        <w:t>His immunosuppressi</w:t>
      </w:r>
      <w:r>
        <w:rPr>
          <w:color w:val="231F20"/>
        </w:rPr>
        <w:t>on was based on tacrolimus monotherapy with 1.5 mg/day and trough levels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between</w:t>
      </w:r>
    </w:p>
    <w:p w:rsidR="000B650C" w:rsidRDefault="009F3E03">
      <w:pPr>
        <w:pStyle w:val="Corpsdetexte"/>
        <w:spacing w:line="249" w:lineRule="auto"/>
        <w:ind w:left="469" w:right="1721"/>
        <w:jc w:val="both"/>
      </w:pPr>
      <w:r>
        <w:rPr>
          <w:color w:val="231F20"/>
        </w:rPr>
        <w:t xml:space="preserve">3.4 </w:t>
      </w:r>
      <w:proofErr w:type="gramStart"/>
      <w:r>
        <w:rPr>
          <w:color w:val="231F20"/>
        </w:rPr>
        <w:t>and</w:t>
      </w:r>
      <w:proofErr w:type="gramEnd"/>
      <w:r>
        <w:rPr>
          <w:color w:val="231F20"/>
        </w:rPr>
        <w:t xml:space="preserve"> 4.4ng/</w:t>
      </w:r>
      <w:proofErr w:type="spellStart"/>
      <w:r>
        <w:rPr>
          <w:color w:val="231F20"/>
        </w:rPr>
        <w:t>mL.</w:t>
      </w:r>
      <w:proofErr w:type="spellEnd"/>
      <w:r>
        <w:rPr>
          <w:color w:val="231F20"/>
        </w:rPr>
        <w:t xml:space="preserve"> His HCV viral load before treatment was 4,113,506 IU/</w:t>
      </w:r>
      <w:proofErr w:type="spellStart"/>
      <w:r>
        <w:rPr>
          <w:color w:val="231F20"/>
        </w:rPr>
        <w:t>mL.</w:t>
      </w:r>
      <w:proofErr w:type="spellEnd"/>
    </w:p>
    <w:p w:rsidR="000B650C" w:rsidRDefault="000B650C">
      <w:pPr>
        <w:spacing w:line="249" w:lineRule="auto"/>
        <w:jc w:val="both"/>
        <w:sectPr w:rsidR="000B650C">
          <w:type w:val="continuous"/>
          <w:pgSz w:w="13090" w:h="18020"/>
          <w:pgMar w:top="580" w:right="0" w:bottom="580" w:left="0" w:header="720" w:footer="720" w:gutter="0"/>
          <w:cols w:num="2" w:space="720" w:equalWidth="0">
            <w:col w:w="6317" w:space="40"/>
            <w:col w:w="6733"/>
          </w:cols>
        </w:sectPr>
      </w:pPr>
    </w:p>
    <w:p w:rsidR="000B650C" w:rsidRDefault="000B650C">
      <w:pPr>
        <w:pStyle w:val="Corpsdetexte"/>
        <w:spacing w:before="9"/>
        <w:rPr>
          <w:sz w:val="24"/>
        </w:rPr>
      </w:pPr>
    </w:p>
    <w:p w:rsidR="000B650C" w:rsidRDefault="000B650C">
      <w:pPr>
        <w:rPr>
          <w:sz w:val="16"/>
        </w:rPr>
        <w:sectPr w:rsidR="000B650C">
          <w:type w:val="continuous"/>
          <w:pgSz w:w="13090" w:h="18020"/>
          <w:pgMar w:top="580" w:right="0" w:bottom="580" w:left="0" w:header="720" w:footer="720" w:gutter="0"/>
          <w:cols w:space="720"/>
        </w:sectPr>
      </w:pPr>
    </w:p>
    <w:p w:rsidR="000B650C" w:rsidRDefault="000B650C">
      <w:pPr>
        <w:pStyle w:val="Corpsdetexte"/>
        <w:rPr>
          <w:i/>
        </w:rPr>
      </w:pPr>
    </w:p>
    <w:p w:rsidR="000B650C" w:rsidRDefault="000B650C">
      <w:pPr>
        <w:pStyle w:val="Corpsdetexte"/>
        <w:rPr>
          <w:i/>
        </w:rPr>
      </w:pPr>
    </w:p>
    <w:p w:rsidR="000B650C" w:rsidRDefault="000B650C">
      <w:pPr>
        <w:pStyle w:val="Corpsdetexte"/>
        <w:rPr>
          <w:i/>
        </w:rPr>
      </w:pPr>
    </w:p>
    <w:p w:rsidR="000B650C" w:rsidRDefault="009F3E03">
      <w:pPr>
        <w:tabs>
          <w:tab w:val="right" w:pos="11304"/>
        </w:tabs>
        <w:spacing w:before="251"/>
        <w:ind w:left="1723"/>
      </w:pPr>
      <w:r>
        <w:rPr>
          <w:i/>
          <w:color w:val="231F20"/>
        </w:rPr>
        <w:t>Acute liver graft cellular rejection after interferon-free antiviral treatment for</w:t>
      </w:r>
      <w:r>
        <w:rPr>
          <w:i/>
          <w:color w:val="231F20"/>
          <w:spacing w:val="37"/>
        </w:rPr>
        <w:t xml:space="preserve"> </w:t>
      </w:r>
      <w:r>
        <w:rPr>
          <w:i/>
          <w:color w:val="231F20"/>
        </w:rPr>
        <w:t>HCV</w:t>
      </w:r>
      <w:r>
        <w:rPr>
          <w:i/>
          <w:color w:val="231F20"/>
          <w:spacing w:val="-1"/>
        </w:rPr>
        <w:t xml:space="preserve"> </w:t>
      </w:r>
      <w:r>
        <w:rPr>
          <w:i/>
          <w:color w:val="231F20"/>
        </w:rPr>
        <w:t>infection</w:t>
      </w:r>
      <w:r>
        <w:rPr>
          <w:color w:val="231F20"/>
        </w:rPr>
        <w:tab/>
      </w:r>
    </w:p>
    <w:p w:rsidR="000B650C" w:rsidRDefault="000B650C">
      <w:pPr>
        <w:sectPr w:rsidR="000B650C">
          <w:pgSz w:w="13090" w:h="18020"/>
          <w:pgMar w:top="580" w:right="0" w:bottom="580" w:left="0" w:header="0" w:footer="393" w:gutter="0"/>
          <w:cols w:space="720"/>
        </w:sectPr>
      </w:pPr>
    </w:p>
    <w:p w:rsidR="000B650C" w:rsidRDefault="000B650C">
      <w:pPr>
        <w:pStyle w:val="Corpsdetexte"/>
        <w:spacing w:before="7"/>
        <w:rPr>
          <w:sz w:val="26"/>
        </w:rPr>
      </w:pPr>
    </w:p>
    <w:p w:rsidR="000B650C" w:rsidRDefault="009F3E03">
      <w:pPr>
        <w:pStyle w:val="Corpsdetexte"/>
        <w:spacing w:line="249" w:lineRule="auto"/>
        <w:ind w:left="1723" w:firstLine="226"/>
        <w:jc w:val="both"/>
      </w:pPr>
      <w:r>
        <w:rPr>
          <w:color w:val="231F20"/>
        </w:rPr>
        <w:t>He achieved SVR 12. The tacrolimus trough level     at the end of the treatment was between 1.9 and 3.5 ng/</w:t>
      </w:r>
      <w:proofErr w:type="spellStart"/>
      <w:r>
        <w:rPr>
          <w:color w:val="231F20"/>
        </w:rPr>
        <w:t>mL.</w:t>
      </w:r>
      <w:proofErr w:type="spellEnd"/>
      <w:r>
        <w:rPr>
          <w:color w:val="231F20"/>
        </w:rPr>
        <w:t xml:space="preserve"> The </w:t>
      </w:r>
      <w:proofErr w:type="gramStart"/>
      <w:r>
        <w:rPr>
          <w:color w:val="231F20"/>
        </w:rPr>
        <w:t>liver  tests</w:t>
      </w:r>
      <w:proofErr w:type="gramEnd"/>
      <w:r>
        <w:rPr>
          <w:color w:val="231F20"/>
        </w:rPr>
        <w:t xml:space="preserve">  were  normal  during  and  at  the end of the treatment. They remained normal in monthly controls until March 2016 where an acu</w:t>
      </w:r>
      <w:r>
        <w:rPr>
          <w:color w:val="231F20"/>
        </w:rPr>
        <w:t>te hepatitis occurred with cytolysis up to 9 ULN and elevated  GGT  and  alkaline  phosphatases  up  to  6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and</w:t>
      </w:r>
    </w:p>
    <w:p w:rsidR="000B650C" w:rsidRDefault="009F3E03">
      <w:pPr>
        <w:pStyle w:val="Corpsdetexte"/>
        <w:spacing w:line="249" w:lineRule="auto"/>
        <w:ind w:left="1723"/>
        <w:jc w:val="both"/>
      </w:pPr>
      <w:r>
        <w:rPr>
          <w:color w:val="231F20"/>
        </w:rPr>
        <w:t xml:space="preserve">1.5 ULN, respectively. A complete work-up excluded HCV recurrence, </w:t>
      </w:r>
      <w:r>
        <w:rPr>
          <w:color w:val="231F20"/>
          <w:spacing w:val="-14"/>
        </w:rPr>
        <w:t xml:space="preserve">HAV, </w:t>
      </w:r>
      <w:r>
        <w:rPr>
          <w:color w:val="231F20"/>
          <w:spacing w:val="-7"/>
        </w:rPr>
        <w:t xml:space="preserve">HEV, CMV, EBV, </w:t>
      </w:r>
      <w:r>
        <w:rPr>
          <w:color w:val="231F20"/>
        </w:rPr>
        <w:t>HHV6, HBV infections. Antinuclear antibodies were positive</w:t>
      </w:r>
      <w:r>
        <w:rPr>
          <w:color w:val="231F20"/>
        </w:rPr>
        <w:t xml:space="preserve"> at a titer of 1/640 with normal anti-</w:t>
      </w:r>
      <w:proofErr w:type="spellStart"/>
      <w:r>
        <w:rPr>
          <w:color w:val="231F20"/>
        </w:rPr>
        <w:t>actine</w:t>
      </w:r>
      <w:proofErr w:type="spellEnd"/>
      <w:r>
        <w:rPr>
          <w:color w:val="231F20"/>
        </w:rPr>
        <w:t xml:space="preserve"> values. There was no </w:t>
      </w:r>
      <w:proofErr w:type="spellStart"/>
      <w:r>
        <w:rPr>
          <w:color w:val="231F20"/>
        </w:rPr>
        <w:t>hypergammaglobulinemia</w:t>
      </w:r>
      <w:proofErr w:type="spellEnd"/>
      <w:r>
        <w:rPr>
          <w:color w:val="231F20"/>
        </w:rPr>
        <w:t>. The patient did not take any new medication or herbal remedies.</w:t>
      </w:r>
    </w:p>
    <w:p w:rsidR="000B650C" w:rsidRDefault="009F3E03">
      <w:pPr>
        <w:pStyle w:val="Corpsdetexte"/>
        <w:spacing w:line="249" w:lineRule="auto"/>
        <w:ind w:left="1723" w:right="1" w:firstLine="226"/>
        <w:jc w:val="both"/>
      </w:pPr>
      <w:r>
        <w:rPr>
          <w:color w:val="231F20"/>
        </w:rPr>
        <w:t>A liver biopsy (Figure 1B) was performed in March 2016 showing feature of acute cellular rejection.</w:t>
      </w:r>
    </w:p>
    <w:p w:rsidR="000B650C" w:rsidRDefault="009F3E03">
      <w:pPr>
        <w:pStyle w:val="Corpsdetexte"/>
        <w:spacing w:line="249" w:lineRule="auto"/>
        <w:ind w:left="1723" w:firstLine="226"/>
        <w:jc w:val="both"/>
      </w:pPr>
      <w:r>
        <w:rPr>
          <w:color w:val="231F20"/>
        </w:rPr>
        <w:t>The dose of tacrolimus was increased up to 2 mg</w:t>
      </w:r>
      <w:proofErr w:type="gramStart"/>
      <w:r>
        <w:rPr>
          <w:color w:val="231F20"/>
        </w:rPr>
        <w:t>/  day</w:t>
      </w:r>
      <w:proofErr w:type="gramEnd"/>
      <w:r>
        <w:rPr>
          <w:color w:val="231F20"/>
        </w:rPr>
        <w:t xml:space="preserve"> and mycophenolate </w:t>
      </w:r>
      <w:proofErr w:type="spellStart"/>
      <w:r>
        <w:rPr>
          <w:color w:val="231F20"/>
        </w:rPr>
        <w:t>mofetil</w:t>
      </w:r>
      <w:proofErr w:type="spellEnd"/>
      <w:r>
        <w:rPr>
          <w:color w:val="231F20"/>
        </w:rPr>
        <w:t xml:space="preserve"> at 1500mg/day was added after the biopsy with no improvement. The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patient was then treated </w:t>
      </w:r>
      <w:proofErr w:type="gramStart"/>
      <w:r>
        <w:rPr>
          <w:color w:val="231F20"/>
        </w:rPr>
        <w:t>with  boluses</w:t>
      </w:r>
      <w:proofErr w:type="gramEnd"/>
      <w:r>
        <w:rPr>
          <w:color w:val="231F20"/>
        </w:rPr>
        <w:t xml:space="preserve">  of  methylprednisolone 1g during 3 days and then orally with 64 mg/day</w:t>
      </w:r>
      <w:r>
        <w:rPr>
          <w:color w:val="231F20"/>
        </w:rPr>
        <w:t xml:space="preserve"> followed by lowering doses. The liver tests slowly improved. In August 2016</w:t>
      </w:r>
      <w:proofErr w:type="gramStart"/>
      <w:r>
        <w:rPr>
          <w:color w:val="231F20"/>
        </w:rPr>
        <w:t>,  the</w:t>
      </w:r>
      <w:proofErr w:type="gramEnd"/>
      <w:r>
        <w:rPr>
          <w:color w:val="231F20"/>
        </w:rPr>
        <w:t xml:space="preserve">  methylprednisolone dose was tapered from 16 mg to 12 mg and the patient experienced a recurrence of high transaminases levels and very high </w:t>
      </w:r>
      <w:r>
        <w:rPr>
          <w:color w:val="231F20"/>
          <w:spacing w:val="-5"/>
        </w:rPr>
        <w:t xml:space="preserve">GGT, </w:t>
      </w:r>
      <w:r>
        <w:rPr>
          <w:color w:val="231F20"/>
        </w:rPr>
        <w:t>up to 25 ULN. A new liver b</w:t>
      </w:r>
      <w:r>
        <w:rPr>
          <w:color w:val="231F20"/>
        </w:rPr>
        <w:t xml:space="preserve">iopsy was performed in August confirming acute cellular rejection with no signs of chronic rejection. The dose   of methylprednisolone was then re-increased to 16 mg/ day until December 2016 followed by a slow response. It was then carefully reduced to 12 </w:t>
      </w:r>
      <w:r>
        <w:rPr>
          <w:color w:val="231F20"/>
        </w:rPr>
        <w:t xml:space="preserve">mg, then 8 mg with progressive normalization of the AST and </w:t>
      </w:r>
      <w:r>
        <w:rPr>
          <w:color w:val="231F20"/>
          <w:spacing w:val="-7"/>
        </w:rPr>
        <w:t xml:space="preserve">ALT </w:t>
      </w:r>
      <w:r>
        <w:rPr>
          <w:color w:val="231F20"/>
        </w:rPr>
        <w:t xml:space="preserve">in May 2017. The tacrolimus trough levels were maintained between 5 and 8 ng/mL with tacrolimus daily dose increased at 3mg/day. The mycophenolate </w:t>
      </w:r>
      <w:proofErr w:type="spellStart"/>
      <w:r>
        <w:rPr>
          <w:color w:val="231F20"/>
        </w:rPr>
        <w:t>mofetil</w:t>
      </w:r>
      <w:proofErr w:type="spellEnd"/>
      <w:r>
        <w:rPr>
          <w:color w:val="231F20"/>
        </w:rPr>
        <w:t xml:space="preserve"> dose was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diminished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1000mg/day.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</w:t>
      </w:r>
      <w:r>
        <w:rPr>
          <w:color w:val="231F20"/>
        </w:rPr>
        <w:t>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patient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now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under triple immunosuppression with clinical and biochemical remission.</w:t>
      </w:r>
    </w:p>
    <w:p w:rsidR="000B650C" w:rsidRDefault="009F3E03">
      <w:pPr>
        <w:pStyle w:val="Paragraphedeliste"/>
        <w:numPr>
          <w:ilvl w:val="1"/>
          <w:numId w:val="2"/>
        </w:numPr>
        <w:tabs>
          <w:tab w:val="left" w:pos="2079"/>
        </w:tabs>
        <w:spacing w:before="120"/>
        <w:ind w:right="0"/>
        <w:jc w:val="both"/>
        <w:rPr>
          <w:i/>
          <w:sz w:val="20"/>
        </w:rPr>
      </w:pPr>
      <w:r>
        <w:rPr>
          <w:i/>
          <w:color w:val="231F20"/>
          <w:sz w:val="20"/>
        </w:rPr>
        <w:t>Case</w:t>
      </w:r>
      <w:r>
        <w:rPr>
          <w:i/>
          <w:color w:val="231F20"/>
          <w:spacing w:val="5"/>
          <w:sz w:val="20"/>
        </w:rPr>
        <w:t xml:space="preserve"> </w:t>
      </w:r>
      <w:r>
        <w:rPr>
          <w:i/>
          <w:color w:val="231F20"/>
          <w:sz w:val="20"/>
        </w:rPr>
        <w:t>3</w:t>
      </w:r>
    </w:p>
    <w:p w:rsidR="000B650C" w:rsidRDefault="009F3E03">
      <w:pPr>
        <w:pStyle w:val="Corpsdetexte"/>
        <w:spacing w:before="129" w:line="249" w:lineRule="auto"/>
        <w:ind w:left="1723" w:firstLine="226"/>
        <w:jc w:val="both"/>
      </w:pPr>
      <w:r>
        <w:rPr>
          <w:color w:val="231F20"/>
        </w:rPr>
        <w:t xml:space="preserve">Patient 3 was a 56 year-old man with </w:t>
      </w:r>
      <w:proofErr w:type="gramStart"/>
      <w:r>
        <w:rPr>
          <w:color w:val="231F20"/>
        </w:rPr>
        <w:t>a  chronic</w:t>
      </w:r>
      <w:proofErr w:type="gramEnd"/>
      <w:r>
        <w:rPr>
          <w:color w:val="231F20"/>
        </w:rPr>
        <w:t xml:space="preserve">  HCV infection genotype 1b who developed cirrhosis diagnosed in 2011 complicated by a </w:t>
      </w:r>
      <w:proofErr w:type="spellStart"/>
      <w:r>
        <w:rPr>
          <w:color w:val="231F20"/>
        </w:rPr>
        <w:t>monofocal</w:t>
      </w:r>
      <w:proofErr w:type="spellEnd"/>
      <w:r>
        <w:rPr>
          <w:color w:val="231F20"/>
        </w:rPr>
        <w:t xml:space="preserve"> HCC of 3 cm in May 2013. He received a liver transplantation   in January 2015 and HCV recurred on the graft wit</w:t>
      </w:r>
      <w:r>
        <w:rPr>
          <w:color w:val="231F20"/>
        </w:rPr>
        <w:t xml:space="preserve">h </w:t>
      </w:r>
      <w:r>
        <w:rPr>
          <w:color w:val="231F20"/>
          <w:spacing w:val="-7"/>
        </w:rPr>
        <w:t xml:space="preserve">METAVIR </w:t>
      </w:r>
      <w:r>
        <w:rPr>
          <w:color w:val="231F20"/>
        </w:rPr>
        <w:t>F1 fibrosis on the 1-year protocol biopsy. The viral load was 2,344,393 IU/</w:t>
      </w:r>
      <w:proofErr w:type="spellStart"/>
      <w:r>
        <w:rPr>
          <w:color w:val="231F20"/>
        </w:rPr>
        <w:t>mL.</w:t>
      </w:r>
      <w:proofErr w:type="spellEnd"/>
      <w:r>
        <w:rPr>
          <w:color w:val="231F20"/>
        </w:rPr>
        <w:t xml:space="preserve"> Tacrolimus was given as  monotherapy  at  a  dose  of  1.5  mg/day  with a tacrolimus trough level of 6 ng/</w:t>
      </w:r>
      <w:proofErr w:type="spellStart"/>
      <w:r>
        <w:rPr>
          <w:color w:val="231F20"/>
        </w:rPr>
        <w:t>mL.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Ombitasvir</w:t>
      </w:r>
      <w:proofErr w:type="spellEnd"/>
      <w:r>
        <w:rPr>
          <w:color w:val="231F20"/>
        </w:rPr>
        <w:t xml:space="preserve">/ </w:t>
      </w:r>
      <w:proofErr w:type="spellStart"/>
      <w:r>
        <w:rPr>
          <w:color w:val="231F20"/>
        </w:rPr>
        <w:t>paritaprevir</w:t>
      </w:r>
      <w:proofErr w:type="spellEnd"/>
      <w:r>
        <w:rPr>
          <w:color w:val="231F20"/>
        </w:rPr>
        <w:t xml:space="preserve">/ritonavir and </w:t>
      </w:r>
      <w:proofErr w:type="spellStart"/>
      <w:r>
        <w:rPr>
          <w:color w:val="231F20"/>
        </w:rPr>
        <w:t>dasabuvir</w:t>
      </w:r>
      <w:proofErr w:type="spellEnd"/>
      <w:r>
        <w:rPr>
          <w:color w:val="231F20"/>
        </w:rPr>
        <w:t xml:space="preserve"> </w:t>
      </w:r>
      <w:proofErr w:type="gramStart"/>
      <w:r>
        <w:rPr>
          <w:color w:val="231F20"/>
        </w:rPr>
        <w:t>was</w:t>
      </w:r>
      <w:proofErr w:type="gramEnd"/>
      <w:r>
        <w:rPr>
          <w:color w:val="231F20"/>
        </w:rPr>
        <w:t xml:space="preserve"> sta</w:t>
      </w:r>
      <w:r>
        <w:rPr>
          <w:color w:val="231F20"/>
        </w:rPr>
        <w:t xml:space="preserve">rted on July 2016 for 12 weeks. SVR was obtained in December 2016. During antiviral treatment tacrolimus was </w:t>
      </w:r>
      <w:proofErr w:type="gramStart"/>
      <w:r>
        <w:rPr>
          <w:color w:val="231F20"/>
        </w:rPr>
        <w:t>given  at</w:t>
      </w:r>
      <w:proofErr w:type="gramEnd"/>
      <w:r>
        <w:rPr>
          <w:color w:val="231F20"/>
        </w:rPr>
        <w:t xml:space="preserve"> a dose of 0.5 mg/week. It was then increased at 1 mg/ </w:t>
      </w:r>
      <w:r>
        <w:rPr>
          <w:color w:val="231F20"/>
          <w:spacing w:val="-4"/>
        </w:rPr>
        <w:t xml:space="preserve">day, </w:t>
      </w:r>
      <w:r>
        <w:rPr>
          <w:color w:val="231F20"/>
        </w:rPr>
        <w:t>a lower dose than before treatment because of a kidney failure (</w:t>
      </w:r>
      <w:proofErr w:type="spellStart"/>
      <w:r>
        <w:rPr>
          <w:color w:val="231F20"/>
        </w:rPr>
        <w:t>creatine</w:t>
      </w:r>
      <w:proofErr w:type="spellEnd"/>
      <w:r>
        <w:rPr>
          <w:color w:val="231F20"/>
        </w:rPr>
        <w:t xml:space="preserve"> level</w:t>
      </w:r>
      <w:r>
        <w:rPr>
          <w:color w:val="231F20"/>
        </w:rPr>
        <w:t xml:space="preserve"> 1.82 mg/</w:t>
      </w:r>
      <w:proofErr w:type="spellStart"/>
      <w:r>
        <w:rPr>
          <w:color w:val="231F20"/>
        </w:rPr>
        <w:t>dL</w:t>
      </w:r>
      <w:proofErr w:type="spellEnd"/>
      <w:r>
        <w:rPr>
          <w:color w:val="231F20"/>
        </w:rPr>
        <w:t>), with trough levels of 3 ng/</w:t>
      </w:r>
      <w:proofErr w:type="spellStart"/>
      <w:r>
        <w:rPr>
          <w:color w:val="231F20"/>
        </w:rPr>
        <w:t>mL.</w:t>
      </w:r>
      <w:proofErr w:type="spellEnd"/>
      <w:r>
        <w:rPr>
          <w:color w:val="231F20"/>
        </w:rPr>
        <w:t xml:space="preserve"> The liver tests were completely normal at the end of the treatment and one month post- treatment but increased in December 2016 with AST </w:t>
      </w:r>
      <w:proofErr w:type="gramStart"/>
      <w:r>
        <w:rPr>
          <w:color w:val="231F20"/>
        </w:rPr>
        <w:t>et</w:t>
      </w:r>
      <w:proofErr w:type="gramEnd"/>
      <w:r>
        <w:rPr>
          <w:color w:val="231F20"/>
        </w:rPr>
        <w:t xml:space="preserve"> </w:t>
      </w:r>
      <w:r>
        <w:rPr>
          <w:color w:val="231F20"/>
          <w:spacing w:val="-7"/>
        </w:rPr>
        <w:t xml:space="preserve">ALT </w:t>
      </w:r>
      <w:r>
        <w:rPr>
          <w:color w:val="231F20"/>
        </w:rPr>
        <w:t xml:space="preserve">at respectively 2.5 and 4 fold ULN. A </w:t>
      </w:r>
      <w:proofErr w:type="gramStart"/>
      <w:r>
        <w:rPr>
          <w:color w:val="231F20"/>
        </w:rPr>
        <w:t xml:space="preserve">liver 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biopsy</w:t>
      </w:r>
      <w:proofErr w:type="gramEnd"/>
    </w:p>
    <w:p w:rsidR="000B650C" w:rsidRDefault="009F3E03">
      <w:pPr>
        <w:pStyle w:val="Corpsdetexte"/>
        <w:spacing w:before="7"/>
        <w:rPr>
          <w:sz w:val="26"/>
        </w:rPr>
      </w:pPr>
      <w:r>
        <w:br w:type="column"/>
      </w:r>
    </w:p>
    <w:p w:rsidR="000B650C" w:rsidRDefault="009F3E03">
      <w:pPr>
        <w:pStyle w:val="Corpsdetexte"/>
        <w:spacing w:line="249" w:lineRule="auto"/>
        <w:ind w:left="466" w:right="1778"/>
        <w:jc w:val="both"/>
      </w:pPr>
      <w:proofErr w:type="gramStart"/>
      <w:r>
        <w:rPr>
          <w:color w:val="231F20"/>
        </w:rPr>
        <w:t>was</w:t>
      </w:r>
      <w:proofErr w:type="gramEnd"/>
      <w:r>
        <w:rPr>
          <w:color w:val="231F20"/>
        </w:rPr>
        <w:t xml:space="preserve"> performed</w:t>
      </w:r>
      <w:r>
        <w:rPr>
          <w:color w:val="231F20"/>
        </w:rPr>
        <w:t xml:space="preserve"> in December (Figure 1C) showing acute cellular rejection with a Banff score of 7/9 (P3B2V2.) Tacrolimus was increased up to 2 mg/day with trough levels 3.5 ng/mL and mycophenolate </w:t>
      </w:r>
      <w:proofErr w:type="spellStart"/>
      <w:r>
        <w:rPr>
          <w:color w:val="231F20"/>
        </w:rPr>
        <w:t>mofetil</w:t>
      </w:r>
      <w:proofErr w:type="spellEnd"/>
      <w:r>
        <w:rPr>
          <w:color w:val="231F20"/>
        </w:rPr>
        <w:t xml:space="preserve"> was added at 1000 mg/day the day after the liver biopsy. Following </w:t>
      </w:r>
      <w:r>
        <w:rPr>
          <w:color w:val="231F20"/>
        </w:rPr>
        <w:t>the modification in immunosuppressive treatment the liver tests normalized in a few weeks.</w:t>
      </w:r>
    </w:p>
    <w:p w:rsidR="000B650C" w:rsidRDefault="000B650C">
      <w:pPr>
        <w:pStyle w:val="Corpsdetexte"/>
        <w:spacing w:before="10"/>
      </w:pPr>
    </w:p>
    <w:p w:rsidR="000B650C" w:rsidRDefault="009F3E03">
      <w:pPr>
        <w:pStyle w:val="Titre1"/>
        <w:numPr>
          <w:ilvl w:val="0"/>
          <w:numId w:val="2"/>
        </w:numPr>
        <w:tabs>
          <w:tab w:val="left" w:pos="672"/>
        </w:tabs>
        <w:ind w:left="671"/>
        <w:jc w:val="both"/>
      </w:pPr>
      <w:r>
        <w:rPr>
          <w:color w:val="231F20"/>
        </w:rPr>
        <w:t>Discussion</w:t>
      </w:r>
    </w:p>
    <w:p w:rsidR="000B650C" w:rsidRDefault="000B650C">
      <w:pPr>
        <w:pStyle w:val="Corpsdetexte"/>
        <w:spacing w:before="8"/>
        <w:rPr>
          <w:b/>
          <w:sz w:val="21"/>
        </w:rPr>
      </w:pPr>
    </w:p>
    <w:p w:rsidR="000B650C" w:rsidRDefault="009F3E03">
      <w:pPr>
        <w:pStyle w:val="Corpsdetexte"/>
        <w:spacing w:line="249" w:lineRule="auto"/>
        <w:ind w:left="466" w:right="1777" w:firstLine="226"/>
        <w:jc w:val="both"/>
      </w:pPr>
      <w:r>
        <w:rPr>
          <w:color w:val="231F20"/>
          <w:spacing w:val="-8"/>
        </w:rPr>
        <w:t>We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describe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here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cases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three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patients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transplanted for HCC developed on HCV-related cirrhosis that were successfully treated with DAAs and who de</w:t>
      </w:r>
      <w:r>
        <w:rPr>
          <w:color w:val="231F20"/>
        </w:rPr>
        <w:t>veloped an acute cellular rejection more than three months after the end of a successful antiviral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treatment.</w:t>
      </w:r>
    </w:p>
    <w:p w:rsidR="000B650C" w:rsidRDefault="009F3E03">
      <w:pPr>
        <w:pStyle w:val="Corpsdetexte"/>
        <w:spacing w:line="249" w:lineRule="auto"/>
        <w:ind w:left="466" w:right="1774" w:firstLine="226"/>
        <w:jc w:val="both"/>
      </w:pPr>
      <w:r>
        <w:rPr>
          <w:color w:val="231F20"/>
        </w:rPr>
        <w:t xml:space="preserve">HCV infection was until today the most common diagnosis in liver transplant recipients. As </w:t>
      </w:r>
      <w:r>
        <w:rPr>
          <w:color w:val="231F20"/>
          <w:spacing w:val="2"/>
        </w:rPr>
        <w:t xml:space="preserve">HCV </w:t>
      </w:r>
      <w:r>
        <w:rPr>
          <w:color w:val="231F20"/>
        </w:rPr>
        <w:t>recurrence is one of the leading causes for graft l</w:t>
      </w:r>
      <w:r>
        <w:rPr>
          <w:color w:val="231F20"/>
        </w:rPr>
        <w:t xml:space="preserve">oss   and death, HCV treatment after liver transplantation is   a priority to avoid evolution to advanced fibrosis and to protect the patient against extra-hepatic complications such as diabetes </w:t>
      </w:r>
      <w:proofErr w:type="gramStart"/>
      <w:r>
        <w:rPr>
          <w:color w:val="231F20"/>
        </w:rPr>
        <w:t>mellitus,</w:t>
      </w:r>
      <w:proofErr w:type="gramEnd"/>
      <w:r>
        <w:rPr>
          <w:color w:val="231F20"/>
        </w:rPr>
        <w:t xml:space="preserve"> cardiovascular diseases or hepatitis C related rena</w:t>
      </w:r>
      <w:r>
        <w:rPr>
          <w:color w:val="231F20"/>
        </w:rPr>
        <w:t>l diseases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(1-3).</w:t>
      </w:r>
    </w:p>
    <w:p w:rsidR="000B650C" w:rsidRDefault="009F3E03">
      <w:pPr>
        <w:pStyle w:val="Corpsdetexte"/>
        <w:spacing w:line="249" w:lineRule="auto"/>
        <w:ind w:left="466" w:right="1774" w:firstLine="226"/>
        <w:jc w:val="both"/>
      </w:pPr>
      <w:r>
        <w:rPr>
          <w:color w:val="231F20"/>
        </w:rPr>
        <w:t xml:space="preserve">In the past, the standard of care for clearing HCV infection after liver transplantation was a 48 weeks peg- interferon and ribavirin regimen with </w:t>
      </w:r>
      <w:proofErr w:type="gramStart"/>
      <w:r>
        <w:rPr>
          <w:color w:val="231F20"/>
        </w:rPr>
        <w:t>poor  tolerance</w:t>
      </w:r>
      <w:proofErr w:type="gramEnd"/>
      <w:r>
        <w:rPr>
          <w:color w:val="231F20"/>
        </w:rPr>
        <w:t xml:space="preserve">  and efficacy in only 30% of the patients. With the combination of peg-interferon-ribavirin a</w:t>
      </w:r>
      <w:r>
        <w:rPr>
          <w:color w:val="231F20"/>
        </w:rPr>
        <w:t xml:space="preserve">nd the first generation protease inhibitors, </w:t>
      </w:r>
      <w:proofErr w:type="spellStart"/>
      <w:r>
        <w:rPr>
          <w:color w:val="231F20"/>
        </w:rPr>
        <w:t>boceprevir</w:t>
      </w:r>
      <w:proofErr w:type="spellEnd"/>
      <w:r>
        <w:rPr>
          <w:color w:val="231F20"/>
        </w:rPr>
        <w:t xml:space="preserve"> or </w:t>
      </w:r>
      <w:proofErr w:type="spellStart"/>
      <w:r>
        <w:rPr>
          <w:color w:val="231F20"/>
        </w:rPr>
        <w:t>telaprevir</w:t>
      </w:r>
      <w:proofErr w:type="spellEnd"/>
      <w:r>
        <w:rPr>
          <w:color w:val="231F20"/>
        </w:rPr>
        <w:t xml:space="preserve">, the SVR rate was achieved in 55-65% in genotype 1 infected </w:t>
      </w:r>
      <w:proofErr w:type="gramStart"/>
      <w:r>
        <w:rPr>
          <w:color w:val="231F20"/>
        </w:rPr>
        <w:t>patients</w:t>
      </w:r>
      <w:proofErr w:type="gramEnd"/>
      <w:r>
        <w:rPr>
          <w:color w:val="231F20"/>
        </w:rPr>
        <w:t xml:space="preserve"> (4-5). The treatment was feasible but difficult to manage due to of drug-to-drug interactions (DDI) and poor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toleranc</w:t>
      </w:r>
      <w:r>
        <w:rPr>
          <w:color w:val="231F20"/>
        </w:rPr>
        <w:t>e.</w:t>
      </w:r>
    </w:p>
    <w:p w:rsidR="000B650C" w:rsidRDefault="009F3E03">
      <w:pPr>
        <w:pStyle w:val="Corpsdetexte"/>
        <w:spacing w:line="249" w:lineRule="auto"/>
        <w:ind w:left="466" w:right="1775" w:firstLine="226"/>
        <w:jc w:val="both"/>
      </w:pPr>
      <w:r>
        <w:rPr>
          <w:color w:val="231F20"/>
        </w:rPr>
        <w:t>The new DAAs have opened the road to HCV eradication with good tolerance and less DDI in this difficult-to-treat population.</w:t>
      </w:r>
    </w:p>
    <w:p w:rsidR="000B650C" w:rsidRDefault="009F3E03">
      <w:pPr>
        <w:pStyle w:val="Corpsdetexte"/>
        <w:spacing w:line="249" w:lineRule="auto"/>
        <w:ind w:left="466" w:right="1778" w:firstLine="226"/>
        <w:jc w:val="both"/>
      </w:pPr>
      <w:r>
        <w:rPr>
          <w:color w:val="231F20"/>
        </w:rPr>
        <w:t>Experience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treating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liver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transplant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recipients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using an interferon-free antiviral regimen is emerging with more and more rea</w:t>
      </w:r>
      <w:r>
        <w:rPr>
          <w:color w:val="231F20"/>
        </w:rPr>
        <w:t>l-life experiences in mainly genotype 1, 3 and 4 patients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(2</w:t>
      </w:r>
      <w:proofErr w:type="gramStart"/>
      <w:r>
        <w:rPr>
          <w:color w:val="231F20"/>
        </w:rPr>
        <w:t>,4,5,6</w:t>
      </w:r>
      <w:proofErr w:type="gramEnd"/>
      <w:r>
        <w:rPr>
          <w:color w:val="231F20"/>
        </w:rPr>
        <w:t>).</w:t>
      </w:r>
    </w:p>
    <w:p w:rsidR="000B650C" w:rsidRDefault="009F3E03">
      <w:pPr>
        <w:pStyle w:val="Corpsdetexte"/>
        <w:spacing w:line="249" w:lineRule="auto"/>
        <w:ind w:left="466" w:right="1775" w:firstLine="226"/>
        <w:jc w:val="both"/>
      </w:pPr>
      <w:r>
        <w:rPr>
          <w:color w:val="231F20"/>
        </w:rPr>
        <w:t xml:space="preserve">The question of rejection occurring during or after HCV eradication in liver transplanted patients has already been discussed in the interferon-era. The </w:t>
      </w:r>
      <w:proofErr w:type="spellStart"/>
      <w:r>
        <w:rPr>
          <w:color w:val="231F20"/>
        </w:rPr>
        <w:t>immunostimulatory</w:t>
      </w:r>
      <w:proofErr w:type="spellEnd"/>
      <w:r>
        <w:rPr>
          <w:color w:val="231F20"/>
        </w:rPr>
        <w:t xml:space="preserve"> effect of interf</w:t>
      </w:r>
      <w:r>
        <w:rPr>
          <w:color w:val="231F20"/>
        </w:rPr>
        <w:t xml:space="preserve">eron was </w:t>
      </w:r>
      <w:proofErr w:type="gramStart"/>
      <w:r>
        <w:rPr>
          <w:color w:val="231F20"/>
        </w:rPr>
        <w:t>then  accused</w:t>
      </w:r>
      <w:proofErr w:type="gramEnd"/>
      <w:r>
        <w:rPr>
          <w:color w:val="231F20"/>
        </w:rPr>
        <w:t xml:space="preserve"> to potentially cause acute or chronic rejection but  the  results  were  contradictory  (6,7).  </w:t>
      </w:r>
      <w:proofErr w:type="spellStart"/>
      <w:proofErr w:type="gramStart"/>
      <w:r>
        <w:rPr>
          <w:color w:val="231F20"/>
        </w:rPr>
        <w:t>Kugelmas</w:t>
      </w:r>
      <w:proofErr w:type="spellEnd"/>
      <w:r>
        <w:rPr>
          <w:color w:val="231F20"/>
        </w:rPr>
        <w:t xml:space="preserve">  et</w:t>
      </w:r>
      <w:proofErr w:type="gramEnd"/>
      <w:r>
        <w:rPr>
          <w:color w:val="231F20"/>
        </w:rPr>
        <w:t xml:space="preserve"> al. suggested that improvement in a microsomal metabolic function after viral eradication with decreased in immunosuppressiv</w:t>
      </w:r>
      <w:r>
        <w:rPr>
          <w:color w:val="231F20"/>
        </w:rPr>
        <w:t>e drug trough levels predisposes patients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allograft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rejection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(8).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alternative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theory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for the relationship between HCV clearance and rejection is 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increased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immune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response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higher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levels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pro- inflammatory cytokines that characterizes respo</w:t>
      </w:r>
      <w:r>
        <w:rPr>
          <w:color w:val="231F20"/>
        </w:rPr>
        <w:t xml:space="preserve">nders to antiviral therapy (9). If the two last </w:t>
      </w:r>
      <w:proofErr w:type="gramStart"/>
      <w:r>
        <w:rPr>
          <w:color w:val="231F20"/>
        </w:rPr>
        <w:t>hypothesis</w:t>
      </w:r>
      <w:proofErr w:type="gramEnd"/>
      <w:r>
        <w:rPr>
          <w:color w:val="231F20"/>
        </w:rPr>
        <w:t xml:space="preserve"> are true, we should experience rejection episodes with DAAs as well.</w:t>
      </w:r>
    </w:p>
    <w:p w:rsidR="000B650C" w:rsidRDefault="009F3E03">
      <w:pPr>
        <w:pStyle w:val="Corpsdetexte"/>
        <w:spacing w:line="249" w:lineRule="auto"/>
        <w:ind w:left="466" w:right="1778" w:firstLine="226"/>
        <w:jc w:val="both"/>
      </w:pPr>
      <w:r>
        <w:rPr>
          <w:color w:val="231F20"/>
        </w:rPr>
        <w:t xml:space="preserve">The </w:t>
      </w:r>
      <w:r>
        <w:rPr>
          <w:color w:val="231F20"/>
          <w:spacing w:val="-4"/>
        </w:rPr>
        <w:t xml:space="preserve">CUPILT </w:t>
      </w:r>
      <w:r>
        <w:rPr>
          <w:color w:val="231F20"/>
        </w:rPr>
        <w:t xml:space="preserve">study  reported  an  SVR  at  week  12  in  96.4  %  of  the  137  studied  patients  treated   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with</w:t>
      </w:r>
    </w:p>
    <w:p w:rsidR="000B650C" w:rsidRDefault="000B650C">
      <w:pPr>
        <w:spacing w:line="249" w:lineRule="auto"/>
        <w:jc w:val="both"/>
        <w:sectPr w:rsidR="000B650C">
          <w:type w:val="continuous"/>
          <w:pgSz w:w="13090" w:h="18020"/>
          <w:pgMar w:top="580" w:right="0" w:bottom="580" w:left="0" w:header="720" w:footer="720" w:gutter="0"/>
          <w:cols w:num="2" w:space="720" w:equalWidth="0">
            <w:col w:w="6263" w:space="40"/>
            <w:col w:w="6787"/>
          </w:cols>
        </w:sectPr>
      </w:pPr>
    </w:p>
    <w:p w:rsidR="000B650C" w:rsidRDefault="000B650C">
      <w:pPr>
        <w:pStyle w:val="Corpsdetexte"/>
        <w:spacing w:before="4"/>
        <w:rPr>
          <w:sz w:val="23"/>
        </w:rPr>
      </w:pPr>
    </w:p>
    <w:p w:rsidR="000B650C" w:rsidRDefault="000B650C">
      <w:pPr>
        <w:rPr>
          <w:sz w:val="16"/>
        </w:rPr>
        <w:sectPr w:rsidR="000B650C">
          <w:type w:val="continuous"/>
          <w:pgSz w:w="13090" w:h="18020"/>
          <w:pgMar w:top="580" w:right="0" w:bottom="580" w:left="0" w:header="720" w:footer="720" w:gutter="0"/>
          <w:cols w:space="720"/>
        </w:sectPr>
      </w:pPr>
    </w:p>
    <w:p w:rsidR="000B650C" w:rsidRDefault="000B650C">
      <w:pPr>
        <w:pStyle w:val="Corpsdetexte"/>
        <w:rPr>
          <w:i/>
        </w:rPr>
      </w:pPr>
    </w:p>
    <w:p w:rsidR="000B650C" w:rsidRDefault="000B650C">
      <w:pPr>
        <w:pStyle w:val="Corpsdetexte"/>
        <w:rPr>
          <w:i/>
        </w:rPr>
      </w:pPr>
    </w:p>
    <w:p w:rsidR="000B650C" w:rsidRPr="006C6007" w:rsidRDefault="009F3E03">
      <w:pPr>
        <w:tabs>
          <w:tab w:val="left" w:pos="9738"/>
        </w:tabs>
        <w:spacing w:before="60"/>
        <w:ind w:left="1780"/>
        <w:rPr>
          <w:lang w:val="fr-BE"/>
        </w:rPr>
      </w:pPr>
      <w:r w:rsidRPr="006C6007">
        <w:rPr>
          <w:color w:val="231F20"/>
          <w:lang w:val="fr-BE"/>
        </w:rPr>
        <w:tab/>
      </w:r>
      <w:r w:rsidRPr="006C6007">
        <w:rPr>
          <w:i/>
          <w:color w:val="231F20"/>
          <w:lang w:val="fr-BE"/>
        </w:rPr>
        <w:t xml:space="preserve">G. </w:t>
      </w:r>
      <w:proofErr w:type="spellStart"/>
      <w:r w:rsidRPr="006C6007">
        <w:rPr>
          <w:i/>
          <w:color w:val="231F20"/>
          <w:lang w:val="fr-BE"/>
        </w:rPr>
        <w:t>Dahlqvist</w:t>
      </w:r>
      <w:proofErr w:type="spellEnd"/>
      <w:r w:rsidRPr="006C6007">
        <w:rPr>
          <w:i/>
          <w:color w:val="231F20"/>
          <w:lang w:val="fr-BE"/>
        </w:rPr>
        <w:t xml:space="preserve"> </w:t>
      </w:r>
      <w:r w:rsidRPr="006C6007">
        <w:rPr>
          <w:color w:val="231F20"/>
          <w:lang w:val="fr-BE"/>
        </w:rPr>
        <w:t>et</w:t>
      </w:r>
      <w:r w:rsidRPr="006C6007">
        <w:rPr>
          <w:color w:val="231F20"/>
          <w:spacing w:val="6"/>
          <w:lang w:val="fr-BE"/>
        </w:rPr>
        <w:t xml:space="preserve"> </w:t>
      </w:r>
      <w:r w:rsidRPr="006C6007">
        <w:rPr>
          <w:color w:val="231F20"/>
          <w:lang w:val="fr-BE"/>
        </w:rPr>
        <w:t>al.</w:t>
      </w:r>
    </w:p>
    <w:p w:rsidR="000B650C" w:rsidRPr="006C6007" w:rsidRDefault="000B650C">
      <w:pPr>
        <w:pStyle w:val="Corpsdetexte"/>
        <w:spacing w:before="7"/>
        <w:rPr>
          <w:sz w:val="18"/>
          <w:lang w:val="fr-BE"/>
        </w:rPr>
      </w:pPr>
    </w:p>
    <w:p w:rsidR="000B650C" w:rsidRPr="006C6007" w:rsidRDefault="000B650C">
      <w:pPr>
        <w:rPr>
          <w:sz w:val="18"/>
          <w:lang w:val="fr-BE"/>
        </w:rPr>
        <w:sectPr w:rsidR="000B650C" w:rsidRPr="006C6007">
          <w:pgSz w:w="13090" w:h="18020"/>
          <w:pgMar w:top="580" w:right="0" w:bottom="580" w:left="0" w:header="0" w:footer="393" w:gutter="0"/>
          <w:cols w:space="720"/>
        </w:sectPr>
      </w:pPr>
    </w:p>
    <w:p w:rsidR="000B650C" w:rsidRDefault="009F3E03">
      <w:pPr>
        <w:pStyle w:val="Corpsdetexte"/>
        <w:spacing w:before="92" w:line="249" w:lineRule="auto"/>
        <w:ind w:left="1780" w:right="2"/>
        <w:jc w:val="both"/>
      </w:pPr>
      <w:proofErr w:type="spellStart"/>
      <w:proofErr w:type="gramStart"/>
      <w:r w:rsidRPr="006C6007">
        <w:rPr>
          <w:color w:val="231F20"/>
          <w:lang w:val="fr-BE"/>
        </w:rPr>
        <w:lastRenderedPageBreak/>
        <w:t>sofosbuvir</w:t>
      </w:r>
      <w:proofErr w:type="spellEnd"/>
      <w:proofErr w:type="gramEnd"/>
      <w:r w:rsidRPr="006C6007">
        <w:rPr>
          <w:color w:val="231F20"/>
          <w:lang w:val="fr-BE"/>
        </w:rPr>
        <w:t xml:space="preserve">, </w:t>
      </w:r>
      <w:proofErr w:type="spellStart"/>
      <w:r w:rsidRPr="006C6007">
        <w:rPr>
          <w:color w:val="231F20"/>
          <w:lang w:val="fr-BE"/>
        </w:rPr>
        <w:t>daclatasvir</w:t>
      </w:r>
      <w:proofErr w:type="spellEnd"/>
      <w:r w:rsidRPr="006C6007">
        <w:rPr>
          <w:color w:val="231F20"/>
          <w:lang w:val="fr-BE"/>
        </w:rPr>
        <w:t xml:space="preserve"> +/- </w:t>
      </w:r>
      <w:proofErr w:type="spellStart"/>
      <w:r w:rsidRPr="006C6007">
        <w:rPr>
          <w:color w:val="231F20"/>
          <w:lang w:val="fr-BE"/>
        </w:rPr>
        <w:t>ribavirin</w:t>
      </w:r>
      <w:proofErr w:type="spellEnd"/>
      <w:r w:rsidRPr="006C6007">
        <w:rPr>
          <w:color w:val="231F20"/>
          <w:lang w:val="fr-BE"/>
        </w:rPr>
        <w:t xml:space="preserve">. </w:t>
      </w:r>
      <w:r>
        <w:rPr>
          <w:color w:val="231F20"/>
        </w:rPr>
        <w:t xml:space="preserve">Only </w:t>
      </w:r>
      <w:proofErr w:type="gramStart"/>
      <w:r>
        <w:rPr>
          <w:color w:val="231F20"/>
        </w:rPr>
        <w:t>2  patients</w:t>
      </w:r>
      <w:proofErr w:type="gramEnd"/>
      <w:r>
        <w:rPr>
          <w:color w:val="231F20"/>
        </w:rPr>
        <w:t xml:space="preserve">  (1.5 %) were reported with biopsy proven acute cellular rejection during the treatment but follow-up was limited to 12 weeks post-treatment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(4).</w:t>
      </w:r>
    </w:p>
    <w:p w:rsidR="000B650C" w:rsidRDefault="009F3E03">
      <w:pPr>
        <w:pStyle w:val="Corpsdetexte"/>
        <w:spacing w:before="1" w:line="249" w:lineRule="auto"/>
        <w:ind w:left="1780" w:firstLine="226"/>
        <w:jc w:val="both"/>
      </w:pPr>
      <w:r>
        <w:rPr>
          <w:color w:val="231F20"/>
        </w:rPr>
        <w:t xml:space="preserve">The HCV-TARGET </w:t>
      </w:r>
      <w:r>
        <w:rPr>
          <w:color w:val="231F20"/>
          <w:spacing w:val="2"/>
        </w:rPr>
        <w:t xml:space="preserve">study reported </w:t>
      </w:r>
      <w:r>
        <w:rPr>
          <w:color w:val="231F20"/>
        </w:rPr>
        <w:t xml:space="preserve">347 </w:t>
      </w:r>
      <w:r>
        <w:rPr>
          <w:color w:val="231F20"/>
          <w:spacing w:val="3"/>
        </w:rPr>
        <w:t xml:space="preserve">liver </w:t>
      </w:r>
      <w:r>
        <w:rPr>
          <w:color w:val="231F20"/>
        </w:rPr>
        <w:t>transplanted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</w:t>
      </w:r>
      <w:r>
        <w:rPr>
          <w:color w:val="231F20"/>
        </w:rPr>
        <w:t>atients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36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liver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kidney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 xml:space="preserve">transplanted patients treated either with </w:t>
      </w:r>
      <w:proofErr w:type="spellStart"/>
      <w:r>
        <w:rPr>
          <w:color w:val="231F20"/>
        </w:rPr>
        <w:t>sofosbuvir</w:t>
      </w:r>
      <w:proofErr w:type="spellEnd"/>
      <w:r>
        <w:rPr>
          <w:color w:val="231F20"/>
        </w:rPr>
        <w:t>/</w:t>
      </w:r>
      <w:proofErr w:type="spellStart"/>
      <w:r>
        <w:rPr>
          <w:color w:val="231F20"/>
        </w:rPr>
        <w:t>ledipasvir</w:t>
      </w:r>
      <w:proofErr w:type="spellEnd"/>
      <w:r>
        <w:rPr>
          <w:color w:val="231F20"/>
        </w:rPr>
        <w:t xml:space="preserve">, </w:t>
      </w:r>
      <w:proofErr w:type="spellStart"/>
      <w:r>
        <w:rPr>
          <w:color w:val="231F20"/>
        </w:rPr>
        <w:t>sofos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buvir</w:t>
      </w:r>
      <w:proofErr w:type="spellEnd"/>
      <w:r>
        <w:rPr>
          <w:color w:val="231F20"/>
        </w:rPr>
        <w:t>/</w:t>
      </w:r>
      <w:proofErr w:type="spellStart"/>
      <w:r>
        <w:rPr>
          <w:color w:val="231F20"/>
        </w:rPr>
        <w:t>daclatasvir</w:t>
      </w:r>
      <w:proofErr w:type="spellEnd"/>
      <w:r>
        <w:rPr>
          <w:color w:val="231F20"/>
        </w:rPr>
        <w:t xml:space="preserve"> or </w:t>
      </w:r>
      <w:proofErr w:type="spellStart"/>
      <w:r>
        <w:rPr>
          <w:color w:val="231F20"/>
        </w:rPr>
        <w:t>ombitasvir</w:t>
      </w:r>
      <w:proofErr w:type="spellEnd"/>
      <w:r>
        <w:rPr>
          <w:color w:val="231F20"/>
        </w:rPr>
        <w:t>/</w:t>
      </w:r>
      <w:proofErr w:type="spellStart"/>
      <w:r>
        <w:rPr>
          <w:color w:val="231F20"/>
        </w:rPr>
        <w:t>paritaprevir</w:t>
      </w:r>
      <w:proofErr w:type="spellEnd"/>
      <w:r>
        <w:rPr>
          <w:color w:val="231F20"/>
        </w:rPr>
        <w:t xml:space="preserve">/ritonavir + </w:t>
      </w:r>
      <w:proofErr w:type="spellStart"/>
      <w:r>
        <w:rPr>
          <w:color w:val="231F20"/>
        </w:rPr>
        <w:t>dasabuvir</w:t>
      </w:r>
      <w:proofErr w:type="spellEnd"/>
      <w:r>
        <w:rPr>
          <w:color w:val="231F20"/>
        </w:rPr>
        <w:t xml:space="preserve"> all +/- ribavirin. The SVR12 was achieved     in 96.3 % of liver alone transplantatio</w:t>
      </w:r>
      <w:r>
        <w:rPr>
          <w:color w:val="231F20"/>
        </w:rPr>
        <w:t xml:space="preserve">n and 90.9 % in combined liver/kidney transplanted patients. There were 4 episodes of rejection reported in the liver transplant recipients, 2 during DAAs treatment and 2 after the treatment, one of the patient died, one patient kept graft dysfunction and </w:t>
      </w:r>
      <w:r>
        <w:rPr>
          <w:color w:val="231F20"/>
        </w:rPr>
        <w:t>the two others required steroid boluses and a combined immunosuppressive therapy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(2).</w:t>
      </w:r>
    </w:p>
    <w:p w:rsidR="000B650C" w:rsidRDefault="009F3E03">
      <w:pPr>
        <w:pStyle w:val="Corpsdetexte"/>
        <w:spacing w:before="1" w:line="249" w:lineRule="auto"/>
        <w:ind w:left="1780" w:right="2" w:firstLine="226"/>
        <w:jc w:val="both"/>
      </w:pPr>
      <w:r>
        <w:rPr>
          <w:color w:val="231F20"/>
        </w:rPr>
        <w:t xml:space="preserve">Salcedo et al reported a cohort of </w:t>
      </w:r>
      <w:proofErr w:type="gramStart"/>
      <w:r>
        <w:rPr>
          <w:color w:val="231F20"/>
        </w:rPr>
        <w:t>331  patients</w:t>
      </w:r>
      <w:proofErr w:type="gramEnd"/>
      <w:r>
        <w:rPr>
          <w:color w:val="231F20"/>
        </w:rPr>
        <w:t xml:space="preserve">  treated  with  </w:t>
      </w:r>
      <w:proofErr w:type="spellStart"/>
      <w:r>
        <w:rPr>
          <w:color w:val="231F20"/>
        </w:rPr>
        <w:t>daclatasvir</w:t>
      </w:r>
      <w:proofErr w:type="spellEnd"/>
      <w:r>
        <w:rPr>
          <w:color w:val="231F20"/>
        </w:rPr>
        <w:t xml:space="preserve">  and  </w:t>
      </w:r>
      <w:proofErr w:type="spellStart"/>
      <w:r>
        <w:rPr>
          <w:color w:val="231F20"/>
        </w:rPr>
        <w:t>sofosbuvir</w:t>
      </w:r>
      <w:proofErr w:type="spellEnd"/>
      <w:r>
        <w:rPr>
          <w:color w:val="231F20"/>
        </w:rPr>
        <w:t xml:space="preserve">  or</w:t>
      </w:r>
      <w:r>
        <w:rPr>
          <w:color w:val="231F20"/>
          <w:spacing w:val="40"/>
        </w:rPr>
        <w:t xml:space="preserve"> </w:t>
      </w:r>
      <w:proofErr w:type="spellStart"/>
      <w:r>
        <w:rPr>
          <w:color w:val="231F20"/>
        </w:rPr>
        <w:t>simeprevir</w:t>
      </w:r>
      <w:proofErr w:type="spellEnd"/>
    </w:p>
    <w:p w:rsidR="000B650C" w:rsidRDefault="009F3E03">
      <w:pPr>
        <w:pStyle w:val="Corpsdetexte"/>
        <w:spacing w:before="1" w:line="249" w:lineRule="auto"/>
        <w:ind w:left="1780" w:right="1"/>
        <w:jc w:val="both"/>
      </w:pPr>
      <w:r>
        <w:rPr>
          <w:color w:val="231F20"/>
        </w:rPr>
        <w:t xml:space="preserve">+/- </w:t>
      </w:r>
      <w:proofErr w:type="gramStart"/>
      <w:r>
        <w:rPr>
          <w:color w:val="231F20"/>
        </w:rPr>
        <w:t>ribavirin</w:t>
      </w:r>
      <w:proofErr w:type="gramEnd"/>
      <w:r>
        <w:rPr>
          <w:color w:val="231F20"/>
        </w:rPr>
        <w:t>. There was no episode of acute or chronic rejec</w:t>
      </w:r>
      <w:r>
        <w:rPr>
          <w:color w:val="231F20"/>
        </w:rPr>
        <w:t>tion but changes in immunosuppressive therapy were made in 32.5 % of the studied patients (6).</w:t>
      </w:r>
    </w:p>
    <w:p w:rsidR="000B650C" w:rsidRDefault="009F3E03">
      <w:pPr>
        <w:pStyle w:val="Corpsdetexte"/>
        <w:spacing w:before="1" w:line="249" w:lineRule="auto"/>
        <w:ind w:left="1780" w:right="1" w:firstLine="226"/>
        <w:jc w:val="both"/>
      </w:pPr>
      <w:r>
        <w:rPr>
          <w:color w:val="231F20"/>
        </w:rPr>
        <w:t xml:space="preserve">Although changes in immunosuppression are anti- </w:t>
      </w:r>
      <w:proofErr w:type="spellStart"/>
      <w:r>
        <w:rPr>
          <w:color w:val="231F20"/>
        </w:rPr>
        <w:t>cipated</w:t>
      </w:r>
      <w:proofErr w:type="spellEnd"/>
      <w:r>
        <w:rPr>
          <w:color w:val="231F20"/>
        </w:rPr>
        <w:t xml:space="preserve"> in </w:t>
      </w:r>
      <w:proofErr w:type="spellStart"/>
      <w:r>
        <w:rPr>
          <w:color w:val="231F20"/>
        </w:rPr>
        <w:t>ombitasvir</w:t>
      </w:r>
      <w:proofErr w:type="spellEnd"/>
      <w:r>
        <w:rPr>
          <w:color w:val="231F20"/>
        </w:rPr>
        <w:t>/</w:t>
      </w:r>
      <w:proofErr w:type="spellStart"/>
      <w:r>
        <w:rPr>
          <w:color w:val="231F20"/>
        </w:rPr>
        <w:t>paritaprevir</w:t>
      </w:r>
      <w:proofErr w:type="spellEnd"/>
      <w:r>
        <w:rPr>
          <w:color w:val="231F20"/>
        </w:rPr>
        <w:t>/</w:t>
      </w:r>
      <w:proofErr w:type="gramStart"/>
      <w:r>
        <w:rPr>
          <w:color w:val="231F20"/>
        </w:rPr>
        <w:t>ritonavir  treatment</w:t>
      </w:r>
      <w:proofErr w:type="gramEnd"/>
      <w:r>
        <w:rPr>
          <w:color w:val="231F20"/>
        </w:rPr>
        <w:t xml:space="preserve"> due to the known interaction with CYP3A4, the other DAAs </w:t>
      </w:r>
      <w:r>
        <w:rPr>
          <w:color w:val="231F20"/>
        </w:rPr>
        <w:t xml:space="preserve">therapy should also be used with caution and </w:t>
      </w:r>
      <w:proofErr w:type="spellStart"/>
      <w:r>
        <w:rPr>
          <w:color w:val="231F20"/>
        </w:rPr>
        <w:t>immunosuppressors</w:t>
      </w:r>
      <w:proofErr w:type="spellEnd"/>
      <w:r>
        <w:rPr>
          <w:color w:val="231F20"/>
        </w:rPr>
        <w:t xml:space="preserve"> trough levels followed carefully to avoid rejection in patients with lower trough levels.</w:t>
      </w:r>
    </w:p>
    <w:p w:rsidR="000B650C" w:rsidRDefault="009F3E03">
      <w:pPr>
        <w:pStyle w:val="Corpsdetexte"/>
        <w:spacing w:before="1" w:line="249" w:lineRule="auto"/>
        <w:ind w:left="1780" w:right="2" w:firstLine="226"/>
        <w:jc w:val="both"/>
      </w:pPr>
      <w:r>
        <w:rPr>
          <w:color w:val="231F20"/>
        </w:rPr>
        <w:t xml:space="preserve">Smolders et al reported the cases of two patients in which tacrolimus dosage had to be increased during HCV treatment to maintain the </w:t>
      </w:r>
      <w:proofErr w:type="gramStart"/>
      <w:r>
        <w:rPr>
          <w:color w:val="231F20"/>
        </w:rPr>
        <w:t>target  trough</w:t>
      </w:r>
      <w:proofErr w:type="gramEnd"/>
      <w:r>
        <w:rPr>
          <w:color w:val="231F20"/>
        </w:rPr>
        <w:t xml:space="preserve">  levels.  The hypothesis is that CYP3A activity is reduced under the </w:t>
      </w:r>
      <w:proofErr w:type="spellStart"/>
      <w:r>
        <w:rPr>
          <w:color w:val="231F20"/>
        </w:rPr>
        <w:t>proinflammatory</w:t>
      </w:r>
      <w:proofErr w:type="spellEnd"/>
      <w:r>
        <w:rPr>
          <w:color w:val="231F20"/>
        </w:rPr>
        <w:t xml:space="preserve"> condition of HCV infec</w:t>
      </w:r>
      <w:r>
        <w:rPr>
          <w:color w:val="231F20"/>
        </w:rPr>
        <w:t>tion and when the virus is cleared, the activity of the enzyme is increased lowering the tacrolimus trough level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(10).</w:t>
      </w:r>
    </w:p>
    <w:p w:rsidR="000B650C" w:rsidRDefault="009F3E03">
      <w:pPr>
        <w:pStyle w:val="Corpsdetexte"/>
        <w:spacing w:before="1" w:line="249" w:lineRule="auto"/>
        <w:ind w:left="1780" w:right="2" w:firstLine="226"/>
        <w:jc w:val="both"/>
      </w:pPr>
      <w:r>
        <w:rPr>
          <w:color w:val="231F20"/>
          <w:spacing w:val="-5"/>
        </w:rPr>
        <w:t xml:space="preserve">Two </w:t>
      </w:r>
      <w:r>
        <w:rPr>
          <w:color w:val="231F20"/>
        </w:rPr>
        <w:t xml:space="preserve">of our patients were treated with the </w:t>
      </w:r>
      <w:proofErr w:type="spellStart"/>
      <w:r>
        <w:rPr>
          <w:color w:val="231F20"/>
        </w:rPr>
        <w:t>ombitasvir</w:t>
      </w:r>
      <w:proofErr w:type="spellEnd"/>
      <w:r>
        <w:rPr>
          <w:color w:val="231F20"/>
        </w:rPr>
        <w:t xml:space="preserve">/ </w:t>
      </w:r>
      <w:proofErr w:type="spellStart"/>
      <w:r>
        <w:rPr>
          <w:color w:val="231F20"/>
        </w:rPr>
        <w:t>paritaprevir</w:t>
      </w:r>
      <w:proofErr w:type="spellEnd"/>
      <w:r>
        <w:rPr>
          <w:color w:val="231F20"/>
        </w:rPr>
        <w:t xml:space="preserve">/ritonavir combination and tacrolimus trough levels </w:t>
      </w:r>
      <w:proofErr w:type="gramStart"/>
      <w:r>
        <w:rPr>
          <w:color w:val="231F20"/>
        </w:rPr>
        <w:t>were  followed</w:t>
      </w:r>
      <w:proofErr w:type="gramEnd"/>
      <w:r>
        <w:rPr>
          <w:color w:val="231F20"/>
        </w:rPr>
        <w:t xml:space="preserve"> caut</w:t>
      </w:r>
      <w:r>
        <w:rPr>
          <w:color w:val="231F20"/>
        </w:rPr>
        <w:t>iously during the treatment.  In the third patient we have observed a decrease in tacrolimus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trough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levels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end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treatment.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There were no signs of rejection during the first three months post-antiviral treatment, confirmed by normal liver tests</w:t>
      </w:r>
      <w:r>
        <w:rPr>
          <w:color w:val="231F20"/>
        </w:rPr>
        <w:t xml:space="preserve"> in all patients and a protocol-liver biopsy in one of the patients. As our patients </w:t>
      </w:r>
      <w:proofErr w:type="gramStart"/>
      <w:r>
        <w:rPr>
          <w:color w:val="231F20"/>
        </w:rPr>
        <w:t>were  transplanted</w:t>
      </w:r>
      <w:proofErr w:type="gramEnd"/>
      <w:r>
        <w:rPr>
          <w:color w:val="231F20"/>
        </w:rPr>
        <w:t xml:space="preserve">  for  HCC the immunosuppressive regimen is based on minimal immunosuppression with tacrolimus monotherapy and trough levels between 3 and 5 ng/mL after </w:t>
      </w:r>
      <w:r>
        <w:rPr>
          <w:color w:val="231F20"/>
        </w:rPr>
        <w:t>1 year post- transplantation to reduce the risk for HCC recurrence before as well as after the antiviral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treatment.</w:t>
      </w:r>
    </w:p>
    <w:p w:rsidR="000B650C" w:rsidRDefault="009F3E03">
      <w:pPr>
        <w:pStyle w:val="Corpsdetexte"/>
        <w:spacing w:before="1" w:line="249" w:lineRule="auto"/>
        <w:ind w:left="1780" w:firstLine="226"/>
        <w:jc w:val="both"/>
      </w:pPr>
      <w:r>
        <w:rPr>
          <w:color w:val="231F20"/>
        </w:rPr>
        <w:t xml:space="preserve">In conclusion, </w:t>
      </w:r>
      <w:proofErr w:type="gramStart"/>
      <w:r>
        <w:rPr>
          <w:color w:val="231F20"/>
        </w:rPr>
        <w:t>HCV  therapies</w:t>
      </w:r>
      <w:proofErr w:type="gramEnd"/>
      <w:r>
        <w:rPr>
          <w:color w:val="231F20"/>
        </w:rPr>
        <w:t xml:space="preserve">  have  become  easier to use, very efficacious and  more  available.  </w:t>
      </w:r>
      <w:proofErr w:type="gramStart"/>
      <w:r>
        <w:rPr>
          <w:color w:val="231F20"/>
        </w:rPr>
        <w:t>With  those</w:t>
      </w:r>
      <w:proofErr w:type="gramEnd"/>
      <w:r>
        <w:rPr>
          <w:color w:val="231F20"/>
        </w:rPr>
        <w:t xml:space="preserve"> three cases, including one w</w:t>
      </w:r>
      <w:r>
        <w:rPr>
          <w:color w:val="231F20"/>
        </w:rPr>
        <w:t xml:space="preserve">ith severe </w:t>
      </w:r>
      <w:proofErr w:type="spellStart"/>
      <w:r>
        <w:rPr>
          <w:color w:val="231F20"/>
        </w:rPr>
        <w:t>cortico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dependant</w:t>
      </w:r>
      <w:proofErr w:type="spellEnd"/>
      <w:r>
        <w:rPr>
          <w:color w:val="231F20"/>
        </w:rPr>
        <w:t xml:space="preserve"> rejection, we advocate for a close monitoring of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tacrolimus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liver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tests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few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months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after</w:t>
      </w:r>
    </w:p>
    <w:p w:rsidR="000B650C" w:rsidRDefault="009F3E03">
      <w:pPr>
        <w:pStyle w:val="Corpsdetexte"/>
        <w:spacing w:before="92" w:line="249" w:lineRule="auto"/>
        <w:ind w:left="465" w:right="1720"/>
        <w:jc w:val="both"/>
      </w:pPr>
      <w:r>
        <w:br w:type="column"/>
      </w:r>
      <w:proofErr w:type="gramStart"/>
      <w:r>
        <w:rPr>
          <w:color w:val="231F20"/>
        </w:rPr>
        <w:lastRenderedPageBreak/>
        <w:t>the</w:t>
      </w:r>
      <w:proofErr w:type="gramEnd"/>
      <w:r>
        <w:rPr>
          <w:color w:val="231F20"/>
        </w:rPr>
        <w:t xml:space="preserve"> end of the treatment. Clinicians using DAAs after liver transplantation should be aware of the dynamics   of tacrolimus l</w:t>
      </w:r>
      <w:r>
        <w:rPr>
          <w:color w:val="231F20"/>
        </w:rPr>
        <w:t>evels during therapy and immunological changes that can occur even late after the end of treatment.</w:t>
      </w:r>
    </w:p>
    <w:p w:rsidR="000B650C" w:rsidRDefault="000B650C">
      <w:pPr>
        <w:pStyle w:val="Corpsdetexte"/>
        <w:spacing w:before="10"/>
      </w:pPr>
    </w:p>
    <w:p w:rsidR="000B650C" w:rsidRDefault="009F3E03">
      <w:pPr>
        <w:pStyle w:val="Titre1"/>
      </w:pPr>
      <w:r>
        <w:rPr>
          <w:color w:val="231F20"/>
        </w:rPr>
        <w:t>Conflict of interest statement</w:t>
      </w:r>
    </w:p>
    <w:p w:rsidR="000B650C" w:rsidRDefault="000B650C">
      <w:pPr>
        <w:pStyle w:val="Corpsdetexte"/>
        <w:spacing w:before="8"/>
        <w:rPr>
          <w:b/>
          <w:sz w:val="21"/>
        </w:rPr>
      </w:pPr>
    </w:p>
    <w:p w:rsidR="000B650C" w:rsidRDefault="009F3E03">
      <w:pPr>
        <w:pStyle w:val="Corpsdetexte"/>
        <w:ind w:left="465"/>
        <w:jc w:val="both"/>
      </w:pPr>
      <w:r>
        <w:rPr>
          <w:color w:val="231F20"/>
        </w:rPr>
        <w:t>All authors confirm that there is no conflict of interest.</w:t>
      </w:r>
    </w:p>
    <w:p w:rsidR="000B650C" w:rsidRDefault="000B650C">
      <w:pPr>
        <w:pStyle w:val="Corpsdetexte"/>
        <w:spacing w:before="7"/>
        <w:rPr>
          <w:sz w:val="21"/>
        </w:rPr>
      </w:pPr>
    </w:p>
    <w:p w:rsidR="000B650C" w:rsidRDefault="009F3E03">
      <w:pPr>
        <w:pStyle w:val="Titre1"/>
      </w:pPr>
      <w:r>
        <w:rPr>
          <w:color w:val="231F20"/>
        </w:rPr>
        <w:t>Financial support statement</w:t>
      </w:r>
    </w:p>
    <w:p w:rsidR="000B650C" w:rsidRDefault="000B650C">
      <w:pPr>
        <w:pStyle w:val="Corpsdetexte"/>
        <w:spacing w:before="8"/>
        <w:rPr>
          <w:b/>
          <w:sz w:val="21"/>
        </w:rPr>
      </w:pPr>
    </w:p>
    <w:p w:rsidR="000B650C" w:rsidRDefault="009F3E03">
      <w:pPr>
        <w:pStyle w:val="Corpsdetexte"/>
        <w:ind w:left="465"/>
        <w:jc w:val="both"/>
      </w:pPr>
      <w:r>
        <w:rPr>
          <w:color w:val="231F20"/>
        </w:rPr>
        <w:t>All authors confirm that there is no financial support.</w:t>
      </w:r>
    </w:p>
    <w:p w:rsidR="000B650C" w:rsidRDefault="000B650C">
      <w:pPr>
        <w:pStyle w:val="Corpsdetexte"/>
        <w:spacing w:before="7"/>
        <w:rPr>
          <w:sz w:val="21"/>
        </w:rPr>
      </w:pPr>
    </w:p>
    <w:p w:rsidR="000B650C" w:rsidRDefault="009F3E03">
      <w:pPr>
        <w:pStyle w:val="Titre1"/>
      </w:pPr>
      <w:r>
        <w:rPr>
          <w:color w:val="231F20"/>
        </w:rPr>
        <w:t>Authors’ contributions</w:t>
      </w:r>
    </w:p>
    <w:p w:rsidR="000B650C" w:rsidRDefault="000B650C">
      <w:pPr>
        <w:pStyle w:val="Corpsdetexte"/>
        <w:spacing w:before="8"/>
        <w:rPr>
          <w:b/>
          <w:sz w:val="21"/>
        </w:rPr>
      </w:pPr>
    </w:p>
    <w:p w:rsidR="000B650C" w:rsidRDefault="009F3E03">
      <w:pPr>
        <w:pStyle w:val="Corpsdetexte"/>
        <w:spacing w:line="249" w:lineRule="auto"/>
        <w:ind w:left="465" w:right="1721" w:firstLine="226"/>
        <w:jc w:val="both"/>
      </w:pPr>
      <w:r>
        <w:rPr>
          <w:color w:val="231F20"/>
        </w:rPr>
        <w:t xml:space="preserve">Geraldine </w:t>
      </w:r>
      <w:proofErr w:type="spellStart"/>
      <w:r>
        <w:rPr>
          <w:color w:val="231F20"/>
        </w:rPr>
        <w:t>Dahlqvist</w:t>
      </w:r>
      <w:proofErr w:type="spellEnd"/>
      <w:r>
        <w:rPr>
          <w:color w:val="231F20"/>
        </w:rPr>
        <w:t xml:space="preserve"> and Yves Horsmans contributed equally to the writing of this paper. All the authors contributed to the management and the diagnosis of the patients.</w:t>
      </w:r>
    </w:p>
    <w:p w:rsidR="000B650C" w:rsidRDefault="000B650C">
      <w:pPr>
        <w:pStyle w:val="Corpsdetexte"/>
        <w:spacing w:before="4"/>
        <w:rPr>
          <w:sz w:val="31"/>
        </w:rPr>
      </w:pPr>
    </w:p>
    <w:p w:rsidR="000B650C" w:rsidRDefault="009F3E03">
      <w:pPr>
        <w:pStyle w:val="Titre1"/>
        <w:spacing w:before="0"/>
      </w:pPr>
      <w:r>
        <w:rPr>
          <w:color w:val="231F20"/>
        </w:rPr>
        <w:t>References</w:t>
      </w:r>
    </w:p>
    <w:p w:rsidR="000B650C" w:rsidRDefault="000B650C">
      <w:pPr>
        <w:pStyle w:val="Corpsdetexte"/>
        <w:spacing w:before="4"/>
        <w:rPr>
          <w:b/>
          <w:sz w:val="21"/>
        </w:rPr>
      </w:pP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93"/>
        </w:tabs>
        <w:spacing w:line="268" w:lineRule="auto"/>
        <w:jc w:val="both"/>
        <w:rPr>
          <w:color w:val="231F20"/>
          <w:sz w:val="14"/>
        </w:rPr>
      </w:pPr>
      <w:r>
        <w:rPr>
          <w:color w:val="231F20"/>
          <w:sz w:val="14"/>
        </w:rPr>
        <w:t xml:space="preserve">CRESPO G, MARINO Z, NACASA M, FORNS, X. Viral hepatitis in liver transplantation. </w:t>
      </w:r>
      <w:r>
        <w:rPr>
          <w:i/>
          <w:color w:val="231F20"/>
          <w:sz w:val="14"/>
        </w:rPr>
        <w:t>Gastroenterology</w:t>
      </w:r>
      <w:r>
        <w:rPr>
          <w:color w:val="231F20"/>
          <w:sz w:val="14"/>
        </w:rPr>
        <w:t xml:space="preserve">, 2012, </w:t>
      </w:r>
      <w:proofErr w:type="gramStart"/>
      <w:r>
        <w:rPr>
          <w:b/>
          <w:color w:val="231F20"/>
          <w:sz w:val="14"/>
        </w:rPr>
        <w:t xml:space="preserve">142 </w:t>
      </w:r>
      <w:r>
        <w:rPr>
          <w:color w:val="231F20"/>
          <w:sz w:val="14"/>
        </w:rPr>
        <w:t>:</w:t>
      </w:r>
      <w:proofErr w:type="gramEnd"/>
      <w:r>
        <w:rPr>
          <w:color w:val="231F20"/>
          <w:spacing w:val="-3"/>
          <w:sz w:val="14"/>
        </w:rPr>
        <w:t xml:space="preserve"> </w:t>
      </w:r>
      <w:r>
        <w:rPr>
          <w:color w:val="231F20"/>
          <w:sz w:val="14"/>
        </w:rPr>
        <w:t>1373-1383.</w:t>
      </w: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93"/>
        </w:tabs>
        <w:spacing w:line="268" w:lineRule="auto"/>
        <w:jc w:val="both"/>
        <w:rPr>
          <w:color w:val="231F20"/>
          <w:sz w:val="14"/>
        </w:rPr>
      </w:pPr>
      <w:r w:rsidRPr="006C6007">
        <w:rPr>
          <w:color w:val="231F20"/>
          <w:sz w:val="14"/>
          <w:lang w:val="fr-BE"/>
        </w:rPr>
        <w:t xml:space="preserve">SAXENA </w:t>
      </w:r>
      <w:r w:rsidRPr="006C6007">
        <w:rPr>
          <w:color w:val="231F20"/>
          <w:spacing w:val="-10"/>
          <w:sz w:val="14"/>
          <w:lang w:val="fr-BE"/>
        </w:rPr>
        <w:t xml:space="preserve">V, </w:t>
      </w:r>
      <w:r w:rsidRPr="006C6007">
        <w:rPr>
          <w:color w:val="231F20"/>
          <w:sz w:val="14"/>
          <w:lang w:val="fr-BE"/>
        </w:rPr>
        <w:t xml:space="preserve">KHUNGA </w:t>
      </w:r>
      <w:r w:rsidRPr="006C6007">
        <w:rPr>
          <w:color w:val="231F20"/>
          <w:spacing w:val="-10"/>
          <w:sz w:val="14"/>
          <w:lang w:val="fr-BE"/>
        </w:rPr>
        <w:t xml:space="preserve">V, </w:t>
      </w:r>
      <w:r w:rsidRPr="006C6007">
        <w:rPr>
          <w:color w:val="231F20"/>
          <w:sz w:val="14"/>
          <w:lang w:val="fr-BE"/>
        </w:rPr>
        <w:t xml:space="preserve">VERNA EC, LEVITSKY J, BROWN RS, HASSAN MA. </w:t>
      </w:r>
      <w:r w:rsidRPr="006C6007">
        <w:rPr>
          <w:i/>
          <w:color w:val="231F20"/>
          <w:sz w:val="14"/>
          <w:lang w:val="fr-BE"/>
        </w:rPr>
        <w:t>et al</w:t>
      </w:r>
      <w:r w:rsidRPr="006C6007">
        <w:rPr>
          <w:color w:val="231F20"/>
          <w:sz w:val="14"/>
          <w:lang w:val="fr-BE"/>
        </w:rPr>
        <w:t xml:space="preserve">. </w:t>
      </w:r>
      <w:r>
        <w:rPr>
          <w:color w:val="231F20"/>
          <w:sz w:val="14"/>
        </w:rPr>
        <w:t>Safety and Efficacy of current DAA Regimens in Kidn</w:t>
      </w:r>
      <w:r>
        <w:rPr>
          <w:color w:val="231F20"/>
          <w:sz w:val="14"/>
        </w:rPr>
        <w:t xml:space="preserve">ey and Liver Transplant Recipients with </w:t>
      </w:r>
      <w:proofErr w:type="spellStart"/>
      <w:r>
        <w:rPr>
          <w:color w:val="231F20"/>
          <w:sz w:val="14"/>
        </w:rPr>
        <w:t>Hepatitic</w:t>
      </w:r>
      <w:proofErr w:type="spellEnd"/>
      <w:r>
        <w:rPr>
          <w:color w:val="231F20"/>
          <w:sz w:val="14"/>
        </w:rPr>
        <w:t xml:space="preserve"> </w:t>
      </w:r>
      <w:proofErr w:type="gramStart"/>
      <w:r>
        <w:rPr>
          <w:color w:val="231F20"/>
          <w:sz w:val="14"/>
        </w:rPr>
        <w:t>C :</w:t>
      </w:r>
      <w:proofErr w:type="gramEnd"/>
      <w:r>
        <w:rPr>
          <w:color w:val="231F20"/>
          <w:sz w:val="14"/>
        </w:rPr>
        <w:t xml:space="preserve"> Results from the </w:t>
      </w:r>
      <w:r>
        <w:rPr>
          <w:color w:val="231F20"/>
          <w:spacing w:val="-4"/>
          <w:sz w:val="14"/>
        </w:rPr>
        <w:t xml:space="preserve">HCV-TARGET </w:t>
      </w:r>
      <w:r>
        <w:rPr>
          <w:color w:val="231F20"/>
          <w:spacing w:val="-3"/>
          <w:sz w:val="14"/>
        </w:rPr>
        <w:t xml:space="preserve">Study. </w:t>
      </w:r>
      <w:r>
        <w:rPr>
          <w:i/>
          <w:color w:val="231F20"/>
          <w:sz w:val="14"/>
        </w:rPr>
        <w:t>Hepatology</w:t>
      </w:r>
      <w:r>
        <w:rPr>
          <w:color w:val="231F20"/>
          <w:sz w:val="14"/>
        </w:rPr>
        <w:t>,</w:t>
      </w:r>
      <w:r>
        <w:rPr>
          <w:color w:val="231F20"/>
          <w:spacing w:val="19"/>
          <w:sz w:val="14"/>
        </w:rPr>
        <w:t xml:space="preserve"> </w:t>
      </w:r>
      <w:r>
        <w:rPr>
          <w:color w:val="231F20"/>
          <w:sz w:val="14"/>
        </w:rPr>
        <w:t>2017.</w:t>
      </w: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86"/>
        </w:tabs>
        <w:ind w:left="685" w:right="0" w:hanging="152"/>
        <w:jc w:val="both"/>
        <w:rPr>
          <w:color w:val="231F20"/>
          <w:sz w:val="14"/>
        </w:rPr>
      </w:pPr>
      <w:r>
        <w:rPr>
          <w:color w:val="231F20"/>
          <w:sz w:val="14"/>
        </w:rPr>
        <w:t xml:space="preserve">BERENGUER M, PRIETO M, </w:t>
      </w:r>
      <w:r>
        <w:rPr>
          <w:color w:val="231F20"/>
          <w:spacing w:val="-3"/>
          <w:sz w:val="14"/>
        </w:rPr>
        <w:t xml:space="preserve">RAYON </w:t>
      </w:r>
      <w:r>
        <w:rPr>
          <w:color w:val="231F20"/>
          <w:sz w:val="14"/>
        </w:rPr>
        <w:t xml:space="preserve">JM, MORA J, </w:t>
      </w:r>
      <w:r>
        <w:rPr>
          <w:color w:val="231F20"/>
          <w:spacing w:val="-4"/>
          <w:sz w:val="14"/>
        </w:rPr>
        <w:t xml:space="preserve">PASTOR </w:t>
      </w:r>
      <w:r>
        <w:rPr>
          <w:color w:val="231F20"/>
          <w:sz w:val="14"/>
        </w:rPr>
        <w:t>M,</w:t>
      </w:r>
      <w:r>
        <w:rPr>
          <w:color w:val="231F20"/>
          <w:spacing w:val="8"/>
          <w:sz w:val="14"/>
        </w:rPr>
        <w:t xml:space="preserve"> </w:t>
      </w:r>
      <w:r>
        <w:rPr>
          <w:color w:val="231F20"/>
          <w:sz w:val="14"/>
        </w:rPr>
        <w:t>ORTIZ</w:t>
      </w:r>
    </w:p>
    <w:p w:rsidR="000B650C" w:rsidRDefault="009F3E03">
      <w:pPr>
        <w:spacing w:before="18" w:line="268" w:lineRule="auto"/>
        <w:ind w:left="692" w:right="1609"/>
        <w:rPr>
          <w:sz w:val="14"/>
        </w:rPr>
      </w:pPr>
      <w:r>
        <w:rPr>
          <w:color w:val="231F20"/>
          <w:sz w:val="14"/>
        </w:rPr>
        <w:t xml:space="preserve">V. </w:t>
      </w:r>
      <w:r>
        <w:rPr>
          <w:i/>
          <w:color w:val="231F20"/>
          <w:sz w:val="14"/>
        </w:rPr>
        <w:t>et al</w:t>
      </w:r>
      <w:r>
        <w:rPr>
          <w:color w:val="231F20"/>
          <w:sz w:val="14"/>
        </w:rPr>
        <w:t>. Natural history of clinically compensated hepatitis C virus-related graft cirrhos</w:t>
      </w:r>
      <w:r>
        <w:rPr>
          <w:color w:val="231F20"/>
          <w:sz w:val="14"/>
        </w:rPr>
        <w:t xml:space="preserve">is after liver transplantation. </w:t>
      </w:r>
      <w:r>
        <w:rPr>
          <w:i/>
          <w:color w:val="231F20"/>
          <w:sz w:val="14"/>
        </w:rPr>
        <w:t>Hepatology</w:t>
      </w:r>
      <w:r>
        <w:rPr>
          <w:color w:val="231F20"/>
          <w:sz w:val="14"/>
        </w:rPr>
        <w:t xml:space="preserve">, 2000, </w:t>
      </w:r>
      <w:proofErr w:type="gramStart"/>
      <w:r>
        <w:rPr>
          <w:b/>
          <w:color w:val="231F20"/>
          <w:sz w:val="14"/>
        </w:rPr>
        <w:t xml:space="preserve">32 </w:t>
      </w:r>
      <w:r>
        <w:rPr>
          <w:color w:val="231F20"/>
          <w:sz w:val="14"/>
        </w:rPr>
        <w:t>:</w:t>
      </w:r>
      <w:proofErr w:type="gramEnd"/>
      <w:r>
        <w:rPr>
          <w:color w:val="231F20"/>
          <w:sz w:val="14"/>
        </w:rPr>
        <w:t xml:space="preserve"> 852-858.</w:t>
      </w: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86"/>
        </w:tabs>
        <w:spacing w:line="268" w:lineRule="auto"/>
        <w:jc w:val="both"/>
        <w:rPr>
          <w:color w:val="231F20"/>
          <w:sz w:val="14"/>
        </w:rPr>
      </w:pPr>
      <w:r w:rsidRPr="006C6007">
        <w:rPr>
          <w:color w:val="231F20"/>
          <w:spacing w:val="-3"/>
          <w:sz w:val="14"/>
          <w:lang w:val="fr-BE"/>
        </w:rPr>
        <w:t xml:space="preserve">COILLY </w:t>
      </w:r>
      <w:r w:rsidRPr="006C6007">
        <w:rPr>
          <w:color w:val="231F20"/>
          <w:sz w:val="14"/>
          <w:lang w:val="fr-BE"/>
        </w:rPr>
        <w:t xml:space="preserve">A, GOUGEROU-LEURENT C, DE LEDINGHEN </w:t>
      </w:r>
      <w:r w:rsidRPr="006C6007">
        <w:rPr>
          <w:color w:val="231F20"/>
          <w:spacing w:val="-10"/>
          <w:sz w:val="14"/>
          <w:lang w:val="fr-BE"/>
        </w:rPr>
        <w:t xml:space="preserve">V, </w:t>
      </w:r>
      <w:r w:rsidRPr="006C6007">
        <w:rPr>
          <w:color w:val="231F20"/>
          <w:sz w:val="14"/>
          <w:lang w:val="fr-BE"/>
        </w:rPr>
        <w:t xml:space="preserve">HOUSSEL- </w:t>
      </w:r>
      <w:r w:rsidRPr="006C6007">
        <w:rPr>
          <w:color w:val="231F20"/>
          <w:spacing w:val="-3"/>
          <w:sz w:val="14"/>
          <w:lang w:val="fr-BE"/>
        </w:rPr>
        <w:t xml:space="preserve">DEBRY </w:t>
      </w:r>
      <w:r w:rsidRPr="006C6007">
        <w:rPr>
          <w:color w:val="231F20"/>
          <w:spacing w:val="-8"/>
          <w:sz w:val="14"/>
          <w:lang w:val="fr-BE"/>
        </w:rPr>
        <w:t xml:space="preserve">P, </w:t>
      </w:r>
      <w:r w:rsidRPr="006C6007">
        <w:rPr>
          <w:color w:val="231F20"/>
          <w:sz w:val="14"/>
          <w:lang w:val="fr-BE"/>
        </w:rPr>
        <w:t xml:space="preserve">DUVOUX C, DI MARTINO </w:t>
      </w:r>
      <w:r w:rsidRPr="006C6007">
        <w:rPr>
          <w:color w:val="231F20"/>
          <w:spacing w:val="-10"/>
          <w:sz w:val="14"/>
          <w:lang w:val="fr-BE"/>
        </w:rPr>
        <w:t xml:space="preserve">V. </w:t>
      </w:r>
      <w:r w:rsidRPr="006C6007">
        <w:rPr>
          <w:i/>
          <w:color w:val="231F20"/>
          <w:sz w:val="14"/>
          <w:lang w:val="fr-BE"/>
        </w:rPr>
        <w:t xml:space="preserve">et al. </w:t>
      </w:r>
      <w:proofErr w:type="spellStart"/>
      <w:r>
        <w:rPr>
          <w:color w:val="231F20"/>
          <w:sz w:val="14"/>
        </w:rPr>
        <w:t>Multicentre</w:t>
      </w:r>
      <w:proofErr w:type="spellEnd"/>
      <w:r>
        <w:rPr>
          <w:color w:val="231F20"/>
          <w:sz w:val="14"/>
        </w:rPr>
        <w:t xml:space="preserve"> experience using </w:t>
      </w:r>
      <w:proofErr w:type="spellStart"/>
      <w:r>
        <w:rPr>
          <w:color w:val="231F20"/>
          <w:sz w:val="14"/>
        </w:rPr>
        <w:t>daclatasvir</w:t>
      </w:r>
      <w:proofErr w:type="spellEnd"/>
      <w:r>
        <w:rPr>
          <w:color w:val="231F20"/>
          <w:sz w:val="14"/>
        </w:rPr>
        <w:t xml:space="preserve"> and </w:t>
      </w:r>
      <w:proofErr w:type="spellStart"/>
      <w:r>
        <w:rPr>
          <w:color w:val="231F20"/>
          <w:sz w:val="14"/>
        </w:rPr>
        <w:t>sofosbuvir</w:t>
      </w:r>
      <w:proofErr w:type="spellEnd"/>
      <w:r>
        <w:rPr>
          <w:color w:val="231F20"/>
          <w:sz w:val="14"/>
        </w:rPr>
        <w:t xml:space="preserve"> to treat hepatitis C recurrence – The ANRS </w:t>
      </w:r>
      <w:r>
        <w:rPr>
          <w:color w:val="231F20"/>
          <w:spacing w:val="-3"/>
          <w:sz w:val="14"/>
        </w:rPr>
        <w:t xml:space="preserve">CUPILT study. </w:t>
      </w:r>
      <w:r>
        <w:rPr>
          <w:i/>
          <w:color w:val="231F20"/>
          <w:sz w:val="14"/>
        </w:rPr>
        <w:t xml:space="preserve">J. </w:t>
      </w:r>
      <w:proofErr w:type="spellStart"/>
      <w:r>
        <w:rPr>
          <w:i/>
          <w:color w:val="231F20"/>
          <w:sz w:val="14"/>
        </w:rPr>
        <w:t>Hepatol</w:t>
      </w:r>
      <w:proofErr w:type="spellEnd"/>
      <w:r>
        <w:rPr>
          <w:color w:val="231F20"/>
          <w:sz w:val="14"/>
        </w:rPr>
        <w:t xml:space="preserve">., 2016, </w:t>
      </w:r>
      <w:proofErr w:type="gramStart"/>
      <w:r>
        <w:rPr>
          <w:b/>
          <w:color w:val="231F20"/>
          <w:sz w:val="14"/>
        </w:rPr>
        <w:t xml:space="preserve">65 </w:t>
      </w:r>
      <w:r>
        <w:rPr>
          <w:color w:val="231F20"/>
          <w:sz w:val="14"/>
        </w:rPr>
        <w:t>:</w:t>
      </w:r>
      <w:proofErr w:type="gramEnd"/>
      <w:r>
        <w:rPr>
          <w:color w:val="231F20"/>
          <w:spacing w:val="22"/>
          <w:sz w:val="14"/>
        </w:rPr>
        <w:t xml:space="preserve"> </w:t>
      </w:r>
      <w:r>
        <w:rPr>
          <w:color w:val="231F20"/>
          <w:sz w:val="14"/>
        </w:rPr>
        <w:t>711-718.</w:t>
      </w: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93"/>
        </w:tabs>
        <w:spacing w:line="268" w:lineRule="auto"/>
        <w:jc w:val="both"/>
        <w:rPr>
          <w:color w:val="231F20"/>
          <w:sz w:val="14"/>
        </w:rPr>
      </w:pPr>
      <w:r>
        <w:rPr>
          <w:color w:val="231F20"/>
          <w:sz w:val="14"/>
        </w:rPr>
        <w:t xml:space="preserve">SALCEDO M, PRIETO M, CASTELLS L, </w:t>
      </w:r>
      <w:r>
        <w:rPr>
          <w:color w:val="231F20"/>
          <w:spacing w:val="-3"/>
          <w:sz w:val="14"/>
        </w:rPr>
        <w:t xml:space="preserve">PASCASIO </w:t>
      </w:r>
      <w:r>
        <w:rPr>
          <w:color w:val="231F20"/>
          <w:sz w:val="14"/>
        </w:rPr>
        <w:t xml:space="preserve">JM,  </w:t>
      </w:r>
      <w:r>
        <w:rPr>
          <w:color w:val="231F20"/>
          <w:spacing w:val="-6"/>
          <w:sz w:val="14"/>
        </w:rPr>
        <w:t xml:space="preserve">ALVAREZ </w:t>
      </w:r>
      <w:r>
        <w:rPr>
          <w:color w:val="231F20"/>
          <w:sz w:val="14"/>
        </w:rPr>
        <w:t xml:space="preserve">JLM, FERNÁNDEZ I. </w:t>
      </w:r>
      <w:r>
        <w:rPr>
          <w:i/>
          <w:color w:val="231F20"/>
          <w:sz w:val="14"/>
        </w:rPr>
        <w:t xml:space="preserve">et al. </w:t>
      </w:r>
      <w:r>
        <w:rPr>
          <w:color w:val="231F20"/>
          <w:sz w:val="14"/>
        </w:rPr>
        <w:t xml:space="preserve">Efficacy and safety of </w:t>
      </w:r>
      <w:proofErr w:type="spellStart"/>
      <w:r>
        <w:rPr>
          <w:color w:val="231F20"/>
          <w:sz w:val="14"/>
        </w:rPr>
        <w:t>daclatasvir</w:t>
      </w:r>
      <w:proofErr w:type="spellEnd"/>
      <w:r>
        <w:rPr>
          <w:color w:val="231F20"/>
          <w:sz w:val="14"/>
        </w:rPr>
        <w:t>-based antiviral therapy in HCV recurrence after liver transplantation. Role of cirrhosis and genotype 3. A multi-</w:t>
      </w:r>
      <w:proofErr w:type="spellStart"/>
      <w:r>
        <w:rPr>
          <w:color w:val="231F20"/>
          <w:sz w:val="14"/>
        </w:rPr>
        <w:t>centre</w:t>
      </w:r>
      <w:proofErr w:type="spellEnd"/>
      <w:r>
        <w:rPr>
          <w:color w:val="231F20"/>
          <w:sz w:val="14"/>
        </w:rPr>
        <w:t xml:space="preserve"> cohort </w:t>
      </w:r>
      <w:r>
        <w:rPr>
          <w:color w:val="231F20"/>
          <w:spacing w:val="-3"/>
          <w:sz w:val="14"/>
        </w:rPr>
        <w:t xml:space="preserve">study. </w:t>
      </w:r>
      <w:proofErr w:type="spellStart"/>
      <w:r>
        <w:rPr>
          <w:i/>
          <w:color w:val="231F20"/>
          <w:sz w:val="14"/>
        </w:rPr>
        <w:t>Transpl</w:t>
      </w:r>
      <w:proofErr w:type="spellEnd"/>
      <w:r>
        <w:rPr>
          <w:i/>
          <w:color w:val="231F20"/>
          <w:sz w:val="14"/>
        </w:rPr>
        <w:t xml:space="preserve"> Int</w:t>
      </w:r>
      <w:r>
        <w:rPr>
          <w:color w:val="231F20"/>
          <w:sz w:val="14"/>
        </w:rPr>
        <w:t xml:space="preserve">., 2017 Jun 13. </w:t>
      </w:r>
      <w:proofErr w:type="spellStart"/>
      <w:proofErr w:type="gramStart"/>
      <w:r>
        <w:rPr>
          <w:color w:val="231F20"/>
          <w:sz w:val="14"/>
        </w:rPr>
        <w:t>doi</w:t>
      </w:r>
      <w:proofErr w:type="spellEnd"/>
      <w:r>
        <w:rPr>
          <w:color w:val="231F20"/>
          <w:sz w:val="14"/>
        </w:rPr>
        <w:t xml:space="preserve"> :</w:t>
      </w:r>
      <w:proofErr w:type="gramEnd"/>
      <w:r>
        <w:rPr>
          <w:color w:val="231F20"/>
          <w:spacing w:val="-10"/>
          <w:sz w:val="14"/>
        </w:rPr>
        <w:t xml:space="preserve"> </w:t>
      </w:r>
      <w:r>
        <w:rPr>
          <w:color w:val="231F20"/>
          <w:sz w:val="14"/>
        </w:rPr>
        <w:t>10.1111/tri.12999.</w:t>
      </w: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86"/>
        </w:tabs>
        <w:spacing w:line="268" w:lineRule="auto"/>
        <w:jc w:val="both"/>
        <w:rPr>
          <w:color w:val="252525"/>
          <w:sz w:val="14"/>
        </w:rPr>
      </w:pPr>
      <w:r>
        <w:rPr>
          <w:color w:val="252525"/>
          <w:spacing w:val="-4"/>
          <w:sz w:val="14"/>
        </w:rPr>
        <w:t>FÉRAY</w:t>
      </w:r>
      <w:r>
        <w:rPr>
          <w:color w:val="252525"/>
          <w:spacing w:val="-16"/>
          <w:sz w:val="14"/>
        </w:rPr>
        <w:t xml:space="preserve"> </w:t>
      </w:r>
      <w:r>
        <w:rPr>
          <w:color w:val="252525"/>
          <w:sz w:val="14"/>
        </w:rPr>
        <w:t>C</w:t>
      </w:r>
      <w:r>
        <w:rPr>
          <w:color w:val="231F20"/>
          <w:sz w:val="14"/>
        </w:rPr>
        <w:t>,</w:t>
      </w:r>
      <w:r>
        <w:rPr>
          <w:color w:val="231F20"/>
          <w:spacing w:val="-11"/>
          <w:sz w:val="14"/>
        </w:rPr>
        <w:t xml:space="preserve"> </w:t>
      </w:r>
      <w:r>
        <w:rPr>
          <w:color w:val="252525"/>
          <w:sz w:val="14"/>
        </w:rPr>
        <w:t>SAMUEL</w:t>
      </w:r>
      <w:r>
        <w:rPr>
          <w:color w:val="252525"/>
          <w:spacing w:val="-16"/>
          <w:sz w:val="14"/>
        </w:rPr>
        <w:t xml:space="preserve"> </w:t>
      </w:r>
      <w:r>
        <w:rPr>
          <w:color w:val="252525"/>
          <w:sz w:val="14"/>
        </w:rPr>
        <w:t>D</w:t>
      </w:r>
      <w:r>
        <w:rPr>
          <w:color w:val="231F20"/>
          <w:sz w:val="14"/>
        </w:rPr>
        <w:t>,</w:t>
      </w:r>
      <w:r>
        <w:rPr>
          <w:color w:val="231F20"/>
          <w:spacing w:val="-11"/>
          <w:sz w:val="14"/>
        </w:rPr>
        <w:t xml:space="preserve"> </w:t>
      </w:r>
      <w:r>
        <w:rPr>
          <w:color w:val="252525"/>
          <w:sz w:val="14"/>
        </w:rPr>
        <w:t>GIGOU</w:t>
      </w:r>
      <w:r>
        <w:rPr>
          <w:color w:val="252525"/>
          <w:spacing w:val="-11"/>
          <w:sz w:val="14"/>
        </w:rPr>
        <w:t xml:space="preserve"> </w:t>
      </w:r>
      <w:r>
        <w:rPr>
          <w:color w:val="252525"/>
          <w:sz w:val="14"/>
        </w:rPr>
        <w:t>M</w:t>
      </w:r>
      <w:r>
        <w:rPr>
          <w:color w:val="231F20"/>
          <w:sz w:val="14"/>
        </w:rPr>
        <w:t>,</w:t>
      </w:r>
      <w:r>
        <w:rPr>
          <w:color w:val="231F20"/>
          <w:spacing w:val="-11"/>
          <w:sz w:val="14"/>
        </w:rPr>
        <w:t xml:space="preserve"> </w:t>
      </w:r>
      <w:r>
        <w:rPr>
          <w:color w:val="252525"/>
          <w:spacing w:val="-3"/>
          <w:sz w:val="14"/>
        </w:rPr>
        <w:t>PARADIS</w:t>
      </w:r>
      <w:r>
        <w:rPr>
          <w:color w:val="252525"/>
          <w:spacing w:val="-14"/>
          <w:sz w:val="14"/>
        </w:rPr>
        <w:t xml:space="preserve"> </w:t>
      </w:r>
      <w:r>
        <w:rPr>
          <w:color w:val="252525"/>
          <w:spacing w:val="-9"/>
          <w:sz w:val="14"/>
        </w:rPr>
        <w:t>V</w:t>
      </w:r>
      <w:r>
        <w:rPr>
          <w:color w:val="231F20"/>
          <w:spacing w:val="-9"/>
          <w:sz w:val="14"/>
        </w:rPr>
        <w:t>,</w:t>
      </w:r>
      <w:r>
        <w:rPr>
          <w:color w:val="231F20"/>
          <w:spacing w:val="-11"/>
          <w:sz w:val="14"/>
        </w:rPr>
        <w:t xml:space="preserve"> </w:t>
      </w:r>
      <w:r>
        <w:rPr>
          <w:color w:val="252525"/>
          <w:spacing w:val="-5"/>
          <w:sz w:val="14"/>
        </w:rPr>
        <w:t>DAVID</w:t>
      </w:r>
      <w:r>
        <w:rPr>
          <w:color w:val="252525"/>
          <w:spacing w:val="-11"/>
          <w:sz w:val="14"/>
        </w:rPr>
        <w:t xml:space="preserve"> </w:t>
      </w:r>
      <w:r>
        <w:rPr>
          <w:color w:val="252525"/>
          <w:spacing w:val="-5"/>
          <w:sz w:val="14"/>
        </w:rPr>
        <w:t>MF</w:t>
      </w:r>
      <w:r>
        <w:rPr>
          <w:color w:val="231F20"/>
          <w:spacing w:val="-5"/>
          <w:sz w:val="14"/>
        </w:rPr>
        <w:t>,</w:t>
      </w:r>
      <w:r>
        <w:rPr>
          <w:color w:val="231F20"/>
          <w:spacing w:val="-11"/>
          <w:sz w:val="14"/>
        </w:rPr>
        <w:t xml:space="preserve"> </w:t>
      </w:r>
      <w:r>
        <w:rPr>
          <w:color w:val="252525"/>
          <w:sz w:val="14"/>
        </w:rPr>
        <w:t>LEMONNIER C</w:t>
      </w:r>
      <w:r>
        <w:rPr>
          <w:color w:val="231F20"/>
          <w:sz w:val="14"/>
        </w:rPr>
        <w:t>,</w:t>
      </w:r>
      <w:r>
        <w:rPr>
          <w:color w:val="231F20"/>
          <w:spacing w:val="-9"/>
          <w:sz w:val="14"/>
        </w:rPr>
        <w:t xml:space="preserve"> </w:t>
      </w:r>
      <w:r>
        <w:rPr>
          <w:color w:val="252525"/>
          <w:sz w:val="14"/>
        </w:rPr>
        <w:t>REYNÈS</w:t>
      </w:r>
      <w:r>
        <w:rPr>
          <w:color w:val="252525"/>
          <w:spacing w:val="-9"/>
          <w:sz w:val="14"/>
        </w:rPr>
        <w:t xml:space="preserve"> </w:t>
      </w:r>
      <w:r>
        <w:rPr>
          <w:color w:val="252525"/>
          <w:sz w:val="14"/>
        </w:rPr>
        <w:t>M</w:t>
      </w:r>
      <w:r>
        <w:rPr>
          <w:color w:val="231F20"/>
          <w:sz w:val="14"/>
        </w:rPr>
        <w:t>,</w:t>
      </w:r>
      <w:r>
        <w:rPr>
          <w:color w:val="231F20"/>
          <w:spacing w:val="-9"/>
          <w:sz w:val="14"/>
        </w:rPr>
        <w:t xml:space="preserve"> </w:t>
      </w:r>
      <w:r>
        <w:rPr>
          <w:color w:val="252525"/>
          <w:sz w:val="14"/>
        </w:rPr>
        <w:t>BISMUTH</w:t>
      </w:r>
      <w:r>
        <w:rPr>
          <w:color w:val="252525"/>
          <w:spacing w:val="-9"/>
          <w:sz w:val="14"/>
        </w:rPr>
        <w:t xml:space="preserve"> </w:t>
      </w:r>
      <w:r>
        <w:rPr>
          <w:color w:val="252525"/>
          <w:sz w:val="14"/>
        </w:rPr>
        <w:t>H</w:t>
      </w:r>
      <w:r>
        <w:rPr>
          <w:color w:val="231F20"/>
          <w:sz w:val="14"/>
        </w:rPr>
        <w:t>.</w:t>
      </w:r>
      <w:r>
        <w:rPr>
          <w:color w:val="231F20"/>
          <w:spacing w:val="-16"/>
          <w:sz w:val="14"/>
        </w:rPr>
        <w:t xml:space="preserve"> </w:t>
      </w:r>
      <w:r>
        <w:rPr>
          <w:color w:val="231F20"/>
          <w:sz w:val="14"/>
        </w:rPr>
        <w:t>An</w:t>
      </w:r>
      <w:r>
        <w:rPr>
          <w:color w:val="231F20"/>
          <w:spacing w:val="-9"/>
          <w:sz w:val="14"/>
        </w:rPr>
        <w:t xml:space="preserve"> </w:t>
      </w:r>
      <w:r>
        <w:rPr>
          <w:color w:val="231F20"/>
          <w:sz w:val="14"/>
        </w:rPr>
        <w:t>Open</w:t>
      </w:r>
      <w:r>
        <w:rPr>
          <w:color w:val="231F20"/>
          <w:spacing w:val="-11"/>
          <w:sz w:val="14"/>
        </w:rPr>
        <w:t xml:space="preserve"> </w:t>
      </w:r>
      <w:r>
        <w:rPr>
          <w:color w:val="231F20"/>
          <w:sz w:val="14"/>
        </w:rPr>
        <w:t>Trial</w:t>
      </w:r>
      <w:r>
        <w:rPr>
          <w:color w:val="231F20"/>
          <w:spacing w:val="-9"/>
          <w:sz w:val="14"/>
        </w:rPr>
        <w:t xml:space="preserve"> </w:t>
      </w:r>
      <w:r>
        <w:rPr>
          <w:color w:val="231F20"/>
          <w:sz w:val="14"/>
        </w:rPr>
        <w:t>of</w:t>
      </w:r>
      <w:r>
        <w:rPr>
          <w:color w:val="231F20"/>
          <w:spacing w:val="-9"/>
          <w:sz w:val="14"/>
        </w:rPr>
        <w:t xml:space="preserve"> </w:t>
      </w:r>
      <w:r>
        <w:rPr>
          <w:color w:val="231F20"/>
          <w:sz w:val="14"/>
        </w:rPr>
        <w:t>Interferon</w:t>
      </w:r>
      <w:r>
        <w:rPr>
          <w:color w:val="231F20"/>
          <w:spacing w:val="-16"/>
          <w:sz w:val="14"/>
        </w:rPr>
        <w:t xml:space="preserve"> </w:t>
      </w:r>
      <w:r>
        <w:rPr>
          <w:color w:val="231F20"/>
          <w:sz w:val="14"/>
        </w:rPr>
        <w:t>Alfa</w:t>
      </w:r>
      <w:r>
        <w:rPr>
          <w:color w:val="231F20"/>
          <w:spacing w:val="-9"/>
          <w:sz w:val="14"/>
        </w:rPr>
        <w:t xml:space="preserve"> </w:t>
      </w:r>
      <w:r>
        <w:rPr>
          <w:color w:val="231F20"/>
          <w:sz w:val="14"/>
        </w:rPr>
        <w:t xml:space="preserve">Recombinant for Hepatitis C After Liver </w:t>
      </w:r>
      <w:proofErr w:type="gramStart"/>
      <w:r>
        <w:rPr>
          <w:color w:val="231F20"/>
          <w:sz w:val="14"/>
        </w:rPr>
        <w:t>Transplantation :</w:t>
      </w:r>
      <w:proofErr w:type="gramEnd"/>
      <w:r>
        <w:rPr>
          <w:color w:val="231F20"/>
          <w:sz w:val="14"/>
        </w:rPr>
        <w:t xml:space="preserve"> Antiviral Effects and Risk of Rejection. </w:t>
      </w:r>
      <w:r>
        <w:rPr>
          <w:i/>
          <w:color w:val="252525"/>
          <w:sz w:val="14"/>
        </w:rPr>
        <w:t>Hepatology</w:t>
      </w:r>
      <w:r>
        <w:rPr>
          <w:color w:val="252525"/>
          <w:sz w:val="14"/>
        </w:rPr>
        <w:t xml:space="preserve">, </w:t>
      </w:r>
      <w:r>
        <w:rPr>
          <w:color w:val="231F20"/>
          <w:sz w:val="14"/>
        </w:rPr>
        <w:t xml:space="preserve">1995 Oct, </w:t>
      </w:r>
      <w:proofErr w:type="gramStart"/>
      <w:r>
        <w:rPr>
          <w:b/>
          <w:color w:val="231F20"/>
          <w:sz w:val="14"/>
        </w:rPr>
        <w:t xml:space="preserve">22 </w:t>
      </w:r>
      <w:r>
        <w:rPr>
          <w:color w:val="231F20"/>
          <w:sz w:val="14"/>
        </w:rPr>
        <w:t>:</w:t>
      </w:r>
      <w:proofErr w:type="gramEnd"/>
      <w:r>
        <w:rPr>
          <w:color w:val="231F20"/>
          <w:spacing w:val="5"/>
          <w:sz w:val="14"/>
        </w:rPr>
        <w:t xml:space="preserve"> </w:t>
      </w:r>
      <w:r>
        <w:rPr>
          <w:color w:val="231F20"/>
          <w:sz w:val="14"/>
        </w:rPr>
        <w:t>1084-1089.</w:t>
      </w: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93"/>
        </w:tabs>
        <w:spacing w:line="268" w:lineRule="auto"/>
        <w:jc w:val="both"/>
        <w:rPr>
          <w:color w:val="231F20"/>
          <w:sz w:val="14"/>
        </w:rPr>
      </w:pPr>
      <w:r>
        <w:rPr>
          <w:color w:val="231F20"/>
          <w:sz w:val="14"/>
        </w:rPr>
        <w:t xml:space="preserve">AHMAD J, DODSON </w:t>
      </w:r>
      <w:proofErr w:type="gramStart"/>
      <w:r>
        <w:rPr>
          <w:color w:val="231F20"/>
          <w:sz w:val="14"/>
        </w:rPr>
        <w:t>SF ,</w:t>
      </w:r>
      <w:proofErr w:type="gramEnd"/>
      <w:r>
        <w:rPr>
          <w:color w:val="231F20"/>
          <w:sz w:val="14"/>
        </w:rPr>
        <w:t xml:space="preserve"> DEMETRIS AJ, FUNG JJ, SHAKIL AO. Recurrent Hepatitis C </w:t>
      </w:r>
      <w:proofErr w:type="gramStart"/>
      <w:r>
        <w:rPr>
          <w:color w:val="231F20"/>
          <w:sz w:val="14"/>
        </w:rPr>
        <w:t>After  Liver</w:t>
      </w:r>
      <w:proofErr w:type="gramEnd"/>
      <w:r>
        <w:rPr>
          <w:color w:val="231F20"/>
          <w:sz w:val="14"/>
        </w:rPr>
        <w:t xml:space="preserve">  Transplantation:  A  Nonrandomized Trial of Interferon Alfa Alone </w:t>
      </w:r>
      <w:r>
        <w:rPr>
          <w:color w:val="231F20"/>
          <w:spacing w:val="-3"/>
          <w:sz w:val="14"/>
        </w:rPr>
        <w:t xml:space="preserve">Versus </w:t>
      </w:r>
      <w:r>
        <w:rPr>
          <w:color w:val="231F20"/>
          <w:sz w:val="14"/>
        </w:rPr>
        <w:t xml:space="preserve">Interferon Alfa and Ribavirin. </w:t>
      </w:r>
      <w:r>
        <w:rPr>
          <w:i/>
          <w:color w:val="231F20"/>
          <w:sz w:val="14"/>
        </w:rPr>
        <w:t>Liver Transplantation</w:t>
      </w:r>
      <w:r>
        <w:rPr>
          <w:color w:val="231F20"/>
          <w:sz w:val="14"/>
        </w:rPr>
        <w:t xml:space="preserve">, 2001, </w:t>
      </w:r>
      <w:r>
        <w:rPr>
          <w:b/>
          <w:color w:val="231F20"/>
          <w:sz w:val="14"/>
        </w:rPr>
        <w:t xml:space="preserve">10 </w:t>
      </w:r>
      <w:r>
        <w:rPr>
          <w:color w:val="231F20"/>
          <w:sz w:val="14"/>
        </w:rPr>
        <w:t>:</w:t>
      </w:r>
      <w:r>
        <w:rPr>
          <w:color w:val="231F20"/>
          <w:spacing w:val="-9"/>
          <w:sz w:val="14"/>
        </w:rPr>
        <w:t xml:space="preserve"> </w:t>
      </w:r>
      <w:r>
        <w:rPr>
          <w:color w:val="231F20"/>
          <w:sz w:val="14"/>
        </w:rPr>
        <w:t>863-869</w:t>
      </w: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86"/>
        </w:tabs>
        <w:spacing w:line="268" w:lineRule="auto"/>
        <w:ind w:right="1720"/>
        <w:jc w:val="both"/>
        <w:rPr>
          <w:color w:val="231F20"/>
          <w:sz w:val="14"/>
        </w:rPr>
      </w:pPr>
      <w:proofErr w:type="gramStart"/>
      <w:r>
        <w:rPr>
          <w:color w:val="231F20"/>
          <w:sz w:val="14"/>
        </w:rPr>
        <w:t>KUGELMAS  M</w:t>
      </w:r>
      <w:proofErr w:type="gramEnd"/>
      <w:r>
        <w:rPr>
          <w:color w:val="231F20"/>
          <w:sz w:val="14"/>
        </w:rPr>
        <w:t xml:space="preserve">,  OSGOOD   </w:t>
      </w:r>
      <w:r>
        <w:rPr>
          <w:color w:val="231F20"/>
          <w:spacing w:val="-3"/>
          <w:sz w:val="14"/>
        </w:rPr>
        <w:t xml:space="preserve">MF,   </w:t>
      </w:r>
      <w:r>
        <w:rPr>
          <w:color w:val="231F20"/>
          <w:sz w:val="14"/>
        </w:rPr>
        <w:t xml:space="preserve">TROTTER   </w:t>
      </w:r>
      <w:r>
        <w:rPr>
          <w:color w:val="231F20"/>
          <w:spacing w:val="-3"/>
          <w:sz w:val="14"/>
        </w:rPr>
        <w:t xml:space="preserve">JF,   </w:t>
      </w:r>
      <w:r>
        <w:rPr>
          <w:color w:val="231F20"/>
          <w:sz w:val="14"/>
        </w:rPr>
        <w:t xml:space="preserve">BAK   </w:t>
      </w:r>
      <w:r>
        <w:rPr>
          <w:color w:val="231F20"/>
          <w:spacing w:val="-5"/>
          <w:sz w:val="14"/>
        </w:rPr>
        <w:t xml:space="preserve">T,   </w:t>
      </w:r>
      <w:r>
        <w:rPr>
          <w:color w:val="231F20"/>
          <w:sz w:val="14"/>
        </w:rPr>
        <w:t xml:space="preserve">WACHS M, FORMA L, KAM I, EVERSON </w:t>
      </w:r>
      <w:r>
        <w:rPr>
          <w:color w:val="231F20"/>
          <w:spacing w:val="-4"/>
          <w:sz w:val="14"/>
        </w:rPr>
        <w:t xml:space="preserve">GT. </w:t>
      </w:r>
      <w:r>
        <w:rPr>
          <w:color w:val="231F20"/>
          <w:sz w:val="14"/>
        </w:rPr>
        <w:t xml:space="preserve">Hepatitis C Virus Therapy, Hepatocyte Drug Metabolism, and Risk for Acute Cellular Rejection. </w:t>
      </w:r>
      <w:r>
        <w:rPr>
          <w:i/>
          <w:color w:val="231F20"/>
          <w:sz w:val="14"/>
        </w:rPr>
        <w:t>Liver Transplantation</w:t>
      </w:r>
      <w:r>
        <w:rPr>
          <w:color w:val="231F20"/>
          <w:sz w:val="14"/>
        </w:rPr>
        <w:t xml:space="preserve">, 2003, </w:t>
      </w:r>
      <w:r>
        <w:rPr>
          <w:b/>
          <w:color w:val="231F20"/>
          <w:sz w:val="14"/>
        </w:rPr>
        <w:t>9</w:t>
      </w:r>
      <w:r>
        <w:rPr>
          <w:color w:val="231F20"/>
          <w:sz w:val="14"/>
        </w:rPr>
        <w:t xml:space="preserve">, </w:t>
      </w:r>
      <w:proofErr w:type="gramStart"/>
      <w:r>
        <w:rPr>
          <w:color w:val="231F20"/>
          <w:spacing w:val="-3"/>
          <w:sz w:val="14"/>
        </w:rPr>
        <w:t xml:space="preserve">11 </w:t>
      </w:r>
      <w:r>
        <w:rPr>
          <w:color w:val="231F20"/>
          <w:sz w:val="14"/>
        </w:rPr>
        <w:t>:</w:t>
      </w:r>
      <w:proofErr w:type="gramEnd"/>
      <w:r>
        <w:rPr>
          <w:color w:val="231F20"/>
          <w:spacing w:val="-15"/>
          <w:sz w:val="14"/>
        </w:rPr>
        <w:t xml:space="preserve"> </w:t>
      </w:r>
      <w:r>
        <w:rPr>
          <w:color w:val="231F20"/>
          <w:sz w:val="14"/>
        </w:rPr>
        <w:t>1159-1165.</w:t>
      </w: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93"/>
        </w:tabs>
        <w:spacing w:line="268" w:lineRule="auto"/>
        <w:jc w:val="both"/>
        <w:rPr>
          <w:color w:val="231F20"/>
          <w:sz w:val="14"/>
        </w:rPr>
      </w:pPr>
      <w:r>
        <w:rPr>
          <w:color w:val="231F20"/>
          <w:sz w:val="14"/>
        </w:rPr>
        <w:t xml:space="preserve">SUGURU YONEDA,TAKEJI </w:t>
      </w:r>
      <w:r>
        <w:rPr>
          <w:color w:val="231F20"/>
          <w:sz w:val="14"/>
        </w:rPr>
        <w:t xml:space="preserve">UMEMURA, YOSHIHIKO </w:t>
      </w:r>
      <w:r>
        <w:rPr>
          <w:color w:val="231F20"/>
          <w:spacing w:val="-4"/>
          <w:sz w:val="14"/>
        </w:rPr>
        <w:t xml:space="preserve">KATSUYAMA, </w:t>
      </w:r>
      <w:r>
        <w:rPr>
          <w:color w:val="231F20"/>
          <w:spacing w:val="-3"/>
          <w:sz w:val="14"/>
        </w:rPr>
        <w:t xml:space="preserve">ATSUSHI </w:t>
      </w:r>
      <w:r>
        <w:rPr>
          <w:color w:val="231F20"/>
          <w:sz w:val="14"/>
        </w:rPr>
        <w:t xml:space="preserve">KAMIJO, </w:t>
      </w:r>
      <w:r>
        <w:rPr>
          <w:color w:val="231F20"/>
          <w:spacing w:val="-4"/>
          <w:sz w:val="14"/>
        </w:rPr>
        <w:t xml:space="preserve">SATORU </w:t>
      </w:r>
      <w:r>
        <w:rPr>
          <w:color w:val="231F20"/>
          <w:spacing w:val="-3"/>
          <w:sz w:val="14"/>
        </w:rPr>
        <w:t xml:space="preserve">JOSHITA,  </w:t>
      </w:r>
      <w:r>
        <w:rPr>
          <w:color w:val="231F20"/>
          <w:sz w:val="14"/>
        </w:rPr>
        <w:t xml:space="preserve">MICHIHARU  </w:t>
      </w:r>
      <w:r>
        <w:rPr>
          <w:color w:val="231F20"/>
          <w:spacing w:val="-3"/>
          <w:sz w:val="14"/>
        </w:rPr>
        <w:t xml:space="preserve">KOMATSU  </w:t>
      </w:r>
      <w:r>
        <w:rPr>
          <w:i/>
          <w:color w:val="231F20"/>
          <w:sz w:val="14"/>
        </w:rPr>
        <w:t>et  al</w:t>
      </w:r>
      <w:r>
        <w:rPr>
          <w:color w:val="231F20"/>
          <w:sz w:val="14"/>
        </w:rPr>
        <w:t xml:space="preserve">. Association of Serum Cytokine Levels With Treatment Response to </w:t>
      </w:r>
      <w:proofErr w:type="spellStart"/>
      <w:r>
        <w:rPr>
          <w:color w:val="231F20"/>
          <w:sz w:val="14"/>
        </w:rPr>
        <w:t>Pegylated</w:t>
      </w:r>
      <w:proofErr w:type="spellEnd"/>
      <w:r>
        <w:rPr>
          <w:color w:val="231F20"/>
          <w:sz w:val="14"/>
        </w:rPr>
        <w:t xml:space="preserve"> Interferon and Ribavirin Therapy in Genotype 1 Chronic Hepatitis C Patients. </w:t>
      </w:r>
      <w:r>
        <w:rPr>
          <w:i/>
          <w:color w:val="231F20"/>
          <w:sz w:val="14"/>
        </w:rPr>
        <w:t>The Journal of</w:t>
      </w:r>
      <w:r>
        <w:rPr>
          <w:i/>
          <w:color w:val="231F20"/>
          <w:sz w:val="14"/>
        </w:rPr>
        <w:t xml:space="preserve"> Infectious Diseases</w:t>
      </w:r>
      <w:r>
        <w:rPr>
          <w:color w:val="231F20"/>
          <w:sz w:val="14"/>
        </w:rPr>
        <w:t>,</w:t>
      </w:r>
      <w:r>
        <w:rPr>
          <w:color w:val="231F20"/>
          <w:spacing w:val="-2"/>
          <w:sz w:val="14"/>
        </w:rPr>
        <w:t xml:space="preserve"> </w:t>
      </w:r>
      <w:r>
        <w:rPr>
          <w:color w:val="231F20"/>
          <w:sz w:val="14"/>
        </w:rPr>
        <w:t>2011</w:t>
      </w:r>
    </w:p>
    <w:p w:rsidR="000B650C" w:rsidRDefault="009F3E03">
      <w:pPr>
        <w:pStyle w:val="Paragraphedeliste"/>
        <w:numPr>
          <w:ilvl w:val="0"/>
          <w:numId w:val="1"/>
        </w:numPr>
        <w:tabs>
          <w:tab w:val="left" w:pos="693"/>
        </w:tabs>
        <w:spacing w:line="268" w:lineRule="auto"/>
        <w:ind w:hanging="227"/>
        <w:jc w:val="both"/>
        <w:rPr>
          <w:color w:val="231F20"/>
          <w:sz w:val="14"/>
        </w:rPr>
      </w:pPr>
      <w:r>
        <w:rPr>
          <w:color w:val="231F20"/>
          <w:sz w:val="14"/>
        </w:rPr>
        <w:t xml:space="preserve">SMOLDERS EJ, </w:t>
      </w:r>
      <w:r>
        <w:rPr>
          <w:color w:val="231F20"/>
          <w:spacing w:val="-4"/>
          <w:sz w:val="14"/>
        </w:rPr>
        <w:t xml:space="preserve">PAPE </w:t>
      </w:r>
      <w:r>
        <w:rPr>
          <w:color w:val="231F20"/>
          <w:sz w:val="14"/>
        </w:rPr>
        <w:t xml:space="preserve">S, DE KANTER CTMM, </w:t>
      </w:r>
      <w:r>
        <w:rPr>
          <w:color w:val="231F20"/>
          <w:spacing w:val="-7"/>
          <w:sz w:val="14"/>
        </w:rPr>
        <w:t xml:space="preserve">VAN </w:t>
      </w:r>
      <w:r>
        <w:rPr>
          <w:color w:val="231F20"/>
          <w:sz w:val="14"/>
        </w:rPr>
        <w:t xml:space="preserve">DEN BERG </w:t>
      </w:r>
      <w:r>
        <w:rPr>
          <w:color w:val="231F20"/>
          <w:spacing w:val="-6"/>
          <w:sz w:val="14"/>
        </w:rPr>
        <w:t xml:space="preserve">QP, </w:t>
      </w:r>
      <w:r>
        <w:rPr>
          <w:color w:val="231F20"/>
          <w:sz w:val="14"/>
        </w:rPr>
        <w:t xml:space="preserve">DRENTH JPH, BURGER DM. Decreased tacrolimus plasma concentrations during HCV therapy : a drug-drug interaction or is there an alternative explanation ? </w:t>
      </w:r>
      <w:r>
        <w:rPr>
          <w:i/>
          <w:color w:val="231F20"/>
          <w:sz w:val="14"/>
        </w:rPr>
        <w:t xml:space="preserve">Int. J. of </w:t>
      </w:r>
      <w:proofErr w:type="spellStart"/>
      <w:r>
        <w:rPr>
          <w:i/>
          <w:color w:val="231F20"/>
          <w:sz w:val="14"/>
        </w:rPr>
        <w:t>Antimicrpboa</w:t>
      </w:r>
      <w:r>
        <w:rPr>
          <w:i/>
          <w:color w:val="231F20"/>
          <w:sz w:val="14"/>
        </w:rPr>
        <w:t>m</w:t>
      </w:r>
      <w:proofErr w:type="spellEnd"/>
      <w:r>
        <w:rPr>
          <w:i/>
          <w:color w:val="231F20"/>
          <w:sz w:val="14"/>
        </w:rPr>
        <w:t xml:space="preserve"> Agents</w:t>
      </w:r>
      <w:r>
        <w:rPr>
          <w:color w:val="231F20"/>
          <w:sz w:val="14"/>
        </w:rPr>
        <w:t xml:space="preserve">, 2017. </w:t>
      </w:r>
      <w:proofErr w:type="gramStart"/>
      <w:r>
        <w:rPr>
          <w:b/>
          <w:color w:val="231F20"/>
          <w:sz w:val="14"/>
        </w:rPr>
        <w:t>49</w:t>
      </w:r>
      <w:r>
        <w:rPr>
          <w:b/>
          <w:color w:val="231F20"/>
          <w:spacing w:val="19"/>
          <w:sz w:val="14"/>
        </w:rPr>
        <w:t xml:space="preserve"> </w:t>
      </w:r>
      <w:r>
        <w:rPr>
          <w:color w:val="231F20"/>
          <w:sz w:val="14"/>
        </w:rPr>
        <w:t>:</w:t>
      </w:r>
      <w:proofErr w:type="gramEnd"/>
      <w:r>
        <w:rPr>
          <w:color w:val="231F20"/>
          <w:sz w:val="14"/>
        </w:rPr>
        <w:t>379-382.</w:t>
      </w:r>
    </w:p>
    <w:p w:rsidR="000B650C" w:rsidRDefault="000B650C">
      <w:pPr>
        <w:spacing w:line="268" w:lineRule="auto"/>
        <w:jc w:val="both"/>
        <w:rPr>
          <w:sz w:val="14"/>
        </w:rPr>
        <w:sectPr w:rsidR="000B650C">
          <w:type w:val="continuous"/>
          <w:pgSz w:w="13090" w:h="18020"/>
          <w:pgMar w:top="580" w:right="0" w:bottom="580" w:left="0" w:header="720" w:footer="720" w:gutter="0"/>
          <w:cols w:num="2" w:space="720" w:equalWidth="0">
            <w:col w:w="6321" w:space="40"/>
            <w:col w:w="6729"/>
          </w:cols>
        </w:sectPr>
      </w:pPr>
    </w:p>
    <w:p w:rsidR="000B650C" w:rsidRDefault="000B650C">
      <w:pPr>
        <w:pStyle w:val="Corpsdetexte"/>
      </w:pPr>
    </w:p>
    <w:p w:rsidR="000B650C" w:rsidRDefault="000B650C">
      <w:pPr>
        <w:pStyle w:val="Corpsdetexte"/>
      </w:pPr>
    </w:p>
    <w:p w:rsidR="000B650C" w:rsidRDefault="000B650C">
      <w:pPr>
        <w:pStyle w:val="Corpsdetexte"/>
      </w:pPr>
    </w:p>
    <w:p w:rsidR="000B650C" w:rsidRDefault="000B650C">
      <w:pPr>
        <w:pStyle w:val="Corpsdetexte"/>
      </w:pPr>
    </w:p>
    <w:p w:rsidR="000B650C" w:rsidRDefault="000B650C">
      <w:pPr>
        <w:pStyle w:val="Corpsdetexte"/>
      </w:pPr>
    </w:p>
    <w:sectPr w:rsidR="000B650C">
      <w:type w:val="continuous"/>
      <w:pgSz w:w="13090" w:h="18020"/>
      <w:pgMar w:top="580" w:right="0" w:bottom="580" w:left="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E03" w:rsidRDefault="009F3E03">
      <w:r>
        <w:separator/>
      </w:r>
    </w:p>
  </w:endnote>
  <w:endnote w:type="continuationSeparator" w:id="0">
    <w:p w:rsidR="009F3E03" w:rsidRDefault="009F3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50C" w:rsidRDefault="009F3E03">
    <w:pPr>
      <w:pStyle w:val="Corpsdetexte"/>
      <w:spacing w:line="14" w:lineRule="auto"/>
    </w:pPr>
    <w:r>
      <w:pict>
        <v:line id="_x0000_s2052" style="position:absolute;z-index:-11368;mso-position-horizontal-relative:page;mso-position-vertical-relative:page" from="23.5pt,871.4pt" to="8.5pt,871.4pt" strokeweight=".25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8.5pt;margin-top:880.75pt;width:61.05pt;height:8pt;z-index:-11320;mso-position-horizontal-relative:page;mso-position-vertical-relative:page" filled="f" stroked="f">
          <v:textbox style="mso-next-textbox:#_x0000_s2050" inset="0,0,0,0">
            <w:txbxContent>
              <w:p w:rsidR="000B650C" w:rsidRDefault="000B650C">
                <w:pPr>
                  <w:ind w:left="20"/>
                  <w:rPr>
                    <w:rFonts w:ascii="Arial"/>
                    <w:sz w:val="12"/>
                  </w:rPr>
                </w:pP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75.8pt;margin-top:880.75pt;width:45.4pt;height:8pt;z-index:-11296;mso-position-horizontal-relative:page;mso-position-vertical-relative:page" filled="f" stroked="f">
          <v:textbox style="mso-next-textbox:#_x0000_s2049" inset="0,0,0,0">
            <w:txbxContent>
              <w:p w:rsidR="000B650C" w:rsidRDefault="000B650C">
                <w:pPr>
                  <w:ind w:left="20"/>
                  <w:rPr>
                    <w:rFonts w:ascii="Arial"/>
                    <w:sz w:val="12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E03" w:rsidRDefault="009F3E03">
      <w:r>
        <w:separator/>
      </w:r>
    </w:p>
  </w:footnote>
  <w:footnote w:type="continuationSeparator" w:id="0">
    <w:p w:rsidR="009F3E03" w:rsidRDefault="009F3E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191A42"/>
    <w:multiLevelType w:val="hybridMultilevel"/>
    <w:tmpl w:val="222A2E06"/>
    <w:lvl w:ilvl="0" w:tplc="0122C2A6">
      <w:start w:val="1"/>
      <w:numFmt w:val="decimal"/>
      <w:lvlText w:val="%1."/>
      <w:lvlJc w:val="left"/>
      <w:pPr>
        <w:ind w:left="692" w:hanging="159"/>
        <w:jc w:val="right"/>
      </w:pPr>
      <w:rPr>
        <w:rFonts w:hint="default"/>
        <w:spacing w:val="-17"/>
        <w:w w:val="100"/>
      </w:rPr>
    </w:lvl>
    <w:lvl w:ilvl="1" w:tplc="FD7E94D6">
      <w:numFmt w:val="bullet"/>
      <w:lvlText w:val="•"/>
      <w:lvlJc w:val="left"/>
      <w:pPr>
        <w:ind w:left="1302" w:hanging="159"/>
      </w:pPr>
      <w:rPr>
        <w:rFonts w:hint="default"/>
      </w:rPr>
    </w:lvl>
    <w:lvl w:ilvl="2" w:tplc="62A6F632">
      <w:numFmt w:val="bullet"/>
      <w:lvlText w:val="•"/>
      <w:lvlJc w:val="left"/>
      <w:pPr>
        <w:ind w:left="1904" w:hanging="159"/>
      </w:pPr>
      <w:rPr>
        <w:rFonts w:hint="default"/>
      </w:rPr>
    </w:lvl>
    <w:lvl w:ilvl="3" w:tplc="8604E2A4">
      <w:numFmt w:val="bullet"/>
      <w:lvlText w:val="•"/>
      <w:lvlJc w:val="left"/>
      <w:pPr>
        <w:ind w:left="2507" w:hanging="159"/>
      </w:pPr>
      <w:rPr>
        <w:rFonts w:hint="default"/>
      </w:rPr>
    </w:lvl>
    <w:lvl w:ilvl="4" w:tplc="695A340A">
      <w:numFmt w:val="bullet"/>
      <w:lvlText w:val="•"/>
      <w:lvlJc w:val="left"/>
      <w:pPr>
        <w:ind w:left="3109" w:hanging="159"/>
      </w:pPr>
      <w:rPr>
        <w:rFonts w:hint="default"/>
      </w:rPr>
    </w:lvl>
    <w:lvl w:ilvl="5" w:tplc="CA48E436">
      <w:numFmt w:val="bullet"/>
      <w:lvlText w:val="•"/>
      <w:lvlJc w:val="left"/>
      <w:pPr>
        <w:ind w:left="3712" w:hanging="159"/>
      </w:pPr>
      <w:rPr>
        <w:rFonts w:hint="default"/>
      </w:rPr>
    </w:lvl>
    <w:lvl w:ilvl="6" w:tplc="6CDEDA82">
      <w:numFmt w:val="bullet"/>
      <w:lvlText w:val="•"/>
      <w:lvlJc w:val="left"/>
      <w:pPr>
        <w:ind w:left="4314" w:hanging="159"/>
      </w:pPr>
      <w:rPr>
        <w:rFonts w:hint="default"/>
      </w:rPr>
    </w:lvl>
    <w:lvl w:ilvl="7" w:tplc="700E5102">
      <w:numFmt w:val="bullet"/>
      <w:lvlText w:val="•"/>
      <w:lvlJc w:val="left"/>
      <w:pPr>
        <w:ind w:left="4917" w:hanging="159"/>
      </w:pPr>
      <w:rPr>
        <w:rFonts w:hint="default"/>
      </w:rPr>
    </w:lvl>
    <w:lvl w:ilvl="8" w:tplc="1988D8AC">
      <w:numFmt w:val="bullet"/>
      <w:lvlText w:val="•"/>
      <w:lvlJc w:val="left"/>
      <w:pPr>
        <w:ind w:left="5519" w:hanging="159"/>
      </w:pPr>
      <w:rPr>
        <w:rFonts w:hint="default"/>
      </w:rPr>
    </w:lvl>
  </w:abstractNum>
  <w:abstractNum w:abstractNumId="1">
    <w:nsid w:val="65AF4358"/>
    <w:multiLevelType w:val="multilevel"/>
    <w:tmpl w:val="ABEE4CFE"/>
    <w:lvl w:ilvl="0">
      <w:start w:val="1"/>
      <w:numFmt w:val="decimal"/>
      <w:lvlText w:val="%1."/>
      <w:lvlJc w:val="left"/>
      <w:pPr>
        <w:ind w:left="1928" w:hanging="205"/>
        <w:jc w:val="right"/>
      </w:pPr>
      <w:rPr>
        <w:rFonts w:ascii="Times New Roman" w:eastAsia="Times New Roman" w:hAnsi="Times New Roman" w:cs="Times New Roman" w:hint="default"/>
        <w:b/>
        <w:bCs/>
        <w:color w:val="231F20"/>
        <w:w w:val="100"/>
        <w:sz w:val="20"/>
        <w:szCs w:val="20"/>
      </w:rPr>
    </w:lvl>
    <w:lvl w:ilvl="1">
      <w:start w:val="1"/>
      <w:numFmt w:val="decimal"/>
      <w:lvlText w:val="%1.%2."/>
      <w:lvlJc w:val="left"/>
      <w:pPr>
        <w:ind w:left="2078" w:hanging="355"/>
        <w:jc w:val="right"/>
      </w:pPr>
      <w:rPr>
        <w:rFonts w:ascii="Times New Roman" w:eastAsia="Times New Roman" w:hAnsi="Times New Roman" w:cs="Times New Roman" w:hint="default"/>
        <w:i/>
        <w:color w:val="231F20"/>
        <w:w w:val="100"/>
        <w:sz w:val="20"/>
        <w:szCs w:val="20"/>
      </w:rPr>
    </w:lvl>
    <w:lvl w:ilvl="2">
      <w:numFmt w:val="bullet"/>
      <w:lvlText w:val="•"/>
      <w:lvlJc w:val="left"/>
      <w:pPr>
        <w:ind w:left="2544" w:hanging="355"/>
      </w:pPr>
      <w:rPr>
        <w:rFonts w:hint="default"/>
      </w:rPr>
    </w:lvl>
    <w:lvl w:ilvl="3">
      <w:numFmt w:val="bullet"/>
      <w:lvlText w:val="•"/>
      <w:lvlJc w:val="left"/>
      <w:pPr>
        <w:ind w:left="3009" w:hanging="355"/>
      </w:pPr>
      <w:rPr>
        <w:rFonts w:hint="default"/>
      </w:rPr>
    </w:lvl>
    <w:lvl w:ilvl="4">
      <w:numFmt w:val="bullet"/>
      <w:lvlText w:val="•"/>
      <w:lvlJc w:val="left"/>
      <w:pPr>
        <w:ind w:left="3474" w:hanging="355"/>
      </w:pPr>
      <w:rPr>
        <w:rFonts w:hint="default"/>
      </w:rPr>
    </w:lvl>
    <w:lvl w:ilvl="5">
      <w:numFmt w:val="bullet"/>
      <w:lvlText w:val="•"/>
      <w:lvlJc w:val="left"/>
      <w:pPr>
        <w:ind w:left="3939" w:hanging="355"/>
      </w:pPr>
      <w:rPr>
        <w:rFonts w:hint="default"/>
      </w:rPr>
    </w:lvl>
    <w:lvl w:ilvl="6">
      <w:numFmt w:val="bullet"/>
      <w:lvlText w:val="•"/>
      <w:lvlJc w:val="left"/>
      <w:pPr>
        <w:ind w:left="4403" w:hanging="355"/>
      </w:pPr>
      <w:rPr>
        <w:rFonts w:hint="default"/>
      </w:rPr>
    </w:lvl>
    <w:lvl w:ilvl="7">
      <w:numFmt w:val="bullet"/>
      <w:lvlText w:val="•"/>
      <w:lvlJc w:val="left"/>
      <w:pPr>
        <w:ind w:left="4868" w:hanging="355"/>
      </w:pPr>
      <w:rPr>
        <w:rFonts w:hint="default"/>
      </w:rPr>
    </w:lvl>
    <w:lvl w:ilvl="8">
      <w:numFmt w:val="bullet"/>
      <w:lvlText w:val="•"/>
      <w:lvlJc w:val="left"/>
      <w:pPr>
        <w:ind w:left="5333" w:hanging="355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B650C"/>
    <w:rsid w:val="000B650C"/>
    <w:rsid w:val="006C6007"/>
    <w:rsid w:val="009F3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uiPriority w:val="1"/>
    <w:qFormat/>
    <w:pPr>
      <w:spacing w:before="1"/>
      <w:ind w:left="465"/>
      <w:jc w:val="both"/>
      <w:outlineLvl w:val="0"/>
    </w:pPr>
    <w:rPr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Paragraphedeliste">
    <w:name w:val="List Paragraph"/>
    <w:basedOn w:val="Normal"/>
    <w:uiPriority w:val="1"/>
    <w:qFormat/>
    <w:pPr>
      <w:ind w:left="692" w:right="1721" w:hanging="159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before="107"/>
    </w:pPr>
  </w:style>
  <w:style w:type="paragraph" w:styleId="En-tte">
    <w:name w:val="header"/>
    <w:basedOn w:val="Normal"/>
    <w:link w:val="En-tteCar"/>
    <w:uiPriority w:val="99"/>
    <w:unhideWhenUsed/>
    <w:rsid w:val="006C600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C6007"/>
    <w:rPr>
      <w:rFonts w:ascii="Times New Roman" w:eastAsia="Times New Roman" w:hAnsi="Times New Roman" w:cs="Times New Roman"/>
    </w:rPr>
  </w:style>
  <w:style w:type="paragraph" w:styleId="Pieddepage">
    <w:name w:val="footer"/>
    <w:basedOn w:val="Normal"/>
    <w:link w:val="PieddepageCar"/>
    <w:uiPriority w:val="99"/>
    <w:unhideWhenUsed/>
    <w:rsid w:val="006C600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C6007"/>
    <w:rPr>
      <w:rFonts w:ascii="Times New Roman" w:eastAsia="Times New Roman" w:hAnsi="Times New Roman" w:cs="Times New Roman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C600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C6007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2757</Words>
  <Characters>15166</Characters>
  <Application>Microsoft Office Word</Application>
  <DocSecurity>0</DocSecurity>
  <Lines>126</Lines>
  <Paragraphs>35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Cliniques Universitaires Saint-Luc</Company>
  <LinksUpToDate>false</LinksUpToDate>
  <CharactersWithSpaces>17888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MOURLHOU Paul</cp:lastModifiedBy>
  <cp:revision>2</cp:revision>
  <dcterms:created xsi:type="dcterms:W3CDTF">2020-07-14T13:12:00Z</dcterms:created>
  <dcterms:modified xsi:type="dcterms:W3CDTF">2020-07-14T11:17:00Z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2019-01-31T00:00:00Z</vt:filetime>
  </property>
  <property fmtid="{D5CDD505-2E9C-101B-9397-08002B2CF9AE}" pid="3" name="Creator">
    <vt:lpwstr>Adobe InDesign CC 13.1 (Macintosh)</vt:lpwstr>
  </property>
  <property fmtid="{D5CDD505-2E9C-101B-9397-08002B2CF9AE}" pid="4" name="LastSaved">
    <vt:filetime>2020-07-14T00:00:00Z</vt:filetime>
  </property>
</Properties>
</file>