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2D6E" w:rsidRDefault="005E2D6E" w:rsidP="005E2D6E">
      <w:pPr>
        <w:pStyle w:val="Articletitle"/>
      </w:pPr>
      <w:bookmarkStart w:id="0" w:name="_Hlk29546126"/>
      <w:r>
        <w:t>The impact of housing conditions on mortality in Belgium (1991-2016)</w:t>
      </w:r>
    </w:p>
    <w:p w:rsidR="005E2D6E" w:rsidRPr="005E2D6E" w:rsidRDefault="005E2D6E" w:rsidP="005E2D6E">
      <w:pPr>
        <w:jc w:val="center"/>
        <w:rPr>
          <w:rFonts w:ascii="Times New Roman" w:hAnsi="Times New Roman" w:cs="Times New Roman"/>
          <w:lang w:val="en-GB" w:eastAsia="en-GB"/>
        </w:rPr>
      </w:pPr>
      <w:r w:rsidRPr="005E2D6E">
        <w:rPr>
          <w:rFonts w:ascii="Times New Roman" w:hAnsi="Times New Roman" w:cs="Times New Roman"/>
          <w:lang w:val="en-GB" w:eastAsia="en-GB"/>
        </w:rPr>
        <w:t>Joan Damiens (UCLouvain)</w:t>
      </w:r>
    </w:p>
    <w:p w:rsidR="005E2D6E" w:rsidRPr="005E2D6E" w:rsidRDefault="005E2D6E" w:rsidP="005E2D6E">
      <w:pPr>
        <w:jc w:val="center"/>
        <w:rPr>
          <w:rFonts w:ascii="Times New Roman" w:hAnsi="Times New Roman" w:cs="Times New Roman"/>
          <w:lang w:val="en-GB" w:eastAsia="en-GB"/>
        </w:rPr>
      </w:pPr>
      <w:r w:rsidRPr="005E2D6E">
        <w:rPr>
          <w:rFonts w:ascii="Times New Roman" w:hAnsi="Times New Roman" w:cs="Times New Roman"/>
          <w:lang w:val="en-GB" w:eastAsia="en-GB"/>
        </w:rPr>
        <w:t>Contact : joan.damiens@uclouvain.be</w:t>
      </w:r>
    </w:p>
    <w:p w:rsidR="005E2D6E" w:rsidRDefault="005E2D6E" w:rsidP="005E2D6E">
      <w:pPr>
        <w:pStyle w:val="Keywords"/>
        <w:jc w:val="both"/>
      </w:pPr>
      <w:r>
        <w:t xml:space="preserve">Abstract : </w:t>
      </w:r>
      <w:r w:rsidRPr="00875FBC">
        <w:t xml:space="preserve">In the Western countries, including Belgium, life expectancy has increased over the last decades, as well as social inequalities </w:t>
      </w:r>
      <w:r>
        <w:t>in</w:t>
      </w:r>
      <w:r w:rsidRPr="00875FBC">
        <w:t xml:space="preserve"> health and mortality. </w:t>
      </w:r>
      <w:r>
        <w:t>E</w:t>
      </w:r>
      <w:r w:rsidRPr="00875FBC">
        <w:t>xisting research tend</w:t>
      </w:r>
      <w:r>
        <w:t>s</w:t>
      </w:r>
      <w:r w:rsidRPr="00875FBC">
        <w:t xml:space="preserve"> to approximate socioeconomic status with the </w:t>
      </w:r>
      <w:r>
        <w:t>educational level</w:t>
      </w:r>
      <w:r w:rsidRPr="00875FBC">
        <w:t>, occupational status or income. Housing is yet another socioeconomic factor that is much less considered when studying ine</w:t>
      </w:r>
      <w:bookmarkStart w:id="1" w:name="_GoBack"/>
      <w:bookmarkEnd w:id="1"/>
      <w:r w:rsidRPr="00875FBC">
        <w:t>qualities in mortality. Indeed, housing is a complex and multidimensional element impacting several aspects of a person’s health and well-being (physical, mental and social). The data used in this research are the result of the coupling of the population censuses of 1991, 2001 and 2011 and the National Register. They cover the entire population of Belgium over 25 years. Through life tables analysis and multivariate logistic regression models, this research contributes to existing research by setting trends in housing conditions between 1991 and 2016 in relation to social inequalities in health and mortality over this period in Belgium</w:t>
      </w:r>
      <w:r>
        <w:t>.</w:t>
      </w:r>
      <w:r w:rsidRPr="00875FBC">
        <w:t xml:space="preserve"> </w:t>
      </w:r>
      <w:r>
        <w:t>It</w:t>
      </w:r>
      <w:r w:rsidRPr="00875FBC">
        <w:t xml:space="preserve"> show</w:t>
      </w:r>
      <w:r>
        <w:t>s</w:t>
      </w:r>
      <w:r w:rsidRPr="00875FBC">
        <w:t xml:space="preserve"> that housing conditions have a specific effect on the risk of death, in addition to other socio-economic characteristics. </w:t>
      </w:r>
      <w:r>
        <w:t xml:space="preserve">On the 2011-2015 period, once controlling for demographic and socioeconomic characteristics (education, professional status and income), a 25% higher mortality rate separate tenants from owners on the one hand, and population living in low quality housing from those living in better quality housing on the other hand. </w:t>
      </w:r>
      <w:r w:rsidRPr="00875FBC">
        <w:t>Ensuring good housing conditions seems a necessary step to reduce inequalities that should be considered in social policies.</w:t>
      </w:r>
    </w:p>
    <w:p w:rsidR="005E2D6E" w:rsidRDefault="005E2D6E" w:rsidP="005E2D6E">
      <w:pPr>
        <w:pStyle w:val="Keywords"/>
      </w:pPr>
      <w:r>
        <w:t>Keywords: Housing; Mortality; Health inequalities; Register data; Belgium</w:t>
      </w:r>
    </w:p>
    <w:p w:rsidR="005E2D6E" w:rsidRDefault="005E2D6E" w:rsidP="005E2D6E">
      <w:pPr>
        <w:pStyle w:val="Titre1"/>
      </w:pPr>
      <w:r>
        <w:t>Introduction</w:t>
      </w:r>
    </w:p>
    <w:p w:rsidR="005E2D6E" w:rsidRDefault="005E2D6E" w:rsidP="005E2D6E">
      <w:pPr>
        <w:pStyle w:val="Paragraph"/>
        <w:jc w:val="both"/>
      </w:pPr>
      <w:r w:rsidRPr="00566837">
        <w:t xml:space="preserve">In the Western countries, </w:t>
      </w:r>
      <w:r>
        <w:t>including</w:t>
      </w:r>
      <w:r w:rsidRPr="00566837">
        <w:t xml:space="preserve"> Belgium, better </w:t>
      </w:r>
      <w:r>
        <w:t>socioeconomic</w:t>
      </w:r>
      <w:r w:rsidRPr="00566837">
        <w:t xml:space="preserve"> and working conditions, </w:t>
      </w:r>
      <w:r>
        <w:t xml:space="preserve">as well as </w:t>
      </w:r>
      <w:r w:rsidRPr="00566837">
        <w:t>improvements in food</w:t>
      </w:r>
      <w:r>
        <w:t xml:space="preserve">, </w:t>
      </w:r>
      <w:r w:rsidRPr="00566837">
        <w:t>hygiene</w:t>
      </w:r>
      <w:r>
        <w:t xml:space="preserve"> and</w:t>
      </w:r>
      <w:r w:rsidRPr="00566837">
        <w:t xml:space="preserve"> environment have led to an increase in life expectancy</w:t>
      </w:r>
      <w:r>
        <w:t xml:space="preserve"> over the last decades</w:t>
      </w:r>
      <w:r w:rsidRPr="00566837">
        <w:t xml:space="preserve">. </w:t>
      </w:r>
      <w:r>
        <w:t xml:space="preserve">Nevertheless, inter-personal variation in life expectancy remains substantial </w:t>
      </w:r>
      <w:r w:rsidRPr="00566837">
        <w:t>(Trannoy, 2012). Health and mortality inequalities have increased in recent decades (Jusot, 2010; Deboosere, Fiszman, 2009)</w:t>
      </w:r>
      <w:r>
        <w:t xml:space="preserve">: socioeconomic status is a strong determinant of mortality at every age, more than ever before in European countries </w:t>
      </w:r>
      <w:r w:rsidRPr="00566837">
        <w:t>(Valkonen, 2002).</w:t>
      </w:r>
      <w:r>
        <w:t xml:space="preserve"> </w:t>
      </w:r>
    </w:p>
    <w:p w:rsidR="005E2D6E" w:rsidRDefault="005E2D6E" w:rsidP="005E2D6E">
      <w:pPr>
        <w:pStyle w:val="Paragraph"/>
        <w:ind w:firstLine="708"/>
        <w:jc w:val="both"/>
        <w:rPr>
          <w:lang w:val="en-US"/>
        </w:rPr>
      </w:pPr>
      <w:r>
        <w:rPr>
          <w:lang w:val="en-US"/>
        </w:rPr>
        <w:lastRenderedPageBreak/>
        <w:t>One’s living environment</w:t>
      </w:r>
      <w:r w:rsidRPr="0077729D">
        <w:rPr>
          <w:lang w:val="en-US"/>
        </w:rPr>
        <w:t xml:space="preserve"> includes all the exogenous elements, natural or artificial, that make up the place in which the individual lives and spends most of </w:t>
      </w:r>
      <w:r>
        <w:rPr>
          <w:lang w:val="en-US"/>
        </w:rPr>
        <w:t>their</w:t>
      </w:r>
      <w:r w:rsidRPr="0077729D">
        <w:rPr>
          <w:lang w:val="en-US"/>
        </w:rPr>
        <w:t xml:space="preserve"> time (Herjean, 2006).</w:t>
      </w:r>
      <w:r>
        <w:rPr>
          <w:lang w:val="en-US"/>
        </w:rPr>
        <w:t xml:space="preserve"> </w:t>
      </w:r>
      <w:r w:rsidRPr="0077729D">
        <w:rPr>
          <w:lang w:val="en-US"/>
        </w:rPr>
        <w:t xml:space="preserve">Among the factors affecting exposure to health risks, </w:t>
      </w:r>
      <w:r>
        <w:rPr>
          <w:lang w:val="en-US"/>
        </w:rPr>
        <w:t>it</w:t>
      </w:r>
      <w:r w:rsidRPr="0077729D">
        <w:rPr>
          <w:lang w:val="en-US"/>
        </w:rPr>
        <w:t xml:space="preserve"> plays a key role. Housing, whether through access, location or quality, </w:t>
      </w:r>
      <w:r>
        <w:rPr>
          <w:lang w:val="en-US"/>
        </w:rPr>
        <w:t>matters in</w:t>
      </w:r>
      <w:r w:rsidRPr="0077729D">
        <w:rPr>
          <w:lang w:val="en-US"/>
        </w:rPr>
        <w:t xml:space="preserve"> social inequalities in health. Its physical, social and mental</w:t>
      </w:r>
      <w:r>
        <w:rPr>
          <w:lang w:val="en-US"/>
        </w:rPr>
        <w:t xml:space="preserve"> aspects</w:t>
      </w:r>
      <w:r w:rsidRPr="0077729D">
        <w:rPr>
          <w:lang w:val="en-US"/>
        </w:rPr>
        <w:t xml:space="preserve"> have multiple impacts on health and mortality (Bonnefoy, 2007).</w:t>
      </w:r>
      <w:r>
        <w:rPr>
          <w:lang w:val="en-US"/>
        </w:rPr>
        <w:t xml:space="preserve"> </w:t>
      </w:r>
      <w:r w:rsidRPr="0077729D">
        <w:rPr>
          <w:lang w:val="en-US"/>
        </w:rPr>
        <w:t xml:space="preserve">The living environment can generate or feed diseases or infections, through the </w:t>
      </w:r>
      <w:r>
        <w:rPr>
          <w:lang w:val="en-US"/>
        </w:rPr>
        <w:t>air quality</w:t>
      </w:r>
      <w:r w:rsidRPr="0077729D">
        <w:rPr>
          <w:lang w:val="en-US"/>
        </w:rPr>
        <w:t xml:space="preserve">, the humidity that prevails, or through its density of occupation, a vector for the spread of diseases. It is also a </w:t>
      </w:r>
      <w:r>
        <w:rPr>
          <w:lang w:val="en-US"/>
        </w:rPr>
        <w:t>central</w:t>
      </w:r>
      <w:r w:rsidRPr="0077729D">
        <w:rPr>
          <w:lang w:val="en-US"/>
        </w:rPr>
        <w:t xml:space="preserve"> element in </w:t>
      </w:r>
      <w:r>
        <w:rPr>
          <w:lang w:val="en-US"/>
        </w:rPr>
        <w:t>one’s</w:t>
      </w:r>
      <w:r w:rsidRPr="0077729D">
        <w:rPr>
          <w:lang w:val="en-US"/>
        </w:rPr>
        <w:t xml:space="preserve"> psychological and social well-being. However, </w:t>
      </w:r>
      <w:r>
        <w:rPr>
          <w:lang w:val="en-US"/>
        </w:rPr>
        <w:t xml:space="preserve">social and health-related </w:t>
      </w:r>
      <w:r w:rsidRPr="0077729D">
        <w:rPr>
          <w:lang w:val="en-US"/>
        </w:rPr>
        <w:t>public policies</w:t>
      </w:r>
      <w:r>
        <w:rPr>
          <w:lang w:val="en-US"/>
        </w:rPr>
        <w:t xml:space="preserve"> rarely target the housing issues</w:t>
      </w:r>
      <w:r w:rsidRPr="0077729D">
        <w:rPr>
          <w:lang w:val="en-US"/>
        </w:rPr>
        <w:t xml:space="preserve">, </w:t>
      </w:r>
      <w:r>
        <w:rPr>
          <w:lang w:val="en-US"/>
        </w:rPr>
        <w:t>and focus instead</w:t>
      </w:r>
      <w:r w:rsidRPr="0077729D">
        <w:rPr>
          <w:lang w:val="en-US"/>
        </w:rPr>
        <w:t xml:space="preserve"> </w:t>
      </w:r>
      <w:r>
        <w:rPr>
          <w:lang w:val="en-US"/>
        </w:rPr>
        <w:t>on</w:t>
      </w:r>
      <w:r w:rsidRPr="0077729D">
        <w:rPr>
          <w:lang w:val="en-US"/>
        </w:rPr>
        <w:t xml:space="preserve"> employment, education or </w:t>
      </w:r>
      <w:r>
        <w:rPr>
          <w:lang w:val="en-US"/>
        </w:rPr>
        <w:t xml:space="preserve">healthcare </w:t>
      </w:r>
      <w:r w:rsidRPr="0077729D">
        <w:rPr>
          <w:lang w:val="en-US"/>
        </w:rPr>
        <w:t>(Emelianoff, 2008; Krieger, Higgins, 2002).</w:t>
      </w:r>
    </w:p>
    <w:p w:rsidR="005E2D6E" w:rsidRDefault="005E2D6E" w:rsidP="005E2D6E">
      <w:pPr>
        <w:pStyle w:val="Paragraph"/>
        <w:ind w:firstLine="708"/>
        <w:jc w:val="both"/>
        <w:rPr>
          <w:lang w:val="en-US"/>
        </w:rPr>
      </w:pPr>
      <w:r>
        <w:rPr>
          <w:lang w:val="en-US"/>
        </w:rPr>
        <w:t>A bunch of studies have examined the socioeconomics determinants</w:t>
      </w:r>
      <w:r w:rsidRPr="00930D29">
        <w:rPr>
          <w:lang w:val="en-US"/>
        </w:rPr>
        <w:t xml:space="preserve"> of mortality (</w:t>
      </w:r>
      <w:r>
        <w:rPr>
          <w:lang w:val="en-US"/>
        </w:rPr>
        <w:t xml:space="preserve">For Belgium: </w:t>
      </w:r>
      <w:r w:rsidRPr="00930D29">
        <w:rPr>
          <w:lang w:val="en-US"/>
        </w:rPr>
        <w:t xml:space="preserve">Deboosere, Gadeyne, Van Oyen, 2009; Gadeyne, 2006), but very few have included the housing </w:t>
      </w:r>
      <w:r>
        <w:rPr>
          <w:lang w:val="en-US"/>
        </w:rPr>
        <w:t>aspect</w:t>
      </w:r>
      <w:r w:rsidRPr="00930D29">
        <w:rPr>
          <w:lang w:val="en-US"/>
        </w:rPr>
        <w:t xml:space="preserve">. Although some research has shown the variation in life expectancy </w:t>
      </w:r>
      <w:r>
        <w:rPr>
          <w:lang w:val="en-US"/>
        </w:rPr>
        <w:t xml:space="preserve">according to </w:t>
      </w:r>
      <w:r w:rsidRPr="00930D29">
        <w:rPr>
          <w:lang w:val="en-US"/>
        </w:rPr>
        <w:t>housing quality</w:t>
      </w:r>
      <w:r>
        <w:rPr>
          <w:lang w:val="en-US"/>
        </w:rPr>
        <w:t xml:space="preserve"> </w:t>
      </w:r>
      <w:r w:rsidRPr="00930D29">
        <w:rPr>
          <w:lang w:val="en-US"/>
        </w:rPr>
        <w:t xml:space="preserve">and </w:t>
      </w:r>
      <w:r>
        <w:rPr>
          <w:lang w:val="en-US"/>
        </w:rPr>
        <w:t>housing tenure</w:t>
      </w:r>
      <w:r w:rsidRPr="00930D29">
        <w:rPr>
          <w:lang w:val="en-US"/>
        </w:rPr>
        <w:t xml:space="preserve"> (owner/tenant), in Belgium (Eggerickx et al., 2018-A; Gadeyne, 2006), and elsewhere (</w:t>
      </w:r>
      <w:r>
        <w:rPr>
          <w:lang w:val="en-US"/>
        </w:rPr>
        <w:t xml:space="preserve">e.g. in the UK : </w:t>
      </w:r>
      <w:r w:rsidRPr="00930D29">
        <w:rPr>
          <w:lang w:val="en-US"/>
        </w:rPr>
        <w:t xml:space="preserve">Dunn, 2002; </w:t>
      </w:r>
      <w:r>
        <w:rPr>
          <w:lang w:val="en-US"/>
        </w:rPr>
        <w:t xml:space="preserve">or in Vancouver : </w:t>
      </w:r>
      <w:r w:rsidRPr="00930D29">
        <w:rPr>
          <w:lang w:val="en-US"/>
        </w:rPr>
        <w:t xml:space="preserve">Hiscock et al, 2003), these results were confronted with the fact that the living environment is also strongly linked to a person's socio-economic framework, namely </w:t>
      </w:r>
      <w:r>
        <w:rPr>
          <w:lang w:val="en-US"/>
        </w:rPr>
        <w:t>their</w:t>
      </w:r>
      <w:r w:rsidRPr="00930D29">
        <w:rPr>
          <w:lang w:val="en-US"/>
        </w:rPr>
        <w:t xml:space="preserve"> income level, socio-cultural context, among other things (Bugeja-Bloch, 2013). </w:t>
      </w:r>
    </w:p>
    <w:p w:rsidR="005E2D6E" w:rsidRDefault="005E2D6E" w:rsidP="005E2D6E">
      <w:pPr>
        <w:pStyle w:val="Paragraph"/>
        <w:ind w:firstLine="708"/>
        <w:jc w:val="both"/>
        <w:rPr>
          <w:lang w:val="en-US"/>
        </w:rPr>
      </w:pPr>
      <w:r w:rsidRPr="0077729D">
        <w:rPr>
          <w:lang w:val="en-US"/>
        </w:rPr>
        <w:t xml:space="preserve">The objective of this research is to measure the impact of the </w:t>
      </w:r>
      <w:r>
        <w:rPr>
          <w:lang w:val="en-US"/>
        </w:rPr>
        <w:t xml:space="preserve">housing conditions </w:t>
      </w:r>
      <w:r w:rsidRPr="0077729D">
        <w:rPr>
          <w:lang w:val="en-US"/>
        </w:rPr>
        <w:t xml:space="preserve">on mortality in Belgium from 1991 to 2016. Using data from the three censuses of 1991, 2001 and 2011, as well as data from the Belgian National Register, a first portrait will be drawn of the socio-economic and demographic characteristics of the populations defined by their housing </w:t>
      </w:r>
      <w:r>
        <w:rPr>
          <w:lang w:val="en-US"/>
        </w:rPr>
        <w:t>quality and tenure</w:t>
      </w:r>
      <w:r w:rsidRPr="0077729D">
        <w:rPr>
          <w:lang w:val="en-US"/>
        </w:rPr>
        <w:t xml:space="preserve">. Then, a contextualization of the relationship between living environment and mortality will be carried out, using </w:t>
      </w:r>
      <w:r>
        <w:rPr>
          <w:lang w:val="en-US"/>
        </w:rPr>
        <w:t>life</w:t>
      </w:r>
      <w:r w:rsidRPr="0077729D">
        <w:rPr>
          <w:lang w:val="en-US"/>
        </w:rPr>
        <w:t xml:space="preserve"> tables </w:t>
      </w:r>
      <w:r>
        <w:rPr>
          <w:lang w:val="en-US"/>
        </w:rPr>
        <w:t>and life expectancy</w:t>
      </w:r>
      <w:r w:rsidRPr="0077729D">
        <w:rPr>
          <w:lang w:val="en-US"/>
        </w:rPr>
        <w:t xml:space="preserve">. Finally, a multivariate analysis will make it possible to identify the specific effect of the living environment on </w:t>
      </w:r>
      <w:r w:rsidRPr="0077729D">
        <w:rPr>
          <w:lang w:val="en-US"/>
        </w:rPr>
        <w:lastRenderedPageBreak/>
        <w:t xml:space="preserve">mortality, with equal demographic and socio-economic characteristics.  </w:t>
      </w:r>
    </w:p>
    <w:p w:rsidR="005E2D6E" w:rsidRDefault="005E2D6E" w:rsidP="005E2D6E">
      <w:pPr>
        <w:pStyle w:val="Titre1"/>
      </w:pPr>
      <w:r>
        <w:t>The impact of housing on health and survival</w:t>
      </w:r>
    </w:p>
    <w:p w:rsidR="005E2D6E" w:rsidRPr="00E23B16" w:rsidRDefault="005E2D6E" w:rsidP="005E2D6E">
      <w:pPr>
        <w:rPr>
          <w:rStyle w:val="Titredulivre"/>
          <w:rFonts w:ascii="Times New Roman" w:hAnsi="Times New Roman" w:cs="Times New Roman"/>
          <w:sz w:val="24"/>
          <w:lang w:val="en-US" w:eastAsia="en-GB"/>
        </w:rPr>
      </w:pPr>
      <w:r w:rsidRPr="00E23B16">
        <w:rPr>
          <w:rStyle w:val="Titredulivre"/>
          <w:rFonts w:ascii="Times New Roman" w:hAnsi="Times New Roman" w:cs="Times New Roman"/>
          <w:sz w:val="24"/>
          <w:lang w:val="en-US"/>
        </w:rPr>
        <w:t>A context of social inequalities in health and mortality</w:t>
      </w:r>
    </w:p>
    <w:p w:rsidR="005E2D6E" w:rsidRDefault="005E2D6E" w:rsidP="005E2D6E">
      <w:pPr>
        <w:pStyle w:val="Paragraph"/>
        <w:jc w:val="both"/>
        <w:rPr>
          <w:lang w:val="en-US"/>
        </w:rPr>
      </w:pPr>
      <w:r w:rsidRPr="001C602B">
        <w:rPr>
          <w:lang w:val="en-US"/>
        </w:rPr>
        <w:t xml:space="preserve">Belgium </w:t>
      </w:r>
      <w:r>
        <w:rPr>
          <w:lang w:val="en-US"/>
        </w:rPr>
        <w:t>is going through an</w:t>
      </w:r>
      <w:r w:rsidRPr="001C602B">
        <w:rPr>
          <w:lang w:val="en-US"/>
        </w:rPr>
        <w:t xml:space="preserve"> important moment in its health transition, a process marked by four stages (Rollet, 2011; Vallin et al, 2002). </w:t>
      </w:r>
      <w:r>
        <w:rPr>
          <w:lang w:val="en-US"/>
        </w:rPr>
        <w:t>First,</w:t>
      </w:r>
      <w:r w:rsidRPr="001C602B">
        <w:rPr>
          <w:lang w:val="en-US"/>
        </w:rPr>
        <w:t xml:space="preserve"> </w:t>
      </w:r>
      <w:r>
        <w:rPr>
          <w:lang w:val="en-US"/>
        </w:rPr>
        <w:t xml:space="preserve">centuries ago, </w:t>
      </w:r>
      <w:r w:rsidRPr="001C602B">
        <w:rPr>
          <w:lang w:val="en-US"/>
        </w:rPr>
        <w:t>epidemics and infectious and contagious diseases</w:t>
      </w:r>
      <w:r>
        <w:rPr>
          <w:lang w:val="en-US"/>
        </w:rPr>
        <w:t xml:space="preserve"> </w:t>
      </w:r>
      <w:r w:rsidRPr="001C602B">
        <w:rPr>
          <w:lang w:val="en-US"/>
        </w:rPr>
        <w:t xml:space="preserve">affected everyone, </w:t>
      </w:r>
      <w:r>
        <w:rPr>
          <w:lang w:val="en-US"/>
        </w:rPr>
        <w:t>regardless wealth or poverty</w:t>
      </w:r>
      <w:r w:rsidRPr="001C602B">
        <w:rPr>
          <w:lang w:val="en-US"/>
        </w:rPr>
        <w:t xml:space="preserve"> (Rollet, 2011). </w:t>
      </w:r>
      <w:r>
        <w:rPr>
          <w:lang w:val="en-US"/>
        </w:rPr>
        <w:t>With</w:t>
      </w:r>
      <w:r w:rsidRPr="001C602B">
        <w:rPr>
          <w:lang w:val="en-US"/>
        </w:rPr>
        <w:t xml:space="preserve"> the industrial revolution, medical and technological progress and the overall improvement in living conditions have led to a </w:t>
      </w:r>
      <w:r>
        <w:rPr>
          <w:lang w:val="en-US"/>
        </w:rPr>
        <w:t>rise</w:t>
      </w:r>
      <w:r w:rsidRPr="001C602B">
        <w:rPr>
          <w:lang w:val="en-US"/>
        </w:rPr>
        <w:t xml:space="preserve"> in life expectancy. Epidemics </w:t>
      </w:r>
      <w:r>
        <w:rPr>
          <w:lang w:val="en-US"/>
        </w:rPr>
        <w:t>were</w:t>
      </w:r>
      <w:r w:rsidRPr="001C602B">
        <w:rPr>
          <w:lang w:val="en-US"/>
        </w:rPr>
        <w:t xml:space="preserve"> more controlled and child mortality has decreased in </w:t>
      </w:r>
      <w:r>
        <w:rPr>
          <w:lang w:val="en-US"/>
        </w:rPr>
        <w:t>Western</w:t>
      </w:r>
      <w:r w:rsidRPr="001C602B">
        <w:rPr>
          <w:lang w:val="en-US"/>
        </w:rPr>
        <w:t xml:space="preserve"> countries (Rollet, 2011; Vallin et al., 2002). </w:t>
      </w:r>
      <w:r>
        <w:rPr>
          <w:lang w:val="en-US"/>
        </w:rPr>
        <w:t>Thirdly,</w:t>
      </w:r>
      <w:r w:rsidRPr="001C602B">
        <w:rPr>
          <w:lang w:val="en-US"/>
        </w:rPr>
        <w:t xml:space="preserve"> the epidemiological transition was characterized by the development of chronic diseases, or so-called "societal" diseases (cardiovascular diseases, cancer, diabetes), because they are associated with people's lifestyles, namely nutrition, smoking, alcoholism, sedentary lifestyle and a polluted environment. Currently, Western countries are gradually emerging from this third phase through prevention campaigns and the adoption of </w:t>
      </w:r>
      <w:r>
        <w:rPr>
          <w:lang w:val="en-US"/>
        </w:rPr>
        <w:t xml:space="preserve">healthier </w:t>
      </w:r>
      <w:r w:rsidRPr="001C602B">
        <w:rPr>
          <w:lang w:val="en-US"/>
        </w:rPr>
        <w:t>behaviours</w:t>
      </w:r>
      <w:r>
        <w:rPr>
          <w:lang w:val="en-US"/>
        </w:rPr>
        <w:t>,</w:t>
      </w:r>
      <w:r w:rsidRPr="001C602B">
        <w:rPr>
          <w:lang w:val="en-US"/>
        </w:rPr>
        <w:t xml:space="preserve"> conducive to the reduction of chronic diseases. They are entering a fourth phase, characterized by a lengthening of life in good health and the development of degenerative diseases, typical of old age, such as Alzheimer's and Parkinson's diseases (Vallin et al., 2002; Mackenbach, 2012). This transition to a fourth phase is far from being homogeneous, since it is taking place at the pace of social inequalities in health and mortality.</w:t>
      </w:r>
    </w:p>
    <w:p w:rsidR="005E2D6E" w:rsidRDefault="005E2D6E" w:rsidP="005E2D6E">
      <w:pPr>
        <w:pStyle w:val="Paragraph"/>
        <w:ind w:firstLine="708"/>
        <w:jc w:val="both"/>
        <w:rPr>
          <w:lang w:val="en-US"/>
        </w:rPr>
      </w:pPr>
      <w:r w:rsidRPr="00EA5AE1">
        <w:rPr>
          <w:lang w:val="en-US"/>
        </w:rPr>
        <w:t xml:space="preserve">Depending on their income, </w:t>
      </w:r>
      <w:r>
        <w:rPr>
          <w:lang w:val="en-US"/>
        </w:rPr>
        <w:t>level of education</w:t>
      </w:r>
      <w:r w:rsidRPr="00EA5AE1">
        <w:rPr>
          <w:lang w:val="en-US"/>
        </w:rPr>
        <w:t xml:space="preserve"> and professional activity, individuals do not have the same level of health and mortality. There is a social gradient in health: the higher </w:t>
      </w:r>
      <w:r>
        <w:rPr>
          <w:lang w:val="en-US"/>
        </w:rPr>
        <w:t>on</w:t>
      </w:r>
      <w:r w:rsidRPr="00EA5AE1">
        <w:rPr>
          <w:lang w:val="en-US"/>
        </w:rPr>
        <w:t xml:space="preserve"> the social scale, the better the health status. This gradient integrates social, economic, professional, psychosocial and political factors in a multidimensional way (Chatelard et al., 2012). In industrialized countries, </w:t>
      </w:r>
      <w:r>
        <w:rPr>
          <w:lang w:val="en-US"/>
        </w:rPr>
        <w:t xml:space="preserve">improvements in hygiene, food, security and working </w:t>
      </w:r>
      <w:r>
        <w:rPr>
          <w:lang w:val="en-US"/>
        </w:rPr>
        <w:lastRenderedPageBreak/>
        <w:t>conditions</w:t>
      </w:r>
      <w:r w:rsidRPr="00EA5AE1">
        <w:rPr>
          <w:lang w:val="en-US"/>
        </w:rPr>
        <w:t xml:space="preserve"> </w:t>
      </w:r>
      <w:r>
        <w:rPr>
          <w:lang w:val="en-US"/>
        </w:rPr>
        <w:t>did not have the same consequences on the whole population</w:t>
      </w:r>
      <w:r w:rsidRPr="00EA5AE1">
        <w:rPr>
          <w:lang w:val="en-US"/>
        </w:rPr>
        <w:t xml:space="preserve"> (Trannoy, 2012). Now more than ever before in European countries, an individual's social category influences his or her risk of dying at different ages (Valkonen, 2002).</w:t>
      </w:r>
      <w:r>
        <w:rPr>
          <w:lang w:val="en-US"/>
        </w:rPr>
        <w:t xml:space="preserve"> </w:t>
      </w:r>
      <w:r w:rsidRPr="00AD32C8">
        <w:rPr>
          <w:lang w:val="en-US"/>
        </w:rPr>
        <w:t xml:space="preserve">Macintyre (1997) </w:t>
      </w:r>
      <w:r>
        <w:rPr>
          <w:lang w:val="en-US"/>
        </w:rPr>
        <w:t>defined the three interdependent levels of interaction between socioeconomic characteristics and health</w:t>
      </w:r>
      <w:r w:rsidRPr="00AD32C8">
        <w:rPr>
          <w:lang w:val="en-US"/>
        </w:rPr>
        <w:t>: individual, political and environmental.</w:t>
      </w:r>
    </w:p>
    <w:p w:rsidR="005E2D6E" w:rsidRDefault="005E2D6E" w:rsidP="005E2D6E">
      <w:pPr>
        <w:pStyle w:val="Paragraph"/>
        <w:ind w:firstLine="708"/>
        <w:jc w:val="both"/>
        <w:rPr>
          <w:lang w:val="en-US"/>
        </w:rPr>
      </w:pPr>
      <w:r w:rsidRPr="00AD32C8">
        <w:rPr>
          <w:lang w:val="en-US"/>
        </w:rPr>
        <w:t xml:space="preserve">Among the environmental issues that influence the health and survival of the individual, housing is </w:t>
      </w:r>
      <w:r>
        <w:rPr>
          <w:lang w:val="en-US"/>
        </w:rPr>
        <w:t>central and complex</w:t>
      </w:r>
      <w:r w:rsidRPr="00AD32C8">
        <w:rPr>
          <w:lang w:val="en-US"/>
        </w:rPr>
        <w:t xml:space="preserve">. It is both a reflection of a socio-economic reality (Lejeune, Chevau, Teller, 2012), but it </w:t>
      </w:r>
      <w:r>
        <w:rPr>
          <w:lang w:val="en-US"/>
        </w:rPr>
        <w:t>also</w:t>
      </w:r>
      <w:r w:rsidRPr="00AD32C8">
        <w:rPr>
          <w:lang w:val="en-US"/>
        </w:rPr>
        <w:t xml:space="preserve"> presents </w:t>
      </w:r>
      <w:r>
        <w:rPr>
          <w:lang w:val="en-US"/>
        </w:rPr>
        <w:t xml:space="preserve">its own </w:t>
      </w:r>
      <w:r w:rsidRPr="00AD32C8">
        <w:rPr>
          <w:lang w:val="en-US"/>
        </w:rPr>
        <w:t xml:space="preserve">physical, psychological and social risks that can </w:t>
      </w:r>
      <w:r>
        <w:rPr>
          <w:lang w:val="en-US"/>
        </w:rPr>
        <w:t>impair</w:t>
      </w:r>
      <w:r w:rsidRPr="00AD32C8">
        <w:rPr>
          <w:lang w:val="en-US"/>
        </w:rPr>
        <w:t xml:space="preserve"> the quality of life.</w:t>
      </w:r>
      <w:r>
        <w:rPr>
          <w:lang w:val="en-US"/>
        </w:rPr>
        <w:t xml:space="preserve"> To</w:t>
      </w:r>
      <w:r w:rsidRPr="00AD32C8">
        <w:rPr>
          <w:lang w:val="en-US"/>
        </w:rPr>
        <w:t xml:space="preserve"> measure environmental inequalities</w:t>
      </w:r>
      <w:r>
        <w:rPr>
          <w:lang w:val="en-US"/>
        </w:rPr>
        <w:t>,</w:t>
      </w:r>
      <w:r w:rsidRPr="00AD32C8">
        <w:rPr>
          <w:lang w:val="en-US"/>
        </w:rPr>
        <w:t xml:space="preserve"> variables related to external risks or neighbourhood amenities</w:t>
      </w:r>
      <w:r>
        <w:rPr>
          <w:lang w:val="en-US"/>
        </w:rPr>
        <w:t xml:space="preserve"> can be chosen</w:t>
      </w:r>
      <w:r w:rsidRPr="00AD32C8">
        <w:rPr>
          <w:lang w:val="en-US"/>
        </w:rPr>
        <w:t xml:space="preserve">, such as means of transport, green spaces, or local services. Nevertheless, housing is </w:t>
      </w:r>
      <w:r>
        <w:rPr>
          <w:lang w:val="en-US"/>
        </w:rPr>
        <w:t>one factor</w:t>
      </w:r>
      <w:r w:rsidRPr="00AD32C8">
        <w:rPr>
          <w:lang w:val="en-US"/>
        </w:rPr>
        <w:t xml:space="preserve"> that come under scrutiny with regard to the notion of environmental inequalities (Lejeune, Chevau, Teller, 2012). A survey conducted</w:t>
      </w:r>
      <w:r>
        <w:rPr>
          <w:lang w:val="en-US"/>
        </w:rPr>
        <w:t xml:space="preserve"> about housing</w:t>
      </w:r>
      <w:r w:rsidRPr="00AD32C8">
        <w:rPr>
          <w:lang w:val="en-US"/>
        </w:rPr>
        <w:t xml:space="preserve"> in Wallonia in 2006 and 2007 </w:t>
      </w:r>
      <w:r>
        <w:rPr>
          <w:lang w:val="en-US"/>
        </w:rPr>
        <w:t>showed</w:t>
      </w:r>
      <w:r w:rsidRPr="00AD32C8">
        <w:rPr>
          <w:lang w:val="en-US"/>
        </w:rPr>
        <w:t xml:space="preserve"> that good housing quality </w:t>
      </w:r>
      <w:r>
        <w:rPr>
          <w:lang w:val="en-US"/>
        </w:rPr>
        <w:t>was</w:t>
      </w:r>
      <w:r w:rsidRPr="00AD32C8">
        <w:rPr>
          <w:lang w:val="en-US"/>
        </w:rPr>
        <w:t xml:space="preserve"> strongly associated with </w:t>
      </w:r>
      <w:r>
        <w:rPr>
          <w:lang w:val="en-US"/>
        </w:rPr>
        <w:t xml:space="preserve">a </w:t>
      </w:r>
      <w:r w:rsidRPr="00AD32C8">
        <w:rPr>
          <w:lang w:val="en-US"/>
        </w:rPr>
        <w:t>good socio-economic status</w:t>
      </w:r>
      <w:r>
        <w:rPr>
          <w:lang w:val="en-US"/>
        </w:rPr>
        <w:t xml:space="preserve"> (Lejeune, Chevau, Teller, 2012)</w:t>
      </w:r>
      <w:r w:rsidRPr="00AD32C8">
        <w:rPr>
          <w:lang w:val="en-US"/>
        </w:rPr>
        <w:t xml:space="preserve">. </w:t>
      </w:r>
    </w:p>
    <w:p w:rsidR="005E2D6E" w:rsidRDefault="005E2D6E" w:rsidP="005E2D6E">
      <w:pPr>
        <w:pStyle w:val="Paragraph"/>
        <w:ind w:firstLine="708"/>
        <w:jc w:val="both"/>
        <w:rPr>
          <w:lang w:val="en-US"/>
        </w:rPr>
      </w:pPr>
      <w:r w:rsidRPr="00A4433B">
        <w:rPr>
          <w:lang w:val="en-US"/>
        </w:rPr>
        <w:t>Since February 27</w:t>
      </w:r>
      <w:r>
        <w:rPr>
          <w:lang w:val="en-US"/>
        </w:rPr>
        <w:t>th</w:t>
      </w:r>
      <w:r w:rsidRPr="00A4433B">
        <w:rPr>
          <w:lang w:val="en-US"/>
        </w:rPr>
        <w:t xml:space="preserve"> 1994, the </w:t>
      </w:r>
      <w:r>
        <w:rPr>
          <w:lang w:val="en-US"/>
        </w:rPr>
        <w:t>R</w:t>
      </w:r>
      <w:r w:rsidRPr="00A4433B">
        <w:rPr>
          <w:lang w:val="en-US"/>
        </w:rPr>
        <w:t xml:space="preserve">ight to housing has been enshrined in </w:t>
      </w:r>
      <w:r>
        <w:rPr>
          <w:lang w:val="en-US"/>
        </w:rPr>
        <w:t xml:space="preserve">the </w:t>
      </w:r>
      <w:r w:rsidRPr="00A4433B">
        <w:rPr>
          <w:lang w:val="en-US"/>
        </w:rPr>
        <w:t>23</w:t>
      </w:r>
      <w:r w:rsidRPr="00A4433B">
        <w:rPr>
          <w:vertAlign w:val="superscript"/>
          <w:lang w:val="en-US"/>
        </w:rPr>
        <w:t>rd</w:t>
      </w:r>
      <w:r>
        <w:rPr>
          <w:lang w:val="en-US"/>
        </w:rPr>
        <w:t xml:space="preserve"> article</w:t>
      </w:r>
      <w:r w:rsidRPr="00A4433B">
        <w:rPr>
          <w:lang w:val="en-US"/>
        </w:rPr>
        <w:t xml:space="preserve"> of the Belgian Constitution. </w:t>
      </w:r>
      <w:r>
        <w:rPr>
          <w:lang w:val="en-US"/>
        </w:rPr>
        <w:t>H</w:t>
      </w:r>
      <w:r w:rsidRPr="00A4433B">
        <w:rPr>
          <w:lang w:val="en-US"/>
        </w:rPr>
        <w:t>ousing is the basis of</w:t>
      </w:r>
      <w:r>
        <w:rPr>
          <w:lang w:val="en-US"/>
        </w:rPr>
        <w:t xml:space="preserve"> social</w:t>
      </w:r>
      <w:r w:rsidRPr="00A4433B">
        <w:rPr>
          <w:lang w:val="en-US"/>
        </w:rPr>
        <w:t xml:space="preserve"> integration: it is necessary to l</w:t>
      </w:r>
      <w:r>
        <w:rPr>
          <w:lang w:val="en-US"/>
        </w:rPr>
        <w:t>ive in dignity and security</w:t>
      </w:r>
      <w:r w:rsidRPr="00A4433B">
        <w:rPr>
          <w:lang w:val="en-US"/>
        </w:rPr>
        <w:t>. However, the implementation of this right to decent, accessible and stable housing is all the more difficult when the household is of low socio-economic status, particularly in a context of policy liberalization (Coburn, 2004; Leonard, 2012; De Keersmaecker, 1997; Krieger, Higgins, 2012; Bonnefoy, 2007). The family</w:t>
      </w:r>
      <w:r>
        <w:rPr>
          <w:lang w:val="en-US"/>
        </w:rPr>
        <w:t xml:space="preserve"> composition</w:t>
      </w:r>
      <w:r w:rsidRPr="00A4433B">
        <w:rPr>
          <w:lang w:val="en-US"/>
        </w:rPr>
        <w:t xml:space="preserve">, </w:t>
      </w:r>
      <w:r>
        <w:rPr>
          <w:lang w:val="en-US"/>
        </w:rPr>
        <w:t xml:space="preserve">the </w:t>
      </w:r>
      <w:r w:rsidRPr="00A4433B">
        <w:rPr>
          <w:lang w:val="en-US"/>
        </w:rPr>
        <w:t xml:space="preserve">proximity to the workplace, </w:t>
      </w:r>
      <w:r>
        <w:rPr>
          <w:lang w:val="en-US"/>
        </w:rPr>
        <w:t xml:space="preserve">the </w:t>
      </w:r>
      <w:r w:rsidRPr="00A4433B">
        <w:rPr>
          <w:lang w:val="en-US"/>
        </w:rPr>
        <w:t xml:space="preserve">budgetary constraints, </w:t>
      </w:r>
      <w:r>
        <w:rPr>
          <w:lang w:val="en-US"/>
        </w:rPr>
        <w:t>are interfering factors</w:t>
      </w:r>
      <w:r w:rsidRPr="00A4433B">
        <w:rPr>
          <w:lang w:val="en-US"/>
        </w:rPr>
        <w:t>. The housing crisis is widening, policies are failing to reduce it, and some populations are forced to live in substandard</w:t>
      </w:r>
      <w:r>
        <w:rPr>
          <w:lang w:val="en-US"/>
        </w:rPr>
        <w:t xml:space="preserve"> or </w:t>
      </w:r>
      <w:r w:rsidRPr="00A4433B">
        <w:rPr>
          <w:lang w:val="en-US"/>
        </w:rPr>
        <w:t xml:space="preserve">inadequate housing (De Keersmaecker, 1997; Ginot, Peyr, 2010). </w:t>
      </w:r>
    </w:p>
    <w:p w:rsidR="005E2D6E" w:rsidRDefault="005E2D6E" w:rsidP="005E2D6E">
      <w:pPr>
        <w:pStyle w:val="Paragraph"/>
        <w:ind w:firstLine="708"/>
        <w:jc w:val="both"/>
        <w:rPr>
          <w:lang w:val="en-US"/>
        </w:rPr>
      </w:pPr>
      <w:r>
        <w:rPr>
          <w:lang w:val="en-US"/>
        </w:rPr>
        <w:t xml:space="preserve">In this context, a first hypothesis of this research assumes that housing-driven </w:t>
      </w:r>
      <w:r>
        <w:rPr>
          <w:lang w:val="en-US"/>
        </w:rPr>
        <w:lastRenderedPageBreak/>
        <w:t>inequalities in mortality have increased over time, following the trend of other sociodemographic variables.</w:t>
      </w:r>
    </w:p>
    <w:p w:rsidR="005E2D6E" w:rsidRPr="00A4433B" w:rsidRDefault="005E2D6E" w:rsidP="005E2D6E">
      <w:pPr>
        <w:rPr>
          <w:lang w:val="en-US" w:eastAsia="en-GB"/>
        </w:rPr>
      </w:pPr>
    </w:p>
    <w:p w:rsidR="005E2D6E" w:rsidRPr="00CC5408" w:rsidRDefault="005E2D6E" w:rsidP="005E2D6E">
      <w:pPr>
        <w:rPr>
          <w:rFonts w:ascii="Times New Roman" w:hAnsi="Times New Roman" w:cs="Times New Roman"/>
          <w:b/>
          <w:bCs/>
          <w:i/>
          <w:iCs/>
          <w:spacing w:val="5"/>
          <w:sz w:val="24"/>
          <w:lang w:val="en-US" w:eastAsia="en-GB"/>
        </w:rPr>
      </w:pPr>
      <w:r>
        <w:rPr>
          <w:rStyle w:val="Titredulivre"/>
          <w:rFonts w:ascii="Times New Roman" w:hAnsi="Times New Roman" w:cs="Times New Roman"/>
          <w:sz w:val="24"/>
          <w:lang w:val="en-US"/>
        </w:rPr>
        <w:t>Definitions and consequences of housing quality</w:t>
      </w:r>
    </w:p>
    <w:p w:rsidR="005E2D6E" w:rsidRDefault="005E2D6E" w:rsidP="005E2D6E">
      <w:pPr>
        <w:pStyle w:val="Paragraph"/>
        <w:jc w:val="both"/>
        <w:rPr>
          <w:lang w:val="en-US"/>
        </w:rPr>
      </w:pPr>
      <w:r w:rsidRPr="00AD32C8">
        <w:rPr>
          <w:lang w:val="en-US"/>
        </w:rPr>
        <w:t xml:space="preserve">Housing is a </w:t>
      </w:r>
      <w:r>
        <w:rPr>
          <w:lang w:val="en-US"/>
        </w:rPr>
        <w:t xml:space="preserve">physical and </w:t>
      </w:r>
      <w:r w:rsidRPr="00AD32C8">
        <w:rPr>
          <w:lang w:val="en-US"/>
        </w:rPr>
        <w:t xml:space="preserve">social construction </w:t>
      </w:r>
      <w:r>
        <w:rPr>
          <w:lang w:val="en-US"/>
        </w:rPr>
        <w:t>including</w:t>
      </w:r>
      <w:r w:rsidRPr="00AD32C8">
        <w:rPr>
          <w:lang w:val="en-US"/>
        </w:rPr>
        <w:t xml:space="preserve"> four dimensions: home, a place of personal and family refuge; housing in its facilities and </w:t>
      </w:r>
      <w:r>
        <w:rPr>
          <w:lang w:val="en-US"/>
        </w:rPr>
        <w:t>equipment</w:t>
      </w:r>
      <w:r w:rsidRPr="00AD32C8">
        <w:rPr>
          <w:lang w:val="en-US"/>
        </w:rPr>
        <w:t>; community, and the social relationships it allows: the immediate environment, or urban design, with the places and services that the surrounding community provides (Bonnefoy, 2007). These four dimensions are interdependent and play on health, which is itself defined as a three-fold</w:t>
      </w:r>
      <w:r>
        <w:rPr>
          <w:lang w:val="en-US"/>
        </w:rPr>
        <w:t xml:space="preserve"> - </w:t>
      </w:r>
      <w:r w:rsidRPr="00AD32C8">
        <w:rPr>
          <w:lang w:val="en-US"/>
        </w:rPr>
        <w:t>physical, psychological and social</w:t>
      </w:r>
      <w:r>
        <w:rPr>
          <w:lang w:val="en-US"/>
        </w:rPr>
        <w:t xml:space="preserve"> -</w:t>
      </w:r>
      <w:r w:rsidRPr="00AD32C8">
        <w:rPr>
          <w:lang w:val="en-US"/>
        </w:rPr>
        <w:t xml:space="preserve"> well-being: (Bonnefoy, 2007).  Among the housing factors influencing one or more of these dimensions, </w:t>
      </w:r>
      <w:r>
        <w:rPr>
          <w:lang w:val="en-US"/>
        </w:rPr>
        <w:t>X.</w:t>
      </w:r>
      <w:r w:rsidRPr="00AD32C8">
        <w:rPr>
          <w:lang w:val="en-US"/>
        </w:rPr>
        <w:t xml:space="preserve"> Bonnefoy</w:t>
      </w:r>
      <w:r>
        <w:rPr>
          <w:lang w:val="en-US"/>
        </w:rPr>
        <w:t xml:space="preserve"> (2007)</w:t>
      </w:r>
      <w:r w:rsidRPr="00AD32C8">
        <w:rPr>
          <w:lang w:val="en-US"/>
        </w:rPr>
        <w:t xml:space="preserve"> identifies: autonomous accessibility of housing; surrounding spaces; heating and energy; psychological well-being through lighting on the one hand, and privatization of the place on the other; propensity to domestic accidents; air quality and ventilation; feelings of insecurity and crime; the residential and community environment; animal and pollen infestations (Bonnefoy, 2007).</w:t>
      </w:r>
    </w:p>
    <w:p w:rsidR="005E2D6E" w:rsidRDefault="005E2D6E" w:rsidP="005E2D6E">
      <w:pPr>
        <w:pStyle w:val="Paragraph"/>
        <w:ind w:firstLine="708"/>
        <w:jc w:val="both"/>
        <w:rPr>
          <w:lang w:val="en-US"/>
        </w:rPr>
      </w:pPr>
      <w:r>
        <w:rPr>
          <w:lang w:val="en-US"/>
        </w:rPr>
        <w:t>The impact of housing on health is multifarious</w:t>
      </w:r>
      <w:r w:rsidRPr="001C602B">
        <w:rPr>
          <w:lang w:val="en-US"/>
        </w:rPr>
        <w:t xml:space="preserve">. First, </w:t>
      </w:r>
      <w:r>
        <w:rPr>
          <w:lang w:val="en-US"/>
        </w:rPr>
        <w:t xml:space="preserve">an energy or ventilation deficit in the accommodation may result in </w:t>
      </w:r>
      <w:r w:rsidRPr="001C602B">
        <w:rPr>
          <w:lang w:val="en-US"/>
        </w:rPr>
        <w:t>infectious diseases</w:t>
      </w:r>
      <w:r>
        <w:rPr>
          <w:lang w:val="en-US"/>
        </w:rPr>
        <w:t xml:space="preserve"> </w:t>
      </w:r>
      <w:r w:rsidRPr="001C602B">
        <w:rPr>
          <w:lang w:val="en-US"/>
        </w:rPr>
        <w:t>(Boornsma et al., 2017; Shaw, 2004)</w:t>
      </w:r>
      <w:r>
        <w:rPr>
          <w:lang w:val="en-US"/>
        </w:rPr>
        <w:t xml:space="preserve">. </w:t>
      </w:r>
      <w:r w:rsidRPr="001C602B">
        <w:rPr>
          <w:lang w:val="en-US"/>
        </w:rPr>
        <w:t xml:space="preserve">The spread of diseases can be fuelled by high housing density (Krieger, Higgins, 2002). The habitat can also be responsible for long-term pathologies, </w:t>
      </w:r>
      <w:r>
        <w:rPr>
          <w:lang w:val="en-US"/>
        </w:rPr>
        <w:t>related</w:t>
      </w:r>
      <w:r w:rsidRPr="001C602B">
        <w:rPr>
          <w:lang w:val="en-US"/>
        </w:rPr>
        <w:t xml:space="preserve"> to a lack of heating, ventilation and airing. Household heating </w:t>
      </w:r>
      <w:r>
        <w:rPr>
          <w:lang w:val="en-US"/>
        </w:rPr>
        <w:t>absence of inefficiency</w:t>
      </w:r>
      <w:r w:rsidRPr="001C602B">
        <w:rPr>
          <w:lang w:val="en-US"/>
        </w:rPr>
        <w:t xml:space="preserve"> are responsible for many physical as well as psychological problems, although they are poorly studied (Boornsma et al., 2017; Shaw, 2004). Moisture can lead to a range of chronic diseases such as pain, nervous disorders, and allergies, especially in children, while exposure to cold increases blood pressure, cholesterol and the risk of heart attacks, especially in older people (Krieger, Higgins, 2002; Shaw, 2004). The layout of the dwelling and its location can also be responsible for injuries and household </w:t>
      </w:r>
      <w:r w:rsidRPr="001C602B">
        <w:rPr>
          <w:lang w:val="en-US"/>
        </w:rPr>
        <w:lastRenderedPageBreak/>
        <w:t xml:space="preserve">accidents, </w:t>
      </w:r>
      <w:r>
        <w:rPr>
          <w:lang w:val="en-US"/>
        </w:rPr>
        <w:t>linked</w:t>
      </w:r>
      <w:r w:rsidRPr="001C602B">
        <w:rPr>
          <w:lang w:val="en-US"/>
        </w:rPr>
        <w:t xml:space="preserve"> to falls or lack of storage for dangerous products (drugs, knives, cleaning products), especially for the youngest (Shaw, 2004).  Mental health </w:t>
      </w:r>
      <w:r>
        <w:rPr>
          <w:lang w:val="en-US"/>
        </w:rPr>
        <w:t>also suffers from</w:t>
      </w:r>
      <w:r w:rsidRPr="001C602B">
        <w:rPr>
          <w:lang w:val="en-US"/>
        </w:rPr>
        <w:t xml:space="preserve"> poor quality housing, due to sleep disorders, depression and anxiety related to the frustration of living in unsatisfactory housing (Lawrence, 1998</w:t>
      </w:r>
      <w:r>
        <w:rPr>
          <w:lang w:val="en-US"/>
        </w:rPr>
        <w:t>; Hiscock et al., 2001; Macintyre et al., 1998</w:t>
      </w:r>
      <w:r w:rsidRPr="001C602B">
        <w:rPr>
          <w:lang w:val="en-US"/>
        </w:rPr>
        <w:t xml:space="preserve">). According to Evans, Wells and Moch (2003), various mediators make the link between housing quality and </w:t>
      </w:r>
      <w:r>
        <w:rPr>
          <w:lang w:val="en-US"/>
        </w:rPr>
        <w:t xml:space="preserve">one’s </w:t>
      </w:r>
      <w:r w:rsidRPr="001C602B">
        <w:rPr>
          <w:lang w:val="en-US"/>
        </w:rPr>
        <w:t xml:space="preserve">mental health: a sense of belonging and identity; perceived security and stability of housing; the social connection made possible by housing (neighbourhood, proximity to the social circle); parenting, since the discomfort of younger people is through that of their parents (Coley et al., 2013); and a sense of control, adaptability of their space (Evans, Wells, Moch, 2003). </w:t>
      </w:r>
    </w:p>
    <w:p w:rsidR="005E2D6E" w:rsidRPr="00E65302" w:rsidRDefault="005E2D6E" w:rsidP="005E2D6E">
      <w:pPr>
        <w:pStyle w:val="Paragraph"/>
        <w:ind w:firstLine="708"/>
        <w:jc w:val="both"/>
        <w:rPr>
          <w:lang w:val="en-US"/>
        </w:rPr>
      </w:pPr>
      <w:r>
        <w:rPr>
          <w:lang w:val="en-US"/>
        </w:rPr>
        <w:t xml:space="preserve">As a second hypothesis in this research, we assume that poor housing quality in Belgium is positively associated with mortality rates and shorter life expectancies. </w:t>
      </w:r>
    </w:p>
    <w:p w:rsidR="005E2D6E" w:rsidRPr="00AA41C8"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Definition and consequences of housing tenure</w:t>
      </w:r>
    </w:p>
    <w:p w:rsidR="005E2D6E" w:rsidRDefault="005E2D6E" w:rsidP="005E2D6E">
      <w:pPr>
        <w:pStyle w:val="Paragraph"/>
        <w:jc w:val="both"/>
        <w:rPr>
          <w:lang w:val="en-US"/>
        </w:rPr>
      </w:pPr>
      <w:r w:rsidRPr="001C602B">
        <w:rPr>
          <w:lang w:val="en-US"/>
        </w:rPr>
        <w:t xml:space="preserve">Another component of housing well-being </w:t>
      </w:r>
      <w:r>
        <w:rPr>
          <w:lang w:val="en-US"/>
        </w:rPr>
        <w:t>lies in</w:t>
      </w:r>
      <w:r w:rsidRPr="001C602B">
        <w:rPr>
          <w:lang w:val="en-US"/>
        </w:rPr>
        <w:t xml:space="preserve"> </w:t>
      </w:r>
      <w:r>
        <w:rPr>
          <w:lang w:val="en-US"/>
        </w:rPr>
        <w:t>its</w:t>
      </w:r>
      <w:r w:rsidRPr="001C602B">
        <w:rPr>
          <w:lang w:val="en-US"/>
        </w:rPr>
        <w:t xml:space="preserve"> </w:t>
      </w:r>
      <w:r>
        <w:rPr>
          <w:lang w:val="en-US"/>
        </w:rPr>
        <w:t>financial</w:t>
      </w:r>
      <w:r w:rsidRPr="001C602B">
        <w:rPr>
          <w:lang w:val="en-US"/>
        </w:rPr>
        <w:t xml:space="preserve"> constrain</w:t>
      </w:r>
      <w:r>
        <w:rPr>
          <w:lang w:val="en-US"/>
        </w:rPr>
        <w:t>t</w:t>
      </w:r>
      <w:r w:rsidRPr="001C602B">
        <w:rPr>
          <w:lang w:val="en-US"/>
        </w:rPr>
        <w:t xml:space="preserve">. The weight of housing in a household's economy depends on the structure of the household, its socio-economic characteristics, but also on the </w:t>
      </w:r>
      <w:r>
        <w:rPr>
          <w:lang w:val="en-US"/>
        </w:rPr>
        <w:t>housing tenure</w:t>
      </w:r>
      <w:r w:rsidRPr="001C602B">
        <w:rPr>
          <w:lang w:val="en-US"/>
        </w:rPr>
        <w:t>. Tenants face greater budgetary constraints</w:t>
      </w:r>
      <w:r>
        <w:rPr>
          <w:lang w:val="en-US"/>
        </w:rPr>
        <w:t xml:space="preserve"> and spend a higher </w:t>
      </w:r>
      <w:r w:rsidRPr="001C602B">
        <w:rPr>
          <w:lang w:val="en-US"/>
        </w:rPr>
        <w:t xml:space="preserve">share of the monthly budget devoted to housing (Bugeja-Bloch, 2013). But the opposite is true: the socio-economic and financial level of a household will determine its </w:t>
      </w:r>
      <w:r>
        <w:rPr>
          <w:lang w:val="en-US"/>
        </w:rPr>
        <w:t>occupation</w:t>
      </w:r>
      <w:r w:rsidRPr="001C602B">
        <w:rPr>
          <w:lang w:val="en-US"/>
        </w:rPr>
        <w:t xml:space="preserve"> status. </w:t>
      </w:r>
      <w:r w:rsidRPr="00C465B7">
        <w:rPr>
          <w:lang w:val="en-US"/>
        </w:rPr>
        <w:t xml:space="preserve">In Belgium, the </w:t>
      </w:r>
      <w:r>
        <w:rPr>
          <w:lang w:val="en-US"/>
        </w:rPr>
        <w:t>risk of living under the poverty threshold</w:t>
      </w:r>
      <w:r w:rsidRPr="00C465B7">
        <w:rPr>
          <w:lang w:val="en-US"/>
        </w:rPr>
        <w:t xml:space="preserve"> of a homeowner with a loan or mortgage is 8%, compared to 40.3% for tenants paying rent at market prices (Lahaye et al., 2013). Homeownership is a segregating and unequal phenomenon, strongly linked to social class and position </w:t>
      </w:r>
      <w:r>
        <w:rPr>
          <w:lang w:val="en-US"/>
        </w:rPr>
        <w:t xml:space="preserve">on the </w:t>
      </w:r>
      <w:r w:rsidRPr="00C465B7">
        <w:rPr>
          <w:lang w:val="en-US"/>
        </w:rPr>
        <w:t xml:space="preserve">labour market (Hiscock et al., 2003; Mulder, Lauster, 2010). </w:t>
      </w:r>
      <w:r>
        <w:rPr>
          <w:lang w:val="en-US"/>
        </w:rPr>
        <w:t>Housing tenure</w:t>
      </w:r>
      <w:r w:rsidRPr="001C602B">
        <w:rPr>
          <w:lang w:val="en-US"/>
        </w:rPr>
        <w:t xml:space="preserve"> is, therefore, a reflection of the socio-economic living conditions of the household living in it. </w:t>
      </w:r>
      <w:r>
        <w:rPr>
          <w:lang w:val="en-US"/>
        </w:rPr>
        <w:t>Homeownership is valued</w:t>
      </w:r>
      <w:r w:rsidRPr="001C602B">
        <w:rPr>
          <w:lang w:val="en-US"/>
        </w:rPr>
        <w:t xml:space="preserve">, despite </w:t>
      </w:r>
      <w:r>
        <w:rPr>
          <w:lang w:val="en-US"/>
        </w:rPr>
        <w:t>the sacrifices required, such as</w:t>
      </w:r>
      <w:r w:rsidRPr="001C602B">
        <w:rPr>
          <w:lang w:val="en-US"/>
        </w:rPr>
        <w:t xml:space="preserve"> the </w:t>
      </w:r>
      <w:r w:rsidRPr="001C602B">
        <w:rPr>
          <w:lang w:val="en-US"/>
        </w:rPr>
        <w:lastRenderedPageBreak/>
        <w:t xml:space="preserve">cost of social and spatial isolation, </w:t>
      </w:r>
      <w:r>
        <w:rPr>
          <w:lang w:val="en-US"/>
        </w:rPr>
        <w:t xml:space="preserve">the </w:t>
      </w:r>
      <w:r w:rsidRPr="001C602B">
        <w:rPr>
          <w:lang w:val="en-US"/>
        </w:rPr>
        <w:t xml:space="preserve">distance from the workplace, and even </w:t>
      </w:r>
      <w:r>
        <w:rPr>
          <w:lang w:val="en-US"/>
        </w:rPr>
        <w:t>a loss of</w:t>
      </w:r>
      <w:r w:rsidRPr="001C602B">
        <w:rPr>
          <w:lang w:val="en-US"/>
        </w:rPr>
        <w:t xml:space="preserve"> housing</w:t>
      </w:r>
      <w:r>
        <w:rPr>
          <w:lang w:val="en-US"/>
        </w:rPr>
        <w:t xml:space="preserve"> quality</w:t>
      </w:r>
      <w:r w:rsidRPr="001C602B">
        <w:rPr>
          <w:lang w:val="en-US"/>
        </w:rPr>
        <w:t xml:space="preserve"> (Bugeja-Bloch, 2013; Mulder, Lauster, 2010). In Belgium, the </w:t>
      </w:r>
      <w:r>
        <w:rPr>
          <w:lang w:val="en-US"/>
        </w:rPr>
        <w:t>H</w:t>
      </w:r>
      <w:r w:rsidRPr="001C602B">
        <w:rPr>
          <w:lang w:val="en-US"/>
        </w:rPr>
        <w:t xml:space="preserve">ousing </w:t>
      </w:r>
      <w:r>
        <w:rPr>
          <w:lang w:val="en-US"/>
        </w:rPr>
        <w:t>B</w:t>
      </w:r>
      <w:r w:rsidRPr="001C602B">
        <w:rPr>
          <w:lang w:val="en-US"/>
        </w:rPr>
        <w:t xml:space="preserve">onus (tax reduction on mortgage loans) is a tax advantage that encourages home ownership. </w:t>
      </w:r>
      <w:r>
        <w:rPr>
          <w:lang w:val="en-US"/>
        </w:rPr>
        <w:t>As i</w:t>
      </w:r>
      <w:r w:rsidRPr="001C602B">
        <w:rPr>
          <w:lang w:val="en-US"/>
        </w:rPr>
        <w:t>t is not income-based</w:t>
      </w:r>
      <w:r>
        <w:rPr>
          <w:lang w:val="en-US"/>
        </w:rPr>
        <w:t xml:space="preserve">, </w:t>
      </w:r>
      <w:r w:rsidRPr="001C602B">
        <w:rPr>
          <w:lang w:val="en-US"/>
        </w:rPr>
        <w:t xml:space="preserve">it does nothing to reduce inequalities in access to property, </w:t>
      </w:r>
      <w:r>
        <w:rPr>
          <w:lang w:val="en-US"/>
        </w:rPr>
        <w:t>and mainly helps social categories who already had the plan and the possibility to buy their accommodation</w:t>
      </w:r>
      <w:r w:rsidRPr="001C602B">
        <w:rPr>
          <w:lang w:val="en-US"/>
        </w:rPr>
        <w:t xml:space="preserve"> (Lahaye et al., 2013). </w:t>
      </w:r>
    </w:p>
    <w:p w:rsidR="005E2D6E" w:rsidRPr="00C465B7" w:rsidRDefault="005E2D6E" w:rsidP="005E2D6E">
      <w:pPr>
        <w:pStyle w:val="Paragraph"/>
        <w:ind w:firstLine="708"/>
        <w:jc w:val="both"/>
        <w:rPr>
          <w:lang w:val="en-US"/>
        </w:rPr>
      </w:pPr>
      <w:r w:rsidRPr="00C465B7">
        <w:rPr>
          <w:lang w:val="en-US"/>
        </w:rPr>
        <w:t>Some studies based on European censuses (United Kingdom, Italy) show</w:t>
      </w:r>
      <w:r>
        <w:rPr>
          <w:lang w:val="en-US"/>
        </w:rPr>
        <w:t xml:space="preserve">ed </w:t>
      </w:r>
      <w:r w:rsidRPr="00C465B7">
        <w:rPr>
          <w:lang w:val="en-US"/>
        </w:rPr>
        <w:t xml:space="preserve">an association between </w:t>
      </w:r>
      <w:r>
        <w:rPr>
          <w:lang w:val="en-US"/>
        </w:rPr>
        <w:t>a</w:t>
      </w:r>
      <w:r w:rsidRPr="00C465B7">
        <w:rPr>
          <w:lang w:val="en-US"/>
        </w:rPr>
        <w:t xml:space="preserve"> poor health and </w:t>
      </w:r>
      <w:r>
        <w:rPr>
          <w:lang w:val="en-US"/>
        </w:rPr>
        <w:t>being a tenant</w:t>
      </w:r>
      <w:r w:rsidRPr="00C465B7">
        <w:rPr>
          <w:lang w:val="en-US"/>
        </w:rPr>
        <w:t xml:space="preserve"> (Hiscock et al., 2003). </w:t>
      </w:r>
      <w:r>
        <w:rPr>
          <w:lang w:val="en-US"/>
        </w:rPr>
        <w:t>H</w:t>
      </w:r>
      <w:r w:rsidRPr="00C465B7">
        <w:rPr>
          <w:lang w:val="en-US"/>
        </w:rPr>
        <w:t xml:space="preserve">omeowners are more often satisfied with their </w:t>
      </w:r>
      <w:r>
        <w:rPr>
          <w:lang w:val="en-US"/>
        </w:rPr>
        <w:t>dwelling</w:t>
      </w:r>
      <w:r w:rsidRPr="00C465B7">
        <w:rPr>
          <w:lang w:val="en-US"/>
        </w:rPr>
        <w:t xml:space="preserve">, heating, comfort, neighbourhood </w:t>
      </w:r>
      <w:r>
        <w:rPr>
          <w:lang w:val="en-US"/>
        </w:rPr>
        <w:t xml:space="preserve">quality </w:t>
      </w:r>
      <w:r w:rsidRPr="00C465B7">
        <w:rPr>
          <w:lang w:val="en-US"/>
        </w:rPr>
        <w:t xml:space="preserve">and safety (Hiscock et al., 2003). Ownership can also be associated with having better quality housing in terms of facilities (Macintyre et al. 2003). The psychosocial aspect is also highlighted: </w:t>
      </w:r>
      <w:r>
        <w:rPr>
          <w:lang w:val="en-US"/>
        </w:rPr>
        <w:t xml:space="preserve">owners are more often </w:t>
      </w:r>
      <w:r w:rsidRPr="00C465B7">
        <w:rPr>
          <w:lang w:val="en-US"/>
        </w:rPr>
        <w:t>pr</w:t>
      </w:r>
      <w:r>
        <w:rPr>
          <w:lang w:val="en-US"/>
        </w:rPr>
        <w:t xml:space="preserve">oud of their housing and their feeling of privacy and security is stronger than tenants’ </w:t>
      </w:r>
      <w:r w:rsidRPr="00C465B7">
        <w:rPr>
          <w:lang w:val="en-US"/>
        </w:rPr>
        <w:t xml:space="preserve">(Hiscock et al., 2003). According to a study conducted in Scotland on 6500 adults, moisture problems, noise, crime and vandalism, </w:t>
      </w:r>
      <w:r>
        <w:rPr>
          <w:lang w:val="en-US"/>
        </w:rPr>
        <w:t>are</w:t>
      </w:r>
      <w:r w:rsidRPr="00C465B7">
        <w:rPr>
          <w:lang w:val="en-US"/>
        </w:rPr>
        <w:t xml:space="preserve"> </w:t>
      </w:r>
      <w:r>
        <w:rPr>
          <w:lang w:val="en-US"/>
        </w:rPr>
        <w:t xml:space="preserve">more </w:t>
      </w:r>
      <w:r w:rsidRPr="00C465B7">
        <w:rPr>
          <w:lang w:val="en-US"/>
        </w:rPr>
        <w:t xml:space="preserve">recurrent in rentals, particularly social rentals (Macintyre et al., 2003) and definitely </w:t>
      </w:r>
      <w:r>
        <w:rPr>
          <w:lang w:val="en-US"/>
        </w:rPr>
        <w:t>deteriorates</w:t>
      </w:r>
      <w:r w:rsidRPr="00C465B7">
        <w:rPr>
          <w:lang w:val="en-US"/>
        </w:rPr>
        <w:t xml:space="preserve"> well-being.</w:t>
      </w:r>
      <w:r>
        <w:rPr>
          <w:lang w:val="en-US"/>
        </w:rPr>
        <w:t xml:space="preserve"> The composition factor of the two sub-populations can also interferer. On average</w:t>
      </w:r>
      <w:r w:rsidRPr="00C465B7">
        <w:rPr>
          <w:lang w:val="en-US"/>
        </w:rPr>
        <w:t xml:space="preserve">, tenants are older, and </w:t>
      </w:r>
      <w:r>
        <w:rPr>
          <w:lang w:val="en-US"/>
        </w:rPr>
        <w:t xml:space="preserve">more often </w:t>
      </w:r>
      <w:r w:rsidRPr="00C465B7">
        <w:rPr>
          <w:lang w:val="en-US"/>
        </w:rPr>
        <w:t>single, which are characteristics conducive to a less favorable state of health</w:t>
      </w:r>
      <w:r>
        <w:rPr>
          <w:lang w:val="en-US"/>
        </w:rPr>
        <w:t xml:space="preserve"> </w:t>
      </w:r>
      <w:r w:rsidRPr="00C465B7">
        <w:rPr>
          <w:lang w:val="en-US"/>
        </w:rPr>
        <w:t>(Hiscock et al., 2003)</w:t>
      </w:r>
      <w:r>
        <w:rPr>
          <w:lang w:val="en-US"/>
        </w:rPr>
        <w:t xml:space="preserve">. </w:t>
      </w:r>
    </w:p>
    <w:p w:rsidR="005E2D6E" w:rsidRPr="00794E86" w:rsidRDefault="005E2D6E" w:rsidP="005E2D6E">
      <w:pPr>
        <w:pStyle w:val="Paragraph"/>
        <w:ind w:firstLine="708"/>
        <w:jc w:val="both"/>
        <w:rPr>
          <w:lang w:val="en-US"/>
        </w:rPr>
      </w:pPr>
      <w:r w:rsidRPr="001C602B">
        <w:rPr>
          <w:lang w:val="en-US"/>
        </w:rPr>
        <w:t xml:space="preserve">Ownership, when financially assumed without too much difficulty, affects the well-being (Herbet, Belsky, 2008). First, the owner can modify </w:t>
      </w:r>
      <w:r>
        <w:rPr>
          <w:lang w:val="en-US"/>
        </w:rPr>
        <w:t>their</w:t>
      </w:r>
      <w:r w:rsidRPr="001C602B">
        <w:rPr>
          <w:lang w:val="en-US"/>
        </w:rPr>
        <w:t xml:space="preserve"> </w:t>
      </w:r>
      <w:r>
        <w:rPr>
          <w:lang w:val="en-US"/>
        </w:rPr>
        <w:t>accommodation</w:t>
      </w:r>
      <w:r w:rsidRPr="001C602B">
        <w:rPr>
          <w:lang w:val="en-US"/>
        </w:rPr>
        <w:t xml:space="preserve"> and improve its equipment and structures</w:t>
      </w:r>
      <w:r>
        <w:rPr>
          <w:lang w:val="en-US"/>
        </w:rPr>
        <w:t xml:space="preserve"> </w:t>
      </w:r>
      <w:r w:rsidRPr="001C602B">
        <w:rPr>
          <w:lang w:val="en-US"/>
        </w:rPr>
        <w:t xml:space="preserve">as </w:t>
      </w:r>
      <w:r>
        <w:rPr>
          <w:lang w:val="en-US"/>
        </w:rPr>
        <w:t>they</w:t>
      </w:r>
      <w:r w:rsidRPr="001C602B">
        <w:rPr>
          <w:lang w:val="en-US"/>
        </w:rPr>
        <w:t xml:space="preserve"> </w:t>
      </w:r>
      <w:r>
        <w:rPr>
          <w:lang w:val="en-US"/>
        </w:rPr>
        <w:t>will</w:t>
      </w:r>
      <w:r w:rsidRPr="001C602B">
        <w:rPr>
          <w:lang w:val="en-US"/>
        </w:rPr>
        <w:t xml:space="preserve"> (Herbet, Belsky, 2008). On the contrary, the tenant will be less likely to </w:t>
      </w:r>
      <w:r>
        <w:rPr>
          <w:lang w:val="en-US"/>
        </w:rPr>
        <w:t>complete</w:t>
      </w:r>
      <w:r w:rsidRPr="001C602B">
        <w:rPr>
          <w:lang w:val="en-US"/>
        </w:rPr>
        <w:t xml:space="preserve"> </w:t>
      </w:r>
      <w:r>
        <w:rPr>
          <w:lang w:val="en-US"/>
        </w:rPr>
        <w:t>home renovations or maintenance</w:t>
      </w:r>
      <w:r w:rsidRPr="001C602B">
        <w:rPr>
          <w:lang w:val="en-US"/>
        </w:rPr>
        <w:t xml:space="preserve">, either because </w:t>
      </w:r>
      <w:r>
        <w:rPr>
          <w:lang w:val="en-US"/>
        </w:rPr>
        <w:t>they</w:t>
      </w:r>
      <w:r w:rsidRPr="001C602B">
        <w:rPr>
          <w:lang w:val="en-US"/>
        </w:rPr>
        <w:t xml:space="preserve"> w</w:t>
      </w:r>
      <w:r>
        <w:rPr>
          <w:lang w:val="en-US"/>
        </w:rPr>
        <w:t>ill</w:t>
      </w:r>
      <w:r w:rsidRPr="001C602B">
        <w:rPr>
          <w:lang w:val="en-US"/>
        </w:rPr>
        <w:t xml:space="preserve"> not be authorized to do so, or because </w:t>
      </w:r>
      <w:r>
        <w:rPr>
          <w:lang w:val="en-US"/>
        </w:rPr>
        <w:t>they</w:t>
      </w:r>
      <w:r w:rsidRPr="001C602B">
        <w:rPr>
          <w:lang w:val="en-US"/>
        </w:rPr>
        <w:t xml:space="preserve"> will not wish to carry out </w:t>
      </w:r>
      <w:r>
        <w:rPr>
          <w:lang w:val="en-US"/>
        </w:rPr>
        <w:t>work</w:t>
      </w:r>
      <w:r w:rsidRPr="001C602B">
        <w:rPr>
          <w:lang w:val="en-US"/>
        </w:rPr>
        <w:t xml:space="preserve"> at </w:t>
      </w:r>
      <w:r>
        <w:rPr>
          <w:lang w:val="en-US"/>
        </w:rPr>
        <w:t>their</w:t>
      </w:r>
      <w:r w:rsidRPr="001C602B">
        <w:rPr>
          <w:lang w:val="en-US"/>
        </w:rPr>
        <w:t xml:space="preserve"> own expense</w:t>
      </w:r>
      <w:r>
        <w:rPr>
          <w:lang w:val="en-US"/>
        </w:rPr>
        <w:t xml:space="preserve"> and </w:t>
      </w:r>
      <w:r w:rsidRPr="001C602B">
        <w:rPr>
          <w:lang w:val="en-US"/>
        </w:rPr>
        <w:t xml:space="preserve">for a dwelling that may only be temporary. A tenant will also fear a rent increase </w:t>
      </w:r>
      <w:r>
        <w:rPr>
          <w:lang w:val="en-US"/>
        </w:rPr>
        <w:t>subsequent to</w:t>
      </w:r>
      <w:r w:rsidRPr="001C602B">
        <w:rPr>
          <w:lang w:val="en-US"/>
        </w:rPr>
        <w:t xml:space="preserve"> a renovation of </w:t>
      </w:r>
      <w:r>
        <w:rPr>
          <w:lang w:val="en-US"/>
        </w:rPr>
        <w:t>the</w:t>
      </w:r>
      <w:r w:rsidRPr="001C602B">
        <w:rPr>
          <w:lang w:val="en-US"/>
        </w:rPr>
        <w:t xml:space="preserve"> </w:t>
      </w:r>
      <w:r>
        <w:rPr>
          <w:lang w:val="en-US"/>
        </w:rPr>
        <w:t>accommodation</w:t>
      </w:r>
      <w:r w:rsidRPr="001C602B">
        <w:rPr>
          <w:lang w:val="en-US"/>
        </w:rPr>
        <w:t xml:space="preserve">. In addition, property provides security and a sense of </w:t>
      </w:r>
      <w:r w:rsidRPr="001C602B">
        <w:rPr>
          <w:lang w:val="en-US"/>
        </w:rPr>
        <w:lastRenderedPageBreak/>
        <w:t xml:space="preserve">control and attachment to </w:t>
      </w:r>
      <w:r>
        <w:rPr>
          <w:lang w:val="en-US"/>
        </w:rPr>
        <w:t xml:space="preserve">the </w:t>
      </w:r>
      <w:r w:rsidRPr="001C602B">
        <w:rPr>
          <w:lang w:val="en-US"/>
        </w:rPr>
        <w:t>place</w:t>
      </w:r>
      <w:r>
        <w:rPr>
          <w:lang w:val="en-US"/>
        </w:rPr>
        <w:t xml:space="preserve">, which </w:t>
      </w:r>
      <w:r w:rsidRPr="001C602B">
        <w:rPr>
          <w:lang w:val="en-US"/>
        </w:rPr>
        <w:t>optimizes a person's well-being (Lawrence, 1998; Bernard, 1998</w:t>
      </w:r>
      <w:r>
        <w:rPr>
          <w:lang w:val="en-US"/>
        </w:rPr>
        <w:t>; Hiscock et al., 2003; Macintyre et al, 1998</w:t>
      </w:r>
      <w:r w:rsidRPr="001C602B">
        <w:rPr>
          <w:lang w:val="en-US"/>
        </w:rPr>
        <w:t>). Finally, rent</w:t>
      </w:r>
      <w:r>
        <w:rPr>
          <w:lang w:val="en-US"/>
        </w:rPr>
        <w:t>ing</w:t>
      </w:r>
      <w:r w:rsidRPr="001C602B">
        <w:rPr>
          <w:lang w:val="en-US"/>
        </w:rPr>
        <w:t xml:space="preserve"> is often accompanied by a sense of social devaluation and stigmatization, especially in the public sector. This can lead to social withdrawal and marginalization (Lawrence, 1998).</w:t>
      </w:r>
      <w:r w:rsidRPr="008E5649">
        <w:t xml:space="preserve"> </w:t>
      </w:r>
    </w:p>
    <w:p w:rsidR="005E2D6E" w:rsidRDefault="005E2D6E" w:rsidP="005E2D6E">
      <w:pPr>
        <w:pStyle w:val="Paragraph"/>
        <w:ind w:firstLine="708"/>
        <w:jc w:val="both"/>
      </w:pPr>
      <w:r>
        <w:t xml:space="preserve">A third hypothesis in this research claims that tenants face higher mortality rates and shorter life expectancies than homeowners. </w:t>
      </w:r>
    </w:p>
    <w:p w:rsidR="005E2D6E" w:rsidRPr="005B4A05"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Housing conditions: a socioeconomic proxy and an immediate factor</w:t>
      </w:r>
    </w:p>
    <w:p w:rsidR="005E2D6E" w:rsidRDefault="005E2D6E" w:rsidP="005E2D6E">
      <w:pPr>
        <w:pStyle w:val="Paragraph"/>
        <w:jc w:val="both"/>
        <w:rPr>
          <w:lang w:val="en-US"/>
        </w:rPr>
      </w:pPr>
      <w:r w:rsidRPr="001C602B">
        <w:rPr>
          <w:lang w:val="en-US"/>
        </w:rPr>
        <w:t>Socio-economic level</w:t>
      </w:r>
      <w:r>
        <w:rPr>
          <w:lang w:val="en-US"/>
        </w:rPr>
        <w:t xml:space="preserve"> impacts both mortality trends and housing conditions</w:t>
      </w:r>
      <w:r w:rsidRPr="001C602B">
        <w:rPr>
          <w:lang w:val="en-US"/>
        </w:rPr>
        <w:t>.</w:t>
      </w:r>
      <w:r>
        <w:rPr>
          <w:lang w:val="en-US"/>
        </w:rPr>
        <w:t xml:space="preserve"> T</w:t>
      </w:r>
      <w:r w:rsidRPr="001C602B">
        <w:rPr>
          <w:lang w:val="en-US"/>
        </w:rPr>
        <w:t xml:space="preserve">he quality of food, leisure, goods and services available to the household, as well as access to health care, depend on </w:t>
      </w:r>
      <w:r>
        <w:rPr>
          <w:lang w:val="en-US"/>
        </w:rPr>
        <w:t xml:space="preserve">the level of income which is </w:t>
      </w:r>
      <w:r w:rsidRPr="001C602B">
        <w:rPr>
          <w:lang w:val="en-US"/>
        </w:rPr>
        <w:t>often correlated with education</w:t>
      </w:r>
      <w:r>
        <w:rPr>
          <w:lang w:val="en-US"/>
        </w:rPr>
        <w:t>al</w:t>
      </w:r>
      <w:r w:rsidRPr="001C602B">
        <w:rPr>
          <w:lang w:val="en-US"/>
        </w:rPr>
        <w:t xml:space="preserve"> level, which in turn is representative of people's habits and attitudes </w:t>
      </w:r>
      <w:r>
        <w:rPr>
          <w:lang w:val="en-US"/>
        </w:rPr>
        <w:t xml:space="preserve">and of </w:t>
      </w:r>
      <w:r w:rsidRPr="001C602B">
        <w:rPr>
          <w:lang w:val="en-US"/>
        </w:rPr>
        <w:t xml:space="preserve">their level of information about the </w:t>
      </w:r>
      <w:r>
        <w:rPr>
          <w:lang w:val="en-US"/>
        </w:rPr>
        <w:t xml:space="preserve">best </w:t>
      </w:r>
      <w:r w:rsidRPr="001C602B">
        <w:rPr>
          <w:lang w:val="en-US"/>
        </w:rPr>
        <w:t xml:space="preserve">practices </w:t>
      </w:r>
      <w:r>
        <w:rPr>
          <w:lang w:val="en-US"/>
        </w:rPr>
        <w:t>for an optimal</w:t>
      </w:r>
      <w:r w:rsidRPr="001C602B">
        <w:rPr>
          <w:lang w:val="en-US"/>
        </w:rPr>
        <w:t xml:space="preserve"> health status and life expectancy. Studies in Belgium can confirm that the most educated are </w:t>
      </w:r>
      <w:r>
        <w:rPr>
          <w:lang w:val="en-US"/>
        </w:rPr>
        <w:t>not only</w:t>
      </w:r>
      <w:r w:rsidRPr="001C602B">
        <w:rPr>
          <w:lang w:val="en-US"/>
        </w:rPr>
        <w:t xml:space="preserve"> those with the </w:t>
      </w:r>
      <w:r>
        <w:rPr>
          <w:lang w:val="en-US"/>
        </w:rPr>
        <w:t>highest</w:t>
      </w:r>
      <w:r w:rsidRPr="001C602B">
        <w:rPr>
          <w:lang w:val="en-US"/>
        </w:rPr>
        <w:t xml:space="preserve"> life expectancy</w:t>
      </w:r>
      <w:r>
        <w:rPr>
          <w:lang w:val="en-US"/>
        </w:rPr>
        <w:t xml:space="preserve"> of the population but also those with</w:t>
      </w:r>
      <w:r w:rsidRPr="001C602B">
        <w:rPr>
          <w:lang w:val="en-US"/>
        </w:rPr>
        <w:t xml:space="preserve"> the highest increase</w:t>
      </w:r>
      <w:r>
        <w:rPr>
          <w:lang w:val="en-US"/>
        </w:rPr>
        <w:t xml:space="preserve"> of life expectancy</w:t>
      </w:r>
      <w:r w:rsidRPr="001C602B">
        <w:rPr>
          <w:lang w:val="en-US"/>
        </w:rPr>
        <w:t xml:space="preserve"> in recent decades (Deboosere, Gadeyne, Van Oyen, 2009). The occupational category is also an indicator of housing options and health status. Unemployment is an important factor in the deterioration of physical health, but also mental well-being (Mesrine, 2000; Gadeyne, 2006). Among the employed, </w:t>
      </w:r>
      <w:r>
        <w:rPr>
          <w:lang w:val="en-US"/>
        </w:rPr>
        <w:t xml:space="preserve">manual </w:t>
      </w:r>
      <w:r w:rsidRPr="001C602B">
        <w:rPr>
          <w:lang w:val="en-US"/>
        </w:rPr>
        <w:t>workers</w:t>
      </w:r>
      <w:r>
        <w:rPr>
          <w:lang w:val="en-US"/>
        </w:rPr>
        <w:t xml:space="preserve"> - </w:t>
      </w:r>
      <w:r w:rsidRPr="001C602B">
        <w:rPr>
          <w:lang w:val="en-US"/>
        </w:rPr>
        <w:t>with more dangerous working conditions and low valuation</w:t>
      </w:r>
      <w:r>
        <w:rPr>
          <w:lang w:val="en-US"/>
        </w:rPr>
        <w:t xml:space="preserve"> - </w:t>
      </w:r>
      <w:r w:rsidRPr="001C602B">
        <w:rPr>
          <w:lang w:val="en-US"/>
        </w:rPr>
        <w:t xml:space="preserve">suffer most from early mortality (Ravesteijn et al., 2013). Even if the socio-professional category is an estimate of a certain level of income, this variable remains imprecise and silent regarding the professional career as a whole, and its transitions. Similarly, terms such as "unemployed" or "retired" do not reflect the economic reality of a person according to </w:t>
      </w:r>
      <w:r>
        <w:rPr>
          <w:lang w:val="en-US"/>
        </w:rPr>
        <w:t>their</w:t>
      </w:r>
      <w:r w:rsidRPr="001C602B">
        <w:rPr>
          <w:lang w:val="en-US"/>
        </w:rPr>
        <w:t xml:space="preserve"> previous activity, and </w:t>
      </w:r>
      <w:r>
        <w:rPr>
          <w:lang w:val="en-US"/>
        </w:rPr>
        <w:t>their</w:t>
      </w:r>
      <w:r w:rsidRPr="001C602B">
        <w:rPr>
          <w:lang w:val="en-US"/>
        </w:rPr>
        <w:t xml:space="preserve"> possibilities to rebound more or less easily. </w:t>
      </w:r>
    </w:p>
    <w:p w:rsidR="005E2D6E" w:rsidRDefault="005E2D6E" w:rsidP="005E2D6E">
      <w:pPr>
        <w:pStyle w:val="Paragraph"/>
        <w:ind w:firstLine="708"/>
        <w:jc w:val="both"/>
        <w:rPr>
          <w:lang w:val="en-US"/>
        </w:rPr>
      </w:pPr>
      <w:r>
        <w:rPr>
          <w:lang w:val="en-US"/>
        </w:rPr>
        <w:t xml:space="preserve">Similarly, the socioeconomic situation conditions the access to a good quality housing </w:t>
      </w:r>
      <w:r>
        <w:rPr>
          <w:lang w:val="en-US"/>
        </w:rPr>
        <w:lastRenderedPageBreak/>
        <w:t xml:space="preserve">and to homeownership, through the income and the professional occupation. While housing quality and housing tenure clearly impacts the health status and life expectancy of individuals, the question of the interaction of other socioeconomic factors arises. </w:t>
      </w:r>
      <w:r w:rsidRPr="008E5649">
        <w:rPr>
          <w:lang w:val="en-US"/>
        </w:rPr>
        <w:t>The contribution of this research is to show the impact of housing conditions on life expectancy in Belgium and their evolution between 1991 and 2016, as well as to estimate their net impact on mortality, regardless of individual characteristics.</w:t>
      </w:r>
      <w:r>
        <w:rPr>
          <w:lang w:val="en-US"/>
        </w:rPr>
        <w:t xml:space="preserve"> </w:t>
      </w:r>
    </w:p>
    <w:p w:rsidR="005E2D6E" w:rsidRPr="00455480" w:rsidRDefault="005E2D6E" w:rsidP="005E2D6E">
      <w:pPr>
        <w:pStyle w:val="Paragraph"/>
        <w:ind w:firstLine="708"/>
        <w:jc w:val="both"/>
      </w:pPr>
      <w:r>
        <w:rPr>
          <w:lang w:val="en-US"/>
        </w:rPr>
        <w:t>As a fourth and last hypothesis, this research assumes that h</w:t>
      </w:r>
      <w:r w:rsidRPr="00455480">
        <w:rPr>
          <w:lang w:val="en-US"/>
        </w:rPr>
        <w:t>ousing conditions have their own impact on mortality that persists after controlling for socioeconomics background (education, socio-professional category, income)</w:t>
      </w:r>
      <w:r>
        <w:rPr>
          <w:lang w:val="en-US"/>
        </w:rPr>
        <w:t>.</w:t>
      </w:r>
    </w:p>
    <w:p w:rsidR="005E2D6E" w:rsidRPr="008E5649" w:rsidRDefault="005E2D6E" w:rsidP="005E2D6E">
      <w:pPr>
        <w:rPr>
          <w:lang w:val="en-US" w:eastAsia="en-GB"/>
        </w:rPr>
      </w:pPr>
    </w:p>
    <w:p w:rsidR="005E2D6E" w:rsidRDefault="005E2D6E" w:rsidP="005E2D6E">
      <w:pPr>
        <w:pStyle w:val="Titre1"/>
      </w:pPr>
      <w:r>
        <w:t>Data and method</w:t>
      </w:r>
    </w:p>
    <w:p w:rsidR="005E2D6E" w:rsidRPr="008E5649"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A linkage of Register and Census Data</w:t>
      </w:r>
    </w:p>
    <w:p w:rsidR="005E2D6E" w:rsidRDefault="005E2D6E" w:rsidP="005E2D6E">
      <w:pPr>
        <w:pStyle w:val="Paragraph"/>
        <w:jc w:val="both"/>
      </w:pPr>
      <w:r>
        <w:t>This research data are the result of the</w:t>
      </w:r>
      <w:r w:rsidRPr="00683493">
        <w:t xml:space="preserve"> coupling of the </w:t>
      </w:r>
      <w:r>
        <w:t xml:space="preserve">population census of </w:t>
      </w:r>
      <w:r w:rsidRPr="00683493">
        <w:t>1991, 2001 and 2011 and the National Register. They cover the entire population of Belgium over three periods (199</w:t>
      </w:r>
      <w:r>
        <w:t>2</w:t>
      </w:r>
      <w:r w:rsidRPr="00683493">
        <w:t>-1996, 200</w:t>
      </w:r>
      <w:r>
        <w:t>2</w:t>
      </w:r>
      <w:r w:rsidRPr="00683493">
        <w:t>-2006, 2011-201</w:t>
      </w:r>
      <w:r>
        <w:t>5</w:t>
      </w:r>
      <w:r w:rsidRPr="00683493">
        <w:t>), i.e. 25 years of observation. The censuses will provide access to data related to housing</w:t>
      </w:r>
      <w:r>
        <w:t xml:space="preserve"> – quality and tenure -</w:t>
      </w:r>
      <w:r w:rsidRPr="00683493">
        <w:t xml:space="preserve"> and socio-economic characteristics on the dates of each of the censuses (1991, 2001 and 2011). The National Register provides information related to deaths that occurred within 5 years after each census (1992-1996, 2002-2006, 2012-2016) and demographic data at the time of death, such as household type, age, sex, marital status, nationality, region of residence. The two </w:t>
      </w:r>
      <w:r>
        <w:t>databases</w:t>
      </w:r>
      <w:r w:rsidRPr="00683493">
        <w:t xml:space="preserve"> have the main </w:t>
      </w:r>
      <w:r>
        <w:t>advantage</w:t>
      </w:r>
      <w:r w:rsidRPr="00683493">
        <w:t xml:space="preserve"> of covering the entire </w:t>
      </w:r>
      <w:r>
        <w:t>“legal”</w:t>
      </w:r>
      <w:r w:rsidRPr="00683493">
        <w:t xml:space="preserve"> population, thus excluding people in an irregular situation or asylum seekers. It should be noted that migration is </w:t>
      </w:r>
      <w:r>
        <w:t>considered</w:t>
      </w:r>
      <w:r w:rsidRPr="00683493">
        <w:t xml:space="preserve"> in the calculation of life expectancies: mortality rates use mid-period</w:t>
      </w:r>
      <w:r>
        <w:t xml:space="preserve"> populations</w:t>
      </w:r>
      <w:r w:rsidRPr="00683493">
        <w:t xml:space="preserve">. In the multivariate analysis, this is not the case. Anyone who arrived after the census is not retained in the population, and the mortality of </w:t>
      </w:r>
      <w:r w:rsidRPr="00683493">
        <w:lastRenderedPageBreak/>
        <w:t xml:space="preserve">emigrants within 5 years after the census is not counted.  </w:t>
      </w:r>
    </w:p>
    <w:p w:rsidR="005E2D6E" w:rsidRPr="003D6832"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sidRPr="003D6832">
        <w:rPr>
          <w:rFonts w:ascii="Times New Roman" w:eastAsia="Times New Roman" w:hAnsi="Times New Roman" w:cs="Arial"/>
          <w:b/>
          <w:bCs/>
          <w:i/>
          <w:iCs/>
          <w:sz w:val="24"/>
          <w:szCs w:val="28"/>
          <w:lang w:val="en-GB" w:eastAsia="en-GB"/>
        </w:rPr>
        <w:t>H</w:t>
      </w:r>
      <w:r>
        <w:rPr>
          <w:rFonts w:ascii="Times New Roman" w:eastAsia="Times New Roman" w:hAnsi="Times New Roman" w:cs="Arial"/>
          <w:b/>
          <w:bCs/>
          <w:i/>
          <w:iCs/>
          <w:sz w:val="24"/>
          <w:szCs w:val="28"/>
          <w:lang w:val="en-GB" w:eastAsia="en-GB"/>
        </w:rPr>
        <w:t>ow to measure housing conditions</w:t>
      </w:r>
    </w:p>
    <w:p w:rsidR="005E2D6E" w:rsidRDefault="005E2D6E" w:rsidP="005E2D6E">
      <w:pPr>
        <w:pStyle w:val="Paragraph"/>
        <w:jc w:val="both"/>
      </w:pPr>
      <w:r w:rsidRPr="00206392">
        <w:t>In order to assess the overall quality of housing conditions</w:t>
      </w:r>
      <w:r>
        <w:t xml:space="preserve"> in Belgium</w:t>
      </w:r>
      <w:r w:rsidRPr="00206392">
        <w:t xml:space="preserve">, a composite variable was created (Eggerickx et al., 2018 - A). Its purpose is to give each </w:t>
      </w:r>
      <w:r>
        <w:t>individual</w:t>
      </w:r>
      <w:r w:rsidRPr="00206392">
        <w:t xml:space="preserve"> a score out of 4, relating to different elements that come into play in housing: occupancy status of the dwelling, presence of a bathroom, central heating, separate kitchen, double glazing, garage, but also the type of dwelling and occupancy density of the dwelling. </w:t>
      </w:r>
      <w:r w:rsidRPr="000B5B4C">
        <w:t>In the 1991 census, the housing score also included the presence of a fixed telephone line, which no longer makes sense since the advent of mobile telephony (Eggerickx et al., 2018 - A).</w:t>
      </w:r>
      <w:r>
        <w:t xml:space="preserve"> As the score was far from a regular distribution among the population (see Appendix 1), the creation of a categorisation was necessary. Two types of division of this score were carried out, following two different objectives.</w:t>
      </w:r>
    </w:p>
    <w:p w:rsidR="005E2D6E" w:rsidRDefault="005E2D6E" w:rsidP="005E2D6E">
      <w:pPr>
        <w:pStyle w:val="Paragraph"/>
        <w:ind w:firstLine="708"/>
        <w:jc w:val="both"/>
      </w:pPr>
      <w:r>
        <w:t xml:space="preserve">The first division aimed at drawing a meaningful distinction between the poor-quality housing and the high-quality housing and at describing the characteristics of the population living in poor quality housing and was also used in the multivariate analysis, to assess situations based on experiences instead of statistical issues, like quartiles do. Three categories were defined: poor housing (score under 2,2 out of 4, gathering the first decile of the population according to housing score), intermediate housing quality (score between 2,2 and 3 included) and high-quality housing (score over 3 out of 4). </w:t>
      </w:r>
    </w:p>
    <w:p w:rsidR="005E2D6E" w:rsidRDefault="005E2D6E" w:rsidP="005E2D6E">
      <w:pPr>
        <w:pStyle w:val="Paragraph"/>
        <w:ind w:firstLine="708"/>
        <w:jc w:val="both"/>
      </w:pPr>
      <w:r>
        <w:t xml:space="preserve">The second division into quartiles was defined to keep equal numbers of population between categories and across time. This was used for life tables analysis and comparison between the 1992-1996 and 2011-2015 periods. As the demographic and socioeconomic conditions differed between the two extreme quartiles and could not be controlled, distinguishing a very disadvantaged population meant taking the risk to consider a very </w:t>
      </w:r>
      <w:r>
        <w:lastRenderedPageBreak/>
        <w:t xml:space="preserve">marginalised and particular population. </w:t>
      </w:r>
    </w:p>
    <w:p w:rsidR="005E2D6E" w:rsidRPr="00601439" w:rsidRDefault="005E2D6E" w:rsidP="005E2D6E">
      <w:pPr>
        <w:pStyle w:val="Paragraph"/>
        <w:ind w:firstLine="708"/>
        <w:jc w:val="both"/>
      </w:pPr>
      <w:r>
        <w:rPr>
          <w:lang w:val="en-US"/>
        </w:rPr>
        <w:t>Housing tenure holds a special place among housing conditions variables</w:t>
      </w:r>
      <w:r w:rsidRPr="000B5B4C">
        <w:rPr>
          <w:lang w:val="en-US"/>
        </w:rPr>
        <w:t xml:space="preserve">. It indicates whether the dwelling is inhabited under a lease or </w:t>
      </w:r>
      <w:r>
        <w:rPr>
          <w:lang w:val="en-US"/>
        </w:rPr>
        <w:t>a property title and it is the same for all the members of the household</w:t>
      </w:r>
      <w:r w:rsidRPr="000B5B4C">
        <w:rPr>
          <w:lang w:val="en-US"/>
        </w:rPr>
        <w:t xml:space="preserve">. </w:t>
      </w:r>
      <w:r>
        <w:rPr>
          <w:lang w:val="en-US"/>
        </w:rPr>
        <w:t>Renting one’s accommodation</w:t>
      </w:r>
      <w:r w:rsidRPr="000B5B4C">
        <w:rPr>
          <w:lang w:val="en-US"/>
        </w:rPr>
        <w:t xml:space="preserve"> can refer to two types of situations: private rental or public rental of social housing. The latter category provides access to affordable, capped and market-independent housing for low-income households (Ghekière, 2008). People living in free housing have been counted as tenants, due to their low representation in the population</w:t>
      </w:r>
      <w:r>
        <w:rPr>
          <w:lang w:val="en-US"/>
        </w:rPr>
        <w:t xml:space="preserve"> – for example,</w:t>
      </w:r>
      <w:r w:rsidRPr="000B5B4C">
        <w:rPr>
          <w:lang w:val="en-US"/>
        </w:rPr>
        <w:t xml:space="preserve"> less than 2% in 2001 (Vanneste, Thomas, Goossens, 2007).</w:t>
      </w:r>
    </w:p>
    <w:p w:rsidR="005E2D6E" w:rsidRPr="008E5649"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Descriptive analysis and life tables</w:t>
      </w:r>
    </w:p>
    <w:p w:rsidR="005E2D6E" w:rsidRDefault="005E2D6E" w:rsidP="005E2D6E">
      <w:pPr>
        <w:pStyle w:val="Paragraph"/>
        <w:jc w:val="both"/>
      </w:pPr>
      <w:r w:rsidRPr="00A30762">
        <w:t xml:space="preserve">This article will aim at showing the net impact of lower housing conditions on mortality in Belgium. </w:t>
      </w:r>
      <w:r w:rsidRPr="00930D29">
        <w:t xml:space="preserve">First, a </w:t>
      </w:r>
      <w:r>
        <w:t>demographic and socioeconomic</w:t>
      </w:r>
      <w:r w:rsidRPr="00930D29">
        <w:t xml:space="preserve"> portrait of the populations</w:t>
      </w:r>
      <w:r>
        <w:t xml:space="preserve"> living in poor housing conditions</w:t>
      </w:r>
      <w:r w:rsidRPr="00930D29">
        <w:t xml:space="preserve"> </w:t>
      </w:r>
      <w:r>
        <w:t>and of the</w:t>
      </w:r>
      <w:r w:rsidRPr="00930D29">
        <w:t xml:space="preserve"> tenants will be drawn up. </w:t>
      </w:r>
      <w:r>
        <w:t xml:space="preserve">This description of the housing-wise disadvantaged population according to those characteristics had never been done before in Belgium. A comparison between the 1992-1996 and 2011-2015 periods were carried out. The exclusion of the 2002-2006 is mainly due to high non-response levels. Three types of covariates are included in the analyses. The presence of a bathroom (Yes or No), of central heating (Yes or No) and the density of occupation (divided in eight categories of area per occupant) of the housing represent some aspects of the housing quality. Individuals’ demographics are also considered, such as age, sex, nationality (Belgian, other European, non-European), and household composition (Married With, or Without child, Cohabitants With, or Without child, Single-parents, One-person household and Collective habitat). The region of residence also distinguished the three Belgian regions: Wallonia, Flanders and Brussels. Finally, the socioeconomic characteristics included the educational attainment (Primary, Secondary, Higher </w:t>
      </w:r>
      <w:r>
        <w:lastRenderedPageBreak/>
        <w:t xml:space="preserve">education) and the socioprofessional categories (Unemployed, Retired or inactive, Manual worker, Independent, Employees of Private sector or Public sector) of the adults over 18. </w:t>
      </w:r>
    </w:p>
    <w:p w:rsidR="005E2D6E" w:rsidRPr="00AA41C8" w:rsidRDefault="005E2D6E" w:rsidP="005E2D6E">
      <w:pPr>
        <w:pStyle w:val="Paragraph"/>
        <w:ind w:firstLine="708"/>
        <w:jc w:val="both"/>
      </w:pPr>
      <w:r w:rsidRPr="00930D29">
        <w:rPr>
          <w:lang w:val="en-US"/>
        </w:rPr>
        <w:t xml:space="preserve">Then, the construction of </w:t>
      </w:r>
      <w:r>
        <w:rPr>
          <w:lang w:val="en-US"/>
        </w:rPr>
        <w:t>life</w:t>
      </w:r>
      <w:r w:rsidRPr="00930D29">
        <w:rPr>
          <w:lang w:val="en-US"/>
        </w:rPr>
        <w:t xml:space="preserve"> tables based on housing conditions allow</w:t>
      </w:r>
      <w:r>
        <w:rPr>
          <w:lang w:val="en-US"/>
        </w:rPr>
        <w:t xml:space="preserve">ed life expectancy comparisons. </w:t>
      </w:r>
      <w:r w:rsidRPr="00930D29">
        <w:rPr>
          <w:lang w:val="en-US"/>
        </w:rPr>
        <w:t xml:space="preserve">Based on mortality trends by age group, over the periods 1992-1996 and 2011-2015, life expectancies at birth </w:t>
      </w:r>
      <w:r>
        <w:rPr>
          <w:lang w:val="en-US"/>
        </w:rPr>
        <w:t>were calculated according to housing tenure and to housing score quartiles</w:t>
      </w:r>
      <w:r w:rsidRPr="00930D29">
        <w:rPr>
          <w:lang w:val="en-US"/>
        </w:rPr>
        <w:t xml:space="preserve">. </w:t>
      </w:r>
      <w:r>
        <w:rPr>
          <w:lang w:val="en-US"/>
        </w:rPr>
        <w:t xml:space="preserve">As the approach of the 1991 and 2011 census are more similarly constructed compared to the 2001 census, in terms of structure and selected variables, we focus especially on a comparison between the 1992-1996 and 2011-2015 periods. </w:t>
      </w:r>
      <w:r w:rsidRPr="00930D29">
        <w:rPr>
          <w:lang w:val="en-US"/>
        </w:rPr>
        <w:t xml:space="preserve">Attention will be paid to the evolution of these differentials over time, but also to the contribution of each age group to this evolution, using the Arriaga method. Meslé and Vallin (2002) </w:t>
      </w:r>
      <w:r>
        <w:rPr>
          <w:lang w:val="en-US"/>
        </w:rPr>
        <w:t>suggested</w:t>
      </w:r>
      <w:r w:rsidRPr="00930D29">
        <w:rPr>
          <w:lang w:val="en-US"/>
        </w:rPr>
        <w:t xml:space="preserve"> this method to compare the progress of various sub-populations in the health transition process. The more </w:t>
      </w:r>
      <w:r>
        <w:rPr>
          <w:lang w:val="en-US"/>
        </w:rPr>
        <w:t>older</w:t>
      </w:r>
      <w:r w:rsidRPr="00930D29">
        <w:rPr>
          <w:lang w:val="en-US"/>
        </w:rPr>
        <w:t xml:space="preserve"> age groups contributed to the overall increase in life expectancy, the more this sub-population is at the forefront of the health transition</w:t>
      </w:r>
      <w:r>
        <w:rPr>
          <w:lang w:val="en-US"/>
        </w:rPr>
        <w:t>,</w:t>
      </w:r>
      <w:r w:rsidRPr="00930D29">
        <w:rPr>
          <w:lang w:val="en-US"/>
        </w:rPr>
        <w:t xml:space="preserve"> through the postponement of deaths to old age</w:t>
      </w:r>
      <w:r>
        <w:rPr>
          <w:lang w:val="en-US"/>
        </w:rPr>
        <w:t>s</w:t>
      </w:r>
      <w:r w:rsidRPr="00930D29">
        <w:rPr>
          <w:lang w:val="en-US"/>
        </w:rPr>
        <w:t xml:space="preserve">. </w:t>
      </w:r>
    </w:p>
    <w:p w:rsidR="005E2D6E" w:rsidRDefault="005E2D6E" w:rsidP="005E2D6E">
      <w:pPr>
        <w:pStyle w:val="Paragraph"/>
      </w:pPr>
      <w:r w:rsidRPr="00930D29">
        <w:t xml:space="preserve">For example, </w:t>
      </w:r>
      <w:r>
        <w:t>if AGC [</w:t>
      </w:r>
      <w:r w:rsidRPr="005E7BFB">
        <w:rPr>
          <w:i/>
        </w:rPr>
        <w:t>x</w:t>
      </w:r>
      <w:r>
        <w:t xml:space="preserve"> ; </w:t>
      </w:r>
      <w:r w:rsidRPr="005E7BFB">
        <w:rPr>
          <w:i/>
        </w:rPr>
        <w:t>x+n</w:t>
      </w:r>
      <w:r>
        <w:t>] is the</w:t>
      </w:r>
      <w:r w:rsidRPr="00930D29">
        <w:t xml:space="preserve"> contribution of the age group</w:t>
      </w:r>
      <w:r>
        <w:t xml:space="preserve"> from </w:t>
      </w:r>
      <w:r w:rsidRPr="005E7BFB">
        <w:rPr>
          <w:i/>
        </w:rPr>
        <w:t>x</w:t>
      </w:r>
      <w:r>
        <w:t xml:space="preserve"> to </w:t>
      </w:r>
      <w:r w:rsidRPr="005E7BFB">
        <w:rPr>
          <w:i/>
        </w:rPr>
        <w:t>x+n</w:t>
      </w:r>
      <w:r>
        <w:t xml:space="preserve"> </w:t>
      </w:r>
      <w:r w:rsidRPr="00930D29">
        <w:t>to the difference in life expectancy between two categories A and B over a given period:</w:t>
      </w:r>
    </w:p>
    <w:p w:rsidR="005E2D6E" w:rsidRPr="003D6832" w:rsidRDefault="005E2D6E" w:rsidP="005E2D6E">
      <w:pPr>
        <w:jc w:val="both"/>
        <w:rPr>
          <w:rFonts w:ascii="Times New Roman" w:hAnsi="Times New Roman" w:cs="Times New Roman"/>
          <w:sz w:val="24"/>
          <w:szCs w:val="24"/>
          <w:lang w:val="en-GB"/>
        </w:rPr>
      </w:pPr>
      <m:oMathPara>
        <m:oMath>
          <m:r>
            <w:rPr>
              <w:rFonts w:ascii="Cambria Math" w:eastAsia="Times New Roman" w:hAnsi="Cambria Math" w:cs="Times New Roman"/>
              <w:sz w:val="24"/>
              <w:szCs w:val="24"/>
            </w:rPr>
            <m:t xml:space="preserve">AGC [x;x+n] </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lang w:val="en-GB"/>
                </w:rPr>
                <m:t>1</m:t>
              </m:r>
            </m:num>
            <m:den>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lang w:val="en-GB"/>
                    </w:rPr>
                    <m:t>0</m:t>
                  </m:r>
                </m:sub>
                <m:sup>
                  <m:r>
                    <w:rPr>
                      <w:rFonts w:ascii="Cambria Math" w:hAnsi="Cambria Math" w:cs="Times New Roman"/>
                      <w:sz w:val="24"/>
                      <w:szCs w:val="24"/>
                    </w:rPr>
                    <m:t>A</m:t>
                  </m:r>
                </m:sup>
              </m:sSubSup>
            </m:den>
          </m:f>
          <m:r>
            <w:rPr>
              <w:rFonts w:ascii="Cambria Math" w:hAnsi="Cambria Math" w:cs="Times New Roman"/>
              <w:sz w:val="24"/>
              <w:szCs w:val="24"/>
              <w:lang w:val="en-GB"/>
            </w:rPr>
            <m:t xml:space="preserve"> </m:t>
          </m:r>
          <m:d>
            <m:dPr>
              <m:begChr m:val="["/>
              <m:endChr m:val="]"/>
              <m:ctrlPr>
                <w:rPr>
                  <w:rFonts w:ascii="Cambria Math" w:hAnsi="Cambria Math" w:cs="Times New Roman"/>
                  <w:i/>
                  <w:sz w:val="24"/>
                  <w:szCs w:val="24"/>
                </w:rPr>
              </m:ctrlPr>
            </m:dPr>
            <m:e>
              <m:d>
                <m:dPr>
                  <m:ctrlPr>
                    <w:rPr>
                      <w:rFonts w:ascii="Cambria Math" w:hAnsi="Cambria Math" w:cs="Times New Roman"/>
                      <w:i/>
                      <w:sz w:val="24"/>
                      <w:szCs w:val="24"/>
                    </w:rPr>
                  </m:ctrlPr>
                </m:dPr>
                <m:e>
                  <m:f>
                    <m:fPr>
                      <m:ctrlPr>
                        <w:rPr>
                          <w:rFonts w:ascii="Cambria Math" w:hAnsi="Cambria Math" w:cs="Times New Roman"/>
                          <w:i/>
                          <w:sz w:val="24"/>
                          <w:szCs w:val="24"/>
                        </w:rPr>
                      </m:ctrlPr>
                    </m:fPr>
                    <m:num>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x</m:t>
                          </m:r>
                        </m:sub>
                        <m:sup>
                          <m:r>
                            <w:rPr>
                              <w:rFonts w:ascii="Cambria Math" w:hAnsi="Cambria Math" w:cs="Times New Roman"/>
                              <w:sz w:val="24"/>
                              <w:szCs w:val="24"/>
                            </w:rPr>
                            <m:t>A</m:t>
                          </m:r>
                        </m:sup>
                      </m:sSubSup>
                      <m:r>
                        <w:rPr>
                          <w:rFonts w:ascii="Cambria Math" w:hAnsi="Cambria Math" w:cs="Times New Roman"/>
                          <w:sz w:val="24"/>
                          <w:szCs w:val="24"/>
                          <w:lang w:val="en-GB"/>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l</m:t>
                          </m:r>
                        </m:e>
                        <m:sub>
                          <m:r>
                            <w:rPr>
                              <w:rFonts w:ascii="Cambria Math" w:hAnsi="Cambria Math" w:cs="Times New Roman"/>
                              <w:sz w:val="24"/>
                              <w:szCs w:val="24"/>
                            </w:rPr>
                            <m:t>x</m:t>
                          </m:r>
                        </m:sub>
                        <m:sup>
                          <m:r>
                            <w:rPr>
                              <w:rFonts w:ascii="Cambria Math" w:hAnsi="Cambria Math" w:cs="Times New Roman"/>
                              <w:sz w:val="24"/>
                              <w:szCs w:val="24"/>
                            </w:rPr>
                            <m:t>B</m:t>
                          </m:r>
                        </m:sup>
                      </m:sSubSup>
                      <m:r>
                        <w:rPr>
                          <w:rFonts w:ascii="Cambria Math" w:hAnsi="Cambria Math" w:cs="Times New Roman"/>
                          <w:sz w:val="24"/>
                          <w:szCs w:val="24"/>
                          <w:lang w:val="en-GB"/>
                        </w:rPr>
                        <m:t>)</m:t>
                      </m:r>
                    </m:num>
                    <m:den>
                      <m:r>
                        <w:rPr>
                          <w:rFonts w:ascii="Cambria Math" w:hAnsi="Cambria Math" w:cs="Times New Roman"/>
                          <w:sz w:val="24"/>
                          <w:szCs w:val="24"/>
                          <w:lang w:val="en-GB"/>
                        </w:rPr>
                        <m:t>2</m:t>
                      </m:r>
                    </m:den>
                  </m:f>
                </m:e>
              </m:d>
              <m:r>
                <w:rPr>
                  <w:rFonts w:ascii="Cambria Math" w:hAnsi="Cambria Math" w:cs="Times New Roman"/>
                  <w:sz w:val="24"/>
                  <w:szCs w:val="24"/>
                  <w:lang w:val="en-GB"/>
                </w:rPr>
                <m:t>*</m:t>
              </m:r>
              <m:d>
                <m:dPr>
                  <m:ctrlPr>
                    <w:rPr>
                      <w:rFonts w:ascii="Cambria Math" w:hAnsi="Cambria Math" w:cs="Times New Roman"/>
                      <w:i/>
                      <w:sz w:val="24"/>
                      <w:szCs w:val="24"/>
                    </w:rPr>
                  </m:ctrlPr>
                </m:dPr>
                <m:e>
                  <m:sSubSup>
                    <m:sSubSupPr>
                      <m:ctrlPr>
                        <w:rPr>
                          <w:rFonts w:ascii="Cambria Math" w:hAnsi="Cambria Math" w:cs="Times New Roman"/>
                          <w:i/>
                          <w:sz w:val="24"/>
                          <w:szCs w:val="24"/>
                        </w:rPr>
                      </m:ctrlPr>
                    </m:sSubSupPr>
                    <m:e>
                      <m:r>
                        <w:rPr>
                          <w:rFonts w:ascii="Cambria Math" w:hAnsi="Cambria Math" w:cs="Times New Roman"/>
                          <w:sz w:val="24"/>
                          <w:szCs w:val="24"/>
                        </w:rPr>
                        <m:t>e</m:t>
                      </m:r>
                    </m:e>
                    <m:sub>
                      <m:r>
                        <w:rPr>
                          <w:rFonts w:ascii="Cambria Math" w:hAnsi="Cambria Math" w:cs="Times New Roman"/>
                          <w:sz w:val="24"/>
                          <w:szCs w:val="24"/>
                        </w:rPr>
                        <m:t>x</m:t>
                      </m:r>
                    </m:sub>
                    <m:sup>
                      <m:r>
                        <w:rPr>
                          <w:rFonts w:ascii="Cambria Math" w:hAnsi="Cambria Math" w:cs="Times New Roman"/>
                          <w:sz w:val="24"/>
                          <w:szCs w:val="24"/>
                        </w:rPr>
                        <m:t>B</m:t>
                      </m:r>
                    </m:sup>
                  </m:sSubSup>
                  <m:r>
                    <w:rPr>
                      <w:rFonts w:ascii="Cambria Math" w:eastAsiaTheme="minorEastAsia" w:hAnsi="Cambria Math" w:cs="Times New Roman"/>
                      <w:sz w:val="24"/>
                      <w:szCs w:val="24"/>
                      <w:lang w:val="en-GB"/>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x</m:t>
                      </m:r>
                    </m:sub>
                    <m:sup>
                      <m:r>
                        <w:rPr>
                          <w:rFonts w:ascii="Cambria Math" w:eastAsiaTheme="minorEastAsia" w:hAnsi="Cambria Math" w:cs="Times New Roman"/>
                          <w:sz w:val="24"/>
                          <w:szCs w:val="24"/>
                        </w:rPr>
                        <m:t>A</m:t>
                      </m:r>
                    </m:sup>
                  </m:sSubSup>
                  <m:ctrlPr>
                    <w:rPr>
                      <w:rFonts w:ascii="Cambria Math" w:eastAsiaTheme="minorEastAsia" w:hAnsi="Cambria Math" w:cs="Times New Roman"/>
                      <w:i/>
                      <w:sz w:val="24"/>
                      <w:szCs w:val="24"/>
                    </w:rPr>
                  </m:ctrlPr>
                </m:e>
              </m:d>
              <m:r>
                <w:rPr>
                  <w:rFonts w:ascii="Cambria Math" w:eastAsiaTheme="minorEastAsia" w:hAnsi="Cambria Math" w:cs="Times New Roman"/>
                  <w:sz w:val="24"/>
                  <w:szCs w:val="24"/>
                  <w:lang w:val="en-GB"/>
                </w:rPr>
                <m:t>-</m:t>
              </m:r>
              <m:d>
                <m:dPr>
                  <m:ctrlPr>
                    <w:rPr>
                      <w:rFonts w:ascii="Cambria Math" w:eastAsiaTheme="minorEastAsia" w:hAnsi="Cambria Math" w:cs="Times New Roman"/>
                      <w:i/>
                      <w:sz w:val="24"/>
                      <w:szCs w:val="24"/>
                    </w:rPr>
                  </m:ctrlPr>
                </m:dPr>
                <m:e>
                  <m:f>
                    <m:fPr>
                      <m:ctrlPr>
                        <w:rPr>
                          <w:rFonts w:ascii="Cambria Math" w:eastAsiaTheme="minorEastAsia" w:hAnsi="Cambria Math" w:cs="Times New Roman"/>
                          <w:i/>
                          <w:sz w:val="24"/>
                          <w:szCs w:val="24"/>
                        </w:rPr>
                      </m:ctrlPr>
                    </m:fPr>
                    <m:num>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x</m:t>
                          </m:r>
                          <m:r>
                            <w:rPr>
                              <w:rFonts w:ascii="Cambria Math" w:eastAsiaTheme="minorEastAsia" w:hAnsi="Cambria Math" w:cs="Times New Roman"/>
                              <w:sz w:val="24"/>
                              <w:szCs w:val="24"/>
                              <w:lang w:val="en-GB"/>
                            </w:rPr>
                            <m:t>+</m:t>
                          </m:r>
                          <m:r>
                            <w:rPr>
                              <w:rFonts w:ascii="Cambria Math" w:eastAsiaTheme="minorEastAsia" w:hAnsi="Cambria Math" w:cs="Times New Roman"/>
                              <w:sz w:val="24"/>
                              <w:szCs w:val="24"/>
                            </w:rPr>
                            <m:t>n</m:t>
                          </m:r>
                        </m:sub>
                        <m:sup>
                          <m:r>
                            <w:rPr>
                              <w:rFonts w:ascii="Cambria Math" w:eastAsiaTheme="minorEastAsia" w:hAnsi="Cambria Math" w:cs="Times New Roman"/>
                              <w:sz w:val="24"/>
                              <w:szCs w:val="24"/>
                            </w:rPr>
                            <m:t>A</m:t>
                          </m:r>
                        </m:sup>
                      </m:sSubSup>
                      <m:r>
                        <w:rPr>
                          <w:rFonts w:ascii="Cambria Math" w:eastAsiaTheme="minorEastAsia" w:hAnsi="Cambria Math" w:cs="Times New Roman"/>
                          <w:sz w:val="24"/>
                          <w:szCs w:val="24"/>
                          <w:lang w:val="en-GB"/>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l</m:t>
                          </m:r>
                        </m:e>
                        <m:sub>
                          <m:r>
                            <w:rPr>
                              <w:rFonts w:ascii="Cambria Math" w:eastAsiaTheme="minorEastAsia" w:hAnsi="Cambria Math" w:cs="Times New Roman"/>
                              <w:sz w:val="24"/>
                              <w:szCs w:val="24"/>
                            </w:rPr>
                            <m:t>x</m:t>
                          </m:r>
                          <m:r>
                            <w:rPr>
                              <w:rFonts w:ascii="Cambria Math" w:eastAsiaTheme="minorEastAsia" w:hAnsi="Cambria Math" w:cs="Times New Roman"/>
                              <w:sz w:val="24"/>
                              <w:szCs w:val="24"/>
                              <w:lang w:val="en-GB"/>
                            </w:rPr>
                            <m:t>+</m:t>
                          </m:r>
                          <m:r>
                            <w:rPr>
                              <w:rFonts w:ascii="Cambria Math" w:eastAsiaTheme="minorEastAsia" w:hAnsi="Cambria Math" w:cs="Times New Roman"/>
                              <w:sz w:val="24"/>
                              <w:szCs w:val="24"/>
                            </w:rPr>
                            <m:t>n</m:t>
                          </m:r>
                        </m:sub>
                        <m:sup>
                          <m:r>
                            <w:rPr>
                              <w:rFonts w:ascii="Cambria Math" w:eastAsiaTheme="minorEastAsia" w:hAnsi="Cambria Math" w:cs="Times New Roman"/>
                              <w:sz w:val="24"/>
                              <w:szCs w:val="24"/>
                            </w:rPr>
                            <m:t>B</m:t>
                          </m:r>
                        </m:sup>
                      </m:sSubSup>
                    </m:num>
                    <m:den>
                      <m:r>
                        <w:rPr>
                          <w:rFonts w:ascii="Cambria Math" w:eastAsiaTheme="minorEastAsia" w:hAnsi="Cambria Math" w:cs="Times New Roman"/>
                          <w:sz w:val="24"/>
                          <w:szCs w:val="24"/>
                          <w:lang w:val="en-GB"/>
                        </w:rPr>
                        <m:t>2</m:t>
                      </m:r>
                    </m:den>
                  </m:f>
                </m:e>
              </m:d>
              <m:r>
                <w:rPr>
                  <w:rFonts w:ascii="Cambria Math" w:eastAsiaTheme="minorEastAsia" w:hAnsi="Cambria Math" w:cs="Times New Roman"/>
                  <w:sz w:val="24"/>
                  <w:szCs w:val="24"/>
                  <w:lang w:val="en-GB"/>
                </w:rPr>
                <m:t>*</m:t>
              </m:r>
              <m:d>
                <m:dPr>
                  <m:ctrlPr>
                    <w:rPr>
                      <w:rFonts w:ascii="Cambria Math" w:eastAsiaTheme="minorEastAsia" w:hAnsi="Cambria Math" w:cs="Times New Roman"/>
                      <w:i/>
                      <w:sz w:val="24"/>
                      <w:szCs w:val="24"/>
                    </w:rPr>
                  </m:ctrlPr>
                </m:dPr>
                <m:e>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x</m:t>
                      </m:r>
                      <m:r>
                        <w:rPr>
                          <w:rFonts w:ascii="Cambria Math" w:eastAsiaTheme="minorEastAsia" w:hAnsi="Cambria Math" w:cs="Times New Roman"/>
                          <w:sz w:val="24"/>
                          <w:szCs w:val="24"/>
                          <w:lang w:val="en-GB"/>
                        </w:rPr>
                        <m:t>+</m:t>
                      </m:r>
                      <m:r>
                        <w:rPr>
                          <w:rFonts w:ascii="Cambria Math" w:eastAsiaTheme="minorEastAsia" w:hAnsi="Cambria Math" w:cs="Times New Roman"/>
                          <w:sz w:val="24"/>
                          <w:szCs w:val="24"/>
                        </w:rPr>
                        <m:t>n</m:t>
                      </m:r>
                    </m:sub>
                    <m:sup>
                      <m:r>
                        <w:rPr>
                          <w:rFonts w:ascii="Cambria Math" w:eastAsiaTheme="minorEastAsia" w:hAnsi="Cambria Math" w:cs="Times New Roman"/>
                          <w:sz w:val="24"/>
                          <w:szCs w:val="24"/>
                        </w:rPr>
                        <m:t>B</m:t>
                      </m:r>
                    </m:sup>
                  </m:sSubSup>
                  <m:r>
                    <w:rPr>
                      <w:rFonts w:ascii="Cambria Math" w:eastAsiaTheme="minorEastAsia" w:hAnsi="Cambria Math" w:cs="Times New Roman"/>
                      <w:sz w:val="24"/>
                      <w:szCs w:val="24"/>
                      <w:lang w:val="en-GB"/>
                    </w:rPr>
                    <m:t xml:space="preserve">-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x</m:t>
                      </m:r>
                      <m:r>
                        <w:rPr>
                          <w:rFonts w:ascii="Cambria Math" w:eastAsiaTheme="minorEastAsia" w:hAnsi="Cambria Math" w:cs="Times New Roman"/>
                          <w:sz w:val="24"/>
                          <w:szCs w:val="24"/>
                          <w:lang w:val="en-GB"/>
                        </w:rPr>
                        <m:t>+</m:t>
                      </m:r>
                      <m:r>
                        <w:rPr>
                          <w:rFonts w:ascii="Cambria Math" w:eastAsiaTheme="minorEastAsia" w:hAnsi="Cambria Math" w:cs="Times New Roman"/>
                          <w:sz w:val="24"/>
                          <w:szCs w:val="24"/>
                        </w:rPr>
                        <m:t>n</m:t>
                      </m:r>
                    </m:sub>
                    <m:sup>
                      <m:r>
                        <w:rPr>
                          <w:rFonts w:ascii="Cambria Math" w:eastAsiaTheme="minorEastAsia" w:hAnsi="Cambria Math" w:cs="Times New Roman"/>
                          <w:sz w:val="24"/>
                          <w:szCs w:val="24"/>
                        </w:rPr>
                        <m:t>A</m:t>
                      </m:r>
                    </m:sup>
                  </m:sSubSup>
                </m:e>
              </m:d>
              <m:ctrlPr>
                <w:rPr>
                  <w:rFonts w:ascii="Cambria Math" w:eastAsiaTheme="minorEastAsia" w:hAnsi="Cambria Math" w:cs="Times New Roman"/>
                  <w:i/>
                  <w:sz w:val="24"/>
                  <w:szCs w:val="24"/>
                </w:rPr>
              </m:ctrlPr>
            </m:e>
          </m:d>
        </m:oMath>
      </m:oMathPara>
    </w:p>
    <w:p w:rsidR="005E2D6E" w:rsidRDefault="005E2D6E" w:rsidP="005E2D6E">
      <w:pPr>
        <w:pStyle w:val="Paragraph"/>
      </w:pPr>
      <w:r w:rsidRPr="00930D29">
        <w:t xml:space="preserve">With </w:t>
      </w:r>
      <m:oMath>
        <m:sSub>
          <m:sSubPr>
            <m:ctrlPr>
              <w:rPr>
                <w:rFonts w:ascii="Cambria Math" w:hAnsi="Cambria Math"/>
                <w:i/>
              </w:rPr>
            </m:ctrlPr>
          </m:sSubPr>
          <m:e>
            <m:r>
              <w:rPr>
                <w:rFonts w:ascii="Cambria Math" w:hAnsi="Cambria Math"/>
              </w:rPr>
              <m:t>l</m:t>
            </m:r>
          </m:e>
          <m:sub>
            <m:r>
              <w:rPr>
                <w:rFonts w:ascii="Cambria Math" w:hAnsi="Cambria Math"/>
              </w:rPr>
              <m:t>x</m:t>
            </m:r>
          </m:sub>
        </m:sSub>
      </m:oMath>
      <w:r w:rsidRPr="00930D29">
        <w:t xml:space="preserve"> the number of survivors at age x and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x</m:t>
            </m:r>
          </m:sub>
        </m:sSub>
      </m:oMath>
      <w:r w:rsidRPr="00930D29">
        <w:t xml:space="preserve"> the life expectancy at age x.</w:t>
      </w:r>
    </w:p>
    <w:p w:rsidR="005E2D6E" w:rsidRPr="008E5649"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Multivariate analysis</w:t>
      </w:r>
    </w:p>
    <w:p w:rsidR="005E2D6E" w:rsidRDefault="005E2D6E" w:rsidP="005E2D6E">
      <w:pPr>
        <w:pStyle w:val="Paragraph"/>
        <w:jc w:val="both"/>
      </w:pPr>
      <w:r w:rsidRPr="00930D29">
        <w:t xml:space="preserve">Finally, in order to determine the </w:t>
      </w:r>
      <w:r w:rsidRPr="00AA6B67">
        <w:rPr>
          <w:i/>
        </w:rPr>
        <w:t>net</w:t>
      </w:r>
      <w:r w:rsidRPr="00930D29">
        <w:t xml:space="preserve"> effect of housing characteristics on the risk of death, logistic regressions will be carried out. The dependent variable of these models will be the risk of death within 5 years after the census. </w:t>
      </w:r>
      <w:r>
        <w:t xml:space="preserve">This variable is binary and distinguishes the death (1) from the survival (0) during the three periods (1992-1996, 2002-2006, 2011-2015). </w:t>
      </w:r>
    </w:p>
    <w:p w:rsidR="005E2D6E" w:rsidRDefault="005E2D6E" w:rsidP="005E2D6E">
      <w:pPr>
        <w:spacing w:before="240" w:after="0" w:line="240" w:lineRule="auto"/>
        <w:jc w:val="both"/>
        <w:rPr>
          <w:rFonts w:ascii="Times New Roman" w:eastAsia="Times New Roman" w:hAnsi="Times New Roman" w:cs="Times New Roman"/>
          <w:color w:val="000000"/>
          <w:sz w:val="24"/>
          <w:szCs w:val="24"/>
          <w:lang w:val="en-US" w:eastAsia="fr-BE"/>
        </w:rPr>
      </w:pPr>
      <w:r>
        <w:rPr>
          <w:rFonts w:ascii="Times New Roman" w:eastAsia="Times New Roman" w:hAnsi="Times New Roman" w:cs="Times New Roman"/>
          <w:color w:val="000000"/>
          <w:sz w:val="24"/>
          <w:szCs w:val="24"/>
          <w:lang w:val="en-US" w:eastAsia="fr-BE"/>
        </w:rPr>
        <w:lastRenderedPageBreak/>
        <w:t>Table</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1</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Populations at census, number of deaths and crude death rate for total population, people living in low quality housing (score under 2,2 out of 4) and renters. Source: National Register for 1992-1996, 2002-2006 and 2011-2015 periods, 1991, 2001, 2011 Population Census – calculation by DEMO-UCL and author</w:t>
      </w:r>
    </w:p>
    <w:p w:rsidR="005E2D6E" w:rsidRPr="00BA65FE" w:rsidRDefault="005E2D6E" w:rsidP="005E2D6E">
      <w:pPr>
        <w:rPr>
          <w:lang w:val="en-US" w:eastAsia="en-GB"/>
        </w:rPr>
      </w:pPr>
    </w:p>
    <w:tbl>
      <w:tblPr>
        <w:tblW w:w="8500" w:type="dxa"/>
        <w:jc w:val="center"/>
        <w:tblCellMar>
          <w:left w:w="70" w:type="dxa"/>
          <w:right w:w="70" w:type="dxa"/>
        </w:tblCellMar>
        <w:tblLook w:val="04A0" w:firstRow="1" w:lastRow="0" w:firstColumn="1" w:lastColumn="0" w:noHBand="0" w:noVBand="1"/>
      </w:tblPr>
      <w:tblGrid>
        <w:gridCol w:w="1240"/>
        <w:gridCol w:w="1560"/>
        <w:gridCol w:w="1900"/>
        <w:gridCol w:w="1900"/>
        <w:gridCol w:w="1900"/>
      </w:tblGrid>
      <w:tr w:rsidR="005E2D6E" w:rsidRPr="00277944" w:rsidTr="004216A7">
        <w:trPr>
          <w:trHeight w:val="576"/>
          <w:jc w:val="center"/>
        </w:trPr>
        <w:tc>
          <w:tcPr>
            <w:tcW w:w="124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Times New Roman" w:eastAsia="Times New Roman" w:hAnsi="Times New Roman" w:cs="Times New Roman"/>
                <w:sz w:val="24"/>
                <w:szCs w:val="24"/>
                <w:lang w:val="en-GB" w:eastAsia="fr-BE"/>
              </w:rPr>
            </w:pP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Times New Roman" w:eastAsia="Times New Roman" w:hAnsi="Times New Roman" w:cs="Times New Roman"/>
                <w:sz w:val="20"/>
                <w:szCs w:val="20"/>
                <w:lang w:val="en-GB" w:eastAsia="fr-BE"/>
              </w:rPr>
            </w:pPr>
          </w:p>
        </w:tc>
        <w:tc>
          <w:tcPr>
            <w:tcW w:w="1900" w:type="dxa"/>
            <w:tcBorders>
              <w:top w:val="single" w:sz="4" w:space="0" w:color="auto"/>
              <w:left w:val="single" w:sz="4" w:space="0" w:color="auto"/>
              <w:bottom w:val="nil"/>
              <w:right w:val="single" w:sz="4" w:space="0" w:color="auto"/>
            </w:tcBorders>
            <w:shd w:val="clear" w:color="auto" w:fill="auto"/>
            <w:vAlign w:val="center"/>
            <w:hideMark/>
          </w:tcPr>
          <w:p w:rsidR="005E2D6E" w:rsidRPr="00277944" w:rsidRDefault="005E2D6E" w:rsidP="004216A7">
            <w:pPr>
              <w:spacing w:after="0" w:line="240" w:lineRule="auto"/>
              <w:jc w:val="center"/>
              <w:rPr>
                <w:rFonts w:ascii="Calibri" w:eastAsia="Times New Roman" w:hAnsi="Calibri" w:cs="Calibri"/>
                <w:color w:val="000000"/>
                <w:lang w:val="en-GB" w:eastAsia="fr-BE"/>
              </w:rPr>
            </w:pPr>
            <w:r w:rsidRPr="00277944">
              <w:rPr>
                <w:rFonts w:ascii="Calibri" w:eastAsia="Times New Roman" w:hAnsi="Calibri" w:cs="Calibri"/>
                <w:color w:val="000000"/>
                <w:lang w:val="en-GB" w:eastAsia="fr-BE"/>
              </w:rPr>
              <w:t>Total numbers (at the census date)</w:t>
            </w:r>
          </w:p>
        </w:tc>
        <w:tc>
          <w:tcPr>
            <w:tcW w:w="1900" w:type="dxa"/>
            <w:tcBorders>
              <w:top w:val="single" w:sz="4" w:space="0" w:color="auto"/>
              <w:left w:val="nil"/>
              <w:bottom w:val="nil"/>
              <w:right w:val="single" w:sz="4" w:space="0" w:color="auto"/>
            </w:tcBorders>
            <w:shd w:val="clear" w:color="auto" w:fill="auto"/>
            <w:vAlign w:val="center"/>
            <w:hideMark/>
          </w:tcPr>
          <w:p w:rsidR="005E2D6E" w:rsidRPr="00277944" w:rsidRDefault="005E2D6E" w:rsidP="004216A7">
            <w:pPr>
              <w:spacing w:after="0" w:line="240" w:lineRule="auto"/>
              <w:jc w:val="center"/>
              <w:rPr>
                <w:rFonts w:ascii="Calibri" w:eastAsia="Times New Roman" w:hAnsi="Calibri" w:cs="Calibri"/>
                <w:color w:val="000000"/>
                <w:lang w:val="en-GB" w:eastAsia="fr-BE"/>
              </w:rPr>
            </w:pPr>
            <w:r w:rsidRPr="00277944">
              <w:rPr>
                <w:rFonts w:ascii="Calibri" w:eastAsia="Times New Roman" w:hAnsi="Calibri" w:cs="Calibri"/>
                <w:color w:val="000000"/>
                <w:lang w:val="en-GB" w:eastAsia="fr-BE"/>
              </w:rPr>
              <w:t>Number of deaths on the period</w:t>
            </w:r>
          </w:p>
        </w:tc>
        <w:tc>
          <w:tcPr>
            <w:tcW w:w="1900" w:type="dxa"/>
            <w:tcBorders>
              <w:top w:val="single" w:sz="4" w:space="0" w:color="auto"/>
              <w:left w:val="nil"/>
              <w:bottom w:val="nil"/>
              <w:right w:val="single" w:sz="4" w:space="0" w:color="auto"/>
            </w:tcBorders>
            <w:shd w:val="clear" w:color="auto" w:fill="auto"/>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Crude death rate</w:t>
            </w:r>
          </w:p>
        </w:tc>
      </w:tr>
      <w:tr w:rsidR="005E2D6E" w:rsidRPr="00277944" w:rsidTr="004216A7">
        <w:trPr>
          <w:trHeight w:val="288"/>
          <w:jc w:val="center"/>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1992-1996</w:t>
            </w:r>
          </w:p>
        </w:tc>
        <w:tc>
          <w:tcPr>
            <w:tcW w:w="1560" w:type="dxa"/>
            <w:tcBorders>
              <w:top w:val="single" w:sz="4" w:space="0" w:color="auto"/>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Total</w:t>
            </w:r>
          </w:p>
        </w:tc>
        <w:tc>
          <w:tcPr>
            <w:tcW w:w="1900" w:type="dxa"/>
            <w:tcBorders>
              <w:top w:val="single" w:sz="4" w:space="0" w:color="auto"/>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11094032</w:t>
            </w:r>
          </w:p>
        </w:tc>
        <w:tc>
          <w:tcPr>
            <w:tcW w:w="1900" w:type="dxa"/>
            <w:tcBorders>
              <w:top w:val="single" w:sz="4" w:space="0" w:color="auto"/>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523018</w:t>
            </w:r>
          </w:p>
        </w:tc>
        <w:tc>
          <w:tcPr>
            <w:tcW w:w="1900" w:type="dxa"/>
            <w:tcBorders>
              <w:top w:val="single" w:sz="4" w:space="0" w:color="auto"/>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w:t>
            </w:r>
            <w:r w:rsidRPr="00277944">
              <w:rPr>
                <w:rFonts w:ascii="Calibri" w:eastAsia="Times New Roman" w:hAnsi="Calibri" w:cs="Calibri"/>
                <w:color w:val="000000"/>
                <w:lang w:eastAsia="fr-BE"/>
              </w:rPr>
              <w:t>,</w:t>
            </w:r>
            <w:r>
              <w:rPr>
                <w:rFonts w:ascii="Calibri" w:eastAsia="Times New Roman" w:hAnsi="Calibri" w:cs="Calibri"/>
                <w:color w:val="000000"/>
                <w:lang w:eastAsia="fr-BE"/>
              </w:rPr>
              <w:t>94</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Low quality</w:t>
            </w:r>
          </w:p>
        </w:tc>
        <w:tc>
          <w:tcPr>
            <w:tcW w:w="1900" w:type="dxa"/>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1084889</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90282</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1,66</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single" w:sz="4" w:space="0" w:color="auto"/>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Renters</w:t>
            </w:r>
          </w:p>
        </w:tc>
        <w:tc>
          <w:tcPr>
            <w:tcW w:w="1900" w:type="dxa"/>
            <w:tcBorders>
              <w:top w:val="nil"/>
              <w:left w:val="single" w:sz="4" w:space="0" w:color="auto"/>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2786662</w:t>
            </w:r>
          </w:p>
        </w:tc>
        <w:tc>
          <w:tcPr>
            <w:tcW w:w="1900" w:type="dxa"/>
            <w:tcBorders>
              <w:top w:val="nil"/>
              <w:left w:val="nil"/>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145799</w:t>
            </w:r>
          </w:p>
        </w:tc>
        <w:tc>
          <w:tcPr>
            <w:tcW w:w="1900" w:type="dxa"/>
            <w:tcBorders>
              <w:top w:val="nil"/>
              <w:left w:val="nil"/>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1,04</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val="restart"/>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2002-2006</w:t>
            </w: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Total</w:t>
            </w:r>
          </w:p>
        </w:tc>
        <w:tc>
          <w:tcPr>
            <w:tcW w:w="1900" w:type="dxa"/>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12768666</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519441</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0,81</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nil"/>
              <w:left w:val="single" w:sz="4" w:space="0" w:color="auto"/>
              <w:bottom w:val="nil"/>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Low quality</w:t>
            </w:r>
          </w:p>
        </w:tc>
        <w:tc>
          <w:tcPr>
            <w:tcW w:w="1900" w:type="dxa"/>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1581435</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92440</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1,17</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nil"/>
              <w:left w:val="single" w:sz="4" w:space="0" w:color="auto"/>
              <w:bottom w:val="nil"/>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Renters</w:t>
            </w:r>
          </w:p>
        </w:tc>
        <w:tc>
          <w:tcPr>
            <w:tcW w:w="1900" w:type="dxa"/>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2496765</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119762</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0,96</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2011-2015</w:t>
            </w:r>
          </w:p>
        </w:tc>
        <w:tc>
          <w:tcPr>
            <w:tcW w:w="1560" w:type="dxa"/>
            <w:tcBorders>
              <w:top w:val="single" w:sz="4" w:space="0" w:color="auto"/>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Total</w:t>
            </w:r>
          </w:p>
        </w:tc>
        <w:tc>
          <w:tcPr>
            <w:tcW w:w="1900" w:type="dxa"/>
            <w:tcBorders>
              <w:top w:val="single" w:sz="4" w:space="0" w:color="auto"/>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12251199</w:t>
            </w:r>
          </w:p>
        </w:tc>
        <w:tc>
          <w:tcPr>
            <w:tcW w:w="1900" w:type="dxa"/>
            <w:tcBorders>
              <w:top w:val="single" w:sz="4" w:space="0" w:color="auto"/>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537784</w:t>
            </w:r>
          </w:p>
        </w:tc>
        <w:tc>
          <w:tcPr>
            <w:tcW w:w="1900" w:type="dxa"/>
            <w:tcBorders>
              <w:top w:val="single" w:sz="4" w:space="0" w:color="auto"/>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0,88</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nil"/>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Low quality</w:t>
            </w:r>
          </w:p>
        </w:tc>
        <w:tc>
          <w:tcPr>
            <w:tcW w:w="1900" w:type="dxa"/>
            <w:tcBorders>
              <w:top w:val="nil"/>
              <w:left w:val="single" w:sz="4" w:space="0" w:color="auto"/>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1596193</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46018</w:t>
            </w:r>
          </w:p>
        </w:tc>
        <w:tc>
          <w:tcPr>
            <w:tcW w:w="1900" w:type="dxa"/>
            <w:tcBorders>
              <w:top w:val="nil"/>
              <w:left w:val="nil"/>
              <w:bottom w:val="nil"/>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0,58</w:t>
            </w:r>
            <w:r w:rsidRPr="00277944">
              <w:rPr>
                <w:rFonts w:ascii="Calibri" w:eastAsia="Times New Roman" w:hAnsi="Calibri" w:cs="Calibri"/>
                <w:color w:val="000000"/>
                <w:lang w:eastAsia="fr-BE"/>
              </w:rPr>
              <w:t>%</w:t>
            </w:r>
          </w:p>
        </w:tc>
      </w:tr>
      <w:tr w:rsidR="005E2D6E" w:rsidRPr="00277944" w:rsidTr="004216A7">
        <w:trPr>
          <w:trHeight w:val="288"/>
          <w:jc w:val="center"/>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5E2D6E" w:rsidRPr="00277944" w:rsidRDefault="005E2D6E" w:rsidP="004216A7">
            <w:pPr>
              <w:spacing w:after="0" w:line="240" w:lineRule="auto"/>
              <w:rPr>
                <w:rFonts w:ascii="Calibri" w:eastAsia="Times New Roman" w:hAnsi="Calibri" w:cs="Calibri"/>
                <w:color w:val="000000"/>
                <w:lang w:eastAsia="fr-BE"/>
              </w:rPr>
            </w:pPr>
          </w:p>
        </w:tc>
        <w:tc>
          <w:tcPr>
            <w:tcW w:w="1560" w:type="dxa"/>
            <w:tcBorders>
              <w:top w:val="nil"/>
              <w:left w:val="nil"/>
              <w:bottom w:val="single" w:sz="4" w:space="0" w:color="auto"/>
              <w:right w:val="nil"/>
            </w:tcBorders>
            <w:shd w:val="clear" w:color="auto" w:fill="auto"/>
            <w:noWrap/>
            <w:vAlign w:val="bottom"/>
            <w:hideMark/>
          </w:tcPr>
          <w:p w:rsidR="005E2D6E" w:rsidRPr="00277944" w:rsidRDefault="005E2D6E" w:rsidP="004216A7">
            <w:pPr>
              <w:spacing w:after="0" w:line="240" w:lineRule="auto"/>
              <w:rPr>
                <w:rFonts w:ascii="Calibri" w:eastAsia="Times New Roman" w:hAnsi="Calibri" w:cs="Calibri"/>
                <w:color w:val="000000"/>
                <w:lang w:eastAsia="fr-BE"/>
              </w:rPr>
            </w:pPr>
            <w:r w:rsidRPr="00277944">
              <w:rPr>
                <w:rFonts w:ascii="Calibri" w:eastAsia="Times New Roman" w:hAnsi="Calibri" w:cs="Calibri"/>
                <w:color w:val="000000"/>
                <w:lang w:eastAsia="fr-BE"/>
              </w:rPr>
              <w:t>Renters</w:t>
            </w:r>
          </w:p>
        </w:tc>
        <w:tc>
          <w:tcPr>
            <w:tcW w:w="1900" w:type="dxa"/>
            <w:tcBorders>
              <w:top w:val="nil"/>
              <w:left w:val="single" w:sz="4" w:space="0" w:color="auto"/>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3124143</w:t>
            </w:r>
          </w:p>
        </w:tc>
        <w:tc>
          <w:tcPr>
            <w:tcW w:w="1900" w:type="dxa"/>
            <w:tcBorders>
              <w:top w:val="nil"/>
              <w:left w:val="nil"/>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sidRPr="00277944">
              <w:rPr>
                <w:rFonts w:ascii="Calibri" w:eastAsia="Times New Roman" w:hAnsi="Calibri" w:cs="Calibri"/>
                <w:color w:val="000000"/>
                <w:lang w:eastAsia="fr-BE"/>
              </w:rPr>
              <w:t>140163</w:t>
            </w:r>
          </w:p>
        </w:tc>
        <w:tc>
          <w:tcPr>
            <w:tcW w:w="1900" w:type="dxa"/>
            <w:tcBorders>
              <w:top w:val="nil"/>
              <w:left w:val="nil"/>
              <w:bottom w:val="single" w:sz="4" w:space="0" w:color="auto"/>
              <w:right w:val="single" w:sz="4" w:space="0" w:color="auto"/>
            </w:tcBorders>
            <w:shd w:val="clear" w:color="auto" w:fill="auto"/>
            <w:noWrap/>
            <w:vAlign w:val="center"/>
            <w:hideMark/>
          </w:tcPr>
          <w:p w:rsidR="005E2D6E" w:rsidRPr="00277944" w:rsidRDefault="005E2D6E" w:rsidP="004216A7">
            <w:pPr>
              <w:spacing w:after="0" w:line="240" w:lineRule="auto"/>
              <w:jc w:val="center"/>
              <w:rPr>
                <w:rFonts w:ascii="Calibri" w:eastAsia="Times New Roman" w:hAnsi="Calibri" w:cs="Calibri"/>
                <w:color w:val="000000"/>
                <w:lang w:eastAsia="fr-BE"/>
              </w:rPr>
            </w:pPr>
            <w:r>
              <w:rPr>
                <w:rFonts w:ascii="Calibri" w:eastAsia="Times New Roman" w:hAnsi="Calibri" w:cs="Calibri"/>
                <w:color w:val="000000"/>
                <w:lang w:eastAsia="fr-BE"/>
              </w:rPr>
              <w:t>0,89</w:t>
            </w:r>
            <w:r w:rsidRPr="00277944">
              <w:rPr>
                <w:rFonts w:ascii="Calibri" w:eastAsia="Times New Roman" w:hAnsi="Calibri" w:cs="Calibri"/>
                <w:color w:val="000000"/>
                <w:lang w:eastAsia="fr-BE"/>
              </w:rPr>
              <w:t>%</w:t>
            </w:r>
          </w:p>
        </w:tc>
      </w:tr>
    </w:tbl>
    <w:p w:rsidR="005E2D6E" w:rsidRPr="00367256" w:rsidRDefault="005E2D6E" w:rsidP="005E2D6E">
      <w:pPr>
        <w:rPr>
          <w:lang w:val="en-GB" w:eastAsia="en-GB"/>
        </w:rPr>
      </w:pPr>
    </w:p>
    <w:p w:rsidR="005E2D6E" w:rsidRDefault="005E2D6E" w:rsidP="005E2D6E">
      <w:pPr>
        <w:pStyle w:val="Paragraph"/>
        <w:ind w:firstLine="708"/>
        <w:jc w:val="both"/>
      </w:pPr>
      <w:r>
        <w:t xml:space="preserve">The three censuses used different modes of data collection, which can explain the decrease of the total population considered between the 2001 and 2011 census. For the 1992-1996 and 2002-2006 periods, the population living in low quality housing and the renters show higher crude death rate than the overall population. For the 2011 period, renters show very close crude death rate while people living in poor quality housing are associated with lower crude death rate, both compared to the general population. </w:t>
      </w:r>
    </w:p>
    <w:p w:rsidR="005E2D6E" w:rsidRDefault="005E2D6E" w:rsidP="005E2D6E">
      <w:pPr>
        <w:pStyle w:val="Paragraph"/>
        <w:ind w:firstLine="708"/>
        <w:jc w:val="both"/>
      </w:pPr>
      <w:r>
        <w:t xml:space="preserve">The logistic regression estimates the probability of a binary event. In our context, the probability of dying (Y) on a considered five-year period is P(Y): </w:t>
      </w:r>
    </w:p>
    <w:p w:rsidR="005E2D6E" w:rsidRPr="00697E6F" w:rsidRDefault="005E2D6E" w:rsidP="005E2D6E">
      <w:pPr>
        <w:rPr>
          <w:rFonts w:eastAsiaTheme="minorEastAsia"/>
          <w:lang w:val="en-GB" w:eastAsia="en-GB"/>
        </w:rPr>
      </w:pPr>
      <m:oMathPara>
        <m:oMath>
          <m:r>
            <w:rPr>
              <w:rFonts w:ascii="Cambria Math" w:hAnsi="Cambria Math"/>
              <w:lang w:val="en-GB" w:eastAsia="en-GB"/>
            </w:rPr>
            <m:t>P</m:t>
          </m:r>
          <m:d>
            <m:dPr>
              <m:ctrlPr>
                <w:rPr>
                  <w:rFonts w:ascii="Cambria Math" w:hAnsi="Cambria Math"/>
                  <w:i/>
                  <w:lang w:val="en-GB" w:eastAsia="en-GB"/>
                </w:rPr>
              </m:ctrlPr>
            </m:dPr>
            <m:e>
              <m:r>
                <w:rPr>
                  <w:rFonts w:ascii="Cambria Math" w:hAnsi="Cambria Math"/>
                  <w:lang w:val="en-GB" w:eastAsia="en-GB"/>
                </w:rPr>
                <m:t>Y</m:t>
              </m:r>
            </m:e>
          </m:d>
          <m:r>
            <w:rPr>
              <w:rFonts w:ascii="Cambria Math" w:hAnsi="Cambria Math"/>
              <w:lang w:val="en-GB" w:eastAsia="en-GB"/>
            </w:rPr>
            <m:t xml:space="preserve">= </m:t>
          </m:r>
          <m:f>
            <m:fPr>
              <m:ctrlPr>
                <w:rPr>
                  <w:rFonts w:ascii="Cambria Math" w:hAnsi="Cambria Math"/>
                  <w:i/>
                  <w:lang w:val="en-GB" w:eastAsia="en-GB"/>
                </w:rPr>
              </m:ctrlPr>
            </m:fPr>
            <m:num>
              <m:r>
                <w:rPr>
                  <w:rFonts w:ascii="Cambria Math" w:hAnsi="Cambria Math"/>
                  <w:lang w:val="en-GB" w:eastAsia="en-GB"/>
                </w:rPr>
                <m:t>1</m:t>
              </m:r>
            </m:num>
            <m:den>
              <m:r>
                <w:rPr>
                  <w:rFonts w:ascii="Cambria Math" w:hAnsi="Cambria Math"/>
                  <w:lang w:val="en-GB" w:eastAsia="en-GB"/>
                </w:rPr>
                <m:t xml:space="preserve">1+ </m:t>
              </m:r>
              <m:sSup>
                <m:sSupPr>
                  <m:ctrlPr>
                    <w:rPr>
                      <w:rFonts w:ascii="Cambria Math" w:hAnsi="Cambria Math"/>
                      <w:i/>
                      <w:lang w:val="en-GB" w:eastAsia="en-GB"/>
                    </w:rPr>
                  </m:ctrlPr>
                </m:sSupPr>
                <m:e>
                  <m:r>
                    <w:rPr>
                      <w:rFonts w:ascii="Cambria Math" w:hAnsi="Cambria Math"/>
                      <w:lang w:val="en-GB" w:eastAsia="en-GB"/>
                    </w:rPr>
                    <m:t>e</m:t>
                  </m:r>
                </m:e>
                <m:sup>
                  <m:r>
                    <w:rPr>
                      <w:rFonts w:ascii="Cambria Math" w:hAnsi="Cambria Math"/>
                      <w:lang w:val="en-GB" w:eastAsia="en-GB"/>
                    </w:rPr>
                    <m:t>-z</m:t>
                  </m:r>
                </m:sup>
              </m:sSup>
            </m:den>
          </m:f>
        </m:oMath>
      </m:oMathPara>
    </w:p>
    <w:p w:rsidR="005E2D6E" w:rsidRDefault="005E2D6E" w:rsidP="005E2D6E">
      <w:pPr>
        <w:rPr>
          <w:rFonts w:ascii="Times New Roman" w:eastAsia="Times New Roman" w:hAnsi="Times New Roman" w:cs="Times New Roman"/>
          <w:lang w:val="en-GB" w:eastAsia="en-GB"/>
        </w:rPr>
      </w:pPr>
      <w:r>
        <w:rPr>
          <w:rFonts w:ascii="Times New Roman" w:eastAsia="Times New Roman" w:hAnsi="Times New Roman" w:cs="Times New Roman"/>
          <w:sz w:val="24"/>
          <w:szCs w:val="24"/>
          <w:lang w:val="en-GB" w:eastAsia="en-GB"/>
        </w:rPr>
        <w:t>With</w:t>
      </w:r>
      <w:r w:rsidRPr="00E13764">
        <w:rPr>
          <w:rFonts w:ascii="Times New Roman" w:eastAsia="Times New Roman" w:hAnsi="Times New Roman" w:cs="Times New Roman"/>
          <w:sz w:val="24"/>
          <w:szCs w:val="24"/>
          <w:lang w:val="en-GB" w:eastAsia="en-GB"/>
        </w:rPr>
        <w:t xml:space="preserve"> </w:t>
      </w:r>
      <m:oMath>
        <m:r>
          <w:rPr>
            <w:rFonts w:ascii="Cambria Math" w:hAnsi="Cambria Math"/>
            <w:lang w:val="en-GB" w:eastAsia="en-GB"/>
          </w:rPr>
          <m:t xml:space="preserve">z= </m:t>
        </m:r>
        <m:sSub>
          <m:sSubPr>
            <m:ctrlPr>
              <w:rPr>
                <w:rFonts w:ascii="Cambria Math" w:hAnsi="Cambria Math"/>
                <w:i/>
                <w:lang w:val="en-GB" w:eastAsia="en-GB"/>
              </w:rPr>
            </m:ctrlPr>
          </m:sSubPr>
          <m:e>
            <m:r>
              <w:rPr>
                <w:rFonts w:ascii="Cambria Math" w:hAnsi="Cambria Math"/>
                <w:lang w:val="en-GB" w:eastAsia="en-GB"/>
              </w:rPr>
              <m:t>α</m:t>
            </m:r>
          </m:e>
          <m:sub>
            <m:r>
              <w:rPr>
                <w:rFonts w:ascii="Cambria Math" w:hAnsi="Cambria Math"/>
                <w:lang w:val="en-GB" w:eastAsia="en-GB"/>
              </w:rPr>
              <m:t>0</m:t>
            </m:r>
          </m:sub>
        </m:sSub>
        <m:r>
          <w:rPr>
            <w:rFonts w:ascii="Cambria Math" w:hAnsi="Cambria Math"/>
            <w:lang w:val="en-GB" w:eastAsia="en-GB"/>
          </w:rPr>
          <m:t xml:space="preserve">+ </m:t>
        </m:r>
        <m:sSub>
          <m:sSubPr>
            <m:ctrlPr>
              <w:rPr>
                <w:rFonts w:ascii="Cambria Math" w:hAnsi="Cambria Math"/>
                <w:i/>
                <w:lang w:val="en-GB" w:eastAsia="en-GB"/>
              </w:rPr>
            </m:ctrlPr>
          </m:sSubPr>
          <m:e>
            <m:r>
              <w:rPr>
                <w:rFonts w:ascii="Cambria Math" w:hAnsi="Cambria Math"/>
                <w:lang w:val="en-GB" w:eastAsia="en-GB"/>
              </w:rPr>
              <m:t>α</m:t>
            </m:r>
          </m:e>
          <m:sub>
            <m:r>
              <w:rPr>
                <w:rFonts w:ascii="Cambria Math" w:hAnsi="Cambria Math"/>
                <w:lang w:val="en-GB" w:eastAsia="en-GB"/>
              </w:rPr>
              <m:t>1</m:t>
            </m:r>
          </m:sub>
        </m:sSub>
        <m:sSub>
          <m:sSubPr>
            <m:ctrlPr>
              <w:rPr>
                <w:rFonts w:ascii="Cambria Math" w:hAnsi="Cambria Math"/>
                <w:i/>
                <w:lang w:val="en-GB" w:eastAsia="en-GB"/>
              </w:rPr>
            </m:ctrlPr>
          </m:sSubPr>
          <m:e>
            <m:r>
              <w:rPr>
                <w:rFonts w:ascii="Cambria Math" w:hAnsi="Cambria Math"/>
                <w:lang w:val="en-GB" w:eastAsia="en-GB"/>
              </w:rPr>
              <m:t>X</m:t>
            </m:r>
          </m:e>
          <m:sub>
            <m:r>
              <w:rPr>
                <w:rFonts w:ascii="Cambria Math" w:hAnsi="Cambria Math"/>
                <w:lang w:val="en-GB" w:eastAsia="en-GB"/>
              </w:rPr>
              <m:t>1</m:t>
            </m:r>
          </m:sub>
        </m:sSub>
        <m:r>
          <w:rPr>
            <w:rFonts w:ascii="Cambria Math" w:hAnsi="Cambria Math"/>
            <w:lang w:val="en-GB" w:eastAsia="en-GB"/>
          </w:rPr>
          <m:t xml:space="preserve">+ </m:t>
        </m:r>
        <m:sSub>
          <m:sSubPr>
            <m:ctrlPr>
              <w:rPr>
                <w:rFonts w:ascii="Cambria Math" w:hAnsi="Cambria Math"/>
                <w:i/>
                <w:lang w:val="en-GB" w:eastAsia="en-GB"/>
              </w:rPr>
            </m:ctrlPr>
          </m:sSubPr>
          <m:e>
            <m:r>
              <w:rPr>
                <w:rFonts w:ascii="Cambria Math" w:hAnsi="Cambria Math"/>
                <w:lang w:val="en-GB" w:eastAsia="en-GB"/>
              </w:rPr>
              <m:t>α</m:t>
            </m:r>
          </m:e>
          <m:sub>
            <m:r>
              <w:rPr>
                <w:rFonts w:ascii="Cambria Math" w:hAnsi="Cambria Math"/>
                <w:lang w:val="en-GB" w:eastAsia="en-GB"/>
              </w:rPr>
              <m:t>2</m:t>
            </m:r>
          </m:sub>
        </m:sSub>
        <m:sSub>
          <m:sSubPr>
            <m:ctrlPr>
              <w:rPr>
                <w:rFonts w:ascii="Cambria Math" w:hAnsi="Cambria Math"/>
                <w:i/>
                <w:lang w:val="en-GB" w:eastAsia="en-GB"/>
              </w:rPr>
            </m:ctrlPr>
          </m:sSubPr>
          <m:e>
            <m:r>
              <w:rPr>
                <w:rFonts w:ascii="Cambria Math" w:hAnsi="Cambria Math"/>
                <w:lang w:val="en-GB" w:eastAsia="en-GB"/>
              </w:rPr>
              <m:t>X</m:t>
            </m:r>
          </m:e>
          <m:sub>
            <m:r>
              <w:rPr>
                <w:rFonts w:ascii="Cambria Math" w:hAnsi="Cambria Math"/>
                <w:lang w:val="en-GB" w:eastAsia="en-GB"/>
              </w:rPr>
              <m:t>2</m:t>
            </m:r>
          </m:sub>
        </m:sSub>
        <m:r>
          <w:rPr>
            <w:rFonts w:ascii="Cambria Math" w:hAnsi="Cambria Math"/>
            <w:lang w:val="en-GB" w:eastAsia="en-GB"/>
          </w:rPr>
          <m:t xml:space="preserve">+…+ </m:t>
        </m:r>
        <m:sSub>
          <m:sSubPr>
            <m:ctrlPr>
              <w:rPr>
                <w:rFonts w:ascii="Cambria Math" w:hAnsi="Cambria Math"/>
                <w:i/>
                <w:lang w:val="en-GB" w:eastAsia="en-GB"/>
              </w:rPr>
            </m:ctrlPr>
          </m:sSubPr>
          <m:e>
            <m:r>
              <w:rPr>
                <w:rFonts w:ascii="Cambria Math" w:hAnsi="Cambria Math"/>
                <w:lang w:val="en-GB" w:eastAsia="en-GB"/>
              </w:rPr>
              <m:t>α</m:t>
            </m:r>
          </m:e>
          <m:sub>
            <m:r>
              <w:rPr>
                <w:rFonts w:ascii="Cambria Math" w:hAnsi="Cambria Math"/>
                <w:lang w:val="en-GB" w:eastAsia="en-GB"/>
              </w:rPr>
              <m:t>i</m:t>
            </m:r>
          </m:sub>
        </m:sSub>
        <m:sSub>
          <m:sSubPr>
            <m:ctrlPr>
              <w:rPr>
                <w:rFonts w:ascii="Cambria Math" w:hAnsi="Cambria Math"/>
                <w:i/>
                <w:lang w:val="en-GB" w:eastAsia="en-GB"/>
              </w:rPr>
            </m:ctrlPr>
          </m:sSubPr>
          <m:e>
            <m:r>
              <w:rPr>
                <w:rFonts w:ascii="Cambria Math" w:hAnsi="Cambria Math"/>
                <w:lang w:val="en-GB" w:eastAsia="en-GB"/>
              </w:rPr>
              <m:t>X</m:t>
            </m:r>
          </m:e>
          <m:sub>
            <m:r>
              <w:rPr>
                <w:rFonts w:ascii="Cambria Math" w:hAnsi="Cambria Math"/>
                <w:lang w:val="en-GB" w:eastAsia="en-GB"/>
              </w:rPr>
              <m:t>i</m:t>
            </m:r>
          </m:sub>
        </m:sSub>
      </m:oMath>
    </w:p>
    <w:p w:rsidR="005E2D6E" w:rsidRDefault="005E2D6E" w:rsidP="005E2D6E">
      <w:pPr>
        <w:pStyle w:val="Paragraph"/>
        <w:ind w:firstLine="708"/>
        <w:jc w:val="both"/>
      </w:pPr>
      <w:r>
        <w:t xml:space="preserve">Each value of </w:t>
      </w:r>
      <m:oMath>
        <m:sSub>
          <m:sSubPr>
            <m:ctrlPr>
              <w:rPr>
                <w:rFonts w:ascii="Cambria Math" w:hAnsi="Cambria Math"/>
              </w:rPr>
            </m:ctrlPr>
          </m:sSubPr>
          <m:e>
            <m:r>
              <w:rPr>
                <w:rFonts w:ascii="Cambria Math" w:hAnsi="Cambria Math"/>
              </w:rPr>
              <m:t>α</m:t>
            </m:r>
          </m:e>
          <m:sub>
            <m:r>
              <w:rPr>
                <w:rFonts w:ascii="Cambria Math" w:hAnsi="Cambria Math"/>
              </w:rPr>
              <m:t>i</m:t>
            </m:r>
          </m:sub>
        </m:sSub>
      </m:oMath>
      <w:r w:rsidRPr="00E13764">
        <w:t xml:space="preserve"> indicate the relation between the dependent variable Y and the different independent variables </w:t>
      </w:r>
      <m:oMath>
        <m:sSub>
          <m:sSubPr>
            <m:ctrlPr>
              <w:rPr>
                <w:rFonts w:ascii="Cambria Math" w:hAnsi="Cambria Math"/>
              </w:rPr>
            </m:ctrlPr>
          </m:sSubPr>
          <m:e>
            <m:r>
              <w:rPr>
                <w:rFonts w:ascii="Cambria Math" w:hAnsi="Cambria Math"/>
              </w:rPr>
              <m:t>X</m:t>
            </m:r>
          </m:e>
          <m:sub>
            <m:r>
              <w:rPr>
                <w:rFonts w:ascii="Cambria Math" w:hAnsi="Cambria Math"/>
              </w:rPr>
              <m:t>i</m:t>
            </m:r>
          </m:sub>
        </m:sSub>
      </m:oMath>
      <w:r>
        <w:t xml:space="preserve">, while neutralising the relation between Y and all the other X. The interpretation of logistic regression uses the odds ratio, that is </w:t>
      </w:r>
      <m:oMath>
        <m:sSup>
          <m:sSupPr>
            <m:ctrlPr>
              <w:rPr>
                <w:rFonts w:ascii="Cambria Math" w:hAnsi="Cambria Math"/>
                <w:i/>
              </w:rPr>
            </m:ctrlPr>
          </m:sSupPr>
          <m:e>
            <m:r>
              <w:rPr>
                <w:rFonts w:ascii="Cambria Math" w:hAnsi="Cambria Math"/>
              </w:rPr>
              <m:t>e</m:t>
            </m:r>
          </m:e>
          <m:sup>
            <m:sSub>
              <m:sSubPr>
                <m:ctrlPr>
                  <w:rPr>
                    <w:rFonts w:ascii="Cambria Math" w:hAnsi="Cambria Math"/>
                    <w:i/>
                  </w:rPr>
                </m:ctrlPr>
              </m:sSubPr>
              <m:e>
                <m:r>
                  <w:rPr>
                    <w:rFonts w:ascii="Cambria Math" w:hAnsi="Cambria Math"/>
                  </w:rPr>
                  <m:t>α</m:t>
                </m:r>
              </m:e>
              <m:sub>
                <m:r>
                  <w:rPr>
                    <w:rFonts w:ascii="Cambria Math" w:hAnsi="Cambria Math"/>
                  </w:rPr>
                  <m:t>i</m:t>
                </m:r>
              </m:sub>
            </m:sSub>
          </m:sup>
        </m:sSup>
      </m:oMath>
      <w:r>
        <w:t xml:space="preserve">. The odds are defined by the probability of an event, such as death, divided by the probability of the opposite event, such as survival in our situation. Odds-ratio compare the odds of a category to a reference modality of </w:t>
      </w:r>
      <w:r>
        <w:lastRenderedPageBreak/>
        <w:t xml:space="preserve">the same variable. With this method, we’ll estimate the relation between the risk of death and an interest variable (housing quality and housing tenure), considering one or more covariates. </w:t>
      </w:r>
      <w:r w:rsidRPr="00930D29">
        <w:t xml:space="preserve">Several variables will be selected to control the relationship: age, sex, household type, marital status, nationality, region, education level, socio-professional category, and even </w:t>
      </w:r>
      <w:r>
        <w:t>the level of income</w:t>
      </w:r>
      <w:r w:rsidRPr="00930D29">
        <w:t xml:space="preserve"> for the 2011 census, which will receive special attention. The models will be carried out in "stepwise" mode, which </w:t>
      </w:r>
      <w:r>
        <w:t>highlights</w:t>
      </w:r>
      <w:r w:rsidRPr="00930D29">
        <w:t xml:space="preserve"> the evolution of the relation as variables are added to the model</w:t>
      </w:r>
      <w:r>
        <w:t>, and in two sets, according our interest independent variable (housing quality or tenure).</w:t>
      </w:r>
    </w:p>
    <w:p w:rsidR="005E2D6E" w:rsidRDefault="005E2D6E" w:rsidP="005E2D6E">
      <w:pPr>
        <w:pStyle w:val="Titre1"/>
      </w:pPr>
      <w:r w:rsidRPr="00F93DBC">
        <w:t>Results</w:t>
      </w:r>
    </w:p>
    <w:p w:rsidR="005E2D6E" w:rsidRPr="00CE5984"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Pr>
          <w:rFonts w:ascii="Times New Roman" w:eastAsia="Times New Roman" w:hAnsi="Times New Roman" w:cs="Arial"/>
          <w:b/>
          <w:bCs/>
          <w:i/>
          <w:iCs/>
          <w:sz w:val="24"/>
          <w:szCs w:val="28"/>
          <w:lang w:val="en-GB" w:eastAsia="en-GB"/>
        </w:rPr>
        <w:t>A socioeconomic portrait of the poorly housed population and of the renters</w:t>
      </w:r>
    </w:p>
    <w:p w:rsidR="005E2D6E" w:rsidRDefault="005E2D6E" w:rsidP="005E2D6E">
      <w:pPr>
        <w:pStyle w:val="Paragraph"/>
        <w:jc w:val="both"/>
      </w:pPr>
      <w:r>
        <w:t xml:space="preserve">The descriptive analysis presented in Table 1 show the distribution of some characteristics among population living in low quality housing and renting their accommodation, in 1991 and in 2011. First, this description confirms that renters are more frequent to live in low housing conditions than owners. 73,2% of population living in poorer housing quality rent their accommodation in 1991, and this proportion of renters rises to 92,9% in 2011. The lower quality dwellings are associated with more crowded housing conditions, while rented accommodations are more often in extreme situations: for both years, the proportion of very crowded or very spacious dwellings are higher for renters than the general population. The presence of a bathroom and of a central heating are other indicators of the quality of housing. In 1991, the differences between the lower quality housing and the general population is more visible than in 2011: in 1991, 43,2% of the poorly housed population have a bathroom and 12% have a central heating, versus 93,3% and 68,6% respectively in 2011. In 1991, renters also tend to have a lower presence of bathroom and central heating in their accommodation compared to general population, but this difference decreases dramatically in 2011, showing a better housing </w:t>
      </w:r>
      <w:r>
        <w:lastRenderedPageBreak/>
        <w:t xml:space="preserve">equipment in most dwelling, including for the renters. </w:t>
      </w:r>
    </w:p>
    <w:p w:rsidR="005E2D6E" w:rsidRPr="007C141B" w:rsidRDefault="005E2D6E" w:rsidP="005E2D6E">
      <w:pPr>
        <w:pStyle w:val="Paragraph"/>
        <w:jc w:val="both"/>
      </w:pPr>
      <w:r>
        <w:t xml:space="preserve">In 1991 and 2011, people with poorer quality housing were on average older than the total population In Belgium. They were also more likely to be unmarried (divorced, widowed, single), with a foreign but European nationality, and living in Brussels. Socially-speaking, they were more disadvantaged, less educated, and more often unemployed or inactive than people living in high quality housing. The housing tenure and comfort appeared to be important socio-demographic markers. However, in 2011, socioeconomic differences according to the housing global quality are decreasing. Between 1991 and 2011, people living in low quality housing are on average younger, hence a lower crude death rate for this population in 2011 (Table 1). Also, the proportion of higher education graduates living in poor housing conditions doubles, getting from 3.6% to 7.1% (Table 2). One reason may be that life course disruptions, such as a divorce or unemployment, tended to affect a larger population in 2011 than in 1991, through a loss of income and subsequent change and loss of housing quality. </w:t>
      </w:r>
    </w:p>
    <w:p w:rsidR="005E2D6E" w:rsidRDefault="005E2D6E" w:rsidP="005E2D6E">
      <w:pPr>
        <w:spacing w:before="240" w:after="0" w:line="240" w:lineRule="auto"/>
        <w:jc w:val="both"/>
        <w:rPr>
          <w:rFonts w:ascii="Times New Roman" w:eastAsia="Times New Roman" w:hAnsi="Times New Roman" w:cs="Times New Roman"/>
          <w:color w:val="000000"/>
          <w:sz w:val="24"/>
          <w:szCs w:val="24"/>
          <w:lang w:val="en-US" w:eastAsia="fr-BE"/>
        </w:rPr>
      </w:pPr>
      <w:r>
        <w:rPr>
          <w:rFonts w:ascii="Times New Roman" w:eastAsia="Times New Roman" w:hAnsi="Times New Roman" w:cs="Times New Roman"/>
          <w:color w:val="000000"/>
          <w:sz w:val="24"/>
          <w:szCs w:val="24"/>
          <w:lang w:val="en-US" w:eastAsia="fr-BE"/>
        </w:rPr>
        <w:t>Table</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2</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Socio-demographic characteristics of the population living in poor housing conditions (score lower than 2,2 out of 4) and renters. Source: National Register, 1991 &amp; 2011 Population Census – calculation by DEMO-UCL and author</w:t>
      </w:r>
    </w:p>
    <w:tbl>
      <w:tblPr>
        <w:tblW w:w="5000" w:type="pct"/>
        <w:tblCellMar>
          <w:left w:w="70" w:type="dxa"/>
          <w:right w:w="70" w:type="dxa"/>
        </w:tblCellMar>
        <w:tblLook w:val="04A0" w:firstRow="1" w:lastRow="0" w:firstColumn="1" w:lastColumn="0" w:noHBand="0" w:noVBand="1"/>
      </w:tblPr>
      <w:tblGrid>
        <w:gridCol w:w="1067"/>
        <w:gridCol w:w="1070"/>
        <w:gridCol w:w="1153"/>
        <w:gridCol w:w="1153"/>
        <w:gridCol w:w="1153"/>
        <w:gridCol w:w="1153"/>
        <w:gridCol w:w="1153"/>
        <w:gridCol w:w="1150"/>
      </w:tblGrid>
      <w:tr w:rsidR="005E2D6E" w:rsidRPr="00A07D0A" w:rsidTr="004216A7">
        <w:trPr>
          <w:trHeight w:val="288"/>
        </w:trPr>
        <w:tc>
          <w:tcPr>
            <w:tcW w:w="1180" w:type="pct"/>
            <w:gridSpan w:val="2"/>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D81FCC" w:rsidRDefault="005E2D6E" w:rsidP="004216A7">
            <w:pPr>
              <w:spacing w:after="0" w:line="240" w:lineRule="auto"/>
              <w:rPr>
                <w:rFonts w:ascii="Calibri" w:eastAsia="Times New Roman" w:hAnsi="Calibri" w:cs="Calibri"/>
                <w:color w:val="000000"/>
                <w:sz w:val="16"/>
                <w:szCs w:val="16"/>
                <w:lang w:val="en-GB" w:eastAsia="fr-BE"/>
              </w:rPr>
            </w:pPr>
            <w:r w:rsidRPr="00D81FCC">
              <w:rPr>
                <w:rFonts w:ascii="Calibri" w:eastAsia="Times New Roman" w:hAnsi="Calibri" w:cs="Calibri"/>
                <w:color w:val="000000"/>
                <w:sz w:val="16"/>
                <w:szCs w:val="16"/>
                <w:lang w:val="en-GB" w:eastAsia="fr-BE"/>
              </w:rPr>
              <w:t> </w:t>
            </w:r>
          </w:p>
        </w:tc>
        <w:tc>
          <w:tcPr>
            <w:tcW w:w="1911" w:type="pct"/>
            <w:gridSpan w:val="3"/>
            <w:tcBorders>
              <w:top w:val="single" w:sz="8" w:space="0" w:color="auto"/>
              <w:left w:val="single" w:sz="8" w:space="0" w:color="auto"/>
              <w:bottom w:val="single" w:sz="4" w:space="0" w:color="auto"/>
              <w:right w:val="single" w:sz="8" w:space="0" w:color="000000"/>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1991</w:t>
            </w:r>
          </w:p>
        </w:tc>
        <w:tc>
          <w:tcPr>
            <w:tcW w:w="1910" w:type="pct"/>
            <w:gridSpan w:val="3"/>
            <w:tcBorders>
              <w:top w:val="single" w:sz="8" w:space="0" w:color="auto"/>
              <w:left w:val="nil"/>
              <w:bottom w:val="single" w:sz="4" w:space="0" w:color="auto"/>
              <w:right w:val="single" w:sz="8" w:space="0" w:color="000000"/>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2011</w:t>
            </w:r>
          </w:p>
        </w:tc>
      </w:tr>
      <w:tr w:rsidR="005E2D6E" w:rsidRPr="00A07D0A" w:rsidTr="004216A7">
        <w:trPr>
          <w:trHeight w:val="288"/>
        </w:trPr>
        <w:tc>
          <w:tcPr>
            <w:tcW w:w="1180" w:type="pct"/>
            <w:gridSpan w:val="2"/>
            <w:vMerge/>
            <w:tcBorders>
              <w:top w:val="single" w:sz="8" w:space="0" w:color="auto"/>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Score &lt; 2,2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Renters</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Total</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Score &lt; 2,2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Renters</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Total</w:t>
            </w:r>
          </w:p>
        </w:tc>
      </w:tr>
      <w:tr w:rsidR="005E2D6E" w:rsidRPr="00A07D0A" w:rsidTr="004216A7">
        <w:trPr>
          <w:trHeight w:val="300"/>
        </w:trPr>
        <w:tc>
          <w:tcPr>
            <w:tcW w:w="1180" w:type="pct"/>
            <w:gridSpan w:val="2"/>
            <w:tcBorders>
              <w:top w:val="single" w:sz="4"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Total of respondents</w:t>
            </w:r>
          </w:p>
        </w:tc>
        <w:tc>
          <w:tcPr>
            <w:tcW w:w="637" w:type="pct"/>
            <w:tcBorders>
              <w:top w:val="nil"/>
              <w:left w:val="single" w:sz="8" w:space="0" w:color="auto"/>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11,4%</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29,6%</w:t>
            </w:r>
          </w:p>
        </w:tc>
        <w:tc>
          <w:tcPr>
            <w:tcW w:w="637"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15,6%</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29,2%</w:t>
            </w:r>
          </w:p>
        </w:tc>
        <w:tc>
          <w:tcPr>
            <w:tcW w:w="636"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r>
      <w:tr w:rsidR="005E2D6E" w:rsidRPr="00A07D0A" w:rsidTr="004216A7">
        <w:trPr>
          <w:trHeight w:val="288"/>
        </w:trPr>
        <w:tc>
          <w:tcPr>
            <w:tcW w:w="589"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Housing tenure</w:t>
            </w:r>
          </w:p>
        </w:tc>
        <w:tc>
          <w:tcPr>
            <w:tcW w:w="590" w:type="pct"/>
            <w:tcBorders>
              <w:top w:val="single" w:sz="8" w:space="0" w:color="auto"/>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Owner</w:t>
            </w:r>
          </w:p>
        </w:tc>
        <w:tc>
          <w:tcPr>
            <w:tcW w:w="637"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26,8%</w:t>
            </w:r>
          </w:p>
        </w:tc>
        <w:tc>
          <w:tcPr>
            <w:tcW w:w="637" w:type="pct"/>
            <w:tcBorders>
              <w:top w:val="single" w:sz="8" w:space="0" w:color="auto"/>
              <w:left w:val="nil"/>
              <w:bottom w:val="single" w:sz="4" w:space="0" w:color="auto"/>
              <w:right w:val="single" w:sz="4" w:space="0" w:color="auto"/>
            </w:tcBorders>
            <w:shd w:val="clear" w:color="000000" w:fill="D9D9D9"/>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c>
          <w:tcPr>
            <w:tcW w:w="637"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70,4%</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7,1%</w:t>
            </w:r>
          </w:p>
        </w:tc>
        <w:tc>
          <w:tcPr>
            <w:tcW w:w="637" w:type="pct"/>
            <w:tcBorders>
              <w:top w:val="single" w:sz="8" w:space="0" w:color="auto"/>
              <w:left w:val="nil"/>
              <w:bottom w:val="single" w:sz="4" w:space="0" w:color="auto"/>
              <w:right w:val="single" w:sz="4" w:space="0" w:color="auto"/>
            </w:tcBorders>
            <w:shd w:val="clear" w:color="000000" w:fill="D9D9D9"/>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c>
          <w:tcPr>
            <w:tcW w:w="636"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70,8%</w:t>
            </w:r>
          </w:p>
        </w:tc>
      </w:tr>
      <w:tr w:rsidR="005E2D6E" w:rsidRPr="00A07D0A" w:rsidTr="004216A7">
        <w:trPr>
          <w:trHeight w:val="300"/>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Renter</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73,2%</w:t>
            </w:r>
          </w:p>
        </w:tc>
        <w:tc>
          <w:tcPr>
            <w:tcW w:w="637" w:type="pct"/>
            <w:tcBorders>
              <w:top w:val="nil"/>
              <w:left w:val="nil"/>
              <w:bottom w:val="single" w:sz="8" w:space="0" w:color="auto"/>
              <w:right w:val="single" w:sz="4" w:space="0" w:color="auto"/>
            </w:tcBorders>
            <w:shd w:val="clear" w:color="000000" w:fill="D9D9D9"/>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29,6%</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92,9%</w:t>
            </w:r>
          </w:p>
        </w:tc>
        <w:tc>
          <w:tcPr>
            <w:tcW w:w="637" w:type="pct"/>
            <w:tcBorders>
              <w:top w:val="nil"/>
              <w:left w:val="nil"/>
              <w:bottom w:val="single" w:sz="8" w:space="0" w:color="auto"/>
              <w:right w:val="single" w:sz="4" w:space="0" w:color="auto"/>
            </w:tcBorders>
            <w:shd w:val="clear" w:color="000000" w:fill="D9D9D9"/>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29,2%</w:t>
            </w:r>
          </w:p>
        </w:tc>
      </w:tr>
      <w:tr w:rsidR="005E2D6E" w:rsidRPr="00A07D0A" w:rsidTr="004216A7">
        <w:trPr>
          <w:trHeight w:val="288"/>
        </w:trPr>
        <w:tc>
          <w:tcPr>
            <w:tcW w:w="589" w:type="pct"/>
            <w:vMerge w:val="restar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val="en-GB" w:eastAsia="fr-BE"/>
              </w:rPr>
            </w:pPr>
            <w:r w:rsidRPr="00A07D0A">
              <w:rPr>
                <w:rFonts w:ascii="Calibri" w:eastAsia="Times New Roman" w:hAnsi="Calibri" w:cs="Calibri"/>
                <w:color w:val="000000"/>
                <w:sz w:val="16"/>
                <w:szCs w:val="16"/>
                <w:lang w:val="en-GB" w:eastAsia="fr-BE"/>
              </w:rPr>
              <w:t>Density of occupation (m² per habitant)</w:t>
            </w: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Lower than 10m²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5,7%</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9,7%</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5,3%</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 to 14,9m²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8,3%</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12,5%</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9,9%</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 to 19,9m²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17,0%</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10,1%</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10,5%</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20 to 24,9m²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10,8%</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18,0%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14,4%</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19,6%</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 to 29,9m²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14,8%</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25,7%</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16,6%</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17,4%</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30 to 36,9m²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12,9%</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9,8%</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37 to 47,9m²</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18,3%</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15,6%</w:t>
            </w:r>
          </w:p>
        </w:tc>
      </w:tr>
      <w:tr w:rsidR="005E2D6E" w:rsidRPr="00A07D0A" w:rsidTr="004216A7">
        <w:trPr>
          <w:trHeight w:val="300"/>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nil"/>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49m² or more</w:t>
            </w:r>
          </w:p>
        </w:tc>
        <w:tc>
          <w:tcPr>
            <w:tcW w:w="637" w:type="pct"/>
            <w:tcBorders>
              <w:top w:val="nil"/>
              <w:left w:val="single" w:sz="8" w:space="0" w:color="auto"/>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11,0%</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15,1%</w:t>
            </w:r>
          </w:p>
        </w:tc>
        <w:tc>
          <w:tcPr>
            <w:tcW w:w="637"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12,2%</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8,5%</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13,9%</w:t>
            </w:r>
          </w:p>
        </w:tc>
        <w:tc>
          <w:tcPr>
            <w:tcW w:w="636"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11,9%</w:t>
            </w:r>
          </w:p>
        </w:tc>
      </w:tr>
      <w:tr w:rsidR="005E2D6E" w:rsidRPr="00A07D0A" w:rsidTr="004216A7">
        <w:trPr>
          <w:trHeight w:val="288"/>
        </w:trPr>
        <w:tc>
          <w:tcPr>
            <w:tcW w:w="589"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Presence of a bathroom</w:t>
            </w:r>
          </w:p>
        </w:tc>
        <w:tc>
          <w:tcPr>
            <w:tcW w:w="590" w:type="pct"/>
            <w:tcBorders>
              <w:top w:val="single" w:sz="8" w:space="0" w:color="auto"/>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Yes</w:t>
            </w:r>
          </w:p>
        </w:tc>
        <w:tc>
          <w:tcPr>
            <w:tcW w:w="637"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43,2%</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87,2%</w:t>
            </w:r>
          </w:p>
        </w:tc>
        <w:tc>
          <w:tcPr>
            <w:tcW w:w="637"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91,5%</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93,3%</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98,7%</w:t>
            </w:r>
          </w:p>
        </w:tc>
        <w:tc>
          <w:tcPr>
            <w:tcW w:w="636"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98,8%</w:t>
            </w:r>
          </w:p>
        </w:tc>
      </w:tr>
      <w:tr w:rsidR="005E2D6E" w:rsidRPr="00A07D0A" w:rsidTr="004216A7">
        <w:trPr>
          <w:trHeight w:val="300"/>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No</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56,8%</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12,8%</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8,5%</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6,7%</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w:t>
            </w:r>
          </w:p>
        </w:tc>
      </w:tr>
      <w:tr w:rsidR="005E2D6E" w:rsidRPr="00A07D0A" w:rsidTr="004216A7">
        <w:trPr>
          <w:trHeight w:val="288"/>
        </w:trPr>
        <w:tc>
          <w:tcPr>
            <w:tcW w:w="589" w:type="pct"/>
            <w:vMerge w:val="restart"/>
            <w:tcBorders>
              <w:top w:val="nil"/>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Presence of central heating</w:t>
            </w: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Yes</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56,1%</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63,6%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68,6%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86,1%</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86,7%</w:t>
            </w:r>
          </w:p>
        </w:tc>
      </w:tr>
      <w:tr w:rsidR="005E2D6E" w:rsidRPr="00A07D0A" w:rsidTr="004216A7">
        <w:trPr>
          <w:trHeight w:val="300"/>
        </w:trPr>
        <w:tc>
          <w:tcPr>
            <w:tcW w:w="589" w:type="pct"/>
            <w:vMerge/>
            <w:tcBorders>
              <w:top w:val="nil"/>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No</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88,0%</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43,9%</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36,4%</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31,4%</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13,9%</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13,3%</w:t>
            </w:r>
          </w:p>
        </w:tc>
      </w:tr>
      <w:tr w:rsidR="005E2D6E" w:rsidRPr="00A07D0A" w:rsidTr="004216A7">
        <w:trPr>
          <w:trHeight w:val="288"/>
        </w:trPr>
        <w:tc>
          <w:tcPr>
            <w:tcW w:w="589" w:type="pct"/>
            <w:vMerge w:val="restar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lastRenderedPageBreak/>
              <w:t>Age</w:t>
            </w: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Under 20</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31,0%</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23,6%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25,7%</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31,1%</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21,3%</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20-29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31,5%</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12,3%</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30-39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39,7%</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41,9%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12,9%</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40-49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26,3%</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29,8%</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13,2%</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50-59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22,9%</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25,2%</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13,5%</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60-69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22,6%</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22,7%</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11,2%</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70-79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27,6%</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21,3%</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7,6%</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80-89</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20,3%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31,1%</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23,7%</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5,8%</w:t>
            </w:r>
          </w:p>
        </w:tc>
      </w:tr>
      <w:tr w:rsidR="005E2D6E" w:rsidRPr="00A07D0A" w:rsidTr="004216A7">
        <w:trPr>
          <w:trHeight w:val="300"/>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nil"/>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90 and more</w:t>
            </w:r>
          </w:p>
        </w:tc>
        <w:tc>
          <w:tcPr>
            <w:tcW w:w="637" w:type="pct"/>
            <w:tcBorders>
              <w:top w:val="nil"/>
              <w:left w:val="single" w:sz="8" w:space="0" w:color="auto"/>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21,5%</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37,0%</w:t>
            </w:r>
          </w:p>
        </w:tc>
        <w:tc>
          <w:tcPr>
            <w:tcW w:w="637"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2,4%</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8,5%</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28,9%</w:t>
            </w:r>
          </w:p>
        </w:tc>
        <w:tc>
          <w:tcPr>
            <w:tcW w:w="636"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2,3%</w:t>
            </w:r>
          </w:p>
        </w:tc>
      </w:tr>
      <w:tr w:rsidR="005E2D6E" w:rsidRPr="00A07D0A" w:rsidTr="004216A7">
        <w:trPr>
          <w:trHeight w:val="288"/>
        </w:trPr>
        <w:tc>
          <w:tcPr>
            <w:tcW w:w="589"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Nationality</w:t>
            </w:r>
          </w:p>
        </w:tc>
        <w:tc>
          <w:tcPr>
            <w:tcW w:w="590" w:type="pct"/>
            <w:tcBorders>
              <w:top w:val="single" w:sz="8" w:space="0" w:color="auto"/>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Belgian</w:t>
            </w:r>
          </w:p>
        </w:tc>
        <w:tc>
          <w:tcPr>
            <w:tcW w:w="637"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9,9%</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27,7%</w:t>
            </w:r>
          </w:p>
        </w:tc>
        <w:tc>
          <w:tcPr>
            <w:tcW w:w="637"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81,7%</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12,8%</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25,9%</w:t>
            </w:r>
          </w:p>
        </w:tc>
        <w:tc>
          <w:tcPr>
            <w:tcW w:w="636"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80,3%</w:t>
            </w:r>
          </w:p>
        </w:tc>
      </w:tr>
      <w:tr w:rsidR="005E2D6E" w:rsidRPr="00A07D0A" w:rsidTr="004216A7">
        <w:trPr>
          <w:trHeight w:val="40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European (non Belgian)</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43,1%</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24,6%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50,7%</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6,5%</w:t>
            </w:r>
          </w:p>
        </w:tc>
      </w:tr>
      <w:tr w:rsidR="005E2D6E" w:rsidRPr="00A07D0A" w:rsidTr="004216A7">
        <w:trPr>
          <w:trHeight w:val="300"/>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Non-European</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8,1%</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61,7%</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12,9%</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8,5%</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73,7%</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13,2%</w:t>
            </w:r>
          </w:p>
        </w:tc>
      </w:tr>
      <w:tr w:rsidR="005E2D6E" w:rsidRPr="00A07D0A" w:rsidTr="004216A7">
        <w:trPr>
          <w:trHeight w:val="288"/>
        </w:trPr>
        <w:tc>
          <w:tcPr>
            <w:tcW w:w="589" w:type="pct"/>
            <w:vMerge w:val="restar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Region</w:t>
            </w: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Flanders</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9,7%</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25,9%</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59,7%</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24,2%</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59,7%</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Wallonia</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29,4%</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30,4%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18,9%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29,8%</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29,7%</w:t>
            </w:r>
          </w:p>
        </w:tc>
      </w:tr>
      <w:tr w:rsidR="005E2D6E" w:rsidRPr="00A07D0A" w:rsidTr="004216A7">
        <w:trPr>
          <w:trHeight w:val="300"/>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nil"/>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Brussels</w:t>
            </w:r>
          </w:p>
        </w:tc>
        <w:tc>
          <w:tcPr>
            <w:tcW w:w="637" w:type="pct"/>
            <w:tcBorders>
              <w:top w:val="nil"/>
              <w:left w:val="single" w:sz="8" w:space="0" w:color="auto"/>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16,4%</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55,9%</w:t>
            </w:r>
          </w:p>
        </w:tc>
        <w:tc>
          <w:tcPr>
            <w:tcW w:w="637"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9,9%</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28,0%</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56,5%</w:t>
            </w:r>
          </w:p>
        </w:tc>
        <w:tc>
          <w:tcPr>
            <w:tcW w:w="636"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10,6%</w:t>
            </w:r>
          </w:p>
        </w:tc>
      </w:tr>
      <w:tr w:rsidR="005E2D6E" w:rsidRPr="00A07D0A" w:rsidTr="004216A7">
        <w:trPr>
          <w:trHeight w:val="288"/>
        </w:trPr>
        <w:tc>
          <w:tcPr>
            <w:tcW w:w="589"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Marital Status</w:t>
            </w:r>
          </w:p>
        </w:tc>
        <w:tc>
          <w:tcPr>
            <w:tcW w:w="590" w:type="pct"/>
            <w:tcBorders>
              <w:top w:val="single" w:sz="8" w:space="0" w:color="auto"/>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Single</w:t>
            </w:r>
          </w:p>
        </w:tc>
        <w:tc>
          <w:tcPr>
            <w:tcW w:w="637"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12,3%</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31,6%</w:t>
            </w:r>
          </w:p>
        </w:tc>
        <w:tc>
          <w:tcPr>
            <w:tcW w:w="637"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38,5%</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20,5%</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33,8%</w:t>
            </w:r>
          </w:p>
        </w:tc>
        <w:tc>
          <w:tcPr>
            <w:tcW w:w="636"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43,9%</w:t>
            </w:r>
          </w:p>
        </w:tc>
      </w:tr>
      <w:tr w:rsidR="005E2D6E" w:rsidRPr="00A07D0A" w:rsidTr="004216A7">
        <w:trPr>
          <w:trHeight w:val="28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Married</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25,5%</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50,1%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11,0%</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19,6%</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40,3%</w:t>
            </w:r>
          </w:p>
        </w:tc>
      </w:tr>
      <w:tr w:rsidR="005E2D6E" w:rsidRPr="00A07D0A" w:rsidTr="004216A7">
        <w:trPr>
          <w:trHeight w:val="28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Divorced</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33,4%</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29,8%</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6,5%</w:t>
            </w:r>
          </w:p>
        </w:tc>
      </w:tr>
      <w:tr w:rsidR="005E2D6E" w:rsidRPr="00A07D0A" w:rsidTr="004216A7">
        <w:trPr>
          <w:trHeight w:val="300"/>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Widow, widower</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17,1%</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56,8%</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3,8%</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18,2%</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48,9%</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9,3%</w:t>
            </w:r>
          </w:p>
        </w:tc>
      </w:tr>
      <w:tr w:rsidR="005E2D6E" w:rsidRPr="00A07D0A" w:rsidTr="004216A7">
        <w:trPr>
          <w:trHeight w:val="288"/>
        </w:trPr>
        <w:tc>
          <w:tcPr>
            <w:tcW w:w="589" w:type="pct"/>
            <w:vMerge w:val="restar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Education</w:t>
            </w: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No, primary</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31,4%</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43,2%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32,0%</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16,9%</w:t>
            </w:r>
          </w:p>
        </w:tc>
      </w:tr>
      <w:tr w:rsidR="005E2D6E" w:rsidRPr="00A07D0A" w:rsidTr="004216A7">
        <w:trPr>
          <w:trHeight w:val="288"/>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Secondary</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8,3%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28,5%</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40,5%</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55,6%</w:t>
            </w:r>
          </w:p>
        </w:tc>
      </w:tr>
      <w:tr w:rsidR="005E2D6E" w:rsidRPr="00A07D0A" w:rsidTr="004216A7">
        <w:trPr>
          <w:trHeight w:val="300"/>
        </w:trPr>
        <w:tc>
          <w:tcPr>
            <w:tcW w:w="589" w:type="pct"/>
            <w:vMerge/>
            <w:tcBorders>
              <w:top w:val="nil"/>
              <w:left w:val="single" w:sz="8" w:space="0" w:color="auto"/>
              <w:bottom w:val="single" w:sz="4" w:space="0" w:color="auto"/>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nil"/>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 xml:space="preserve">Higher </w:t>
            </w:r>
          </w:p>
        </w:tc>
        <w:tc>
          <w:tcPr>
            <w:tcW w:w="637" w:type="pct"/>
            <w:tcBorders>
              <w:top w:val="nil"/>
              <w:left w:val="single" w:sz="8" w:space="0" w:color="auto"/>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3,6%</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27,6%</w:t>
            </w:r>
          </w:p>
        </w:tc>
        <w:tc>
          <w:tcPr>
            <w:tcW w:w="637"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16,3%</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7,1%</w:t>
            </w:r>
          </w:p>
        </w:tc>
        <w:tc>
          <w:tcPr>
            <w:tcW w:w="637" w:type="pct"/>
            <w:tcBorders>
              <w:top w:val="nil"/>
              <w:left w:val="nil"/>
              <w:bottom w:val="nil"/>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19,0%</w:t>
            </w:r>
          </w:p>
        </w:tc>
        <w:tc>
          <w:tcPr>
            <w:tcW w:w="636" w:type="pct"/>
            <w:tcBorders>
              <w:top w:val="nil"/>
              <w:left w:val="nil"/>
              <w:bottom w:val="nil"/>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27,5%</w:t>
            </w:r>
          </w:p>
        </w:tc>
      </w:tr>
      <w:tr w:rsidR="005E2D6E" w:rsidRPr="00A07D0A" w:rsidTr="004216A7">
        <w:trPr>
          <w:trHeight w:val="288"/>
        </w:trPr>
        <w:tc>
          <w:tcPr>
            <w:tcW w:w="589"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Socio-professional category</w:t>
            </w:r>
          </w:p>
        </w:tc>
        <w:tc>
          <w:tcPr>
            <w:tcW w:w="590" w:type="pct"/>
            <w:tcBorders>
              <w:top w:val="single" w:sz="8" w:space="0" w:color="auto"/>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Unemployed</w:t>
            </w:r>
          </w:p>
        </w:tc>
        <w:tc>
          <w:tcPr>
            <w:tcW w:w="637"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17,2%</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35,2%</w:t>
            </w:r>
          </w:p>
        </w:tc>
        <w:tc>
          <w:tcPr>
            <w:tcW w:w="637"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16,0%</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21,3%</w:t>
            </w:r>
          </w:p>
        </w:tc>
        <w:tc>
          <w:tcPr>
            <w:tcW w:w="637" w:type="pct"/>
            <w:tcBorders>
              <w:top w:val="single" w:sz="8" w:space="0" w:color="auto"/>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38,3%</w:t>
            </w:r>
          </w:p>
        </w:tc>
        <w:tc>
          <w:tcPr>
            <w:tcW w:w="636" w:type="pct"/>
            <w:tcBorders>
              <w:top w:val="single" w:sz="8" w:space="0" w:color="auto"/>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29,2%</w:t>
            </w:r>
          </w:p>
        </w:tc>
      </w:tr>
      <w:tr w:rsidR="005E2D6E" w:rsidRPr="00A07D0A" w:rsidTr="004216A7">
        <w:trPr>
          <w:trHeight w:val="28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Retired</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13,9%</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26,8%</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33,1%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22,7%</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23,2%</w:t>
            </w:r>
          </w:p>
        </w:tc>
      </w:tr>
      <w:tr w:rsidR="005E2D6E" w:rsidRPr="00A07D0A" w:rsidTr="004216A7">
        <w:trPr>
          <w:trHeight w:val="28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Manual worker</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32,4%</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13,6%</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19,2%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34,9%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14,7%</w:t>
            </w:r>
          </w:p>
        </w:tc>
      </w:tr>
      <w:tr w:rsidR="005E2D6E" w:rsidRPr="00A07D0A" w:rsidTr="004216A7">
        <w:trPr>
          <w:trHeight w:val="28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Independent</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6,1%</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27,2%</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10,3%</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22,9%</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4,7%</w:t>
            </w:r>
          </w:p>
        </w:tc>
      </w:tr>
      <w:tr w:rsidR="005E2D6E" w:rsidRPr="00A07D0A" w:rsidTr="004216A7">
        <w:trPr>
          <w:trHeight w:val="408"/>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4"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Employed (public)</w:t>
            </w:r>
          </w:p>
        </w:tc>
        <w:tc>
          <w:tcPr>
            <w:tcW w:w="637" w:type="pct"/>
            <w:tcBorders>
              <w:top w:val="nil"/>
              <w:left w:val="single" w:sz="8" w:space="0" w:color="auto"/>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7,2%</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27,5%</w:t>
            </w:r>
          </w:p>
        </w:tc>
        <w:tc>
          <w:tcPr>
            <w:tcW w:w="637"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14,4%</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5,8%</w:t>
            </w:r>
          </w:p>
        </w:tc>
        <w:tc>
          <w:tcPr>
            <w:tcW w:w="637" w:type="pct"/>
            <w:tcBorders>
              <w:top w:val="nil"/>
              <w:left w:val="nil"/>
              <w:bottom w:val="single" w:sz="4"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15,0%</w:t>
            </w:r>
          </w:p>
        </w:tc>
        <w:tc>
          <w:tcPr>
            <w:tcW w:w="636" w:type="pct"/>
            <w:tcBorders>
              <w:top w:val="nil"/>
              <w:left w:val="nil"/>
              <w:bottom w:val="single" w:sz="4"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6,5%</w:t>
            </w:r>
          </w:p>
        </w:tc>
      </w:tr>
      <w:tr w:rsidR="005E2D6E" w:rsidRPr="00A07D0A" w:rsidTr="004216A7">
        <w:trPr>
          <w:trHeight w:val="420"/>
        </w:trPr>
        <w:tc>
          <w:tcPr>
            <w:tcW w:w="589" w:type="pct"/>
            <w:vMerge/>
            <w:tcBorders>
              <w:top w:val="single" w:sz="8" w:space="0" w:color="auto"/>
              <w:left w:val="single" w:sz="8" w:space="0" w:color="auto"/>
              <w:bottom w:val="single" w:sz="8" w:space="0" w:color="000000"/>
              <w:right w:val="single" w:sz="4" w:space="0" w:color="auto"/>
            </w:tcBorders>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p>
        </w:tc>
        <w:tc>
          <w:tcPr>
            <w:tcW w:w="590" w:type="pct"/>
            <w:tcBorders>
              <w:top w:val="nil"/>
              <w:left w:val="nil"/>
              <w:bottom w:val="single" w:sz="8" w:space="0" w:color="auto"/>
              <w:right w:val="nil"/>
            </w:tcBorders>
            <w:shd w:val="clear" w:color="auto" w:fill="auto"/>
            <w:vAlign w:val="center"/>
            <w:hideMark/>
          </w:tcPr>
          <w:p w:rsidR="005E2D6E" w:rsidRPr="00A07D0A" w:rsidRDefault="005E2D6E" w:rsidP="004216A7">
            <w:pPr>
              <w:spacing w:after="0" w:line="240" w:lineRule="auto"/>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Employed (private)</w:t>
            </w:r>
          </w:p>
        </w:tc>
        <w:tc>
          <w:tcPr>
            <w:tcW w:w="637" w:type="pct"/>
            <w:tcBorders>
              <w:top w:val="nil"/>
              <w:left w:val="single" w:sz="8" w:space="0" w:color="auto"/>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5,4%</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30,5%</w:t>
            </w:r>
          </w:p>
        </w:tc>
        <w:tc>
          <w:tcPr>
            <w:tcW w:w="637"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15,0%</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9,9%</w:t>
            </w:r>
          </w:p>
        </w:tc>
        <w:tc>
          <w:tcPr>
            <w:tcW w:w="637" w:type="pct"/>
            <w:tcBorders>
              <w:top w:val="nil"/>
              <w:left w:val="nil"/>
              <w:bottom w:val="single" w:sz="8" w:space="0" w:color="auto"/>
              <w:right w:val="single" w:sz="4"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23,5%</w:t>
            </w:r>
          </w:p>
        </w:tc>
        <w:tc>
          <w:tcPr>
            <w:tcW w:w="636" w:type="pct"/>
            <w:tcBorders>
              <w:top w:val="nil"/>
              <w:left w:val="nil"/>
              <w:bottom w:val="single" w:sz="8" w:space="0" w:color="auto"/>
              <w:right w:val="single" w:sz="8" w:space="0" w:color="auto"/>
            </w:tcBorders>
            <w:shd w:val="clear" w:color="auto" w:fill="auto"/>
            <w:vAlign w:val="center"/>
            <w:hideMark/>
          </w:tcPr>
          <w:p w:rsidR="005E2D6E" w:rsidRPr="00A07D0A" w:rsidRDefault="005E2D6E" w:rsidP="004216A7">
            <w:pPr>
              <w:spacing w:after="0" w:line="240" w:lineRule="auto"/>
              <w:jc w:val="center"/>
              <w:rPr>
                <w:rFonts w:ascii="Calibri" w:eastAsia="Times New Roman" w:hAnsi="Calibri" w:cs="Calibri"/>
                <w:color w:val="000000"/>
                <w:sz w:val="16"/>
                <w:szCs w:val="16"/>
                <w:lang w:eastAsia="fr-BE"/>
              </w:rPr>
            </w:pPr>
            <w:r w:rsidRPr="00A07D0A">
              <w:rPr>
                <w:rFonts w:ascii="Calibri" w:eastAsia="Times New Roman" w:hAnsi="Calibri" w:cs="Calibri"/>
                <w:color w:val="000000"/>
                <w:sz w:val="16"/>
                <w:szCs w:val="16"/>
                <w:lang w:eastAsia="fr-BE"/>
              </w:rPr>
              <w:t>21,7%</w:t>
            </w:r>
          </w:p>
        </w:tc>
      </w:tr>
    </w:tbl>
    <w:p w:rsidR="005E2D6E" w:rsidRPr="00E30342" w:rsidRDefault="005E2D6E" w:rsidP="005E2D6E">
      <w:pPr>
        <w:jc w:val="both"/>
        <w:rPr>
          <w:rFonts w:ascii="Times New Roman" w:hAnsi="Times New Roman" w:cs="Times New Roman"/>
          <w:sz w:val="20"/>
          <w:szCs w:val="20"/>
          <w:lang w:val="en-US" w:eastAsia="en-GB"/>
        </w:rPr>
      </w:pPr>
      <w:r w:rsidRPr="00E30342">
        <w:rPr>
          <w:rFonts w:ascii="Times New Roman" w:hAnsi="Times New Roman" w:cs="Times New Roman"/>
          <w:sz w:val="20"/>
          <w:szCs w:val="20"/>
          <w:lang w:val="en-US" w:eastAsia="en-GB"/>
        </w:rPr>
        <w:t xml:space="preserve">Note : </w:t>
      </w:r>
      <w:r>
        <w:rPr>
          <w:rFonts w:ascii="Times New Roman" w:hAnsi="Times New Roman" w:cs="Times New Roman"/>
          <w:sz w:val="20"/>
          <w:szCs w:val="20"/>
          <w:lang w:val="en-US" w:eastAsia="en-GB"/>
        </w:rPr>
        <w:t>I</w:t>
      </w:r>
      <w:r w:rsidRPr="00E30342">
        <w:rPr>
          <w:rFonts w:ascii="Times New Roman" w:hAnsi="Times New Roman" w:cs="Times New Roman"/>
          <w:sz w:val="20"/>
          <w:szCs w:val="20"/>
          <w:lang w:val="en-US" w:eastAsia="en-GB"/>
        </w:rPr>
        <w:t xml:space="preserve">n 1991, 1084894 persons lived in under 2,2 quality score housing, 2786662 were renters, out of a 11094032 total population. In 2011, 1596193 persons lived in under 2,2 quality score housing, 3124143 were renters and the total population counted 12251199 individuals. </w:t>
      </w:r>
    </w:p>
    <w:p w:rsidR="005E2D6E" w:rsidRPr="00730EBC" w:rsidRDefault="005E2D6E" w:rsidP="005E2D6E">
      <w:pPr>
        <w:pStyle w:val="Paragraph"/>
        <w:ind w:firstLine="708"/>
        <w:jc w:val="both"/>
      </w:pPr>
      <w:r>
        <w:t xml:space="preserve">In 2011, 62% of people living in Belgium were homeowners, and 26% were tenants. For remaining 12%, housing information was missing. These proportions seem stable over time, since already in 1991, Belgium had 60% of owners and 25% of tenants. Tenants have on average lower quality housing compared to owners, due to lack of bathroom, central heating, or higher occupancy density. Tenants were on average younger, more often foreigners, living in Brussels, and were less often married than owners. At the same time, tenants were on average better endowed than the total population, in terms of education and employment levels.  </w:t>
      </w:r>
    </w:p>
    <w:p w:rsidR="005E2D6E" w:rsidRDefault="005E2D6E" w:rsidP="005E2D6E">
      <w:pPr>
        <w:jc w:val="both"/>
        <w:rPr>
          <w:rFonts w:ascii="Times New Roman" w:hAnsi="Times New Roman" w:cs="Times New Roman"/>
          <w:sz w:val="24"/>
          <w:szCs w:val="24"/>
          <w:lang w:val="en-US"/>
        </w:rPr>
      </w:pPr>
    </w:p>
    <w:p w:rsidR="005E2D6E" w:rsidRPr="00CE5984" w:rsidRDefault="005E2D6E" w:rsidP="005E2D6E">
      <w:pPr>
        <w:pStyle w:val="Titre2"/>
        <w:rPr>
          <w:rFonts w:ascii="Times New Roman" w:hAnsi="Times New Roman" w:cs="Times New Roman"/>
          <w:b/>
          <w:i/>
          <w:color w:val="000000" w:themeColor="text1"/>
          <w:sz w:val="24"/>
          <w:szCs w:val="24"/>
          <w:lang w:val="en-US"/>
        </w:rPr>
      </w:pPr>
      <w:r w:rsidRPr="00CE5984">
        <w:rPr>
          <w:rFonts w:ascii="Times New Roman" w:hAnsi="Times New Roman" w:cs="Times New Roman"/>
          <w:b/>
          <w:i/>
          <w:color w:val="000000" w:themeColor="text1"/>
          <w:sz w:val="24"/>
          <w:szCs w:val="24"/>
          <w:lang w:val="en-US"/>
        </w:rPr>
        <w:t>Life expectancies at birth according to housing conditions</w:t>
      </w:r>
    </w:p>
    <w:p w:rsidR="005E2D6E" w:rsidRDefault="005E2D6E" w:rsidP="005E2D6E">
      <w:pPr>
        <w:pStyle w:val="Paragraph"/>
        <w:jc w:val="both"/>
      </w:pPr>
      <w:r w:rsidRPr="006A52C5">
        <w:t xml:space="preserve">On average, homeowners live longer than tenants, for both </w:t>
      </w:r>
      <w:r>
        <w:t>men and women</w:t>
      </w:r>
      <w:r w:rsidRPr="006A52C5">
        <w:t xml:space="preserve"> (Table </w:t>
      </w:r>
      <w:r>
        <w:t>2</w:t>
      </w:r>
      <w:r w:rsidRPr="006A52C5">
        <w:t xml:space="preserve">). </w:t>
      </w:r>
      <w:r>
        <w:t>For the period 2011-2015, male</w:t>
      </w:r>
      <w:r w:rsidRPr="006A52C5">
        <w:t xml:space="preserve"> homeowners can expect to live 79.9 years, compared to 74.2 years for tenants. For women, a life expectancy of 84.8 years for homeowners is compared to 81.0 years for tenants. Over the period 2011-2015, we can therefore observe a gap of 5.7 years in life expectancy between homeowners and tenants for men and 3.8 years for women. </w:t>
      </w:r>
      <w:r>
        <w:t>O</w:t>
      </w:r>
      <w:r w:rsidRPr="006A52C5">
        <w:t>ver the period 1992-1996, these gaps were</w:t>
      </w:r>
      <w:r>
        <w:t xml:space="preserve"> smaller,</w:t>
      </w:r>
      <w:r w:rsidRPr="006A52C5">
        <w:t xml:space="preserve"> respectively 4.2 years and 2.4 years (Table </w:t>
      </w:r>
      <w:r>
        <w:t>2</w:t>
      </w:r>
      <w:r w:rsidRPr="006A52C5">
        <w:t>). Life expectancy gaps by occupation status tend to widen</w:t>
      </w:r>
      <w:r>
        <w:t xml:space="preserve"> and follow the trends of other socioeconomic factors</w:t>
      </w:r>
      <w:r w:rsidRPr="006A52C5">
        <w:t>.</w:t>
      </w:r>
      <w:r>
        <w:t xml:space="preserve"> This partially confirms</w:t>
      </w:r>
      <w:r w:rsidRPr="006A52C5">
        <w:t xml:space="preserve"> </w:t>
      </w:r>
      <w:r>
        <w:t>our first hypothesis.</w:t>
      </w:r>
    </w:p>
    <w:p w:rsidR="005E2D6E" w:rsidRPr="003D6832" w:rsidRDefault="005E2D6E" w:rsidP="005E2D6E">
      <w:pPr>
        <w:pStyle w:val="Paragraph"/>
        <w:ind w:firstLine="708"/>
        <w:jc w:val="both"/>
      </w:pPr>
      <w:r w:rsidRPr="00DB334C">
        <w:rPr>
          <w:lang w:val="en-US"/>
        </w:rPr>
        <w:t xml:space="preserve">Analyses relied on population quartiles defined by housing quality, i.e. four population groups according to their housing score, almost identical in size. Thus the first quartile includes the 25% of the population with the lowest housing score and the 4th quartile represents the 25% of the population with the best housing. Over the period 2011-2015, men in the first quartile could expect to live an average of 75.5 years, compared to 79.2 years for men in the last quartile, a difference of 3.7 years (Table </w:t>
      </w:r>
      <w:r>
        <w:rPr>
          <w:lang w:val="en-US"/>
        </w:rPr>
        <w:t>2</w:t>
      </w:r>
      <w:r w:rsidRPr="00DB334C">
        <w:rPr>
          <w:lang w:val="en-US"/>
        </w:rPr>
        <w:t xml:space="preserve">). </w:t>
      </w:r>
      <w:r>
        <w:rPr>
          <w:lang w:val="en-US"/>
        </w:rPr>
        <w:t>Women living in poorer housing conditions</w:t>
      </w:r>
      <w:r w:rsidRPr="00DB334C">
        <w:rPr>
          <w:lang w:val="en-US"/>
        </w:rPr>
        <w:t xml:space="preserve"> have a life expectancy shortened by 3.3 years compared </w:t>
      </w:r>
      <w:r>
        <w:rPr>
          <w:lang w:val="en-US"/>
        </w:rPr>
        <w:t xml:space="preserve">those living in high housing conditions </w:t>
      </w:r>
      <w:r w:rsidRPr="00DB334C">
        <w:rPr>
          <w:lang w:val="en-US"/>
        </w:rPr>
        <w:t xml:space="preserve">(81.2 years compared to 84.6 years). </w:t>
      </w:r>
      <w:r>
        <w:rPr>
          <w:lang w:val="en-US"/>
        </w:rPr>
        <w:t>T</w:t>
      </w:r>
      <w:r w:rsidRPr="00DB334C">
        <w:rPr>
          <w:lang w:val="en-US"/>
        </w:rPr>
        <w:t xml:space="preserve">hese gaps between </w:t>
      </w:r>
      <w:r>
        <w:rPr>
          <w:lang w:val="en-US"/>
        </w:rPr>
        <w:t>first and fourth housing score quartiles</w:t>
      </w:r>
      <w:r w:rsidRPr="00DB334C">
        <w:rPr>
          <w:lang w:val="en-US"/>
        </w:rPr>
        <w:t xml:space="preserve"> </w:t>
      </w:r>
      <w:r>
        <w:rPr>
          <w:lang w:val="en-US"/>
        </w:rPr>
        <w:t>have</w:t>
      </w:r>
      <w:r w:rsidRPr="00DB334C">
        <w:rPr>
          <w:lang w:val="en-US"/>
        </w:rPr>
        <w:t xml:space="preserve"> decreas</w:t>
      </w:r>
      <w:r>
        <w:rPr>
          <w:lang w:val="en-US"/>
        </w:rPr>
        <w:t>ed over time</w:t>
      </w:r>
      <w:r w:rsidRPr="00DB334C">
        <w:rPr>
          <w:lang w:val="en-US"/>
        </w:rPr>
        <w:t>: they were 5.6 years for men and 4.1 years for women</w:t>
      </w:r>
      <w:r>
        <w:rPr>
          <w:lang w:val="en-US"/>
        </w:rPr>
        <w:t xml:space="preserve"> over the period 1992-1996</w:t>
      </w:r>
      <w:r w:rsidRPr="00DB334C">
        <w:rPr>
          <w:lang w:val="en-US"/>
        </w:rPr>
        <w:t xml:space="preserve"> (Table </w:t>
      </w:r>
      <w:r>
        <w:rPr>
          <w:lang w:val="en-US"/>
        </w:rPr>
        <w:t>2</w:t>
      </w:r>
      <w:r w:rsidRPr="00DB334C">
        <w:rPr>
          <w:lang w:val="en-US"/>
        </w:rPr>
        <w:t xml:space="preserve">). Unlike other socioeconomic variables, the gap between extreme quartiles has decreased over the past two decades: how to explain this paradox? As a first remark, the housing quality is on average better in 2011 than twenty years earlier (Table </w:t>
      </w:r>
      <w:r>
        <w:rPr>
          <w:lang w:val="en-US"/>
        </w:rPr>
        <w:t>2</w:t>
      </w:r>
      <w:r w:rsidRPr="00DB334C">
        <w:rPr>
          <w:lang w:val="en-US"/>
        </w:rPr>
        <w:t xml:space="preserve">). Differences in housing quality scores, measured by items such as bathroom, or central heating, are no longer as discriminating. A second explanation </w:t>
      </w:r>
      <w:r>
        <w:rPr>
          <w:lang w:val="en-US"/>
        </w:rPr>
        <w:t>is</w:t>
      </w:r>
      <w:r w:rsidRPr="00DB334C">
        <w:rPr>
          <w:lang w:val="en-US"/>
        </w:rPr>
        <w:t xml:space="preserve"> that poor quality housing is less and less the monopoly of disadvantaged populations: modern lives are plagued by uncertainty, separation, </w:t>
      </w:r>
      <w:r w:rsidRPr="00DB334C">
        <w:rPr>
          <w:lang w:val="en-US"/>
        </w:rPr>
        <w:lastRenderedPageBreak/>
        <w:t>job loss and mobility</w:t>
      </w:r>
      <w:r>
        <w:rPr>
          <w:lang w:val="en-US"/>
        </w:rPr>
        <w:t>. This sometimes means</w:t>
      </w:r>
      <w:r w:rsidRPr="00DB334C">
        <w:rPr>
          <w:lang w:val="en-US"/>
        </w:rPr>
        <w:t xml:space="preserve"> a downgrading in terms of housing quality following a loss of income (Mulder, Lauster, 2010; Painter, Lee, 2009)</w:t>
      </w:r>
      <w:r>
        <w:rPr>
          <w:lang w:val="en-US"/>
        </w:rPr>
        <w:t>, which can concern all the categories of the population</w:t>
      </w:r>
      <w:r w:rsidRPr="00DB334C">
        <w:rPr>
          <w:lang w:val="en-US"/>
        </w:rPr>
        <w:t xml:space="preserve">. Given the increasingly difficult access to a </w:t>
      </w:r>
      <w:r>
        <w:rPr>
          <w:lang w:val="en-US"/>
        </w:rPr>
        <w:t>good quality</w:t>
      </w:r>
      <w:r w:rsidRPr="00DB334C">
        <w:rPr>
          <w:lang w:val="en-US"/>
        </w:rPr>
        <w:t xml:space="preserve"> housing - for young adults in particular (Bujega-Bloch, 2013) - and these “life disruptions”, </w:t>
      </w:r>
      <w:r>
        <w:rPr>
          <w:lang w:val="en-US"/>
        </w:rPr>
        <w:t>populations living in low quality housing</w:t>
      </w:r>
      <w:r w:rsidRPr="00DB334C">
        <w:rPr>
          <w:lang w:val="en-US"/>
        </w:rPr>
        <w:t xml:space="preserve"> are going through a progressive social heterogenization (Table </w:t>
      </w:r>
      <w:r>
        <w:rPr>
          <w:lang w:val="en-US"/>
        </w:rPr>
        <w:t>2</w:t>
      </w:r>
      <w:r w:rsidRPr="00DB334C">
        <w:rPr>
          <w:lang w:val="en-US"/>
        </w:rPr>
        <w:t>). The housing score would no longer be a good proxy for socio-economic status in genera</w:t>
      </w:r>
      <w:r>
        <w:rPr>
          <w:lang w:val="en-US"/>
        </w:rPr>
        <w:t>l and does not follow the trend of other socioeconomic factors. The first hypothesis cannot be confirmed by this score.</w:t>
      </w:r>
    </w:p>
    <w:p w:rsidR="005E2D6E" w:rsidRPr="00624B0D" w:rsidRDefault="005E2D6E" w:rsidP="005E2D6E">
      <w:pPr>
        <w:spacing w:before="240" w:after="0" w:line="240" w:lineRule="auto"/>
        <w:rPr>
          <w:rFonts w:ascii="Times New Roman" w:eastAsia="Times New Roman" w:hAnsi="Times New Roman" w:cs="Times New Roman"/>
          <w:sz w:val="24"/>
          <w:szCs w:val="24"/>
          <w:lang w:val="en-US" w:eastAsia="fr-BE"/>
        </w:rPr>
      </w:pPr>
      <w:r>
        <w:rPr>
          <w:rFonts w:ascii="Times New Roman" w:eastAsia="Times New Roman" w:hAnsi="Times New Roman" w:cs="Times New Roman"/>
          <w:color w:val="000000"/>
          <w:sz w:val="24"/>
          <w:szCs w:val="24"/>
          <w:lang w:val="en-US" w:eastAsia="fr-BE"/>
        </w:rPr>
        <w:t>Table</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3</w:t>
      </w:r>
      <w:r w:rsidRPr="00624B0D">
        <w:rPr>
          <w:rFonts w:ascii="Times New Roman" w:eastAsia="Times New Roman" w:hAnsi="Times New Roman" w:cs="Times New Roman"/>
          <w:color w:val="000000"/>
          <w:sz w:val="24"/>
          <w:szCs w:val="24"/>
          <w:lang w:val="en-US" w:eastAsia="fr-BE"/>
        </w:rPr>
        <w:t xml:space="preserve">. </w:t>
      </w:r>
      <w:r w:rsidRPr="00941532">
        <w:rPr>
          <w:rFonts w:ascii="Times New Roman" w:hAnsi="Times New Roman" w:cs="Times New Roman"/>
          <w:color w:val="000000" w:themeColor="text1"/>
          <w:sz w:val="24"/>
          <w:szCs w:val="24"/>
          <w:lang w:val="en-US"/>
        </w:rPr>
        <w:t xml:space="preserve">Life expectancies at birth in Belgium according to housing quality score and housing tenure on the 1992-1996 and 2011-2015 periods. </w:t>
      </w:r>
      <w:r>
        <w:rPr>
          <w:rFonts w:ascii="Times New Roman" w:eastAsia="Times New Roman" w:hAnsi="Times New Roman" w:cs="Times New Roman"/>
          <w:color w:val="000000"/>
          <w:sz w:val="24"/>
          <w:szCs w:val="24"/>
          <w:lang w:val="en-US" w:eastAsia="fr-BE"/>
        </w:rPr>
        <w:t>Source: National Register, 2011 Population Census – calculation by DEMO-UCL and author</w:t>
      </w:r>
    </w:p>
    <w:p w:rsidR="005E2D6E" w:rsidRPr="001C602B" w:rsidRDefault="005E2D6E" w:rsidP="005E2D6E">
      <w:pPr>
        <w:spacing w:after="120" w:line="276" w:lineRule="auto"/>
        <w:jc w:val="center"/>
        <w:rPr>
          <w:rFonts w:ascii="Times New Roman" w:hAnsi="Times New Roman" w:cs="Times New Roman"/>
          <w:color w:val="000000" w:themeColor="text1"/>
          <w:sz w:val="24"/>
          <w:szCs w:val="24"/>
          <w:lang w:val="en-US"/>
        </w:rPr>
      </w:pPr>
    </w:p>
    <w:tbl>
      <w:tblPr>
        <w:tblW w:w="9343" w:type="dxa"/>
        <w:jc w:val="center"/>
        <w:tblCellMar>
          <w:left w:w="70" w:type="dxa"/>
          <w:right w:w="70" w:type="dxa"/>
        </w:tblCellMar>
        <w:tblLook w:val="04A0" w:firstRow="1" w:lastRow="0" w:firstColumn="1" w:lastColumn="0" w:noHBand="0" w:noVBand="1"/>
      </w:tblPr>
      <w:tblGrid>
        <w:gridCol w:w="1560"/>
        <w:gridCol w:w="2688"/>
        <w:gridCol w:w="993"/>
        <w:gridCol w:w="992"/>
        <w:gridCol w:w="566"/>
        <w:gridCol w:w="992"/>
        <w:gridCol w:w="992"/>
        <w:gridCol w:w="560"/>
      </w:tblGrid>
      <w:tr w:rsidR="005E2D6E" w:rsidRPr="00CE5984" w:rsidTr="004216A7">
        <w:trPr>
          <w:trHeight w:val="610"/>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Dimensions</w:t>
            </w:r>
          </w:p>
        </w:tc>
        <w:tc>
          <w:tcPr>
            <w:tcW w:w="2688"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Modalities</w:t>
            </w:r>
          </w:p>
        </w:tc>
        <w:tc>
          <w:tcPr>
            <w:tcW w:w="255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Male</w:t>
            </w:r>
          </w:p>
        </w:tc>
        <w:tc>
          <w:tcPr>
            <w:tcW w:w="2544"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Female</w:t>
            </w:r>
          </w:p>
        </w:tc>
      </w:tr>
      <w:tr w:rsidR="005E2D6E" w:rsidRPr="00CE5984" w:rsidTr="004216A7">
        <w:trPr>
          <w:trHeight w:val="600"/>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2688" w:type="dxa"/>
            <w:vMerge/>
            <w:tcBorders>
              <w:left w:val="single" w:sz="4" w:space="0" w:color="auto"/>
              <w:right w:val="single" w:sz="4" w:space="0" w:color="auto"/>
            </w:tcBorders>
            <w:shd w:val="clear" w:color="auto" w:fill="auto"/>
            <w:noWrap/>
            <w:vAlign w:val="bottom"/>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993"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1992-1996</w:t>
            </w:r>
          </w:p>
        </w:tc>
        <w:tc>
          <w:tcPr>
            <w:tcW w:w="992"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2011-2015</w:t>
            </w:r>
          </w:p>
        </w:tc>
        <w:tc>
          <w:tcPr>
            <w:tcW w:w="566"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16"/>
                <w:szCs w:val="20"/>
                <w:lang w:eastAsia="fr-BE"/>
              </w:rPr>
              <w:t>Rise in time</w:t>
            </w:r>
          </w:p>
        </w:tc>
        <w:tc>
          <w:tcPr>
            <w:tcW w:w="992"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1992-1996</w:t>
            </w:r>
          </w:p>
        </w:tc>
        <w:tc>
          <w:tcPr>
            <w:tcW w:w="992"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2011-2015</w:t>
            </w:r>
          </w:p>
        </w:tc>
        <w:tc>
          <w:tcPr>
            <w:tcW w:w="560" w:type="dxa"/>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16"/>
                <w:szCs w:val="20"/>
                <w:lang w:eastAsia="fr-BE"/>
              </w:rPr>
              <w:t>Rise in time</w:t>
            </w:r>
          </w:p>
        </w:tc>
      </w:tr>
      <w:tr w:rsidR="005E2D6E" w:rsidRPr="00CE5984" w:rsidTr="004216A7">
        <w:trPr>
          <w:trHeight w:val="20"/>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 xml:space="preserve">Housing quality score </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1st quartile</w:t>
            </w:r>
          </w:p>
        </w:tc>
        <w:tc>
          <w:tcPr>
            <w:tcW w:w="993"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70,4</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75,5</w:t>
            </w:r>
          </w:p>
        </w:tc>
        <w:tc>
          <w:tcPr>
            <w:tcW w:w="566"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5,1</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78,2</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81,2</w:t>
            </w:r>
          </w:p>
        </w:tc>
        <w:tc>
          <w:tcPr>
            <w:tcW w:w="560"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3,0</w:t>
            </w:r>
          </w:p>
        </w:tc>
      </w:tr>
      <w:tr w:rsidR="005E2D6E" w:rsidRPr="00CE5984" w:rsidTr="004216A7">
        <w:trPr>
          <w:trHeight w:val="20"/>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2nd quartile</w:t>
            </w:r>
          </w:p>
        </w:tc>
        <w:tc>
          <w:tcPr>
            <w:tcW w:w="993"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73,6</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78,5</w:t>
            </w:r>
          </w:p>
        </w:tc>
        <w:tc>
          <w:tcPr>
            <w:tcW w:w="566"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4,9</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80,4</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83,2</w:t>
            </w:r>
          </w:p>
        </w:tc>
        <w:tc>
          <w:tcPr>
            <w:tcW w:w="560"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2,8</w:t>
            </w:r>
          </w:p>
        </w:tc>
      </w:tr>
      <w:tr w:rsidR="005E2D6E" w:rsidRPr="00CE5984" w:rsidTr="004216A7">
        <w:trPr>
          <w:trHeight w:val="20"/>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3rd quartile</w:t>
            </w:r>
          </w:p>
        </w:tc>
        <w:tc>
          <w:tcPr>
            <w:tcW w:w="993"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75,5</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78,9</w:t>
            </w:r>
          </w:p>
        </w:tc>
        <w:tc>
          <w:tcPr>
            <w:tcW w:w="566"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3,4</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81,7</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84,1</w:t>
            </w:r>
          </w:p>
        </w:tc>
        <w:tc>
          <w:tcPr>
            <w:tcW w:w="560"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2,4</w:t>
            </w:r>
          </w:p>
        </w:tc>
      </w:tr>
      <w:tr w:rsidR="005E2D6E" w:rsidRPr="00CE5984" w:rsidTr="004216A7">
        <w:trPr>
          <w:trHeight w:val="20"/>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4th quartile</w:t>
            </w:r>
          </w:p>
        </w:tc>
        <w:tc>
          <w:tcPr>
            <w:tcW w:w="993"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76,0</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79,2</w:t>
            </w:r>
          </w:p>
        </w:tc>
        <w:tc>
          <w:tcPr>
            <w:tcW w:w="566"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3,2</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82,3</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84,6</w:t>
            </w:r>
          </w:p>
        </w:tc>
        <w:tc>
          <w:tcPr>
            <w:tcW w:w="560"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2,3</w:t>
            </w:r>
          </w:p>
        </w:tc>
      </w:tr>
      <w:tr w:rsidR="005E2D6E" w:rsidRPr="00CE5984" w:rsidTr="004216A7">
        <w:trPr>
          <w:trHeight w:val="20"/>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20"/>
                <w:szCs w:val="20"/>
                <w:lang w:eastAsia="fr-BE"/>
              </w:rPr>
            </w:pPr>
          </w:p>
        </w:tc>
        <w:tc>
          <w:tcPr>
            <w:tcW w:w="2688" w:type="dxa"/>
            <w:tcBorders>
              <w:top w:val="nil"/>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Gaps between quartiles 1 and 4</w:t>
            </w:r>
          </w:p>
        </w:tc>
        <w:tc>
          <w:tcPr>
            <w:tcW w:w="993"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5,6</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3,7</w:t>
            </w:r>
          </w:p>
        </w:tc>
        <w:tc>
          <w:tcPr>
            <w:tcW w:w="566"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4,1</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3,3</w:t>
            </w:r>
          </w:p>
        </w:tc>
        <w:tc>
          <w:tcPr>
            <w:tcW w:w="560"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20"/>
                <w:szCs w:val="20"/>
                <w:lang w:eastAsia="fr-BE"/>
              </w:rPr>
            </w:pPr>
          </w:p>
        </w:tc>
      </w:tr>
      <w:tr w:rsidR="005E2D6E" w:rsidRPr="00CE5984" w:rsidTr="004216A7">
        <w:trPr>
          <w:cantSplit/>
          <w:trHeight w:val="20"/>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Housing Tenure</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Tenant</w:t>
            </w:r>
          </w:p>
        </w:tc>
        <w:tc>
          <w:tcPr>
            <w:tcW w:w="993"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70,6</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74,2</w:t>
            </w:r>
          </w:p>
        </w:tc>
        <w:tc>
          <w:tcPr>
            <w:tcW w:w="566"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3,6</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78,8</w:t>
            </w:r>
          </w:p>
        </w:tc>
        <w:tc>
          <w:tcPr>
            <w:tcW w:w="992"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81,0</w:t>
            </w:r>
          </w:p>
        </w:tc>
        <w:tc>
          <w:tcPr>
            <w:tcW w:w="560" w:type="dxa"/>
            <w:tcBorders>
              <w:top w:val="single" w:sz="4" w:space="0" w:color="auto"/>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2,2</w:t>
            </w:r>
          </w:p>
        </w:tc>
      </w:tr>
      <w:tr w:rsidR="005E2D6E" w:rsidRPr="00CE5984" w:rsidTr="004216A7">
        <w:trPr>
          <w:cantSplit/>
          <w:trHeight w:val="20"/>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Owner</w:t>
            </w:r>
          </w:p>
        </w:tc>
        <w:tc>
          <w:tcPr>
            <w:tcW w:w="993"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74,8</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79,9</w:t>
            </w:r>
          </w:p>
        </w:tc>
        <w:tc>
          <w:tcPr>
            <w:tcW w:w="566"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5,1</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81,2</w:t>
            </w:r>
          </w:p>
        </w:tc>
        <w:tc>
          <w:tcPr>
            <w:tcW w:w="992"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84,8</w:t>
            </w:r>
          </w:p>
        </w:tc>
        <w:tc>
          <w:tcPr>
            <w:tcW w:w="560" w:type="dxa"/>
            <w:tcBorders>
              <w:top w:val="nil"/>
              <w:left w:val="single" w:sz="4" w:space="0" w:color="auto"/>
              <w:bottom w:val="nil"/>
              <w:right w:val="single" w:sz="4" w:space="0" w:color="auto"/>
            </w:tcBorders>
            <w:shd w:val="clear" w:color="auto" w:fill="auto"/>
            <w:noWrap/>
            <w:vAlign w:val="center"/>
            <w:hideMark/>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r w:rsidRPr="00EA6475">
              <w:rPr>
                <w:rFonts w:eastAsia="Times New Roman" w:cstheme="minorHAnsi"/>
                <w:color w:val="000000" w:themeColor="text1"/>
                <w:sz w:val="20"/>
                <w:szCs w:val="20"/>
                <w:lang w:eastAsia="fr-BE"/>
              </w:rPr>
              <w:t>3,6</w:t>
            </w:r>
          </w:p>
        </w:tc>
      </w:tr>
      <w:tr w:rsidR="005E2D6E" w:rsidRPr="00CE5984" w:rsidTr="004216A7">
        <w:trPr>
          <w:cantSplit/>
          <w:trHeight w:val="20"/>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p>
        </w:tc>
        <w:tc>
          <w:tcPr>
            <w:tcW w:w="2688" w:type="dxa"/>
            <w:tcBorders>
              <w:top w:val="nil"/>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0" w:line="240" w:lineRule="auto"/>
              <w:ind w:right="113"/>
              <w:rPr>
                <w:rFonts w:eastAsia="Times New Roman" w:cstheme="minorHAnsi"/>
                <w:color w:val="000000" w:themeColor="text1"/>
                <w:sz w:val="20"/>
                <w:szCs w:val="20"/>
                <w:lang w:eastAsia="fr-BE"/>
              </w:rPr>
            </w:pPr>
            <w:r w:rsidRPr="00EA6475">
              <w:rPr>
                <w:rFonts w:eastAsia="Times New Roman" w:cstheme="minorHAnsi"/>
                <w:i/>
                <w:color w:val="000000" w:themeColor="text1"/>
                <w:sz w:val="18"/>
                <w:szCs w:val="20"/>
                <w:lang w:eastAsia="fr-BE"/>
              </w:rPr>
              <w:t>Gaps between status</w:t>
            </w:r>
          </w:p>
        </w:tc>
        <w:tc>
          <w:tcPr>
            <w:tcW w:w="993"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4,2</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5,7</w:t>
            </w:r>
          </w:p>
        </w:tc>
        <w:tc>
          <w:tcPr>
            <w:tcW w:w="566"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2,4</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20"/>
                <w:szCs w:val="20"/>
                <w:lang w:eastAsia="fr-BE"/>
              </w:rPr>
            </w:pPr>
            <w:r w:rsidRPr="00EA6475">
              <w:rPr>
                <w:rFonts w:eastAsia="Times New Roman" w:cstheme="minorHAnsi"/>
                <w:i/>
                <w:color w:val="000000" w:themeColor="text1"/>
                <w:sz w:val="20"/>
                <w:szCs w:val="20"/>
                <w:lang w:eastAsia="fr-BE"/>
              </w:rPr>
              <w:t>3,8</w:t>
            </w:r>
          </w:p>
        </w:tc>
        <w:tc>
          <w:tcPr>
            <w:tcW w:w="560" w:type="dxa"/>
            <w:tcBorders>
              <w:top w:val="nil"/>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20"/>
                <w:szCs w:val="20"/>
                <w:lang w:eastAsia="fr-BE"/>
              </w:rPr>
            </w:pPr>
          </w:p>
        </w:tc>
      </w:tr>
    </w:tbl>
    <w:p w:rsidR="005E2D6E" w:rsidRPr="006D2625" w:rsidRDefault="005E2D6E" w:rsidP="005E2D6E">
      <w:pPr>
        <w:spacing w:line="276" w:lineRule="auto"/>
        <w:jc w:val="both"/>
        <w:rPr>
          <w:rFonts w:ascii="Times New Roman" w:hAnsi="Times New Roman" w:cs="Times New Roman"/>
          <w:sz w:val="24"/>
          <w:szCs w:val="24"/>
        </w:rPr>
      </w:pPr>
    </w:p>
    <w:p w:rsidR="005E2D6E" w:rsidRPr="00CE5984" w:rsidRDefault="005E2D6E" w:rsidP="005E2D6E">
      <w:pPr>
        <w:pStyle w:val="Titre2"/>
        <w:rPr>
          <w:rFonts w:ascii="Times New Roman" w:hAnsi="Times New Roman" w:cs="Times New Roman"/>
          <w:b/>
          <w:i/>
          <w:color w:val="000000" w:themeColor="text1"/>
          <w:sz w:val="24"/>
          <w:szCs w:val="24"/>
          <w:lang w:val="en-US"/>
        </w:rPr>
      </w:pPr>
      <w:r w:rsidRPr="00CE5984">
        <w:rPr>
          <w:rFonts w:ascii="Times New Roman" w:hAnsi="Times New Roman" w:cs="Times New Roman"/>
          <w:b/>
          <w:i/>
          <w:color w:val="000000" w:themeColor="text1"/>
          <w:sz w:val="24"/>
          <w:szCs w:val="24"/>
          <w:lang w:val="en-US"/>
        </w:rPr>
        <w:t>The contribution of age groups to the life expectancy improvement according to housing conditions</w:t>
      </w:r>
    </w:p>
    <w:p w:rsidR="005E2D6E" w:rsidRDefault="005E2D6E" w:rsidP="005E2D6E">
      <w:pPr>
        <w:pStyle w:val="Paragraph"/>
        <w:jc w:val="both"/>
      </w:pPr>
      <w:r>
        <w:t>The</w:t>
      </w:r>
      <w:r w:rsidRPr="00E30950">
        <w:t xml:space="preserve"> Arriaga method </w:t>
      </w:r>
      <w:r>
        <w:t>aims at</w:t>
      </w:r>
      <w:r w:rsidRPr="00E30950">
        <w:t xml:space="preserve"> compar</w:t>
      </w:r>
      <w:r>
        <w:t>ing</w:t>
      </w:r>
      <w:r w:rsidRPr="00E30950">
        <w:t xml:space="preserve"> </w:t>
      </w:r>
      <w:r>
        <w:t>how age groups contributed</w:t>
      </w:r>
      <w:r w:rsidRPr="00E30950">
        <w:t xml:space="preserve"> to life expectancy </w:t>
      </w:r>
      <w:r>
        <w:t>changes from the 1990s to the 2010s, according to housing conditions</w:t>
      </w:r>
      <w:r w:rsidRPr="00E30950">
        <w:t xml:space="preserve">. </w:t>
      </w:r>
      <w:r>
        <w:t>Over those two decades,</w:t>
      </w:r>
      <w:r w:rsidRPr="00E30950">
        <w:t xml:space="preserve"> life expectancy at birth increased for the vast majority of the population, but not in the same way for everyone. Between </w:t>
      </w:r>
      <w:r>
        <w:t>the 1992-1996 and 2011-2015 periods</w:t>
      </w:r>
      <w:r w:rsidRPr="00E30950">
        <w:t xml:space="preserve">, homeowners experienced a higher gain in life expectancy at birth than renters, for both men (5.2 years versus 3.5 years) and women (3.6 years versus 2.3 years). The increase in life expectancy </w:t>
      </w:r>
      <w:r>
        <w:t>can be</w:t>
      </w:r>
      <w:r w:rsidRPr="00E30950">
        <w:t xml:space="preserve"> seen in all age </w:t>
      </w:r>
      <w:r w:rsidRPr="00E30950">
        <w:lastRenderedPageBreak/>
        <w:t xml:space="preserve">groups, but its intensity is much higher among those aged 60 and over (Table </w:t>
      </w:r>
      <w:r>
        <w:t>4</w:t>
      </w:r>
      <w:r w:rsidRPr="00E30950">
        <w:t xml:space="preserve">). </w:t>
      </w:r>
      <w:r>
        <w:t>For instance</w:t>
      </w:r>
      <w:r w:rsidRPr="00E30950">
        <w:t xml:space="preserve">, male homeowners aged 60 and over contributed 63.1% to the </w:t>
      </w:r>
      <w:r>
        <w:t>rise</w:t>
      </w:r>
      <w:r w:rsidRPr="00E30950">
        <w:t xml:space="preserve"> in life expectancy, compared with 53.4% for male tenants in the same age group. Among women, there is less difference in contribution among those aged 60 and over according to the </w:t>
      </w:r>
      <w:r>
        <w:t>housing tenure</w:t>
      </w:r>
      <w:r w:rsidRPr="00E30950">
        <w:t xml:space="preserve"> (Table </w:t>
      </w:r>
      <w:r>
        <w:t>4</w:t>
      </w:r>
      <w:r w:rsidRPr="00E30950">
        <w:t xml:space="preserve">). </w:t>
      </w:r>
    </w:p>
    <w:p w:rsidR="005E2D6E" w:rsidRPr="00EA6475" w:rsidRDefault="005E2D6E" w:rsidP="005E2D6E">
      <w:pPr>
        <w:pStyle w:val="Paragraph"/>
        <w:ind w:firstLine="708"/>
        <w:jc w:val="both"/>
        <w:rPr>
          <w:lang w:val="en-US"/>
        </w:rPr>
      </w:pPr>
      <w:r w:rsidRPr="004F0795">
        <w:rPr>
          <w:lang w:val="en-US"/>
        </w:rPr>
        <w:t xml:space="preserve">In terms of overall housing quality, the gain in life expectancy for people under 60 is much higher in the first quartile than in the last. </w:t>
      </w:r>
      <w:r>
        <w:rPr>
          <w:lang w:val="en-US"/>
        </w:rPr>
        <w:t>As highlighted previously, the first quartile experienced a change of composition</w:t>
      </w:r>
      <w:r w:rsidRPr="004F0795">
        <w:rPr>
          <w:lang w:val="en-US"/>
        </w:rPr>
        <w:t xml:space="preserve"> between 1991 and 2011: on average, it is a more educated population, whose overall socio-economic situation is more heterogeneous than before. Th</w:t>
      </w:r>
      <w:r>
        <w:rPr>
          <w:lang w:val="en-US"/>
        </w:rPr>
        <w:t>is can explain why the</w:t>
      </w:r>
      <w:r w:rsidRPr="004F0795">
        <w:rPr>
          <w:lang w:val="en-US"/>
        </w:rPr>
        <w:t xml:space="preserve"> first quartile of housing score is associated with a significant increase in life expectancy among adults aged 40 to 59 years (Table </w:t>
      </w:r>
      <w:r>
        <w:rPr>
          <w:lang w:val="en-US"/>
        </w:rPr>
        <w:t>4</w:t>
      </w:r>
      <w:r w:rsidRPr="004F0795">
        <w:rPr>
          <w:lang w:val="en-US"/>
        </w:rPr>
        <w:t xml:space="preserve">). Mortality at these ages is avoidable, as it is largely related to people's lifestyles and risky behaviors (Meslé, Vallin, 2002). The </w:t>
      </w:r>
      <w:r>
        <w:rPr>
          <w:lang w:val="en-US"/>
        </w:rPr>
        <w:t>gain in absolute life expectancy</w:t>
      </w:r>
      <w:r w:rsidRPr="004F0795">
        <w:rPr>
          <w:lang w:val="en-US"/>
        </w:rPr>
        <w:t xml:space="preserve"> for </w:t>
      </w:r>
      <w:r>
        <w:rPr>
          <w:lang w:val="en-US"/>
        </w:rPr>
        <w:t>people</w:t>
      </w:r>
      <w:r w:rsidRPr="004F0795">
        <w:rPr>
          <w:lang w:val="en-US"/>
        </w:rPr>
        <w:t xml:space="preserve"> aged 60 and over is quite similar for the two extreme quartiles of the housing score</w:t>
      </w:r>
      <w:r>
        <w:rPr>
          <w:lang w:val="en-US"/>
        </w:rPr>
        <w:t xml:space="preserve"> – as those two populations are more and more similar in terms of socioeconomic characteristics -</w:t>
      </w:r>
      <w:r w:rsidRPr="004F0795">
        <w:rPr>
          <w:lang w:val="en-US"/>
        </w:rPr>
        <w:t xml:space="preserve"> although there is a slight superiority in life expectancy gain for those aged 80 and over </w:t>
      </w:r>
      <w:r>
        <w:rPr>
          <w:lang w:val="en-US"/>
        </w:rPr>
        <w:t>for the last quartile</w:t>
      </w:r>
      <w:r w:rsidRPr="004F0795">
        <w:rPr>
          <w:lang w:val="en-US"/>
        </w:rPr>
        <w:t xml:space="preserve">, especially for women.  </w:t>
      </w:r>
    </w:p>
    <w:p w:rsidR="005E2D6E" w:rsidRPr="00624B0D" w:rsidRDefault="005E2D6E" w:rsidP="005E2D6E">
      <w:pPr>
        <w:spacing w:before="240" w:after="0" w:line="240" w:lineRule="auto"/>
        <w:rPr>
          <w:rFonts w:ascii="Times New Roman" w:eastAsia="Times New Roman" w:hAnsi="Times New Roman" w:cs="Times New Roman"/>
          <w:sz w:val="24"/>
          <w:szCs w:val="24"/>
          <w:lang w:val="en-US" w:eastAsia="fr-BE"/>
        </w:rPr>
      </w:pPr>
      <w:r>
        <w:rPr>
          <w:rFonts w:ascii="Times New Roman" w:eastAsia="Times New Roman" w:hAnsi="Times New Roman" w:cs="Times New Roman"/>
          <w:color w:val="000000"/>
          <w:sz w:val="24"/>
          <w:szCs w:val="24"/>
          <w:lang w:val="en-US" w:eastAsia="fr-BE"/>
        </w:rPr>
        <w:t>Table</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4</w:t>
      </w:r>
      <w:r w:rsidRPr="00624B0D">
        <w:rPr>
          <w:rFonts w:ascii="Times New Roman" w:eastAsia="Times New Roman" w:hAnsi="Times New Roman" w:cs="Times New Roman"/>
          <w:color w:val="000000"/>
          <w:sz w:val="24"/>
          <w:szCs w:val="24"/>
          <w:lang w:val="en-US" w:eastAsia="fr-BE"/>
        </w:rPr>
        <w:t xml:space="preserve">. </w:t>
      </w:r>
      <w:r w:rsidRPr="004F0795">
        <w:rPr>
          <w:rFonts w:ascii="Times New Roman" w:hAnsi="Times New Roman" w:cs="Times New Roman"/>
          <w:sz w:val="24"/>
          <w:lang w:val="en-US"/>
        </w:rPr>
        <w:t>Contribution of 20 years age groups in the evolution of life expectancy at birth between the 1992-1996 and 2011-2015 periods according to housing conditions</w:t>
      </w:r>
      <w:r w:rsidRPr="00941532">
        <w:rPr>
          <w:rFonts w:ascii="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sz w:val="24"/>
          <w:szCs w:val="24"/>
          <w:lang w:val="en-US" w:eastAsia="fr-BE"/>
        </w:rPr>
        <w:t>Source: National Register, 2011 Population Census – calculation by DEMO-UCL and author</w:t>
      </w:r>
    </w:p>
    <w:p w:rsidR="005E2D6E" w:rsidRPr="004F0795" w:rsidRDefault="005E2D6E" w:rsidP="005E2D6E">
      <w:pPr>
        <w:jc w:val="center"/>
        <w:rPr>
          <w:rFonts w:ascii="Times New Roman" w:hAnsi="Times New Roman" w:cs="Times New Roman"/>
          <w:sz w:val="24"/>
          <w:lang w:val="en-US"/>
        </w:rPr>
      </w:pPr>
    </w:p>
    <w:tbl>
      <w:tblPr>
        <w:tblW w:w="9343" w:type="dxa"/>
        <w:jc w:val="center"/>
        <w:tblCellMar>
          <w:left w:w="70" w:type="dxa"/>
          <w:right w:w="70" w:type="dxa"/>
        </w:tblCellMar>
        <w:tblLook w:val="04A0" w:firstRow="1" w:lastRow="0" w:firstColumn="1" w:lastColumn="0" w:noHBand="0" w:noVBand="1"/>
      </w:tblPr>
      <w:tblGrid>
        <w:gridCol w:w="1560"/>
        <w:gridCol w:w="2688"/>
        <w:gridCol w:w="1417"/>
        <w:gridCol w:w="1276"/>
        <w:gridCol w:w="1276"/>
        <w:gridCol w:w="1126"/>
      </w:tblGrid>
      <w:tr w:rsidR="005E2D6E" w:rsidRPr="006D2625" w:rsidTr="004216A7">
        <w:trPr>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val="en-US" w:eastAsia="fr-BE"/>
              </w:rPr>
            </w:pPr>
          </w:p>
        </w:tc>
        <w:tc>
          <w:tcPr>
            <w:tcW w:w="2688"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Contribution of age groups</w:t>
            </w: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Tenants</w:t>
            </w:r>
          </w:p>
        </w:tc>
        <w:tc>
          <w:tcPr>
            <w:tcW w:w="24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Owners</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tcBorders>
              <w:left w:val="single" w:sz="4" w:space="0" w:color="auto"/>
              <w:right w:val="single" w:sz="4" w:space="0" w:color="auto"/>
            </w:tcBorders>
            <w:shd w:val="clear" w:color="auto" w:fill="auto"/>
            <w:noWrap/>
            <w:vAlign w:val="bottom"/>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1417" w:type="dxa"/>
            <w:tcBorders>
              <w:top w:val="single" w:sz="4" w:space="0" w:color="auto"/>
              <w:lef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Absolute</w:t>
            </w:r>
          </w:p>
        </w:tc>
        <w:tc>
          <w:tcPr>
            <w:tcW w:w="1276" w:type="dxa"/>
            <w:tcBorders>
              <w:top w:val="single" w:sz="4" w:space="0" w:color="auto"/>
              <w:left w:val="nil"/>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Relative</w:t>
            </w:r>
          </w:p>
        </w:tc>
        <w:tc>
          <w:tcPr>
            <w:tcW w:w="1276" w:type="dxa"/>
            <w:tcBorders>
              <w:top w:val="single" w:sz="4" w:space="0" w:color="auto"/>
              <w:lef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Absolute</w:t>
            </w:r>
          </w:p>
        </w:tc>
        <w:tc>
          <w:tcPr>
            <w:tcW w:w="1126" w:type="dxa"/>
            <w:tcBorders>
              <w:top w:val="single" w:sz="4" w:space="0" w:color="auto"/>
              <w:left w:val="nil"/>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Relative</w:t>
            </w:r>
          </w:p>
        </w:tc>
      </w:tr>
      <w:tr w:rsidR="005E2D6E" w:rsidRPr="006D2625" w:rsidTr="004216A7">
        <w:trPr>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 xml:space="preserve">Male </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0-19</w:t>
            </w:r>
          </w:p>
        </w:tc>
        <w:tc>
          <w:tcPr>
            <w:tcW w:w="1417"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0,5</w:t>
            </w:r>
          </w:p>
        </w:tc>
        <w:tc>
          <w:tcPr>
            <w:tcW w:w="127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13,1%</w:t>
            </w:r>
          </w:p>
        </w:tc>
        <w:tc>
          <w:tcPr>
            <w:tcW w:w="1276"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0,5</w:t>
            </w:r>
          </w:p>
        </w:tc>
        <w:tc>
          <w:tcPr>
            <w:tcW w:w="112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8,7%</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20-39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0,5</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13,9%</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0,5</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9,7%</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40-59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0,7</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19,6%</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1,0</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18,4%</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60-79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1,5</w:t>
            </w:r>
          </w:p>
        </w:tc>
        <w:tc>
          <w:tcPr>
            <w:tcW w:w="1276" w:type="dxa"/>
            <w:tcBorders>
              <w:top w:val="nil"/>
              <w:left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41,3%</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2,5</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49,2%</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val="restart"/>
            <w:tcBorders>
              <w:top w:val="nil"/>
              <w:left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80+</w:t>
            </w:r>
          </w:p>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Total gain</w:t>
            </w:r>
          </w:p>
        </w:tc>
        <w:tc>
          <w:tcPr>
            <w:tcW w:w="1417" w:type="dxa"/>
            <w:tcBorders>
              <w:top w:val="nil"/>
              <w:lef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0,4</w:t>
            </w:r>
          </w:p>
        </w:tc>
        <w:tc>
          <w:tcPr>
            <w:tcW w:w="1276" w:type="dxa"/>
            <w:tcBorders>
              <w:top w:val="nil"/>
              <w:left w:val="nil"/>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12,1%</w:t>
            </w:r>
          </w:p>
        </w:tc>
        <w:tc>
          <w:tcPr>
            <w:tcW w:w="1276" w:type="dxa"/>
            <w:tcBorders>
              <w:top w:val="nil"/>
              <w:lef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0,7</w:t>
            </w:r>
          </w:p>
        </w:tc>
        <w:tc>
          <w:tcPr>
            <w:tcW w:w="1126" w:type="dxa"/>
            <w:tcBorders>
              <w:top w:val="nil"/>
              <w:left w:val="nil"/>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13,9%</w:t>
            </w:r>
          </w:p>
        </w:tc>
      </w:tr>
      <w:tr w:rsidR="005E2D6E" w:rsidRPr="006D2625" w:rsidTr="004216A7">
        <w:trPr>
          <w:trHeight w:val="57"/>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tcBorders>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p>
        </w:tc>
        <w:tc>
          <w:tcPr>
            <w:tcW w:w="1417" w:type="dxa"/>
            <w:tcBorders>
              <w:top w:val="nil"/>
              <w:left w:val="single" w:sz="4" w:space="0" w:color="auto"/>
              <w:bottom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3,5 years</w:t>
            </w:r>
          </w:p>
        </w:tc>
        <w:tc>
          <w:tcPr>
            <w:tcW w:w="127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p>
        </w:tc>
        <w:tc>
          <w:tcPr>
            <w:tcW w:w="1276" w:type="dxa"/>
            <w:tcBorders>
              <w:top w:val="nil"/>
              <w:left w:val="single" w:sz="4" w:space="0" w:color="auto"/>
              <w:bottom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5,2 years</w:t>
            </w:r>
          </w:p>
        </w:tc>
        <w:tc>
          <w:tcPr>
            <w:tcW w:w="112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p>
        </w:tc>
      </w:tr>
      <w:tr w:rsidR="005E2D6E" w:rsidRPr="006D2625" w:rsidTr="004216A7">
        <w:trPr>
          <w:cantSplit/>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bottom"/>
            <w:hideMark/>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Female</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0-19</w:t>
            </w:r>
          </w:p>
        </w:tc>
        <w:tc>
          <w:tcPr>
            <w:tcW w:w="1417"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0,2</w:t>
            </w:r>
          </w:p>
        </w:tc>
        <w:tc>
          <w:tcPr>
            <w:tcW w:w="127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8,0%</w:t>
            </w:r>
          </w:p>
        </w:tc>
        <w:tc>
          <w:tcPr>
            <w:tcW w:w="1276"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0,3</w:t>
            </w:r>
          </w:p>
        </w:tc>
        <w:tc>
          <w:tcPr>
            <w:tcW w:w="112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9,4%</w:t>
            </w:r>
          </w:p>
        </w:tc>
      </w:tr>
      <w:tr w:rsidR="005E2D6E" w:rsidRPr="006D2625" w:rsidTr="004216A7">
        <w:trPr>
          <w:cantSplit/>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20-39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0,2</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9,9%</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0,2</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5,7%</w:t>
            </w:r>
          </w:p>
        </w:tc>
      </w:tr>
      <w:tr w:rsidR="005E2D6E" w:rsidRPr="006D2625" w:rsidTr="004216A7">
        <w:trPr>
          <w:cantSplit/>
          <w:trHeight w:val="57"/>
          <w:jc w:val="center"/>
        </w:trPr>
        <w:tc>
          <w:tcPr>
            <w:tcW w:w="1560" w:type="dxa"/>
            <w:vMerge/>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40-59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0,2</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10,1%</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0,5</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13,2%</w:t>
            </w:r>
          </w:p>
        </w:tc>
      </w:tr>
      <w:tr w:rsidR="005E2D6E" w:rsidRPr="006D2625" w:rsidTr="004216A7">
        <w:trPr>
          <w:cantSplit/>
          <w:trHeight w:val="57"/>
          <w:jc w:val="center"/>
        </w:trPr>
        <w:tc>
          <w:tcPr>
            <w:tcW w:w="1560" w:type="dxa"/>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60-79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0,8</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36,4%</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1,4</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39,5%</w:t>
            </w:r>
          </w:p>
        </w:tc>
      </w:tr>
      <w:tr w:rsidR="005E2D6E" w:rsidRPr="006D2625" w:rsidTr="004216A7">
        <w:trPr>
          <w:cantSplit/>
          <w:trHeight w:val="57"/>
          <w:jc w:val="center"/>
        </w:trPr>
        <w:tc>
          <w:tcPr>
            <w:tcW w:w="1560" w:type="dxa"/>
            <w:vMerge w:val="restart"/>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vMerge w:val="restart"/>
            <w:tcBorders>
              <w:top w:val="nil"/>
              <w:left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80+</w:t>
            </w:r>
          </w:p>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Total gain</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0,8</w:t>
            </w:r>
          </w:p>
        </w:tc>
        <w:tc>
          <w:tcPr>
            <w:tcW w:w="1276" w:type="dxa"/>
            <w:tcBorders>
              <w:top w:val="nil"/>
              <w:left w:val="nil"/>
              <w:bottom w:val="nil"/>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35,6%</w:t>
            </w:r>
          </w:p>
        </w:tc>
        <w:tc>
          <w:tcPr>
            <w:tcW w:w="1276" w:type="dxa"/>
            <w:tcBorders>
              <w:top w:val="nil"/>
              <w:left w:val="single" w:sz="4" w:space="0" w:color="auto"/>
              <w:bottom w:val="nil"/>
            </w:tcBorders>
            <w:shd w:val="clear" w:color="auto" w:fill="auto"/>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1,2</w:t>
            </w:r>
          </w:p>
        </w:tc>
        <w:tc>
          <w:tcPr>
            <w:tcW w:w="1126" w:type="dxa"/>
            <w:tcBorders>
              <w:top w:val="nil"/>
              <w:left w:val="nil"/>
              <w:bottom w:val="nil"/>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32,2%</w:t>
            </w:r>
          </w:p>
        </w:tc>
      </w:tr>
      <w:tr w:rsidR="005E2D6E" w:rsidRPr="006D2625" w:rsidTr="004216A7">
        <w:trPr>
          <w:cantSplit/>
          <w:trHeight w:val="57"/>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vMerge/>
            <w:tcBorders>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p>
        </w:tc>
        <w:tc>
          <w:tcPr>
            <w:tcW w:w="1417" w:type="dxa"/>
            <w:tcBorders>
              <w:top w:val="nil"/>
              <w:left w:val="single" w:sz="4" w:space="0" w:color="auto"/>
              <w:bottom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2,3 years</w:t>
            </w:r>
          </w:p>
        </w:tc>
        <w:tc>
          <w:tcPr>
            <w:tcW w:w="127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p>
        </w:tc>
        <w:tc>
          <w:tcPr>
            <w:tcW w:w="1276" w:type="dxa"/>
            <w:tcBorders>
              <w:top w:val="nil"/>
              <w:left w:val="single" w:sz="4" w:space="0" w:color="auto"/>
              <w:bottom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3,6 years</w:t>
            </w:r>
          </w:p>
        </w:tc>
        <w:tc>
          <w:tcPr>
            <w:tcW w:w="112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p>
        </w:tc>
      </w:tr>
      <w:tr w:rsidR="005E2D6E" w:rsidRPr="006D2625" w:rsidTr="004216A7">
        <w:trPr>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val="restart"/>
            <w:tcBorders>
              <w:top w:val="single" w:sz="4" w:space="0" w:color="auto"/>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Q1</w:t>
            </w:r>
          </w:p>
        </w:tc>
        <w:tc>
          <w:tcPr>
            <w:tcW w:w="24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Q4</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tcBorders>
              <w:left w:val="single" w:sz="4" w:space="0" w:color="auto"/>
              <w:right w:val="single" w:sz="4" w:space="0" w:color="auto"/>
            </w:tcBorders>
            <w:shd w:val="clear" w:color="auto" w:fill="auto"/>
            <w:noWrap/>
            <w:vAlign w:val="bottom"/>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1417" w:type="dxa"/>
            <w:tcBorders>
              <w:top w:val="single" w:sz="4" w:space="0" w:color="auto"/>
              <w:lef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Absolute</w:t>
            </w:r>
          </w:p>
        </w:tc>
        <w:tc>
          <w:tcPr>
            <w:tcW w:w="1276" w:type="dxa"/>
            <w:tcBorders>
              <w:top w:val="single" w:sz="4" w:space="0" w:color="auto"/>
              <w:left w:val="nil"/>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Relative</w:t>
            </w:r>
          </w:p>
        </w:tc>
        <w:tc>
          <w:tcPr>
            <w:tcW w:w="1276" w:type="dxa"/>
            <w:tcBorders>
              <w:top w:val="single" w:sz="4" w:space="0" w:color="auto"/>
              <w:lef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Absolute</w:t>
            </w:r>
          </w:p>
        </w:tc>
        <w:tc>
          <w:tcPr>
            <w:tcW w:w="1126" w:type="dxa"/>
            <w:tcBorders>
              <w:top w:val="single" w:sz="4" w:space="0" w:color="auto"/>
              <w:left w:val="nil"/>
              <w:right w:val="single" w:sz="4" w:space="0" w:color="auto"/>
            </w:tcBorders>
            <w:shd w:val="clear" w:color="auto" w:fill="auto"/>
            <w:noWrap/>
            <w:vAlign w:val="center"/>
            <w:hideMark/>
          </w:tcPr>
          <w:p w:rsidR="005E2D6E" w:rsidRPr="00EA6475" w:rsidRDefault="005E2D6E" w:rsidP="004216A7">
            <w:pPr>
              <w:spacing w:after="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Relative</w:t>
            </w:r>
          </w:p>
        </w:tc>
      </w:tr>
      <w:tr w:rsidR="005E2D6E" w:rsidRPr="006D2625" w:rsidTr="004216A7">
        <w:trPr>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 xml:space="preserve">Male </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0-19</w:t>
            </w:r>
          </w:p>
        </w:tc>
        <w:tc>
          <w:tcPr>
            <w:tcW w:w="1417"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w:t>
            </w:r>
          </w:p>
        </w:tc>
        <w:tc>
          <w:tcPr>
            <w:tcW w:w="127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2,9%</w:t>
            </w:r>
          </w:p>
        </w:tc>
        <w:tc>
          <w:tcPr>
            <w:tcW w:w="1276"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0,0</w:t>
            </w:r>
          </w:p>
        </w:tc>
        <w:tc>
          <w:tcPr>
            <w:tcW w:w="112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-3,5%</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20-39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0,8</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14,9%</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0,3</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9,1%</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40-59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1,8</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35,3%</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0,3</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8,9%</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60-79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2,0</w:t>
            </w:r>
          </w:p>
        </w:tc>
        <w:tc>
          <w:tcPr>
            <w:tcW w:w="1276" w:type="dxa"/>
            <w:tcBorders>
              <w:top w:val="nil"/>
              <w:left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38,4%</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2,1</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65,6%</w:t>
            </w:r>
          </w:p>
        </w:tc>
      </w:tr>
      <w:tr w:rsidR="005E2D6E" w:rsidRPr="006D2625" w:rsidTr="004216A7">
        <w:trPr>
          <w:trHeight w:val="57"/>
          <w:jc w:val="center"/>
        </w:trPr>
        <w:tc>
          <w:tcPr>
            <w:tcW w:w="1560" w:type="dxa"/>
            <w:vMerge/>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val="restart"/>
            <w:tcBorders>
              <w:top w:val="nil"/>
              <w:left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80+</w:t>
            </w:r>
          </w:p>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Total gain</w:t>
            </w:r>
          </w:p>
        </w:tc>
        <w:tc>
          <w:tcPr>
            <w:tcW w:w="1417" w:type="dxa"/>
            <w:tcBorders>
              <w:top w:val="nil"/>
              <w:left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0,4</w:t>
            </w:r>
          </w:p>
        </w:tc>
        <w:tc>
          <w:tcPr>
            <w:tcW w:w="1276" w:type="dxa"/>
            <w:tcBorders>
              <w:top w:val="nil"/>
              <w:left w:val="nil"/>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8,4%</w:t>
            </w:r>
          </w:p>
        </w:tc>
        <w:tc>
          <w:tcPr>
            <w:tcW w:w="1276" w:type="dxa"/>
            <w:tcBorders>
              <w:top w:val="nil"/>
              <w:lef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0,7</w:t>
            </w:r>
          </w:p>
        </w:tc>
        <w:tc>
          <w:tcPr>
            <w:tcW w:w="1126" w:type="dxa"/>
            <w:tcBorders>
              <w:top w:val="nil"/>
              <w:left w:val="nil"/>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19,2%</w:t>
            </w:r>
          </w:p>
        </w:tc>
      </w:tr>
      <w:tr w:rsidR="005E2D6E" w:rsidRPr="006D2625" w:rsidTr="004216A7">
        <w:trPr>
          <w:trHeight w:val="57"/>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rPr>
                <w:rFonts w:eastAsia="Times New Roman" w:cstheme="minorHAnsi"/>
                <w:color w:val="000000" w:themeColor="text1"/>
                <w:sz w:val="18"/>
                <w:szCs w:val="20"/>
                <w:lang w:eastAsia="fr-BE"/>
              </w:rPr>
            </w:pPr>
          </w:p>
        </w:tc>
        <w:tc>
          <w:tcPr>
            <w:tcW w:w="2688" w:type="dxa"/>
            <w:vMerge/>
            <w:tcBorders>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p>
        </w:tc>
        <w:tc>
          <w:tcPr>
            <w:tcW w:w="1417" w:type="dxa"/>
            <w:tcBorders>
              <w:top w:val="nil"/>
              <w:left w:val="single" w:sz="4" w:space="0" w:color="auto"/>
              <w:bottom w:val="single" w:sz="4" w:space="0" w:color="auto"/>
            </w:tcBorders>
            <w:shd w:val="clear" w:color="auto" w:fill="auto"/>
            <w:noWrap/>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5,1 years</w:t>
            </w:r>
          </w:p>
        </w:tc>
        <w:tc>
          <w:tcPr>
            <w:tcW w:w="127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p>
        </w:tc>
        <w:tc>
          <w:tcPr>
            <w:tcW w:w="1276" w:type="dxa"/>
            <w:tcBorders>
              <w:top w:val="nil"/>
              <w:left w:val="single" w:sz="4" w:space="0" w:color="auto"/>
              <w:bottom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3,2 years</w:t>
            </w:r>
          </w:p>
        </w:tc>
        <w:tc>
          <w:tcPr>
            <w:tcW w:w="112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jc w:val="center"/>
              <w:rPr>
                <w:rFonts w:eastAsia="Times New Roman" w:cstheme="minorHAnsi"/>
                <w:i/>
                <w:color w:val="000000" w:themeColor="text1"/>
                <w:sz w:val="18"/>
                <w:szCs w:val="20"/>
                <w:lang w:eastAsia="fr-BE"/>
              </w:rPr>
            </w:pPr>
          </w:p>
        </w:tc>
      </w:tr>
      <w:tr w:rsidR="005E2D6E" w:rsidRPr="006D2625" w:rsidTr="004216A7">
        <w:trPr>
          <w:cantSplit/>
          <w:trHeight w:val="57"/>
          <w:jc w:val="center"/>
        </w:trPr>
        <w:tc>
          <w:tcPr>
            <w:tcW w:w="1560" w:type="dxa"/>
            <w:vMerge w:val="restart"/>
            <w:tcBorders>
              <w:top w:val="single" w:sz="4" w:space="0" w:color="auto"/>
              <w:left w:val="single" w:sz="4" w:space="0" w:color="auto"/>
              <w:right w:val="single" w:sz="4" w:space="0" w:color="auto"/>
            </w:tcBorders>
            <w:shd w:val="clear" w:color="auto" w:fill="auto"/>
            <w:noWrap/>
            <w:vAlign w:val="bottom"/>
            <w:hideMark/>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Female</w:t>
            </w:r>
          </w:p>
        </w:tc>
        <w:tc>
          <w:tcPr>
            <w:tcW w:w="2688" w:type="dxa"/>
            <w:tcBorders>
              <w:top w:val="single" w:sz="4" w:space="0" w:color="auto"/>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0-19</w:t>
            </w:r>
          </w:p>
        </w:tc>
        <w:tc>
          <w:tcPr>
            <w:tcW w:w="1417"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0,0</w:t>
            </w:r>
          </w:p>
        </w:tc>
        <w:tc>
          <w:tcPr>
            <w:tcW w:w="127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-0,2%</w:t>
            </w:r>
          </w:p>
        </w:tc>
        <w:tc>
          <w:tcPr>
            <w:tcW w:w="1276" w:type="dxa"/>
            <w:tcBorders>
              <w:top w:val="single" w:sz="4" w:space="0" w:color="auto"/>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0,0</w:t>
            </w:r>
          </w:p>
        </w:tc>
        <w:tc>
          <w:tcPr>
            <w:tcW w:w="1126" w:type="dxa"/>
            <w:tcBorders>
              <w:top w:val="single" w:sz="4" w:space="0" w:color="auto"/>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-1,6%</w:t>
            </w:r>
          </w:p>
        </w:tc>
      </w:tr>
      <w:tr w:rsidR="005E2D6E" w:rsidRPr="006D2625" w:rsidTr="004216A7">
        <w:trPr>
          <w:cantSplit/>
          <w:trHeight w:val="57"/>
          <w:jc w:val="center"/>
        </w:trPr>
        <w:tc>
          <w:tcPr>
            <w:tcW w:w="1560" w:type="dxa"/>
            <w:vMerge/>
            <w:tcBorders>
              <w:left w:val="single" w:sz="4" w:space="0" w:color="auto"/>
              <w:right w:val="single" w:sz="4" w:space="0" w:color="auto"/>
            </w:tcBorders>
            <w:shd w:val="clear" w:color="auto" w:fill="auto"/>
            <w:noWrap/>
            <w:vAlign w:val="center"/>
            <w:hideMark/>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hideMark/>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20-39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0,3</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11,2%</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5,1%</w:t>
            </w:r>
          </w:p>
        </w:tc>
      </w:tr>
      <w:tr w:rsidR="005E2D6E" w:rsidRPr="006D2625" w:rsidTr="004216A7">
        <w:trPr>
          <w:cantSplit/>
          <w:trHeight w:val="57"/>
          <w:jc w:val="center"/>
        </w:trPr>
        <w:tc>
          <w:tcPr>
            <w:tcW w:w="1560" w:type="dxa"/>
            <w:vMerge/>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40-59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0,8</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26,3%</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0,1</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4,1%</w:t>
            </w:r>
          </w:p>
        </w:tc>
      </w:tr>
      <w:tr w:rsidR="005E2D6E" w:rsidRPr="006D2625" w:rsidTr="004216A7">
        <w:trPr>
          <w:cantSplit/>
          <w:trHeight w:val="57"/>
          <w:jc w:val="center"/>
        </w:trPr>
        <w:tc>
          <w:tcPr>
            <w:tcW w:w="1560" w:type="dxa"/>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tcBorders>
              <w:top w:val="nil"/>
              <w:left w:val="single" w:sz="4" w:space="0" w:color="auto"/>
              <w:bottom w:val="nil"/>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60-79</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1,2</w:t>
            </w:r>
          </w:p>
        </w:tc>
        <w:tc>
          <w:tcPr>
            <w:tcW w:w="127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38,7%</w:t>
            </w:r>
          </w:p>
        </w:tc>
        <w:tc>
          <w:tcPr>
            <w:tcW w:w="1276"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1,0</w:t>
            </w:r>
          </w:p>
        </w:tc>
        <w:tc>
          <w:tcPr>
            <w:tcW w:w="1126" w:type="dxa"/>
            <w:tcBorders>
              <w:top w:val="nil"/>
              <w:left w:val="nil"/>
              <w:bottom w:val="nil"/>
              <w:right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46,6%</w:t>
            </w:r>
          </w:p>
        </w:tc>
      </w:tr>
      <w:tr w:rsidR="005E2D6E" w:rsidRPr="006D2625" w:rsidTr="004216A7">
        <w:trPr>
          <w:cantSplit/>
          <w:trHeight w:val="57"/>
          <w:jc w:val="center"/>
        </w:trPr>
        <w:tc>
          <w:tcPr>
            <w:tcW w:w="1560" w:type="dxa"/>
            <w:vMerge w:val="restart"/>
            <w:tcBorders>
              <w:left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vMerge w:val="restart"/>
            <w:tcBorders>
              <w:top w:val="nil"/>
              <w:left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80+</w:t>
            </w:r>
          </w:p>
          <w:p w:rsidR="005E2D6E" w:rsidRPr="00EA6475" w:rsidRDefault="005E2D6E" w:rsidP="004216A7">
            <w:pPr>
              <w:spacing w:after="60" w:line="240" w:lineRule="auto"/>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Total gain</w:t>
            </w:r>
          </w:p>
        </w:tc>
        <w:tc>
          <w:tcPr>
            <w:tcW w:w="1417" w:type="dxa"/>
            <w:tcBorders>
              <w:top w:val="nil"/>
              <w:left w:val="single" w:sz="4" w:space="0" w:color="auto"/>
              <w:bottom w:val="nil"/>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0,7</w:t>
            </w:r>
          </w:p>
        </w:tc>
        <w:tc>
          <w:tcPr>
            <w:tcW w:w="1276" w:type="dxa"/>
            <w:tcBorders>
              <w:top w:val="nil"/>
              <w:left w:val="nil"/>
              <w:bottom w:val="nil"/>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24,0%</w:t>
            </w:r>
          </w:p>
        </w:tc>
        <w:tc>
          <w:tcPr>
            <w:tcW w:w="1276" w:type="dxa"/>
            <w:tcBorders>
              <w:top w:val="nil"/>
              <w:left w:val="single" w:sz="4" w:space="0" w:color="auto"/>
              <w:bottom w:val="nil"/>
            </w:tcBorders>
            <w:shd w:val="clear" w:color="auto" w:fill="auto"/>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1,0</w:t>
            </w:r>
          </w:p>
        </w:tc>
        <w:tc>
          <w:tcPr>
            <w:tcW w:w="1126" w:type="dxa"/>
            <w:tcBorders>
              <w:top w:val="nil"/>
              <w:left w:val="nil"/>
              <w:bottom w:val="nil"/>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color w:val="000000" w:themeColor="text1"/>
                <w:sz w:val="18"/>
                <w:szCs w:val="20"/>
                <w:lang w:eastAsia="fr-BE"/>
              </w:rPr>
            </w:pPr>
            <w:r w:rsidRPr="00EA6475">
              <w:rPr>
                <w:rFonts w:eastAsia="Times New Roman" w:cstheme="minorHAnsi"/>
                <w:color w:val="000000" w:themeColor="text1"/>
                <w:sz w:val="18"/>
                <w:szCs w:val="20"/>
                <w:lang w:eastAsia="fr-BE"/>
              </w:rPr>
              <w:t>45,7%</w:t>
            </w:r>
          </w:p>
        </w:tc>
      </w:tr>
      <w:tr w:rsidR="005E2D6E" w:rsidRPr="006D2625" w:rsidTr="004216A7">
        <w:trPr>
          <w:cantSplit/>
          <w:trHeight w:val="57"/>
          <w:jc w:val="center"/>
        </w:trPr>
        <w:tc>
          <w:tcPr>
            <w:tcW w:w="1560" w:type="dxa"/>
            <w:vMerge/>
            <w:tcBorders>
              <w:left w:val="single" w:sz="4" w:space="0" w:color="auto"/>
              <w:bottom w:val="single" w:sz="4" w:space="0" w:color="auto"/>
              <w:right w:val="single" w:sz="4" w:space="0" w:color="auto"/>
            </w:tcBorders>
            <w:shd w:val="clear" w:color="auto" w:fill="auto"/>
            <w:noWrap/>
            <w:vAlign w:val="center"/>
          </w:tcPr>
          <w:p w:rsidR="005E2D6E" w:rsidRPr="00EA6475" w:rsidRDefault="005E2D6E" w:rsidP="004216A7">
            <w:pPr>
              <w:spacing w:after="0" w:line="240" w:lineRule="auto"/>
              <w:ind w:right="113"/>
              <w:rPr>
                <w:rFonts w:eastAsia="Times New Roman" w:cstheme="minorHAnsi"/>
                <w:color w:val="000000" w:themeColor="text1"/>
                <w:sz w:val="18"/>
                <w:szCs w:val="20"/>
                <w:lang w:eastAsia="fr-BE"/>
              </w:rPr>
            </w:pPr>
          </w:p>
        </w:tc>
        <w:tc>
          <w:tcPr>
            <w:tcW w:w="2688" w:type="dxa"/>
            <w:vMerge/>
            <w:tcBorders>
              <w:left w:val="single" w:sz="4" w:space="0" w:color="auto"/>
              <w:bottom w:val="single" w:sz="4" w:space="0" w:color="auto"/>
              <w:right w:val="single" w:sz="4" w:space="0" w:color="auto"/>
            </w:tcBorders>
            <w:shd w:val="clear" w:color="auto" w:fill="auto"/>
            <w:noWrap/>
            <w:vAlign w:val="bottom"/>
          </w:tcPr>
          <w:p w:rsidR="005E2D6E" w:rsidRPr="00EA6475" w:rsidRDefault="005E2D6E" w:rsidP="004216A7">
            <w:pPr>
              <w:spacing w:after="60" w:line="240" w:lineRule="auto"/>
              <w:rPr>
                <w:rFonts w:eastAsia="Times New Roman" w:cstheme="minorHAnsi"/>
                <w:color w:val="000000" w:themeColor="text1"/>
                <w:sz w:val="18"/>
                <w:szCs w:val="20"/>
                <w:lang w:eastAsia="fr-BE"/>
              </w:rPr>
            </w:pPr>
          </w:p>
        </w:tc>
        <w:tc>
          <w:tcPr>
            <w:tcW w:w="1417" w:type="dxa"/>
            <w:tcBorders>
              <w:top w:val="nil"/>
              <w:left w:val="single" w:sz="4" w:space="0" w:color="auto"/>
              <w:bottom w:val="single" w:sz="4" w:space="0" w:color="auto"/>
            </w:tcBorders>
            <w:shd w:val="clear" w:color="auto" w:fill="auto"/>
            <w:noWrap/>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3,0 years</w:t>
            </w:r>
          </w:p>
        </w:tc>
        <w:tc>
          <w:tcPr>
            <w:tcW w:w="127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p>
        </w:tc>
        <w:tc>
          <w:tcPr>
            <w:tcW w:w="1276" w:type="dxa"/>
            <w:tcBorders>
              <w:top w:val="nil"/>
              <w:left w:val="single" w:sz="4" w:space="0" w:color="auto"/>
              <w:bottom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r w:rsidRPr="00EA6475">
              <w:rPr>
                <w:rFonts w:eastAsia="Times New Roman" w:cstheme="minorHAnsi"/>
                <w:i/>
                <w:color w:val="000000" w:themeColor="text1"/>
                <w:sz w:val="18"/>
                <w:szCs w:val="20"/>
                <w:lang w:eastAsia="fr-BE"/>
              </w:rPr>
              <w:t>2,2 years</w:t>
            </w:r>
          </w:p>
        </w:tc>
        <w:tc>
          <w:tcPr>
            <w:tcW w:w="1126" w:type="dxa"/>
            <w:tcBorders>
              <w:top w:val="nil"/>
              <w:left w:val="nil"/>
              <w:bottom w:val="single" w:sz="4" w:space="0" w:color="auto"/>
              <w:right w:val="single" w:sz="4" w:space="0" w:color="auto"/>
            </w:tcBorders>
            <w:shd w:val="clear" w:color="auto" w:fill="auto"/>
            <w:vAlign w:val="center"/>
          </w:tcPr>
          <w:p w:rsidR="005E2D6E" w:rsidRPr="00EA6475" w:rsidRDefault="005E2D6E" w:rsidP="004216A7">
            <w:pPr>
              <w:spacing w:after="60" w:line="240" w:lineRule="auto"/>
              <w:ind w:right="113"/>
              <w:jc w:val="center"/>
              <w:rPr>
                <w:rFonts w:eastAsia="Times New Roman" w:cstheme="minorHAnsi"/>
                <w:i/>
                <w:color w:val="000000" w:themeColor="text1"/>
                <w:sz w:val="18"/>
                <w:szCs w:val="20"/>
                <w:lang w:eastAsia="fr-BE"/>
              </w:rPr>
            </w:pPr>
          </w:p>
        </w:tc>
      </w:tr>
    </w:tbl>
    <w:p w:rsidR="005E2D6E" w:rsidRPr="00DB6C4D" w:rsidRDefault="005E2D6E" w:rsidP="005E2D6E">
      <w:pPr>
        <w:rPr>
          <w:lang w:val="en-GB" w:eastAsia="en-GB"/>
        </w:rPr>
      </w:pPr>
    </w:p>
    <w:p w:rsidR="005E2D6E" w:rsidRDefault="005E2D6E" w:rsidP="005E2D6E">
      <w:pPr>
        <w:pStyle w:val="Paragraph"/>
        <w:ind w:firstLine="708"/>
        <w:jc w:val="both"/>
        <w:rPr>
          <w:lang w:val="en-US"/>
        </w:rPr>
      </w:pPr>
      <w:r w:rsidRPr="004F0795">
        <w:rPr>
          <w:lang w:val="en-US"/>
        </w:rPr>
        <w:t xml:space="preserve">The use of the Arriaga method, linked to the </w:t>
      </w:r>
      <w:r>
        <w:rPr>
          <w:lang w:val="en-US"/>
        </w:rPr>
        <w:t>sanitary</w:t>
      </w:r>
      <w:r w:rsidRPr="004F0795">
        <w:rPr>
          <w:lang w:val="en-US"/>
        </w:rPr>
        <w:t xml:space="preserve"> transition</w:t>
      </w:r>
      <w:r>
        <w:rPr>
          <w:lang w:val="en-US"/>
        </w:rPr>
        <w:t xml:space="preserve"> theory (Meslé, Vallin, 2002)</w:t>
      </w:r>
      <w:r w:rsidRPr="004F0795">
        <w:rPr>
          <w:lang w:val="en-US"/>
        </w:rPr>
        <w:t xml:space="preserve">, leads to some conclusions. </w:t>
      </w:r>
      <w:r>
        <w:rPr>
          <w:lang w:val="en-US"/>
        </w:rPr>
        <w:t>On the one hand, if</w:t>
      </w:r>
      <w:r w:rsidRPr="004F0795">
        <w:rPr>
          <w:lang w:val="en-US"/>
        </w:rPr>
        <w:t xml:space="preserve"> gains in life expectancy over a period are mainly due to gains among young populations, the improvement is mainly due to early factors in health transition, such as better care for the youngest, more assiduous control of infectious diseases and greater protection in risky professional activities. </w:t>
      </w:r>
      <w:r>
        <w:rPr>
          <w:lang w:val="en-US"/>
        </w:rPr>
        <w:t>On the other hand, i</w:t>
      </w:r>
      <w:r w:rsidRPr="004F0795">
        <w:rPr>
          <w:lang w:val="en-US"/>
        </w:rPr>
        <w:t xml:space="preserve">f </w:t>
      </w:r>
      <w:r>
        <w:rPr>
          <w:lang w:val="en-US"/>
        </w:rPr>
        <w:t>gains</w:t>
      </w:r>
      <w:r w:rsidRPr="004F0795">
        <w:rPr>
          <w:lang w:val="en-US"/>
        </w:rPr>
        <w:t xml:space="preserve"> </w:t>
      </w:r>
      <w:r>
        <w:rPr>
          <w:lang w:val="en-US"/>
        </w:rPr>
        <w:t>are</w:t>
      </w:r>
      <w:r w:rsidRPr="004F0795">
        <w:rPr>
          <w:lang w:val="en-US"/>
        </w:rPr>
        <w:t xml:space="preserve"> made among older adults or seniors, the health transition is more advanced</w:t>
      </w:r>
      <w:r>
        <w:rPr>
          <w:lang w:val="en-US"/>
        </w:rPr>
        <w:t>: a better control</w:t>
      </w:r>
      <w:r w:rsidRPr="004F0795">
        <w:rPr>
          <w:lang w:val="en-US"/>
        </w:rPr>
        <w:t xml:space="preserve"> on so-called "society" diseases, thanks to prevention, and behaviours </w:t>
      </w:r>
      <w:r>
        <w:rPr>
          <w:lang w:val="en-US"/>
        </w:rPr>
        <w:t>result in</w:t>
      </w:r>
      <w:r w:rsidRPr="004F0795">
        <w:rPr>
          <w:lang w:val="en-US"/>
        </w:rPr>
        <w:t xml:space="preserve"> longer survival. In our case, </w:t>
      </w:r>
      <w:r>
        <w:rPr>
          <w:lang w:val="en-US"/>
        </w:rPr>
        <w:t xml:space="preserve">owners </w:t>
      </w:r>
      <w:r w:rsidRPr="004F0795">
        <w:rPr>
          <w:lang w:val="en-US"/>
        </w:rPr>
        <w:t xml:space="preserve">are </w:t>
      </w:r>
      <w:r>
        <w:rPr>
          <w:lang w:val="en-US"/>
        </w:rPr>
        <w:t>at the forefront</w:t>
      </w:r>
      <w:r w:rsidRPr="004F0795">
        <w:rPr>
          <w:lang w:val="en-US"/>
        </w:rPr>
        <w:t xml:space="preserve"> in the health transition process compared to </w:t>
      </w:r>
      <w:r>
        <w:rPr>
          <w:lang w:val="en-US"/>
        </w:rPr>
        <w:t xml:space="preserve">renters, as the </w:t>
      </w:r>
      <w:r w:rsidRPr="004F0795">
        <w:rPr>
          <w:lang w:val="en-US"/>
        </w:rPr>
        <w:t xml:space="preserve">increase in life expectancy among older people is higher among the former. In terms of housing quality score, </w:t>
      </w:r>
      <w:r>
        <w:rPr>
          <w:lang w:val="en-US"/>
        </w:rPr>
        <w:t xml:space="preserve">the gap is less obvious, but </w:t>
      </w:r>
      <w:r w:rsidRPr="004F0795">
        <w:rPr>
          <w:lang w:val="en-US"/>
        </w:rPr>
        <w:t xml:space="preserve">it is possible to see </w:t>
      </w:r>
      <w:r>
        <w:rPr>
          <w:lang w:val="en-US"/>
        </w:rPr>
        <w:t>the</w:t>
      </w:r>
      <w:r w:rsidRPr="004F0795">
        <w:rPr>
          <w:lang w:val="en-US"/>
        </w:rPr>
        <w:t xml:space="preserve"> </w:t>
      </w:r>
      <w:r>
        <w:rPr>
          <w:lang w:val="en-US"/>
        </w:rPr>
        <w:t>advance</w:t>
      </w:r>
      <w:r w:rsidRPr="004F0795">
        <w:rPr>
          <w:lang w:val="en-US"/>
        </w:rPr>
        <w:t xml:space="preserve"> of </w:t>
      </w:r>
      <w:r>
        <w:rPr>
          <w:lang w:val="en-US"/>
        </w:rPr>
        <w:t>fourth quartile</w:t>
      </w:r>
      <w:r w:rsidRPr="004F0795">
        <w:rPr>
          <w:lang w:val="en-US"/>
        </w:rPr>
        <w:t xml:space="preserve"> within the health transition process, especially among the very elderly. </w:t>
      </w:r>
      <w:r>
        <w:rPr>
          <w:lang w:val="en-US"/>
        </w:rPr>
        <w:t xml:space="preserve">This illustrates the change of composition of the population from the first housing score quartile, and explains why this variable does not follow the trend of other socioeconomic factors. </w:t>
      </w:r>
    </w:p>
    <w:p w:rsidR="005E2D6E" w:rsidRPr="003D6832" w:rsidRDefault="005E2D6E" w:rsidP="005E2D6E">
      <w:pPr>
        <w:keepNext/>
        <w:spacing w:before="360" w:after="60" w:line="360" w:lineRule="auto"/>
        <w:ind w:right="567"/>
        <w:contextualSpacing/>
        <w:outlineLvl w:val="1"/>
        <w:rPr>
          <w:rFonts w:ascii="Times New Roman" w:eastAsia="Times New Roman" w:hAnsi="Times New Roman" w:cs="Arial"/>
          <w:b/>
          <w:bCs/>
          <w:i/>
          <w:iCs/>
          <w:sz w:val="24"/>
          <w:szCs w:val="28"/>
          <w:lang w:val="en-GB" w:eastAsia="en-GB"/>
        </w:rPr>
      </w:pPr>
      <w:r w:rsidRPr="00710C54">
        <w:rPr>
          <w:rFonts w:ascii="Times New Roman" w:hAnsi="Times New Roman" w:cs="Times New Roman"/>
          <w:b/>
          <w:i/>
          <w:sz w:val="24"/>
          <w:szCs w:val="24"/>
          <w:lang w:val="en-US"/>
        </w:rPr>
        <w:t>The net impact of housing conditions on mortality</w:t>
      </w:r>
    </w:p>
    <w:p w:rsidR="005E2D6E" w:rsidRDefault="005E2D6E" w:rsidP="005E2D6E">
      <w:pPr>
        <w:pStyle w:val="Paragraph"/>
        <w:jc w:val="both"/>
      </w:pPr>
      <w:r w:rsidRPr="00710C54">
        <w:t xml:space="preserve">What is the net effect of housing conditions on the risk of death within 5 years after the census? Over the </w:t>
      </w:r>
      <w:r>
        <w:t>three periods</w:t>
      </w:r>
      <w:r w:rsidRPr="00710C54">
        <w:t>, stepwise regression models were developed. Their purpose is to observe how the relationship evolve</w:t>
      </w:r>
      <w:r>
        <w:t>d</w:t>
      </w:r>
      <w:r w:rsidRPr="00710C54">
        <w:t xml:space="preserve"> as the different variables </w:t>
      </w:r>
      <w:r>
        <w:t>we</w:t>
      </w:r>
      <w:r w:rsidRPr="00710C54">
        <w:t xml:space="preserve">re integrated. </w:t>
      </w:r>
      <w:r>
        <w:t xml:space="preserve">In the models, housing </w:t>
      </w:r>
      <w:r>
        <w:lastRenderedPageBreak/>
        <w:t>conditions are represented not only by the</w:t>
      </w:r>
      <w:r w:rsidRPr="00710C54">
        <w:t xml:space="preserve"> housing score, </w:t>
      </w:r>
      <w:r>
        <w:t>but also</w:t>
      </w:r>
      <w:r w:rsidRPr="00710C54">
        <w:t xml:space="preserve"> </w:t>
      </w:r>
      <w:r>
        <w:t>by</w:t>
      </w:r>
      <w:r w:rsidRPr="00710C54">
        <w:t xml:space="preserve"> four </w:t>
      </w:r>
      <w:r>
        <w:t>of its components</w:t>
      </w:r>
      <w:r w:rsidRPr="00710C54">
        <w:t xml:space="preserve">: </w:t>
      </w:r>
      <w:r>
        <w:t>tenure</w:t>
      </w:r>
      <w:r w:rsidRPr="00710C54">
        <w:t>, occupancy density, presence of a bathroom and central heating. Various socio-demographic variables were included in the models: the ten-year age group, household type, marital status, nationality, region of residence, as well as the maximum level of education and socio-professional category. For the latter two categories, children were assigned the status of the</w:t>
      </w:r>
      <w:r>
        <w:t>ir</w:t>
      </w:r>
      <w:r w:rsidRPr="00710C54">
        <w:t xml:space="preserve"> most advantaged parent. </w:t>
      </w:r>
      <w:r>
        <w:t xml:space="preserve">The entire models are presented in the Appendix 2. </w:t>
      </w:r>
    </w:p>
    <w:p w:rsidR="005E2D6E" w:rsidRPr="00237BA3" w:rsidRDefault="005E2D6E" w:rsidP="005E2D6E">
      <w:pPr>
        <w:pStyle w:val="Paragraph"/>
        <w:ind w:firstLine="708"/>
        <w:jc w:val="both"/>
      </w:pPr>
      <w:r w:rsidRPr="00710C54">
        <w:t xml:space="preserve">The large </w:t>
      </w:r>
      <w:r>
        <w:t>richness</w:t>
      </w:r>
      <w:r w:rsidRPr="00710C54">
        <w:t xml:space="preserve"> of data from the 2011 census by register allows the level of income per decile to be included in the model</w:t>
      </w:r>
      <w:r>
        <w:t>, only for this period</w:t>
      </w:r>
      <w:r w:rsidRPr="00710C54">
        <w:t xml:space="preserve">. </w:t>
      </w:r>
      <w:r>
        <w:t>T</w:t>
      </w:r>
      <w:r w:rsidRPr="00710C54">
        <w:t xml:space="preserve">he first decile includes the 10% of the population with the lowest tax </w:t>
      </w:r>
      <w:r>
        <w:t>incomes</w:t>
      </w:r>
      <w:r w:rsidRPr="00710C54">
        <w:t xml:space="preserve"> in the country. Total net income is the sum of all net income from the various tax categories: real estate income, capital and movable property income and revenues, professional and miscellaneous income (Statbel, 2019). A variable representative of the average level of income during the period 2011-2016 was generated as part of this research, in the form of a score out of 10</w:t>
      </w:r>
      <w:r>
        <w:t xml:space="preserve"> (Table 5)</w:t>
      </w:r>
      <w:r w:rsidRPr="00710C54">
        <w:t xml:space="preserve">. </w:t>
      </w:r>
    </w:p>
    <w:p w:rsidR="005E2D6E" w:rsidRPr="00182089" w:rsidRDefault="005E2D6E" w:rsidP="005E2D6E">
      <w:pPr>
        <w:spacing w:before="240" w:after="0" w:line="240" w:lineRule="auto"/>
        <w:rPr>
          <w:rFonts w:ascii="Times New Roman" w:eastAsia="Times New Roman" w:hAnsi="Times New Roman" w:cs="Times New Roman"/>
          <w:sz w:val="24"/>
          <w:szCs w:val="24"/>
          <w:lang w:val="en-US" w:eastAsia="fr-BE"/>
        </w:rPr>
      </w:pPr>
      <w:r>
        <w:rPr>
          <w:rFonts w:ascii="Times New Roman" w:eastAsia="Times New Roman" w:hAnsi="Times New Roman" w:cs="Times New Roman"/>
          <w:color w:val="000000"/>
          <w:sz w:val="24"/>
          <w:szCs w:val="24"/>
          <w:lang w:val="en-US" w:eastAsia="fr-BE"/>
        </w:rPr>
        <w:t>Table</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5</w:t>
      </w:r>
      <w:r w:rsidRPr="00624B0D">
        <w:rPr>
          <w:rFonts w:ascii="Times New Roman" w:eastAsia="Times New Roman" w:hAnsi="Times New Roman" w:cs="Times New Roman"/>
          <w:color w:val="000000"/>
          <w:sz w:val="24"/>
          <w:szCs w:val="24"/>
          <w:lang w:val="en-US" w:eastAsia="fr-BE"/>
        </w:rPr>
        <w:t xml:space="preserve">. </w:t>
      </w:r>
      <w:r w:rsidRPr="00800EE9">
        <w:rPr>
          <w:rFonts w:ascii="Times New Roman" w:hAnsi="Times New Roman" w:cs="Times New Roman"/>
          <w:sz w:val="24"/>
          <w:szCs w:val="24"/>
          <w:lang w:val="en-US"/>
        </w:rPr>
        <w:t xml:space="preserve">Odds ratio and significativity on the risk of death on the </w:t>
      </w:r>
      <w:r>
        <w:rPr>
          <w:rFonts w:ascii="Times New Roman" w:hAnsi="Times New Roman" w:cs="Times New Roman"/>
          <w:sz w:val="24"/>
          <w:szCs w:val="24"/>
          <w:lang w:val="en-US"/>
        </w:rPr>
        <w:t xml:space="preserve">1992-1996, 2002-2006 and 2011-2015 </w:t>
      </w:r>
      <w:r w:rsidRPr="00800EE9">
        <w:rPr>
          <w:rFonts w:ascii="Times New Roman" w:hAnsi="Times New Roman" w:cs="Times New Roman"/>
          <w:sz w:val="24"/>
          <w:szCs w:val="24"/>
          <w:lang w:val="en-US"/>
        </w:rPr>
        <w:t>period</w:t>
      </w:r>
      <w:r>
        <w:rPr>
          <w:rFonts w:ascii="Times New Roman" w:hAnsi="Times New Roman" w:cs="Times New Roman"/>
          <w:sz w:val="24"/>
          <w:szCs w:val="24"/>
          <w:lang w:val="en-US"/>
        </w:rPr>
        <w:t>s</w:t>
      </w:r>
      <w:r w:rsidRPr="00941532">
        <w:rPr>
          <w:rFonts w:ascii="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sz w:val="24"/>
          <w:szCs w:val="24"/>
          <w:lang w:val="en-US" w:eastAsia="fr-BE"/>
        </w:rPr>
        <w:t>Source: National Register, 2011 Population Census – calculation by DEMO-UCL and author</w:t>
      </w:r>
    </w:p>
    <w:p w:rsidR="005E2D6E" w:rsidRPr="00794E86" w:rsidRDefault="005E2D6E" w:rsidP="005E2D6E">
      <w:pPr>
        <w:jc w:val="center"/>
        <w:rPr>
          <w:lang w:val="en-US"/>
        </w:rPr>
      </w:pPr>
    </w:p>
    <w:tbl>
      <w:tblPr>
        <w:tblW w:w="9920" w:type="dxa"/>
        <w:tblCellMar>
          <w:left w:w="70" w:type="dxa"/>
          <w:right w:w="70" w:type="dxa"/>
        </w:tblCellMar>
        <w:tblLook w:val="04A0" w:firstRow="1" w:lastRow="0" w:firstColumn="1" w:lastColumn="0" w:noHBand="0" w:noVBand="1"/>
      </w:tblPr>
      <w:tblGrid>
        <w:gridCol w:w="1240"/>
        <w:gridCol w:w="1240"/>
        <w:gridCol w:w="1240"/>
        <w:gridCol w:w="1240"/>
        <w:gridCol w:w="1240"/>
        <w:gridCol w:w="1240"/>
        <w:gridCol w:w="1240"/>
        <w:gridCol w:w="1240"/>
      </w:tblGrid>
      <w:tr w:rsidR="005E2D6E" w:rsidRPr="00794E86" w:rsidTr="004216A7">
        <w:trPr>
          <w:trHeight w:val="300"/>
        </w:trPr>
        <w:tc>
          <w:tcPr>
            <w:tcW w:w="2480" w:type="dxa"/>
            <w:gridSpan w:val="2"/>
            <w:tcBorders>
              <w:top w:val="single" w:sz="8" w:space="0" w:color="auto"/>
              <w:left w:val="single" w:sz="8" w:space="0" w:color="auto"/>
              <w:bottom w:val="single" w:sz="8" w:space="0" w:color="auto"/>
              <w:right w:val="single" w:sz="8" w:space="0" w:color="000000"/>
            </w:tcBorders>
            <w:shd w:val="clear" w:color="auto" w:fill="auto"/>
            <w:noWrap/>
            <w:hideMark/>
          </w:tcPr>
          <w:p w:rsidR="005E2D6E" w:rsidRPr="00794E86" w:rsidRDefault="005E2D6E" w:rsidP="004216A7">
            <w:pPr>
              <w:spacing w:after="0" w:line="240" w:lineRule="auto"/>
              <w:rPr>
                <w:rFonts w:ascii="Calibri" w:eastAsia="Times New Roman" w:hAnsi="Calibri" w:cs="Calibri"/>
                <w:color w:val="000000"/>
                <w:sz w:val="18"/>
                <w:lang w:val="en-US" w:eastAsia="fr-BE"/>
              </w:rPr>
            </w:pPr>
            <w:r w:rsidRPr="00794E86">
              <w:rPr>
                <w:rFonts w:ascii="Calibri" w:eastAsia="Times New Roman" w:hAnsi="Calibri" w:cs="Calibri"/>
                <w:color w:val="000000"/>
                <w:sz w:val="18"/>
                <w:lang w:val="en-US" w:eastAsia="fr-BE"/>
              </w:rPr>
              <w:t> </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1a</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2a</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3a</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1b</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2b</w:t>
            </w:r>
          </w:p>
        </w:tc>
        <w:tc>
          <w:tcPr>
            <w:tcW w:w="1240" w:type="dxa"/>
            <w:tcBorders>
              <w:top w:val="single" w:sz="8"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Model 3b</w:t>
            </w:r>
          </w:p>
        </w:tc>
      </w:tr>
      <w:tr w:rsidR="005E2D6E" w:rsidRPr="00794E86" w:rsidTr="004216A7">
        <w:trPr>
          <w:trHeight w:val="300"/>
        </w:trPr>
        <w:tc>
          <w:tcPr>
            <w:tcW w:w="9920" w:type="dxa"/>
            <w:gridSpan w:val="8"/>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b/>
                <w:bCs/>
                <w:color w:val="000000"/>
                <w:sz w:val="18"/>
                <w:szCs w:val="20"/>
                <w:lang w:eastAsia="fr-BE"/>
              </w:rPr>
            </w:pPr>
            <w:r w:rsidRPr="00794E86">
              <w:rPr>
                <w:rFonts w:ascii="Calibri" w:eastAsia="Times New Roman" w:hAnsi="Calibri" w:cs="Calibri"/>
                <w:b/>
                <w:bCs/>
                <w:color w:val="000000"/>
                <w:sz w:val="18"/>
                <w:szCs w:val="21"/>
                <w:lang w:val="en-US" w:eastAsia="fr-BE"/>
              </w:rPr>
              <w:t>1992-1996</w:t>
            </w:r>
          </w:p>
        </w:tc>
      </w:tr>
      <w:tr w:rsidR="005E2D6E" w:rsidRPr="00794E86" w:rsidTr="004216A7">
        <w:trPr>
          <w:trHeight w:val="564"/>
        </w:trPr>
        <w:tc>
          <w:tcPr>
            <w:tcW w:w="1240" w:type="dxa"/>
            <w:vMerge w:val="restart"/>
            <w:tcBorders>
              <w:top w:val="nil"/>
              <w:left w:val="single" w:sz="8" w:space="0" w:color="auto"/>
              <w:bottom w:val="single" w:sz="8" w:space="0" w:color="000000"/>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20"/>
                <w:szCs w:val="20"/>
                <w:lang w:eastAsia="fr-BE"/>
              </w:rPr>
            </w:pPr>
            <w:r>
              <w:rPr>
                <w:rFonts w:ascii="Calibri" w:eastAsia="Times New Roman" w:hAnsi="Calibri" w:cs="Calibri"/>
                <w:b/>
                <w:bCs/>
                <w:color w:val="000000"/>
                <w:sz w:val="18"/>
                <w:szCs w:val="21"/>
                <w:lang w:eastAsia="fr-BE"/>
              </w:rPr>
              <w:t>Housing score</w:t>
            </w:r>
            <w:r w:rsidRPr="00794E86">
              <w:rPr>
                <w:rFonts w:ascii="Calibri" w:eastAsia="Times New Roman" w:hAnsi="Calibri" w:cs="Calibri"/>
                <w:color w:val="000000"/>
                <w:sz w:val="18"/>
                <w:szCs w:val="20"/>
                <w:lang w:eastAsia="fr-BE"/>
              </w:rPr>
              <w:t xml:space="preserve"> (r</w:t>
            </w:r>
            <w:r>
              <w:rPr>
                <w:rFonts w:ascii="Calibri" w:eastAsia="Times New Roman" w:hAnsi="Calibri" w:cs="Calibri"/>
                <w:color w:val="000000"/>
                <w:sz w:val="18"/>
                <w:szCs w:val="20"/>
                <w:lang w:eastAsia="fr-BE"/>
              </w:rPr>
              <w:t>e</w:t>
            </w:r>
            <w:r w:rsidRPr="00794E86">
              <w:rPr>
                <w:rFonts w:ascii="Calibri" w:eastAsia="Times New Roman" w:hAnsi="Calibri" w:cs="Calibri"/>
                <w:color w:val="000000"/>
                <w:sz w:val="18"/>
                <w:szCs w:val="20"/>
                <w:lang w:eastAsia="fr-BE"/>
              </w:rPr>
              <w:t xml:space="preserve">f : score </w:t>
            </w:r>
            <w:r w:rsidRPr="00794E86">
              <w:rPr>
                <w:rFonts w:ascii="Calibri" w:eastAsia="Times New Roman" w:hAnsi="Calibri" w:cs="Calibri"/>
                <w:b/>
                <w:bCs/>
                <w:color w:val="000000"/>
                <w:sz w:val="18"/>
                <w:szCs w:val="20"/>
                <w:lang w:eastAsia="fr-BE"/>
              </w:rPr>
              <w:t>&lt;</w:t>
            </w:r>
            <w:r w:rsidRPr="00794E86">
              <w:rPr>
                <w:rFonts w:ascii="Calibri" w:eastAsia="Times New Roman" w:hAnsi="Calibri" w:cs="Calibri"/>
                <w:color w:val="000000"/>
                <w:sz w:val="20"/>
                <w:szCs w:val="20"/>
                <w:lang w:eastAsia="fr-BE"/>
              </w:rPr>
              <w:t xml:space="preserve"> </w:t>
            </w:r>
            <w:r w:rsidRPr="00794E86">
              <w:rPr>
                <w:rFonts w:ascii="Calibri" w:eastAsia="Times New Roman" w:hAnsi="Calibri" w:cs="Calibri"/>
                <w:b/>
                <w:bCs/>
                <w:color w:val="000000"/>
                <w:sz w:val="20"/>
                <w:szCs w:val="20"/>
                <w:lang w:eastAsia="fr-BE"/>
              </w:rPr>
              <w:t>2,2</w:t>
            </w:r>
            <w:r w:rsidRPr="00794E86">
              <w:rPr>
                <w:rFonts w:ascii="Calibri" w:eastAsia="Times New Roman" w:hAnsi="Calibri" w:cs="Calibri"/>
                <w:color w:val="000000"/>
                <w:sz w:val="20"/>
                <w:szCs w:val="20"/>
                <w:lang w:eastAsia="fr-BE"/>
              </w:rPr>
              <w:t>)</w:t>
            </w:r>
          </w:p>
        </w:tc>
        <w:tc>
          <w:tcPr>
            <w:tcW w:w="1240" w:type="dxa"/>
            <w:tcBorders>
              <w:top w:val="nil"/>
              <w:left w:val="nil"/>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Score</w:t>
            </w:r>
            <w:r>
              <w:rPr>
                <w:rFonts w:ascii="Calibri" w:eastAsia="Times New Roman" w:hAnsi="Calibri" w:cs="Calibri"/>
                <w:color w:val="000000"/>
                <w:sz w:val="18"/>
                <w:szCs w:val="21"/>
                <w:lang w:val="en-US" w:eastAsia="fr-BE"/>
              </w:rPr>
              <w:t xml:space="preserve"> between </w:t>
            </w:r>
            <w:r w:rsidRPr="00794E86">
              <w:rPr>
                <w:rFonts w:ascii="Calibri" w:eastAsia="Times New Roman" w:hAnsi="Calibri" w:cs="Calibri"/>
                <w:color w:val="000000"/>
                <w:sz w:val="18"/>
                <w:szCs w:val="21"/>
                <w:lang w:val="en-US" w:eastAsia="fr-BE"/>
              </w:rPr>
              <w:t xml:space="preserve">2,2 </w:t>
            </w:r>
            <w:r>
              <w:rPr>
                <w:rFonts w:ascii="Calibri" w:eastAsia="Times New Roman" w:hAnsi="Calibri" w:cs="Calibri"/>
                <w:color w:val="000000"/>
                <w:sz w:val="18"/>
                <w:szCs w:val="21"/>
                <w:lang w:val="en-US" w:eastAsia="fr-BE"/>
              </w:rPr>
              <w:t>&amp;</w:t>
            </w:r>
            <w:r w:rsidRPr="00794E86">
              <w:rPr>
                <w:rFonts w:ascii="Calibri" w:eastAsia="Times New Roman" w:hAnsi="Calibri" w:cs="Calibri"/>
                <w:color w:val="000000"/>
                <w:sz w:val="18"/>
                <w:szCs w:val="21"/>
                <w:lang w:val="en-US" w:eastAsia="fr-BE"/>
              </w:rPr>
              <w:t xml:space="preserve"> 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0.83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0.87</w:t>
            </w:r>
          </w:p>
        </w:tc>
        <w:tc>
          <w:tcPr>
            <w:tcW w:w="1240" w:type="dxa"/>
            <w:tcBorders>
              <w:top w:val="nil"/>
              <w:left w:val="nil"/>
              <w:right w:val="nil"/>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c>
          <w:tcPr>
            <w:tcW w:w="3720" w:type="dxa"/>
            <w:gridSpan w:val="3"/>
            <w:vMerge w:val="restart"/>
            <w:tcBorders>
              <w:top w:val="single" w:sz="8" w:space="0" w:color="auto"/>
              <w:left w:val="single" w:sz="8" w:space="0" w:color="auto"/>
              <w:right w:val="single" w:sz="4" w:space="0" w:color="auto"/>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r>
      <w:tr w:rsidR="005E2D6E" w:rsidRPr="00794E86" w:rsidTr="004216A7">
        <w:trPr>
          <w:trHeight w:val="300"/>
        </w:trPr>
        <w:tc>
          <w:tcPr>
            <w:tcW w:w="1240" w:type="dxa"/>
            <w:vMerge/>
            <w:tcBorders>
              <w:top w:val="nil"/>
              <w:left w:val="single" w:sz="8" w:space="0" w:color="auto"/>
              <w:bottom w:val="single" w:sz="8" w:space="0" w:color="000000"/>
              <w:right w:val="single" w:sz="8" w:space="0" w:color="auto"/>
            </w:tcBorders>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Score &gt; 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0.64</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0.70</w:t>
            </w:r>
          </w:p>
        </w:tc>
        <w:tc>
          <w:tcPr>
            <w:tcW w:w="1240" w:type="dxa"/>
            <w:tcBorders>
              <w:top w:val="nil"/>
              <w:left w:val="nil"/>
              <w:bottom w:val="single" w:sz="4" w:space="0" w:color="auto"/>
              <w:right w:val="single" w:sz="4" w:space="0" w:color="auto"/>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c>
          <w:tcPr>
            <w:tcW w:w="3720" w:type="dxa"/>
            <w:gridSpan w:val="3"/>
            <w:vMerge/>
            <w:tcBorders>
              <w:top w:val="single" w:sz="8" w:space="0" w:color="000000"/>
              <w:left w:val="single" w:sz="4" w:space="0" w:color="auto"/>
              <w:bottom w:val="single" w:sz="4" w:space="0" w:color="auto"/>
              <w:right w:val="single" w:sz="4" w:space="0" w:color="auto"/>
            </w:tcBorders>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p>
        </w:tc>
      </w:tr>
      <w:tr w:rsidR="005E2D6E" w:rsidRPr="00794E86" w:rsidTr="004216A7">
        <w:trPr>
          <w:trHeight w:val="1116"/>
        </w:trPr>
        <w:tc>
          <w:tcPr>
            <w:tcW w:w="1240" w:type="dxa"/>
            <w:tcBorders>
              <w:top w:val="nil"/>
              <w:left w:val="single" w:sz="8" w:space="0" w:color="auto"/>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r>
              <w:rPr>
                <w:rFonts w:ascii="Calibri" w:eastAsia="Times New Roman" w:hAnsi="Calibri" w:cs="Calibri"/>
                <w:b/>
                <w:color w:val="000000"/>
                <w:sz w:val="18"/>
                <w:szCs w:val="20"/>
                <w:lang w:val="en-US" w:eastAsia="fr-BE"/>
              </w:rPr>
              <w:t>Housing tenure</w:t>
            </w:r>
            <w:r w:rsidRPr="00794E86">
              <w:rPr>
                <w:rFonts w:ascii="Calibri" w:eastAsia="Times New Roman" w:hAnsi="Calibri" w:cs="Calibri"/>
                <w:color w:val="000000"/>
                <w:sz w:val="18"/>
                <w:szCs w:val="20"/>
                <w:lang w:val="en-US" w:eastAsia="fr-BE"/>
              </w:rPr>
              <w:t xml:space="preserve"> (r</w:t>
            </w:r>
            <w:r>
              <w:rPr>
                <w:rFonts w:ascii="Calibri" w:eastAsia="Times New Roman" w:hAnsi="Calibri" w:cs="Calibri"/>
                <w:color w:val="000000"/>
                <w:sz w:val="18"/>
                <w:szCs w:val="20"/>
                <w:lang w:val="en-US" w:eastAsia="fr-BE"/>
              </w:rPr>
              <w:t>e</w:t>
            </w:r>
            <w:r w:rsidRPr="00794E86">
              <w:rPr>
                <w:rFonts w:ascii="Calibri" w:eastAsia="Times New Roman" w:hAnsi="Calibri" w:cs="Calibri"/>
                <w:color w:val="000000"/>
                <w:sz w:val="18"/>
                <w:szCs w:val="20"/>
                <w:lang w:val="en-US" w:eastAsia="fr-BE"/>
              </w:rPr>
              <w:t xml:space="preserve">f : </w:t>
            </w:r>
            <w:r>
              <w:rPr>
                <w:rFonts w:ascii="Calibri" w:eastAsia="Times New Roman" w:hAnsi="Calibri" w:cs="Calibri"/>
                <w:color w:val="000000"/>
                <w:sz w:val="18"/>
                <w:szCs w:val="20"/>
                <w:lang w:val="en-US" w:eastAsia="fr-BE"/>
              </w:rPr>
              <w:t>Owner</w:t>
            </w:r>
            <w:r w:rsidRPr="00794E86">
              <w:rPr>
                <w:rFonts w:ascii="Calibri" w:eastAsia="Times New Roman" w:hAnsi="Calibri" w:cs="Calibri"/>
                <w:color w:val="000000"/>
                <w:sz w:val="18"/>
                <w:szCs w:val="20"/>
                <w:lang w:val="en-US" w:eastAsia="fr-BE"/>
              </w:rPr>
              <w:t>)</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Pr>
                <w:rFonts w:ascii="Calibri" w:eastAsia="Times New Roman" w:hAnsi="Calibri" w:cs="Calibri"/>
                <w:color w:val="000000"/>
                <w:sz w:val="18"/>
                <w:szCs w:val="21"/>
                <w:lang w:val="en-US" w:eastAsia="fr-BE"/>
              </w:rPr>
              <w:t>Tenant</w:t>
            </w:r>
          </w:p>
        </w:tc>
        <w:tc>
          <w:tcPr>
            <w:tcW w:w="3720" w:type="dxa"/>
            <w:gridSpan w:val="3"/>
            <w:tcBorders>
              <w:top w:val="single" w:sz="8" w:space="0" w:color="auto"/>
              <w:left w:val="nil"/>
              <w:bottom w:val="single" w:sz="8" w:space="0" w:color="auto"/>
              <w:right w:val="single" w:sz="4" w:space="0" w:color="auto"/>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c>
          <w:tcPr>
            <w:tcW w:w="12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1.19</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1.19</w:t>
            </w:r>
          </w:p>
        </w:tc>
        <w:tc>
          <w:tcPr>
            <w:tcW w:w="1240" w:type="dxa"/>
            <w:tcBorders>
              <w:top w:val="single" w:sz="4" w:space="0" w:color="auto"/>
              <w:left w:val="nil"/>
              <w:bottom w:val="nil"/>
              <w:right w:val="single" w:sz="4" w:space="0" w:color="auto"/>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r>
      <w:tr w:rsidR="005E2D6E" w:rsidRPr="00794E86" w:rsidTr="004216A7">
        <w:trPr>
          <w:trHeight w:val="300"/>
        </w:trPr>
        <w:tc>
          <w:tcPr>
            <w:tcW w:w="9920"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5E2D6E" w:rsidRPr="00794E86" w:rsidRDefault="005E2D6E" w:rsidP="004216A7">
            <w:pPr>
              <w:spacing w:after="0" w:line="240" w:lineRule="auto"/>
              <w:jc w:val="center"/>
              <w:rPr>
                <w:rFonts w:ascii="Calibri" w:eastAsia="Times New Roman" w:hAnsi="Calibri" w:cs="Calibri"/>
                <w:b/>
                <w:bCs/>
                <w:color w:val="000000"/>
                <w:sz w:val="18"/>
                <w:szCs w:val="20"/>
                <w:lang w:eastAsia="fr-BE"/>
              </w:rPr>
            </w:pPr>
            <w:r w:rsidRPr="00794E86">
              <w:rPr>
                <w:rFonts w:ascii="Calibri" w:eastAsia="Times New Roman" w:hAnsi="Calibri" w:cs="Calibri"/>
                <w:b/>
                <w:bCs/>
                <w:color w:val="000000"/>
                <w:sz w:val="18"/>
                <w:szCs w:val="21"/>
                <w:lang w:val="en-US" w:eastAsia="fr-BE"/>
              </w:rPr>
              <w:t>2002-2006</w:t>
            </w:r>
          </w:p>
        </w:tc>
      </w:tr>
      <w:tr w:rsidR="005E2D6E" w:rsidRPr="00794E86" w:rsidTr="004216A7">
        <w:trPr>
          <w:trHeight w:val="455"/>
        </w:trPr>
        <w:tc>
          <w:tcPr>
            <w:tcW w:w="1240" w:type="dxa"/>
            <w:vMerge w:val="restart"/>
            <w:tcBorders>
              <w:top w:val="nil"/>
              <w:left w:val="single" w:sz="8" w:space="0" w:color="auto"/>
              <w:bottom w:val="single" w:sz="8" w:space="0" w:color="000000"/>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20"/>
                <w:szCs w:val="20"/>
                <w:lang w:eastAsia="fr-BE"/>
              </w:rPr>
            </w:pPr>
            <w:r>
              <w:rPr>
                <w:rFonts w:ascii="Calibri" w:eastAsia="Times New Roman" w:hAnsi="Calibri" w:cs="Calibri"/>
                <w:b/>
                <w:bCs/>
                <w:color w:val="000000"/>
                <w:sz w:val="18"/>
                <w:szCs w:val="21"/>
                <w:lang w:eastAsia="fr-BE"/>
              </w:rPr>
              <w:t>Housing score</w:t>
            </w:r>
            <w:r w:rsidRPr="00794E86">
              <w:rPr>
                <w:rFonts w:ascii="Calibri" w:eastAsia="Times New Roman" w:hAnsi="Calibri" w:cs="Calibri"/>
                <w:color w:val="000000"/>
                <w:sz w:val="18"/>
                <w:szCs w:val="20"/>
                <w:lang w:eastAsia="fr-BE"/>
              </w:rPr>
              <w:t xml:space="preserve"> (r</w:t>
            </w:r>
            <w:r>
              <w:rPr>
                <w:rFonts w:ascii="Calibri" w:eastAsia="Times New Roman" w:hAnsi="Calibri" w:cs="Calibri"/>
                <w:color w:val="000000"/>
                <w:sz w:val="18"/>
                <w:szCs w:val="20"/>
                <w:lang w:eastAsia="fr-BE"/>
              </w:rPr>
              <w:t>e</w:t>
            </w:r>
            <w:r w:rsidRPr="00794E86">
              <w:rPr>
                <w:rFonts w:ascii="Calibri" w:eastAsia="Times New Roman" w:hAnsi="Calibri" w:cs="Calibri"/>
                <w:color w:val="000000"/>
                <w:sz w:val="18"/>
                <w:szCs w:val="20"/>
                <w:lang w:eastAsia="fr-BE"/>
              </w:rPr>
              <w:t>f : score &lt;</w:t>
            </w:r>
            <w:r w:rsidRPr="00794E86">
              <w:rPr>
                <w:rFonts w:ascii="Calibri" w:eastAsia="Times New Roman" w:hAnsi="Calibri" w:cs="Calibri"/>
                <w:b/>
                <w:bCs/>
                <w:color w:val="000000"/>
                <w:sz w:val="18"/>
                <w:szCs w:val="20"/>
                <w:lang w:eastAsia="fr-BE"/>
              </w:rPr>
              <w:t xml:space="preserve"> </w:t>
            </w:r>
            <w:r w:rsidRPr="00794E86">
              <w:rPr>
                <w:rFonts w:ascii="Calibri" w:eastAsia="Times New Roman" w:hAnsi="Calibri" w:cs="Calibri"/>
                <w:color w:val="000000"/>
                <w:sz w:val="20"/>
                <w:szCs w:val="20"/>
                <w:lang w:eastAsia="fr-BE"/>
              </w:rPr>
              <w:t>2,2</w:t>
            </w:r>
            <w:r w:rsidRPr="00794E86">
              <w:rPr>
                <w:rFonts w:ascii="Calibri" w:eastAsia="Times New Roman" w:hAnsi="Calibri" w:cs="Calibri"/>
                <w:b/>
                <w:bCs/>
                <w:color w:val="000000"/>
                <w:sz w:val="20"/>
                <w:szCs w:val="20"/>
                <w:lang w:eastAsia="fr-BE"/>
              </w:rPr>
              <w:t>)</w:t>
            </w:r>
          </w:p>
        </w:tc>
        <w:tc>
          <w:tcPr>
            <w:tcW w:w="1240" w:type="dxa"/>
            <w:tcBorders>
              <w:top w:val="nil"/>
              <w:left w:val="nil"/>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 xml:space="preserve">Score </w:t>
            </w:r>
            <w:r>
              <w:rPr>
                <w:rFonts w:ascii="Calibri" w:eastAsia="Times New Roman" w:hAnsi="Calibri" w:cs="Calibri"/>
                <w:color w:val="000000"/>
                <w:sz w:val="18"/>
                <w:szCs w:val="21"/>
                <w:lang w:val="en-US" w:eastAsia="fr-BE"/>
              </w:rPr>
              <w:t>between</w:t>
            </w:r>
            <w:r w:rsidRPr="00794E86">
              <w:rPr>
                <w:rFonts w:ascii="Calibri" w:eastAsia="Times New Roman" w:hAnsi="Calibri" w:cs="Calibri"/>
                <w:color w:val="000000"/>
                <w:sz w:val="18"/>
                <w:szCs w:val="21"/>
                <w:lang w:val="en-US" w:eastAsia="fr-BE"/>
              </w:rPr>
              <w:t xml:space="preserve"> 2,2</w:t>
            </w:r>
            <w:r>
              <w:rPr>
                <w:rFonts w:ascii="Calibri" w:eastAsia="Times New Roman" w:hAnsi="Calibri" w:cs="Calibri"/>
                <w:color w:val="000000"/>
                <w:sz w:val="18"/>
                <w:szCs w:val="21"/>
                <w:lang w:val="en-US" w:eastAsia="fr-BE"/>
              </w:rPr>
              <w:t xml:space="preserve"> &amp; </w:t>
            </w:r>
            <w:r w:rsidRPr="00794E86">
              <w:rPr>
                <w:rFonts w:ascii="Calibri" w:eastAsia="Times New Roman" w:hAnsi="Calibri" w:cs="Calibri"/>
                <w:color w:val="000000"/>
                <w:sz w:val="18"/>
                <w:szCs w:val="21"/>
                <w:lang w:val="en-US" w:eastAsia="fr-BE"/>
              </w:rPr>
              <w:t>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0.81</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0.85</w:t>
            </w:r>
          </w:p>
        </w:tc>
        <w:tc>
          <w:tcPr>
            <w:tcW w:w="1240" w:type="dxa"/>
            <w:tcBorders>
              <w:top w:val="nil"/>
              <w:left w:val="nil"/>
              <w:bottom w:val="nil"/>
              <w:right w:val="nil"/>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c>
          <w:tcPr>
            <w:tcW w:w="3720" w:type="dxa"/>
            <w:gridSpan w:val="3"/>
            <w:vMerge w:val="restart"/>
            <w:tcBorders>
              <w:top w:val="single" w:sz="8" w:space="0" w:color="auto"/>
              <w:left w:val="single" w:sz="8" w:space="0" w:color="auto"/>
              <w:bottom w:val="single" w:sz="8" w:space="0" w:color="000000"/>
              <w:right w:val="single" w:sz="4" w:space="0" w:color="auto"/>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r>
      <w:tr w:rsidR="005E2D6E" w:rsidRPr="00794E86" w:rsidTr="004216A7">
        <w:trPr>
          <w:trHeight w:val="300"/>
        </w:trPr>
        <w:tc>
          <w:tcPr>
            <w:tcW w:w="1240" w:type="dxa"/>
            <w:vMerge/>
            <w:tcBorders>
              <w:top w:val="nil"/>
              <w:left w:val="single" w:sz="8" w:space="0" w:color="auto"/>
              <w:bottom w:val="single" w:sz="8" w:space="0" w:color="000000"/>
              <w:right w:val="single" w:sz="8" w:space="0" w:color="auto"/>
            </w:tcBorders>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Score &gt; 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0.61</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0.67</w:t>
            </w:r>
          </w:p>
        </w:tc>
        <w:tc>
          <w:tcPr>
            <w:tcW w:w="1240" w:type="dxa"/>
            <w:tcBorders>
              <w:top w:val="nil"/>
              <w:left w:val="nil"/>
              <w:bottom w:val="nil"/>
              <w:right w:val="single" w:sz="4" w:space="0" w:color="auto"/>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c>
          <w:tcPr>
            <w:tcW w:w="3720" w:type="dxa"/>
            <w:gridSpan w:val="3"/>
            <w:vMerge/>
            <w:tcBorders>
              <w:top w:val="nil"/>
              <w:left w:val="single" w:sz="4" w:space="0" w:color="auto"/>
              <w:bottom w:val="single" w:sz="4" w:space="0" w:color="auto"/>
              <w:right w:val="single" w:sz="4" w:space="0" w:color="auto"/>
            </w:tcBorders>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p>
        </w:tc>
      </w:tr>
      <w:tr w:rsidR="005E2D6E" w:rsidRPr="00794E86" w:rsidTr="004216A7">
        <w:trPr>
          <w:trHeight w:val="1116"/>
        </w:trPr>
        <w:tc>
          <w:tcPr>
            <w:tcW w:w="1240" w:type="dxa"/>
            <w:tcBorders>
              <w:top w:val="nil"/>
              <w:left w:val="single" w:sz="8" w:space="0" w:color="auto"/>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r>
              <w:rPr>
                <w:rFonts w:ascii="Calibri" w:eastAsia="Times New Roman" w:hAnsi="Calibri" w:cs="Calibri"/>
                <w:b/>
                <w:color w:val="000000"/>
                <w:sz w:val="18"/>
                <w:szCs w:val="20"/>
                <w:lang w:val="en-US" w:eastAsia="fr-BE"/>
              </w:rPr>
              <w:t>Housing tenure</w:t>
            </w:r>
            <w:r w:rsidRPr="00794E86">
              <w:rPr>
                <w:rFonts w:ascii="Calibri" w:eastAsia="Times New Roman" w:hAnsi="Calibri" w:cs="Calibri"/>
                <w:color w:val="000000"/>
                <w:sz w:val="18"/>
                <w:szCs w:val="20"/>
                <w:lang w:val="en-US" w:eastAsia="fr-BE"/>
              </w:rPr>
              <w:t xml:space="preserve"> (r</w:t>
            </w:r>
            <w:r>
              <w:rPr>
                <w:rFonts w:ascii="Calibri" w:eastAsia="Times New Roman" w:hAnsi="Calibri" w:cs="Calibri"/>
                <w:color w:val="000000"/>
                <w:sz w:val="18"/>
                <w:szCs w:val="20"/>
                <w:lang w:val="en-US" w:eastAsia="fr-BE"/>
              </w:rPr>
              <w:t>e</w:t>
            </w:r>
            <w:r w:rsidRPr="00794E86">
              <w:rPr>
                <w:rFonts w:ascii="Calibri" w:eastAsia="Times New Roman" w:hAnsi="Calibri" w:cs="Calibri"/>
                <w:color w:val="000000"/>
                <w:sz w:val="18"/>
                <w:szCs w:val="20"/>
                <w:lang w:val="en-US" w:eastAsia="fr-BE"/>
              </w:rPr>
              <w:t xml:space="preserve">f : </w:t>
            </w:r>
            <w:r>
              <w:rPr>
                <w:rFonts w:ascii="Calibri" w:eastAsia="Times New Roman" w:hAnsi="Calibri" w:cs="Calibri"/>
                <w:color w:val="000000"/>
                <w:sz w:val="18"/>
                <w:szCs w:val="20"/>
                <w:lang w:val="en-US" w:eastAsia="fr-BE"/>
              </w:rPr>
              <w:t>Owner</w:t>
            </w:r>
            <w:r w:rsidRPr="00794E86">
              <w:rPr>
                <w:rFonts w:ascii="Calibri" w:eastAsia="Times New Roman" w:hAnsi="Calibri" w:cs="Calibri"/>
                <w:color w:val="000000"/>
                <w:sz w:val="18"/>
                <w:szCs w:val="20"/>
                <w:lang w:val="en-US" w:eastAsia="fr-BE"/>
              </w:rPr>
              <w:t>)</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Pr>
                <w:rFonts w:ascii="Calibri" w:eastAsia="Times New Roman" w:hAnsi="Calibri" w:cs="Calibri"/>
                <w:color w:val="000000"/>
                <w:sz w:val="18"/>
                <w:szCs w:val="21"/>
                <w:lang w:val="en-US" w:eastAsia="fr-BE"/>
              </w:rPr>
              <w:t>Tenant</w:t>
            </w:r>
          </w:p>
        </w:tc>
        <w:tc>
          <w:tcPr>
            <w:tcW w:w="3720" w:type="dxa"/>
            <w:gridSpan w:val="3"/>
            <w:tcBorders>
              <w:top w:val="single" w:sz="8" w:space="0" w:color="auto"/>
              <w:left w:val="nil"/>
              <w:bottom w:val="single" w:sz="8" w:space="0" w:color="auto"/>
              <w:right w:val="single" w:sz="8" w:space="0" w:color="000000"/>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1.35</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1.31</w:t>
            </w:r>
          </w:p>
        </w:tc>
        <w:tc>
          <w:tcPr>
            <w:tcW w:w="1240" w:type="dxa"/>
            <w:tcBorders>
              <w:top w:val="single" w:sz="4" w:space="0" w:color="auto"/>
              <w:left w:val="nil"/>
              <w:bottom w:val="nil"/>
              <w:right w:val="single" w:sz="4" w:space="0" w:color="auto"/>
            </w:tcBorders>
            <w:shd w:val="clear" w:color="auto" w:fill="auto"/>
            <w:noWrap/>
            <w:vAlign w:val="bottom"/>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p>
        </w:tc>
      </w:tr>
      <w:tr w:rsidR="005E2D6E" w:rsidRPr="00794E86" w:rsidTr="004216A7">
        <w:trPr>
          <w:trHeight w:val="300"/>
        </w:trPr>
        <w:tc>
          <w:tcPr>
            <w:tcW w:w="9920"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5E2D6E" w:rsidRPr="00794E86" w:rsidRDefault="005E2D6E" w:rsidP="004216A7">
            <w:pPr>
              <w:spacing w:after="0" w:line="240" w:lineRule="auto"/>
              <w:jc w:val="center"/>
              <w:rPr>
                <w:rFonts w:ascii="Calibri" w:eastAsia="Times New Roman" w:hAnsi="Calibri" w:cs="Calibri"/>
                <w:b/>
                <w:bCs/>
                <w:color w:val="000000"/>
                <w:sz w:val="18"/>
                <w:szCs w:val="20"/>
                <w:lang w:eastAsia="fr-BE"/>
              </w:rPr>
            </w:pPr>
            <w:r w:rsidRPr="00794E86">
              <w:rPr>
                <w:rFonts w:ascii="Calibri" w:eastAsia="Times New Roman" w:hAnsi="Calibri" w:cs="Calibri"/>
                <w:b/>
                <w:bCs/>
                <w:color w:val="000000"/>
                <w:sz w:val="18"/>
                <w:szCs w:val="21"/>
                <w:lang w:val="en-US" w:eastAsia="fr-BE"/>
              </w:rPr>
              <w:lastRenderedPageBreak/>
              <w:t>2011-2016</w:t>
            </w:r>
          </w:p>
        </w:tc>
      </w:tr>
      <w:tr w:rsidR="005E2D6E" w:rsidRPr="00794E86" w:rsidTr="004216A7">
        <w:trPr>
          <w:trHeight w:val="564"/>
        </w:trPr>
        <w:tc>
          <w:tcPr>
            <w:tcW w:w="1240" w:type="dxa"/>
            <w:vMerge w:val="restart"/>
            <w:tcBorders>
              <w:top w:val="nil"/>
              <w:left w:val="single" w:sz="8" w:space="0" w:color="auto"/>
              <w:bottom w:val="single" w:sz="8" w:space="0" w:color="000000"/>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20"/>
                <w:szCs w:val="20"/>
                <w:lang w:eastAsia="fr-BE"/>
              </w:rPr>
            </w:pPr>
            <w:r>
              <w:rPr>
                <w:rFonts w:ascii="Calibri" w:eastAsia="Times New Roman" w:hAnsi="Calibri" w:cs="Calibri"/>
                <w:b/>
                <w:bCs/>
                <w:color w:val="000000"/>
                <w:sz w:val="18"/>
                <w:szCs w:val="21"/>
                <w:lang w:eastAsia="fr-BE"/>
              </w:rPr>
              <w:t>Housing score</w:t>
            </w:r>
            <w:r w:rsidRPr="00794E86">
              <w:rPr>
                <w:rFonts w:ascii="Calibri" w:eastAsia="Times New Roman" w:hAnsi="Calibri" w:cs="Calibri"/>
                <w:color w:val="000000"/>
                <w:sz w:val="18"/>
                <w:szCs w:val="20"/>
                <w:lang w:eastAsia="fr-BE"/>
              </w:rPr>
              <w:t xml:space="preserve"> (r</w:t>
            </w:r>
            <w:r>
              <w:rPr>
                <w:rFonts w:ascii="Calibri" w:eastAsia="Times New Roman" w:hAnsi="Calibri" w:cs="Calibri"/>
                <w:color w:val="000000"/>
                <w:sz w:val="18"/>
                <w:szCs w:val="20"/>
                <w:lang w:eastAsia="fr-BE"/>
              </w:rPr>
              <w:t>e</w:t>
            </w:r>
            <w:r w:rsidRPr="00794E86">
              <w:rPr>
                <w:rFonts w:ascii="Calibri" w:eastAsia="Times New Roman" w:hAnsi="Calibri" w:cs="Calibri"/>
                <w:color w:val="000000"/>
                <w:sz w:val="18"/>
                <w:szCs w:val="20"/>
                <w:lang w:eastAsia="fr-BE"/>
              </w:rPr>
              <w:t xml:space="preserve">f : score </w:t>
            </w:r>
            <w:r w:rsidRPr="00794E86">
              <w:rPr>
                <w:rFonts w:ascii="Calibri" w:eastAsia="Times New Roman" w:hAnsi="Calibri" w:cs="Calibri"/>
                <w:b/>
                <w:bCs/>
                <w:color w:val="000000"/>
                <w:sz w:val="18"/>
                <w:szCs w:val="20"/>
                <w:lang w:eastAsia="fr-BE"/>
              </w:rPr>
              <w:t>&lt;</w:t>
            </w:r>
            <w:r w:rsidRPr="00794E86">
              <w:rPr>
                <w:rFonts w:ascii="Calibri" w:eastAsia="Times New Roman" w:hAnsi="Calibri" w:cs="Calibri"/>
                <w:color w:val="000000"/>
                <w:sz w:val="20"/>
                <w:szCs w:val="20"/>
                <w:lang w:eastAsia="fr-BE"/>
              </w:rPr>
              <w:t xml:space="preserve"> </w:t>
            </w:r>
            <w:r w:rsidRPr="00794E86">
              <w:rPr>
                <w:rFonts w:ascii="Calibri" w:eastAsia="Times New Roman" w:hAnsi="Calibri" w:cs="Calibri"/>
                <w:b/>
                <w:bCs/>
                <w:color w:val="000000"/>
                <w:sz w:val="20"/>
                <w:szCs w:val="20"/>
                <w:lang w:eastAsia="fr-BE"/>
              </w:rPr>
              <w:t>2,2</w:t>
            </w:r>
            <w:r w:rsidRPr="00794E86">
              <w:rPr>
                <w:rFonts w:ascii="Calibri" w:eastAsia="Times New Roman" w:hAnsi="Calibri" w:cs="Calibri"/>
                <w:color w:val="000000"/>
                <w:sz w:val="20"/>
                <w:szCs w:val="20"/>
                <w:lang w:eastAsia="fr-BE"/>
              </w:rPr>
              <w:t>)</w:t>
            </w:r>
          </w:p>
        </w:tc>
        <w:tc>
          <w:tcPr>
            <w:tcW w:w="1240" w:type="dxa"/>
            <w:tcBorders>
              <w:top w:val="nil"/>
              <w:left w:val="nil"/>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 xml:space="preserve">Score </w:t>
            </w:r>
            <w:r>
              <w:rPr>
                <w:rFonts w:ascii="Calibri" w:eastAsia="Times New Roman" w:hAnsi="Calibri" w:cs="Calibri"/>
                <w:color w:val="000000"/>
                <w:sz w:val="18"/>
                <w:szCs w:val="21"/>
                <w:lang w:val="en-US" w:eastAsia="fr-BE"/>
              </w:rPr>
              <w:t>between</w:t>
            </w:r>
            <w:r w:rsidRPr="00794E86">
              <w:rPr>
                <w:rFonts w:ascii="Calibri" w:eastAsia="Times New Roman" w:hAnsi="Calibri" w:cs="Calibri"/>
                <w:color w:val="000000"/>
                <w:sz w:val="18"/>
                <w:szCs w:val="21"/>
                <w:lang w:val="en-US" w:eastAsia="fr-BE"/>
              </w:rPr>
              <w:t xml:space="preserve"> 2,2 </w:t>
            </w:r>
            <w:r>
              <w:rPr>
                <w:rFonts w:ascii="Calibri" w:eastAsia="Times New Roman" w:hAnsi="Calibri" w:cs="Calibri"/>
                <w:color w:val="000000"/>
                <w:sz w:val="18"/>
                <w:szCs w:val="21"/>
                <w:lang w:val="en-US" w:eastAsia="fr-BE"/>
              </w:rPr>
              <w:t>&amp;</w:t>
            </w:r>
            <w:r w:rsidRPr="00794E86">
              <w:rPr>
                <w:rFonts w:ascii="Calibri" w:eastAsia="Times New Roman" w:hAnsi="Calibri" w:cs="Calibri"/>
                <w:color w:val="000000"/>
                <w:sz w:val="18"/>
                <w:szCs w:val="21"/>
                <w:lang w:val="en-US" w:eastAsia="fr-BE"/>
              </w:rPr>
              <w:t xml:space="preserve"> 3</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0.86</w:t>
            </w:r>
          </w:p>
        </w:tc>
        <w:tc>
          <w:tcPr>
            <w:tcW w:w="1240" w:type="dxa"/>
            <w:tcBorders>
              <w:top w:val="nil"/>
              <w:left w:val="nil"/>
              <w:bottom w:val="single" w:sz="8" w:space="0" w:color="auto"/>
              <w:right w:val="single" w:sz="4"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0.91</w:t>
            </w:r>
          </w:p>
        </w:tc>
        <w:tc>
          <w:tcPr>
            <w:tcW w:w="1240" w:type="dxa"/>
            <w:tcBorders>
              <w:top w:val="nil"/>
              <w:left w:val="nil"/>
              <w:bottom w:val="nil"/>
              <w:right w:val="nil"/>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0.93</w:t>
            </w:r>
          </w:p>
        </w:tc>
        <w:tc>
          <w:tcPr>
            <w:tcW w:w="3720" w:type="dxa"/>
            <w:gridSpan w:val="3"/>
            <w:vMerge w:val="restart"/>
            <w:tcBorders>
              <w:top w:val="single" w:sz="8" w:space="0" w:color="auto"/>
              <w:left w:val="single" w:sz="8" w:space="0" w:color="auto"/>
              <w:bottom w:val="single" w:sz="8" w:space="0" w:color="000000"/>
              <w:right w:val="single" w:sz="4" w:space="0" w:color="auto"/>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r>
      <w:tr w:rsidR="005E2D6E" w:rsidRPr="00794E86" w:rsidTr="004216A7">
        <w:trPr>
          <w:trHeight w:val="300"/>
        </w:trPr>
        <w:tc>
          <w:tcPr>
            <w:tcW w:w="1240" w:type="dxa"/>
            <w:vMerge/>
            <w:tcBorders>
              <w:top w:val="nil"/>
              <w:left w:val="single" w:sz="8" w:space="0" w:color="auto"/>
              <w:bottom w:val="single" w:sz="8" w:space="0" w:color="000000"/>
              <w:right w:val="single" w:sz="8" w:space="0" w:color="auto"/>
            </w:tcBorders>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Score &gt; 3</w:t>
            </w:r>
          </w:p>
        </w:tc>
        <w:tc>
          <w:tcPr>
            <w:tcW w:w="1240" w:type="dxa"/>
            <w:tcBorders>
              <w:top w:val="nil"/>
              <w:left w:val="nil"/>
              <w:bottom w:val="nil"/>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0.63</w:t>
            </w:r>
          </w:p>
        </w:tc>
        <w:tc>
          <w:tcPr>
            <w:tcW w:w="1240" w:type="dxa"/>
            <w:tcBorders>
              <w:top w:val="nil"/>
              <w:left w:val="nil"/>
              <w:bottom w:val="nil"/>
              <w:right w:val="nil"/>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0.71</w:t>
            </w:r>
          </w:p>
        </w:tc>
        <w:tc>
          <w:tcPr>
            <w:tcW w:w="1240" w:type="dxa"/>
            <w:tcBorders>
              <w:top w:val="single" w:sz="8" w:space="0" w:color="auto"/>
              <w:left w:val="single" w:sz="4" w:space="0" w:color="auto"/>
              <w:bottom w:val="nil"/>
              <w:right w:val="nil"/>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0"/>
                <w:lang w:eastAsia="fr-BE"/>
              </w:rPr>
              <w:t>0.75</w:t>
            </w:r>
          </w:p>
        </w:tc>
        <w:tc>
          <w:tcPr>
            <w:tcW w:w="3720" w:type="dxa"/>
            <w:gridSpan w:val="3"/>
            <w:vMerge/>
            <w:tcBorders>
              <w:top w:val="single" w:sz="8" w:space="0" w:color="auto"/>
              <w:left w:val="single" w:sz="4" w:space="0" w:color="auto"/>
              <w:bottom w:val="single" w:sz="4" w:space="0" w:color="auto"/>
              <w:right w:val="single" w:sz="4" w:space="0" w:color="auto"/>
            </w:tcBorders>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p>
        </w:tc>
      </w:tr>
      <w:tr w:rsidR="005E2D6E" w:rsidRPr="00794E86" w:rsidTr="004216A7">
        <w:trPr>
          <w:trHeight w:val="1116"/>
        </w:trPr>
        <w:tc>
          <w:tcPr>
            <w:tcW w:w="1240" w:type="dxa"/>
            <w:tcBorders>
              <w:top w:val="nil"/>
              <w:left w:val="single" w:sz="8" w:space="0" w:color="auto"/>
              <w:bottom w:val="single" w:sz="8" w:space="0" w:color="auto"/>
              <w:right w:val="single" w:sz="8" w:space="0" w:color="auto"/>
            </w:tcBorders>
            <w:shd w:val="clear" w:color="auto" w:fill="auto"/>
            <w:vAlign w:val="center"/>
            <w:hideMark/>
          </w:tcPr>
          <w:p w:rsidR="005E2D6E" w:rsidRPr="00794E86" w:rsidRDefault="005E2D6E" w:rsidP="004216A7">
            <w:pPr>
              <w:spacing w:after="0" w:line="240" w:lineRule="auto"/>
              <w:rPr>
                <w:rFonts w:ascii="Calibri" w:eastAsia="Times New Roman" w:hAnsi="Calibri" w:cs="Calibri"/>
                <w:b/>
                <w:bCs/>
                <w:color w:val="000000"/>
                <w:sz w:val="18"/>
                <w:szCs w:val="20"/>
                <w:lang w:eastAsia="fr-BE"/>
              </w:rPr>
            </w:pPr>
            <w:r>
              <w:rPr>
                <w:rFonts w:ascii="Calibri" w:eastAsia="Times New Roman" w:hAnsi="Calibri" w:cs="Calibri"/>
                <w:b/>
                <w:color w:val="000000"/>
                <w:sz w:val="18"/>
                <w:szCs w:val="20"/>
                <w:lang w:val="en-US" w:eastAsia="fr-BE"/>
              </w:rPr>
              <w:t>Housing tenure</w:t>
            </w:r>
            <w:r w:rsidRPr="00794E86">
              <w:rPr>
                <w:rFonts w:ascii="Calibri" w:eastAsia="Times New Roman" w:hAnsi="Calibri" w:cs="Calibri"/>
                <w:color w:val="000000"/>
                <w:sz w:val="18"/>
                <w:szCs w:val="20"/>
                <w:lang w:val="en-US" w:eastAsia="fr-BE"/>
              </w:rPr>
              <w:t xml:space="preserve"> (r</w:t>
            </w:r>
            <w:r>
              <w:rPr>
                <w:rFonts w:ascii="Calibri" w:eastAsia="Times New Roman" w:hAnsi="Calibri" w:cs="Calibri"/>
                <w:color w:val="000000"/>
                <w:sz w:val="18"/>
                <w:szCs w:val="20"/>
                <w:lang w:val="en-US" w:eastAsia="fr-BE"/>
              </w:rPr>
              <w:t>e</w:t>
            </w:r>
            <w:r w:rsidRPr="00794E86">
              <w:rPr>
                <w:rFonts w:ascii="Calibri" w:eastAsia="Times New Roman" w:hAnsi="Calibri" w:cs="Calibri"/>
                <w:color w:val="000000"/>
                <w:sz w:val="18"/>
                <w:szCs w:val="20"/>
                <w:lang w:val="en-US" w:eastAsia="fr-BE"/>
              </w:rPr>
              <w:t xml:space="preserve">f : </w:t>
            </w:r>
            <w:r>
              <w:rPr>
                <w:rFonts w:ascii="Calibri" w:eastAsia="Times New Roman" w:hAnsi="Calibri" w:cs="Calibri"/>
                <w:color w:val="000000"/>
                <w:sz w:val="18"/>
                <w:szCs w:val="20"/>
                <w:lang w:val="en-US" w:eastAsia="fr-BE"/>
              </w:rPr>
              <w:t>Owner</w:t>
            </w:r>
            <w:r w:rsidRPr="00794E86">
              <w:rPr>
                <w:rFonts w:ascii="Calibri" w:eastAsia="Times New Roman" w:hAnsi="Calibri" w:cs="Calibri"/>
                <w:color w:val="000000"/>
                <w:sz w:val="18"/>
                <w:szCs w:val="20"/>
                <w:lang w:val="en-US" w:eastAsia="fr-BE"/>
              </w:rPr>
              <w:t>)</w:t>
            </w:r>
          </w:p>
        </w:tc>
        <w:tc>
          <w:tcPr>
            <w:tcW w:w="1240" w:type="dxa"/>
            <w:tcBorders>
              <w:top w:val="nil"/>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Pr>
                <w:rFonts w:ascii="Calibri" w:eastAsia="Times New Roman" w:hAnsi="Calibri" w:cs="Calibri"/>
                <w:color w:val="000000"/>
                <w:sz w:val="18"/>
                <w:szCs w:val="21"/>
                <w:lang w:val="en-US" w:eastAsia="fr-BE"/>
              </w:rPr>
              <w:t>Tenant</w:t>
            </w:r>
          </w:p>
        </w:tc>
        <w:tc>
          <w:tcPr>
            <w:tcW w:w="3720" w:type="dxa"/>
            <w:gridSpan w:val="3"/>
            <w:tcBorders>
              <w:top w:val="single" w:sz="8" w:space="0" w:color="auto"/>
              <w:left w:val="nil"/>
              <w:bottom w:val="single" w:sz="8" w:space="0" w:color="auto"/>
              <w:right w:val="single" w:sz="8" w:space="0" w:color="000000"/>
            </w:tcBorders>
            <w:shd w:val="clear" w:color="000000" w:fill="F2F2F2"/>
            <w:noWrap/>
            <w:vAlign w:val="center"/>
            <w:hideMark/>
          </w:tcPr>
          <w:p w:rsidR="005E2D6E" w:rsidRPr="00794E86" w:rsidRDefault="005E2D6E" w:rsidP="004216A7">
            <w:pPr>
              <w:spacing w:after="0" w:line="240" w:lineRule="auto"/>
              <w:rPr>
                <w:rFonts w:ascii="Calibri" w:eastAsia="Times New Roman" w:hAnsi="Calibri" w:cs="Calibri"/>
                <w:color w:val="000000"/>
                <w:sz w:val="18"/>
                <w:lang w:eastAsia="fr-BE"/>
              </w:rPr>
            </w:pPr>
            <w:r w:rsidRPr="00794E86">
              <w:rPr>
                <w:rFonts w:ascii="Calibri" w:eastAsia="Times New Roman" w:hAnsi="Calibri" w:cs="Calibri"/>
                <w:color w:val="000000"/>
                <w:sz w:val="18"/>
                <w:lang w:eastAsia="fr-BE"/>
              </w:rPr>
              <w:t> </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1.38</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1"/>
                <w:lang w:val="en-US" w:eastAsia="fr-BE"/>
              </w:rPr>
              <w:t>1.31</w:t>
            </w:r>
          </w:p>
        </w:tc>
        <w:tc>
          <w:tcPr>
            <w:tcW w:w="1240" w:type="dxa"/>
            <w:tcBorders>
              <w:top w:val="single" w:sz="4" w:space="0" w:color="auto"/>
              <w:left w:val="nil"/>
              <w:bottom w:val="single" w:sz="8" w:space="0" w:color="auto"/>
              <w:right w:val="single" w:sz="8" w:space="0" w:color="auto"/>
            </w:tcBorders>
            <w:shd w:val="clear" w:color="auto" w:fill="auto"/>
            <w:noWrap/>
            <w:vAlign w:val="center"/>
            <w:hideMark/>
          </w:tcPr>
          <w:p w:rsidR="005E2D6E" w:rsidRPr="00794E86" w:rsidRDefault="005E2D6E" w:rsidP="004216A7">
            <w:pPr>
              <w:spacing w:after="0" w:line="240" w:lineRule="auto"/>
              <w:jc w:val="center"/>
              <w:rPr>
                <w:rFonts w:ascii="Calibri" w:eastAsia="Times New Roman" w:hAnsi="Calibri" w:cs="Calibri"/>
                <w:color w:val="000000"/>
                <w:sz w:val="18"/>
                <w:szCs w:val="20"/>
                <w:lang w:eastAsia="fr-BE"/>
              </w:rPr>
            </w:pPr>
            <w:r w:rsidRPr="00794E86">
              <w:rPr>
                <w:rFonts w:ascii="Calibri" w:eastAsia="Times New Roman" w:hAnsi="Calibri" w:cs="Calibri"/>
                <w:color w:val="000000"/>
                <w:sz w:val="18"/>
                <w:szCs w:val="20"/>
                <w:lang w:eastAsia="fr-BE"/>
              </w:rPr>
              <w:t>1.25</w:t>
            </w:r>
          </w:p>
        </w:tc>
      </w:tr>
    </w:tbl>
    <w:p w:rsidR="005E2D6E" w:rsidRDefault="005E2D6E" w:rsidP="005E2D6E">
      <w:pPr>
        <w:jc w:val="center"/>
        <w:rPr>
          <w:rFonts w:ascii="Times New Roman" w:hAnsi="Times New Roman" w:cs="Times New Roman"/>
          <w:sz w:val="24"/>
          <w:szCs w:val="24"/>
          <w:lang w:val="en-US"/>
        </w:rPr>
      </w:pPr>
    </w:p>
    <w:p w:rsidR="005E2D6E" w:rsidRPr="00182089" w:rsidRDefault="005E2D6E" w:rsidP="005E2D6E">
      <w:pPr>
        <w:jc w:val="both"/>
        <w:rPr>
          <w:color w:val="000000"/>
          <w:lang w:val="en-US"/>
        </w:rPr>
      </w:pPr>
      <w:r w:rsidRPr="00182089">
        <w:rPr>
          <w:color w:val="000000"/>
          <w:lang w:val="en-US"/>
        </w:rPr>
        <w:t xml:space="preserve"> Note 1: Model 1: control for age, household configuration, marital status, region, nationality; Model 2: control for previous + education, socio-professional category; Model 3: control for previous + income. Models b also control for presence of a bathroom, of a central heating and for occupancy density. </w:t>
      </w:r>
    </w:p>
    <w:p w:rsidR="005E2D6E" w:rsidRPr="00C51E9B" w:rsidRDefault="005E2D6E" w:rsidP="005E2D6E">
      <w:pPr>
        <w:jc w:val="both"/>
        <w:rPr>
          <w:color w:val="000000"/>
          <w:lang w:val="en-US"/>
        </w:rPr>
      </w:pPr>
      <w:r w:rsidRPr="00182089">
        <w:rPr>
          <w:color w:val="000000"/>
          <w:lang w:val="en-US"/>
        </w:rPr>
        <w:t>Note 2: Results are all significant (p&lt;0.01), as population data were used.</w:t>
      </w:r>
    </w:p>
    <w:p w:rsidR="005E2D6E" w:rsidRPr="00EA6475" w:rsidRDefault="005E2D6E" w:rsidP="005E2D6E">
      <w:pPr>
        <w:pStyle w:val="Paragraph"/>
        <w:ind w:firstLine="708"/>
        <w:jc w:val="both"/>
      </w:pPr>
      <w:r w:rsidRPr="00710C54">
        <w:t>Once age, as well as other demographic (nationality, region, gender) and life-cycle (marital status, household type) characteristics are controlled</w:t>
      </w:r>
      <w:r>
        <w:t xml:space="preserve"> (Model 1; -a for housing quality: -b for housing tenure)</w:t>
      </w:r>
      <w:r w:rsidRPr="00710C54">
        <w:t xml:space="preserve">, </w:t>
      </w:r>
      <w:r>
        <w:t>there remains an</w:t>
      </w:r>
      <w:r w:rsidRPr="00710C54">
        <w:t xml:space="preserve"> excess mortality </w:t>
      </w:r>
      <w:r>
        <w:t xml:space="preserve">rate </w:t>
      </w:r>
      <w:r w:rsidRPr="00710C54">
        <w:t xml:space="preserve">among the </w:t>
      </w:r>
      <w:r>
        <w:t>individuals living in poorer housing conditions (score under 2,2/4), compared to those living in an intermediate housing quality (score between 2,2 and 3 out of 4).</w:t>
      </w:r>
      <w:r w:rsidRPr="00710C54">
        <w:t xml:space="preserve"> </w:t>
      </w:r>
      <w:r>
        <w:t xml:space="preserve">People living in high quality housing (score&gt;3/4) are associated with a lower risk of mortality than people whose housing conditions are intermediate. </w:t>
      </w:r>
      <w:bookmarkStart w:id="2" w:name="_Hlk55224309"/>
      <w:r>
        <w:t>T</w:t>
      </w:r>
      <w:r w:rsidRPr="00710C54">
        <w:t>enants</w:t>
      </w:r>
      <w:r>
        <w:t xml:space="preserve"> are also associated with a higher mortality</w:t>
      </w:r>
      <w:r w:rsidRPr="00710C54">
        <w:t xml:space="preserve"> </w:t>
      </w:r>
      <w:r>
        <w:t xml:space="preserve">rate than owners </w:t>
      </w:r>
      <w:r w:rsidRPr="00710C54">
        <w:t>(</w:t>
      </w:r>
      <w:r>
        <w:t>Table 5</w:t>
      </w:r>
      <w:r w:rsidRPr="00710C54">
        <w:t xml:space="preserve">). </w:t>
      </w:r>
      <w:bookmarkEnd w:id="2"/>
      <w:r>
        <w:t xml:space="preserve">These results are still robust, even after including in Model 2 education level and occupational category, as well as income level (time-varying) in Model 3 for the 2011-2015 period. </w:t>
      </w:r>
    </w:p>
    <w:p w:rsidR="005E2D6E" w:rsidRDefault="005E2D6E" w:rsidP="005E2D6E">
      <w:pPr>
        <w:pStyle w:val="Paragraph"/>
        <w:ind w:firstLine="708"/>
        <w:jc w:val="both"/>
      </w:pPr>
      <w:r w:rsidRPr="00710C54">
        <w:rPr>
          <w:lang w:val="en-US"/>
        </w:rPr>
        <w:t>As already mentioned, housing conditions are strongly correlated to a</w:t>
      </w:r>
      <w:r>
        <w:rPr>
          <w:lang w:val="en-US"/>
        </w:rPr>
        <w:t xml:space="preserve">n individual’s </w:t>
      </w:r>
      <w:r w:rsidRPr="00710C54">
        <w:rPr>
          <w:lang w:val="en-US"/>
        </w:rPr>
        <w:t>overall socio-economic situation, i.e. their level of income, which in turn depends on education and professional occupation. The control of the relation</w:t>
      </w:r>
      <w:r>
        <w:rPr>
          <w:lang w:val="en-US"/>
        </w:rPr>
        <w:t xml:space="preserve"> </w:t>
      </w:r>
      <w:r w:rsidRPr="00710C54">
        <w:rPr>
          <w:lang w:val="en-US"/>
        </w:rPr>
        <w:t xml:space="preserve">by </w:t>
      </w:r>
      <w:r>
        <w:rPr>
          <w:lang w:val="en-US"/>
        </w:rPr>
        <w:t>socioeconomic variables</w:t>
      </w:r>
      <w:r w:rsidRPr="00710C54">
        <w:rPr>
          <w:lang w:val="en-US"/>
        </w:rPr>
        <w:t xml:space="preserve"> is therefore important </w:t>
      </w:r>
      <w:r>
        <w:rPr>
          <w:lang w:val="en-US"/>
        </w:rPr>
        <w:t>to identify the net impact of housing conditions on mortality</w:t>
      </w:r>
      <w:r w:rsidRPr="00710C54">
        <w:rPr>
          <w:lang w:val="en-US"/>
        </w:rPr>
        <w:t xml:space="preserve">. First, after control by education level and socio-professional category, </w:t>
      </w:r>
      <w:r>
        <w:rPr>
          <w:lang w:val="en-US"/>
        </w:rPr>
        <w:t>poor housing</w:t>
      </w:r>
      <w:r w:rsidRPr="00710C54">
        <w:rPr>
          <w:lang w:val="en-US"/>
        </w:rPr>
        <w:t xml:space="preserve"> is </w:t>
      </w:r>
      <w:r>
        <w:rPr>
          <w:lang w:val="en-US"/>
        </w:rPr>
        <w:t>associated with a lower excess mortality</w:t>
      </w:r>
      <w:r w:rsidRPr="00710C54">
        <w:rPr>
          <w:lang w:val="en-US"/>
        </w:rPr>
        <w:t xml:space="preserve"> but </w:t>
      </w:r>
      <w:r>
        <w:rPr>
          <w:lang w:val="en-US"/>
        </w:rPr>
        <w:t xml:space="preserve">it </w:t>
      </w:r>
      <w:r w:rsidRPr="00710C54">
        <w:rPr>
          <w:lang w:val="en-US"/>
        </w:rPr>
        <w:t xml:space="preserve">persists: </w:t>
      </w:r>
      <w:r>
        <w:rPr>
          <w:lang w:val="en-US"/>
        </w:rPr>
        <w:t>people living in poor quality housing</w:t>
      </w:r>
      <w:r w:rsidRPr="00710C54">
        <w:rPr>
          <w:lang w:val="en-US"/>
        </w:rPr>
        <w:t xml:space="preserve"> (score below 2.2 out of 4) have </w:t>
      </w:r>
      <w:r w:rsidRPr="00710C54">
        <w:rPr>
          <w:lang w:val="en-US"/>
        </w:rPr>
        <w:lastRenderedPageBreak/>
        <w:t>an excess mortality of 29% compared to th</w:t>
      </w:r>
      <w:r>
        <w:rPr>
          <w:lang w:val="en-US"/>
        </w:rPr>
        <w:t xml:space="preserve">ose in high quality housing </w:t>
      </w:r>
      <w:r w:rsidRPr="00710C54">
        <w:rPr>
          <w:lang w:val="en-US"/>
        </w:rPr>
        <w:t>(score above 3 out of 4)</w:t>
      </w:r>
      <w:r>
        <w:rPr>
          <w:lang w:val="en-US"/>
        </w:rPr>
        <w:t>. T</w:t>
      </w:r>
      <w:r w:rsidRPr="00710C54">
        <w:rPr>
          <w:lang w:val="en-US"/>
        </w:rPr>
        <w:t xml:space="preserve">enants have an excess mortality of 30% compared to </w:t>
      </w:r>
      <w:r>
        <w:rPr>
          <w:lang w:val="en-US"/>
        </w:rPr>
        <w:t>owners</w:t>
      </w:r>
      <w:r w:rsidRPr="00710C54">
        <w:rPr>
          <w:lang w:val="en-US"/>
        </w:rPr>
        <w:t xml:space="preserve"> (</w:t>
      </w:r>
      <w:r>
        <w:rPr>
          <w:lang w:val="en-US"/>
        </w:rPr>
        <w:t>Table 5</w:t>
      </w:r>
      <w:r w:rsidRPr="00710C54">
        <w:rPr>
          <w:lang w:val="en-US"/>
        </w:rPr>
        <w:t>). After control</w:t>
      </w:r>
      <w:r>
        <w:rPr>
          <w:lang w:val="en-US"/>
        </w:rPr>
        <w:t>ling</w:t>
      </w:r>
      <w:r w:rsidRPr="00710C54">
        <w:rPr>
          <w:lang w:val="en-US"/>
        </w:rPr>
        <w:t xml:space="preserve"> </w:t>
      </w:r>
      <w:r>
        <w:rPr>
          <w:lang w:val="en-US"/>
        </w:rPr>
        <w:t>for</w:t>
      </w:r>
      <w:r w:rsidRPr="00710C54">
        <w:rPr>
          <w:lang w:val="en-US"/>
        </w:rPr>
        <w:t xml:space="preserve"> income level, the excess mortality of the </w:t>
      </w:r>
      <w:r>
        <w:rPr>
          <w:lang w:val="en-US"/>
        </w:rPr>
        <w:t>population in poor housing</w:t>
      </w:r>
      <w:r w:rsidRPr="00710C54">
        <w:rPr>
          <w:lang w:val="en-US"/>
        </w:rPr>
        <w:t xml:space="preserve"> </w:t>
      </w:r>
      <w:r>
        <w:rPr>
          <w:lang w:val="en-US"/>
        </w:rPr>
        <w:t xml:space="preserve">conditions </w:t>
      </w:r>
      <w:r w:rsidRPr="00710C54">
        <w:rPr>
          <w:lang w:val="en-US"/>
        </w:rPr>
        <w:t xml:space="preserve">is </w:t>
      </w:r>
      <w:r>
        <w:rPr>
          <w:lang w:val="en-US"/>
        </w:rPr>
        <w:t xml:space="preserve">still </w:t>
      </w:r>
      <w:r w:rsidRPr="00710C54">
        <w:rPr>
          <w:lang w:val="en-US"/>
        </w:rPr>
        <w:t>reduced, but it persists in a significant way.</w:t>
      </w:r>
      <w:r>
        <w:rPr>
          <w:lang w:val="en-US"/>
        </w:rPr>
        <w:t xml:space="preserve"> </w:t>
      </w:r>
      <w:r w:rsidRPr="00710C54">
        <w:rPr>
          <w:lang w:val="en-US"/>
        </w:rPr>
        <w:t xml:space="preserve">Indeed, </w:t>
      </w:r>
      <w:r>
        <w:rPr>
          <w:lang w:val="en-US"/>
        </w:rPr>
        <w:t>the inhabitants of poor housing</w:t>
      </w:r>
      <w:r w:rsidRPr="00710C54">
        <w:rPr>
          <w:lang w:val="en-US"/>
        </w:rPr>
        <w:t xml:space="preserve"> are subject to a 25% higher risk of death than </w:t>
      </w:r>
      <w:r>
        <w:rPr>
          <w:lang w:val="en-US"/>
        </w:rPr>
        <w:t>the people living in high quality housing</w:t>
      </w:r>
      <w:r w:rsidRPr="00710C54">
        <w:rPr>
          <w:lang w:val="en-US"/>
        </w:rPr>
        <w:t xml:space="preserve">. </w:t>
      </w:r>
      <w:bookmarkStart w:id="3" w:name="_Hlk55224287"/>
      <w:r w:rsidRPr="00710C54">
        <w:rPr>
          <w:lang w:val="en-US"/>
        </w:rPr>
        <w:t>Tenants</w:t>
      </w:r>
      <w:r>
        <w:rPr>
          <w:lang w:val="en-US"/>
        </w:rPr>
        <w:t xml:space="preserve"> </w:t>
      </w:r>
      <w:r w:rsidRPr="00710C54">
        <w:rPr>
          <w:lang w:val="en-US"/>
        </w:rPr>
        <w:t xml:space="preserve">have a 25% higher risk of death than </w:t>
      </w:r>
      <w:r>
        <w:rPr>
          <w:lang w:val="en-US"/>
        </w:rPr>
        <w:t>homeowners as well</w:t>
      </w:r>
      <w:r w:rsidRPr="00710C54">
        <w:rPr>
          <w:lang w:val="en-US"/>
        </w:rPr>
        <w:t xml:space="preserve"> (</w:t>
      </w:r>
      <w:r>
        <w:rPr>
          <w:lang w:val="en-US"/>
        </w:rPr>
        <w:t>Table 5</w:t>
      </w:r>
      <w:r w:rsidRPr="00710C54">
        <w:rPr>
          <w:lang w:val="en-US"/>
        </w:rPr>
        <w:t xml:space="preserve">). </w:t>
      </w:r>
      <w:bookmarkEnd w:id="3"/>
    </w:p>
    <w:p w:rsidR="005E2D6E" w:rsidRPr="000E67D3" w:rsidRDefault="005E2D6E" w:rsidP="005E2D6E">
      <w:pPr>
        <w:pStyle w:val="Titre1"/>
      </w:pPr>
      <w:r w:rsidRPr="000E67D3">
        <w:t xml:space="preserve">Discussion </w:t>
      </w:r>
      <w:r>
        <w:t>of the results</w:t>
      </w:r>
    </w:p>
    <w:p w:rsidR="005E2D6E" w:rsidRDefault="005E2D6E" w:rsidP="005E2D6E">
      <w:pPr>
        <w:pStyle w:val="Paragraph"/>
        <w:jc w:val="both"/>
      </w:pPr>
      <w:r>
        <w:t xml:space="preserve">This research focused on two major and interdependent issues Belgium is facing: </w:t>
      </w:r>
      <w:r w:rsidRPr="000E67D3">
        <w:t>inequalities in housing conditions and inequalities in deat</w:t>
      </w:r>
      <w:r>
        <w:t>h</w:t>
      </w:r>
      <w:r w:rsidRPr="000E67D3">
        <w:t xml:space="preserve">. Between 1991 and 2011, </w:t>
      </w:r>
      <w:r>
        <w:t>renters</w:t>
      </w:r>
      <w:r w:rsidRPr="000E67D3">
        <w:t xml:space="preserve"> are, on average, less educated than </w:t>
      </w:r>
      <w:r>
        <w:t>homeowners</w:t>
      </w:r>
      <w:r w:rsidRPr="000E67D3">
        <w:t xml:space="preserve"> and are more frequently unemployed. In 1991, </w:t>
      </w:r>
      <w:r>
        <w:t>poor housing</w:t>
      </w:r>
      <w:r w:rsidRPr="000E67D3">
        <w:t xml:space="preserve"> </w:t>
      </w:r>
      <w:r>
        <w:t>is</w:t>
      </w:r>
      <w:r w:rsidRPr="000E67D3">
        <w:t xml:space="preserve"> </w:t>
      </w:r>
      <w:r>
        <w:t xml:space="preserve">associated with </w:t>
      </w:r>
      <w:r w:rsidRPr="000E67D3">
        <w:t xml:space="preserve">lower levels of education and a more unstable (unemployment) or difficult (workers) occupational situation than </w:t>
      </w:r>
      <w:r>
        <w:t>high quality housing</w:t>
      </w:r>
      <w:r w:rsidRPr="000E67D3">
        <w:t xml:space="preserve">. In 2011, </w:t>
      </w:r>
      <w:r>
        <w:t>low quality</w:t>
      </w:r>
      <w:r w:rsidRPr="000E67D3">
        <w:t xml:space="preserve"> housing is no longer a problem reserved for the most disadvantaged categories: "life </w:t>
      </w:r>
      <w:r>
        <w:t>disruptions</w:t>
      </w:r>
      <w:r w:rsidRPr="000E67D3">
        <w:t xml:space="preserve">", </w:t>
      </w:r>
      <w:r>
        <w:t xml:space="preserve">such as </w:t>
      </w:r>
      <w:r w:rsidRPr="000E67D3">
        <w:t xml:space="preserve">divorces, job losses and difficulties in social integration are </w:t>
      </w:r>
      <w:r>
        <w:t>part of the lives of an</w:t>
      </w:r>
      <w:r w:rsidRPr="000E67D3">
        <w:t xml:space="preserve"> increasingly heterogeneous population, and affect people with higher education</w:t>
      </w:r>
      <w:r>
        <w:t xml:space="preserve"> and better socioeconomic situations</w:t>
      </w:r>
      <w:r w:rsidRPr="000E67D3">
        <w:t xml:space="preserve">. </w:t>
      </w:r>
    </w:p>
    <w:p w:rsidR="005E2D6E" w:rsidRDefault="005E2D6E" w:rsidP="005E2D6E">
      <w:pPr>
        <w:pStyle w:val="Paragraph"/>
        <w:ind w:firstLine="708"/>
        <w:jc w:val="both"/>
        <w:rPr>
          <w:lang w:val="en-US"/>
        </w:rPr>
      </w:pPr>
      <w:r>
        <w:rPr>
          <w:lang w:val="en-US"/>
        </w:rPr>
        <w:t xml:space="preserve">Comparing the 2010s to the 1990s, life expectancies had increased for the vast majority of the Belgian population, but not as the same rate for everyone, which extenuates social inequalities. </w:t>
      </w:r>
      <w:r w:rsidRPr="00930D29">
        <w:rPr>
          <w:lang w:val="en-US"/>
        </w:rPr>
        <w:t xml:space="preserve">Over the period 2011-2015, homeowners and tenants </w:t>
      </w:r>
      <w:r>
        <w:rPr>
          <w:lang w:val="en-US"/>
        </w:rPr>
        <w:t>showed</w:t>
      </w:r>
      <w:r w:rsidRPr="00930D29">
        <w:rPr>
          <w:lang w:val="en-US"/>
        </w:rPr>
        <w:t xml:space="preserve"> a life expectancy gap of 5.7 years for men and 3.8 years for women</w:t>
      </w:r>
      <w:r>
        <w:rPr>
          <w:lang w:val="en-US"/>
        </w:rPr>
        <w:t>, which confirms our third hypothesis</w:t>
      </w:r>
      <w:r w:rsidRPr="00930D29">
        <w:rPr>
          <w:lang w:val="en-US"/>
        </w:rPr>
        <w:t>. Compared to the period 1992-1996, this gap has widened</w:t>
      </w:r>
      <w:r w:rsidRPr="00DB334C">
        <w:rPr>
          <w:lang w:val="en-US"/>
        </w:rPr>
        <w:t xml:space="preserve">. In 2011, it is estimated that for men, 3.7 years of life expectancy separates the 25% of the population living in the </w:t>
      </w:r>
      <w:r>
        <w:rPr>
          <w:lang w:val="en-US"/>
        </w:rPr>
        <w:t>highest</w:t>
      </w:r>
      <w:r w:rsidRPr="00DB334C">
        <w:rPr>
          <w:lang w:val="en-US"/>
        </w:rPr>
        <w:t xml:space="preserve"> housing conditions from the 25% of the population living in poor housing. This gap is 3.3 years for women. </w:t>
      </w:r>
      <w:r>
        <w:rPr>
          <w:lang w:val="en-US"/>
        </w:rPr>
        <w:t>The second hypothesis can be confirmed.</w:t>
      </w:r>
      <w:r w:rsidRPr="00DB334C">
        <w:rPr>
          <w:lang w:val="en-US"/>
        </w:rPr>
        <w:t xml:space="preserve"> Compared to the period 1992-1996, this gap has narrowed, </w:t>
      </w:r>
      <w:r w:rsidRPr="00DB334C">
        <w:rPr>
          <w:lang w:val="en-US"/>
        </w:rPr>
        <w:lastRenderedPageBreak/>
        <w:t>symbolizing the heterogeneity of the poorly housed population. Their now more favorable social characteristics, with higher levels of education than before, are positive factors for their life expectancy. The</w:t>
      </w:r>
      <w:r w:rsidRPr="00930D29">
        <w:rPr>
          <w:lang w:val="en-US"/>
        </w:rPr>
        <w:t xml:space="preserve"> use of the Arriaga method </w:t>
      </w:r>
      <w:r>
        <w:rPr>
          <w:lang w:val="en-US"/>
        </w:rPr>
        <w:t xml:space="preserve">shows </w:t>
      </w:r>
      <w:r w:rsidRPr="00930D29">
        <w:rPr>
          <w:lang w:val="en-US"/>
        </w:rPr>
        <w:t xml:space="preserve">the absolute and relative contribution of duodecimal age groups to the change in life expectancy between 1992-1996 and 2011-2015, depending on housing conditions. The age groups that have contributed to the increase in life expectancy of homeowners and those with better housing are generally </w:t>
      </w:r>
      <w:r>
        <w:rPr>
          <w:lang w:val="en-US"/>
        </w:rPr>
        <w:t>older</w:t>
      </w:r>
      <w:r w:rsidRPr="00930D29">
        <w:rPr>
          <w:lang w:val="en-US"/>
        </w:rPr>
        <w:t xml:space="preserve"> than those who rent and those with </w:t>
      </w:r>
      <w:r>
        <w:rPr>
          <w:lang w:val="en-US"/>
        </w:rPr>
        <w:t>poor</w:t>
      </w:r>
      <w:r w:rsidRPr="00930D29">
        <w:rPr>
          <w:lang w:val="en-US"/>
        </w:rPr>
        <w:t xml:space="preserve"> housing. </w:t>
      </w:r>
      <w:r>
        <w:rPr>
          <w:lang w:val="en-US"/>
        </w:rPr>
        <w:t>Homeowners are ahead of the tenants in terms of health transition, expressed in the postponement of deaths to very old ages (Meslé, Vallin, 2002)</w:t>
      </w:r>
      <w:r w:rsidRPr="00930D29">
        <w:rPr>
          <w:lang w:val="en-US"/>
        </w:rPr>
        <w:t xml:space="preserve">. </w:t>
      </w:r>
      <w:r>
        <w:rPr>
          <w:lang w:val="en-US"/>
        </w:rPr>
        <w:t>Our first hypothesis is partially confirmed, only when considering housing tenure.</w:t>
      </w:r>
    </w:p>
    <w:p w:rsidR="005E2D6E" w:rsidRDefault="005E2D6E" w:rsidP="005E2D6E">
      <w:pPr>
        <w:pStyle w:val="Paragraph"/>
        <w:ind w:firstLine="708"/>
        <w:jc w:val="both"/>
        <w:rPr>
          <w:lang w:val="en-US"/>
        </w:rPr>
      </w:pPr>
      <w:r>
        <w:rPr>
          <w:lang w:val="en-US"/>
        </w:rPr>
        <w:t>Finally, logistic regression models allowed us to identify the own effect of housing conditions and showed</w:t>
      </w:r>
      <w:r w:rsidRPr="00930D29">
        <w:rPr>
          <w:lang w:val="en-US"/>
        </w:rPr>
        <w:t xml:space="preserve"> a</w:t>
      </w:r>
      <w:r>
        <w:rPr>
          <w:lang w:val="en-US"/>
        </w:rPr>
        <w:t xml:space="preserve">n excess mortality among tenants compared to owners, and a negative association between mortality rate and the housing quality score, </w:t>
      </w:r>
      <w:r w:rsidRPr="00930D29">
        <w:rPr>
          <w:lang w:val="en-US"/>
        </w:rPr>
        <w:t>as soon as the demographic variables (sex, age, family and marital configuration, nationality, region) were included</w:t>
      </w:r>
      <w:r>
        <w:rPr>
          <w:lang w:val="en-US"/>
        </w:rPr>
        <w:t xml:space="preserve"> in the model for the three periods</w:t>
      </w:r>
      <w:r w:rsidRPr="00930D29">
        <w:rPr>
          <w:lang w:val="en-US"/>
        </w:rPr>
        <w:t>. As socio-economic variables are added, th</w:t>
      </w:r>
      <w:r>
        <w:rPr>
          <w:lang w:val="en-US"/>
        </w:rPr>
        <w:t>ese</w:t>
      </w:r>
      <w:r w:rsidRPr="00930D29">
        <w:rPr>
          <w:lang w:val="en-US"/>
        </w:rPr>
        <w:t xml:space="preserve"> relationship</w:t>
      </w:r>
      <w:r>
        <w:rPr>
          <w:lang w:val="en-US"/>
        </w:rPr>
        <w:t>s</w:t>
      </w:r>
      <w:r w:rsidRPr="00930D29">
        <w:rPr>
          <w:lang w:val="en-US"/>
        </w:rPr>
        <w:t xml:space="preserve"> become less intense, reflecting the clear interaction between housing and the overall socio-economic level. Nevertheless, after control</w:t>
      </w:r>
      <w:r>
        <w:rPr>
          <w:lang w:val="en-US"/>
        </w:rPr>
        <w:t>ling</w:t>
      </w:r>
      <w:r w:rsidRPr="00930D29">
        <w:rPr>
          <w:lang w:val="en-US"/>
        </w:rPr>
        <w:t xml:space="preserve"> by education level, occupational category and average income level over the </w:t>
      </w:r>
      <w:r>
        <w:rPr>
          <w:lang w:val="en-US"/>
        </w:rPr>
        <w:t xml:space="preserve">2011-2015 </w:t>
      </w:r>
      <w:r w:rsidRPr="00930D29">
        <w:rPr>
          <w:lang w:val="en-US"/>
        </w:rPr>
        <w:t xml:space="preserve">period, there remains an excess mortality rate of 25% among tenants compared to </w:t>
      </w:r>
      <w:r>
        <w:rPr>
          <w:lang w:val="en-US"/>
        </w:rPr>
        <w:t>homeowners</w:t>
      </w:r>
      <w:r w:rsidRPr="00930D29">
        <w:rPr>
          <w:lang w:val="en-US"/>
        </w:rPr>
        <w:t xml:space="preserve">, and an excess mortality rate of 25% among the </w:t>
      </w:r>
      <w:r>
        <w:rPr>
          <w:lang w:val="en-US"/>
        </w:rPr>
        <w:t>poorly</w:t>
      </w:r>
      <w:r w:rsidRPr="00930D29">
        <w:rPr>
          <w:lang w:val="en-US"/>
        </w:rPr>
        <w:t xml:space="preserve"> housed compared to the best housed</w:t>
      </w:r>
      <w:r>
        <w:rPr>
          <w:lang w:val="en-US"/>
        </w:rPr>
        <w:t xml:space="preserve"> population</w:t>
      </w:r>
      <w:r w:rsidRPr="00930D29">
        <w:rPr>
          <w:lang w:val="en-US"/>
        </w:rPr>
        <w:t xml:space="preserve">. </w:t>
      </w:r>
      <w:r>
        <w:rPr>
          <w:lang w:val="en-US"/>
        </w:rPr>
        <w:t xml:space="preserve">Housing conditions show their own effects on mortality for the three periods, confirming the fourth hypothesis of this research. </w:t>
      </w:r>
    </w:p>
    <w:p w:rsidR="005E2D6E" w:rsidRDefault="005E2D6E" w:rsidP="005E2D6E">
      <w:pPr>
        <w:pStyle w:val="Paragraph"/>
        <w:ind w:firstLine="708"/>
        <w:jc w:val="both"/>
        <w:rPr>
          <w:lang w:val="en-US"/>
        </w:rPr>
      </w:pPr>
      <w:r>
        <w:rPr>
          <w:lang w:val="en-US"/>
        </w:rPr>
        <w:t>T</w:t>
      </w:r>
      <w:r w:rsidRPr="00E04160">
        <w:rPr>
          <w:lang w:val="en-US"/>
        </w:rPr>
        <w:t xml:space="preserve">he tools generated as part of the </w:t>
      </w:r>
      <w:r w:rsidRPr="00E04160">
        <w:rPr>
          <w:i/>
          <w:lang w:val="en-US"/>
        </w:rPr>
        <w:t>Causineq</w:t>
      </w:r>
      <w:r w:rsidRPr="00E04160">
        <w:rPr>
          <w:lang w:val="en-US"/>
        </w:rPr>
        <w:t xml:space="preserve"> project </w:t>
      </w:r>
      <w:r>
        <w:rPr>
          <w:lang w:val="en-US"/>
        </w:rPr>
        <w:t>made this research possible - t</w:t>
      </w:r>
      <w:r w:rsidRPr="00E04160">
        <w:rPr>
          <w:lang w:val="en-US"/>
        </w:rPr>
        <w:t>he matching of Belgium's exhaustive databases, the creation of a synthetic housing quality score an</w:t>
      </w:r>
      <w:r>
        <w:rPr>
          <w:lang w:val="en-US"/>
        </w:rPr>
        <w:t>d</w:t>
      </w:r>
      <w:r w:rsidRPr="00E04160">
        <w:rPr>
          <w:lang w:val="en-US"/>
        </w:rPr>
        <w:t xml:space="preserve"> of </w:t>
      </w:r>
      <w:r>
        <w:rPr>
          <w:lang w:val="en-US"/>
        </w:rPr>
        <w:t>life</w:t>
      </w:r>
      <w:r w:rsidRPr="00E04160">
        <w:rPr>
          <w:lang w:val="en-US"/>
        </w:rPr>
        <w:t xml:space="preserve"> tables based on housing conditions.</w:t>
      </w:r>
      <w:r>
        <w:rPr>
          <w:lang w:val="en-US"/>
        </w:rPr>
        <w:t xml:space="preserve"> Working with administrative and exhaustive data gives a real advantage to the research.</w:t>
      </w:r>
      <w:r w:rsidRPr="00E04160">
        <w:rPr>
          <w:lang w:val="en-US"/>
        </w:rPr>
        <w:t xml:space="preserve"> </w:t>
      </w:r>
      <w:r>
        <w:rPr>
          <w:lang w:val="en-US"/>
        </w:rPr>
        <w:t>But, e</w:t>
      </w:r>
      <w:r w:rsidRPr="00E04160">
        <w:rPr>
          <w:lang w:val="en-US"/>
        </w:rPr>
        <w:t xml:space="preserve">ven if the coupling of the databases was done with attention to detail, the comparability of the data over time cannot be perfect. The censuses, </w:t>
      </w:r>
      <w:r w:rsidRPr="00E04160">
        <w:rPr>
          <w:lang w:val="en-US"/>
        </w:rPr>
        <w:lastRenderedPageBreak/>
        <w:t xml:space="preserve">which between 1991 and 2011, all had different collection methods. In 2011, the census was conducted without any contact with the population, but on the basis of the use of registers. Similarly, exhaustiveness is not effective for all variables: high non-response rates are to be noted for some variables (housing </w:t>
      </w:r>
      <w:r>
        <w:rPr>
          <w:lang w:val="en-US"/>
        </w:rPr>
        <w:t>tenure</w:t>
      </w:r>
      <w:r w:rsidRPr="00E04160">
        <w:rPr>
          <w:lang w:val="en-US"/>
        </w:rPr>
        <w:t xml:space="preserve">, education level in some years, etc.). Some selection bias cannot be ruled out, particularly in view of lower life expectancies in unknown categories than in others. </w:t>
      </w:r>
      <w:r>
        <w:rPr>
          <w:lang w:val="en-US"/>
        </w:rPr>
        <w:t>Despite those issues, the richness of this exhaustive dataset has to be highlighted, as well as the opportunity to consider</w:t>
      </w:r>
      <w:r w:rsidRPr="00E04160">
        <w:rPr>
          <w:lang w:val="en-US"/>
        </w:rPr>
        <w:t xml:space="preserve"> income levels for the period 2011-2016, which is the most accurate estimate of an individual's economic level, unlike an imprecise socio-professional category, and a level of education that does not fully reflect </w:t>
      </w:r>
      <w:r>
        <w:rPr>
          <w:lang w:val="en-US"/>
        </w:rPr>
        <w:t>one</w:t>
      </w:r>
      <w:r w:rsidRPr="00E04160">
        <w:rPr>
          <w:lang w:val="en-US"/>
        </w:rPr>
        <w:t xml:space="preserve">'s socio-economic future. </w:t>
      </w:r>
    </w:p>
    <w:p w:rsidR="005E2D6E" w:rsidRDefault="005E2D6E" w:rsidP="005E2D6E">
      <w:pPr>
        <w:pStyle w:val="Paragraph"/>
        <w:ind w:firstLine="708"/>
        <w:jc w:val="both"/>
        <w:rPr>
          <w:lang w:val="en-US"/>
        </w:rPr>
      </w:pPr>
      <w:r w:rsidRPr="00930D29">
        <w:rPr>
          <w:lang w:val="en-US"/>
        </w:rPr>
        <w:t xml:space="preserve">The data made available could </w:t>
      </w:r>
      <w:r>
        <w:rPr>
          <w:lang w:val="en-US"/>
        </w:rPr>
        <w:t>not conclude to any causal relation between housing conditions and higher mortality rate</w:t>
      </w:r>
      <w:r w:rsidRPr="00930D29">
        <w:rPr>
          <w:lang w:val="en-US"/>
        </w:rPr>
        <w:t xml:space="preserve">. First, the causal precedence of the phenomenon is by no means guaranteed: it cannot be ruled out that a previously fragile state of health may lead to or at least participate in a certain marginalization and poor housing conditions. Then, this </w:t>
      </w:r>
      <w:r>
        <w:rPr>
          <w:lang w:val="en-US"/>
        </w:rPr>
        <w:t>short-term</w:t>
      </w:r>
      <w:r w:rsidRPr="00930D29">
        <w:rPr>
          <w:lang w:val="en-US"/>
        </w:rPr>
        <w:t xml:space="preserve"> analysis only </w:t>
      </w:r>
      <w:r>
        <w:rPr>
          <w:lang w:val="en-US"/>
        </w:rPr>
        <w:t>provides</w:t>
      </w:r>
      <w:r w:rsidRPr="00930D29">
        <w:rPr>
          <w:lang w:val="en-US"/>
        </w:rPr>
        <w:t xml:space="preserve"> </w:t>
      </w:r>
      <w:r>
        <w:rPr>
          <w:lang w:val="en-US"/>
        </w:rPr>
        <w:t>information about</w:t>
      </w:r>
      <w:r w:rsidRPr="00930D29">
        <w:rPr>
          <w:lang w:val="en-US"/>
        </w:rPr>
        <w:t xml:space="preserve"> a </w:t>
      </w:r>
      <w:r>
        <w:rPr>
          <w:lang w:val="en-US"/>
        </w:rPr>
        <w:t>fixed</w:t>
      </w:r>
      <w:r w:rsidRPr="00930D29">
        <w:rPr>
          <w:lang w:val="en-US"/>
        </w:rPr>
        <w:t xml:space="preserve"> situation, regardless of the individual's life course. A </w:t>
      </w:r>
      <w:r>
        <w:rPr>
          <w:lang w:val="en-US"/>
        </w:rPr>
        <w:t>“life-course” approach was not possible in this context, but c</w:t>
      </w:r>
      <w:r w:rsidRPr="00930D29">
        <w:rPr>
          <w:lang w:val="en-US"/>
        </w:rPr>
        <w:t xml:space="preserve">ould have examined how </w:t>
      </w:r>
      <w:r>
        <w:rPr>
          <w:lang w:val="en-US"/>
        </w:rPr>
        <w:t>given</w:t>
      </w:r>
      <w:r w:rsidRPr="00930D29">
        <w:rPr>
          <w:lang w:val="en-US"/>
        </w:rPr>
        <w:t xml:space="preserve"> housing conditions, in light of past experiences, can play a role in people's health status. </w:t>
      </w:r>
    </w:p>
    <w:p w:rsidR="005E2D6E" w:rsidRPr="003D6832" w:rsidRDefault="005E2D6E" w:rsidP="005E2D6E">
      <w:pPr>
        <w:pStyle w:val="Paragraph"/>
        <w:ind w:firstLine="708"/>
        <w:jc w:val="both"/>
      </w:pPr>
      <w:r w:rsidRPr="00E04160">
        <w:rPr>
          <w:lang w:val="en-US"/>
        </w:rPr>
        <w:t xml:space="preserve">The purpose of this research was to show the net effect of housing conditions on mortality gaps. Nevertheless, it may seem very artificial to separate different elements that make up a person's living environment, namely their housing quality and their socio-economic level. </w:t>
      </w:r>
      <w:r>
        <w:rPr>
          <w:lang w:val="en-US"/>
        </w:rPr>
        <w:t>Living</w:t>
      </w:r>
      <w:r w:rsidRPr="00E04160">
        <w:rPr>
          <w:lang w:val="en-US"/>
        </w:rPr>
        <w:t xml:space="preserve"> from a low social status and an insufficient level of income increases the risk of not having access to quality housing in a </w:t>
      </w:r>
      <w:r>
        <w:rPr>
          <w:lang w:val="en-US"/>
        </w:rPr>
        <w:t>provided</w:t>
      </w:r>
      <w:r w:rsidRPr="00E04160">
        <w:rPr>
          <w:lang w:val="en-US"/>
        </w:rPr>
        <w:t xml:space="preserve"> and developed neighbourhood (Bacqué, Fol, 2007). But this research has shown that housing conditions have </w:t>
      </w:r>
      <w:r>
        <w:rPr>
          <w:lang w:val="en-US"/>
        </w:rPr>
        <w:t>its own</w:t>
      </w:r>
      <w:r w:rsidRPr="00E04160">
        <w:rPr>
          <w:lang w:val="en-US"/>
        </w:rPr>
        <w:t xml:space="preserve"> effect on the risk of death, in addition to reflecting the overall socio-economic level. </w:t>
      </w:r>
      <w:r>
        <w:rPr>
          <w:lang w:val="en-US"/>
        </w:rPr>
        <w:t>It</w:t>
      </w:r>
      <w:r w:rsidRPr="00E04160">
        <w:rPr>
          <w:lang w:val="en-US"/>
        </w:rPr>
        <w:t xml:space="preserve"> calls for a rethinking of the political fight against social inequalities in health and mortality. Ensuring good housing </w:t>
      </w:r>
      <w:r w:rsidRPr="00E04160">
        <w:rPr>
          <w:lang w:val="en-US"/>
        </w:rPr>
        <w:lastRenderedPageBreak/>
        <w:t xml:space="preserve">conditions and a </w:t>
      </w:r>
      <w:r>
        <w:rPr>
          <w:lang w:val="en-US"/>
        </w:rPr>
        <w:t xml:space="preserve">good </w:t>
      </w:r>
      <w:r w:rsidRPr="00E04160">
        <w:rPr>
          <w:lang w:val="en-US"/>
        </w:rPr>
        <w:t xml:space="preserve">quality living environment for everyone is a necessary step towards reducing inequalities. The </w:t>
      </w:r>
      <w:r>
        <w:rPr>
          <w:lang w:val="en-US"/>
        </w:rPr>
        <w:t>accommodation</w:t>
      </w:r>
      <w:r w:rsidRPr="00E04160">
        <w:rPr>
          <w:lang w:val="en-US"/>
        </w:rPr>
        <w:t>, as a base of physical, psychological and social well-being, is an essential good for development in all spheres of life (Lawrence, 1998; Bernard, 1998</w:t>
      </w:r>
      <w:r>
        <w:rPr>
          <w:lang w:val="en-US"/>
        </w:rPr>
        <w:t>; Hiscock et al., 2001</w:t>
      </w:r>
      <w:r w:rsidRPr="00E04160">
        <w:rPr>
          <w:lang w:val="en-US"/>
        </w:rPr>
        <w:t xml:space="preserve">). </w:t>
      </w:r>
    </w:p>
    <w:p w:rsidR="005E2D6E" w:rsidRPr="00203A86" w:rsidRDefault="005E2D6E" w:rsidP="005E2D6E">
      <w:pPr>
        <w:pStyle w:val="Titre1"/>
      </w:pPr>
      <w:r w:rsidRPr="00203A86">
        <w:t>Bibliography</w:t>
      </w:r>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rPr>
      </w:pPr>
      <w:r w:rsidRPr="006D2625">
        <w:rPr>
          <w:color w:val="000000"/>
          <w:sz w:val="20"/>
          <w:szCs w:val="20"/>
        </w:rPr>
        <w:t xml:space="preserve">BERNARD Y., 1998, « Du logement au chez-soi », in Segaud, M., Bonvalet, C., Brun, J., </w:t>
      </w:r>
      <w:r w:rsidRPr="006D2625">
        <w:rPr>
          <w:i/>
          <w:iCs/>
          <w:color w:val="000000"/>
          <w:sz w:val="20"/>
          <w:szCs w:val="20"/>
        </w:rPr>
        <w:t>Logement et habitat: l’état des savoirs</w:t>
      </w:r>
      <w:r w:rsidRPr="006D2625">
        <w:rPr>
          <w:color w:val="000000"/>
          <w:sz w:val="20"/>
          <w:szCs w:val="20"/>
        </w:rPr>
        <w:t>, La découverte</w:t>
      </w:r>
      <w:r w:rsidRPr="006D2625">
        <w:rPr>
          <w:i/>
          <w:iCs/>
          <w:color w:val="000000"/>
          <w:sz w:val="20"/>
          <w:szCs w:val="20"/>
        </w:rPr>
        <w:t>.</w:t>
      </w:r>
      <w:r w:rsidRPr="006D2625">
        <w:rPr>
          <w:color w:val="000000"/>
          <w:sz w:val="20"/>
          <w:szCs w:val="20"/>
        </w:rPr>
        <w:t xml:space="preserve"> 420 p.</w:t>
      </w:r>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lang w:val="en-US"/>
        </w:rPr>
      </w:pPr>
      <w:r w:rsidRPr="006D2625">
        <w:rPr>
          <w:color w:val="000000"/>
          <w:sz w:val="20"/>
          <w:szCs w:val="20"/>
          <w:lang w:val="en-US"/>
        </w:rPr>
        <w:t>BONNEFOY, X., 2007,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color w:val="000000"/>
          <w:sz w:val="20"/>
          <w:szCs w:val="20"/>
          <w:lang w:val="en-US"/>
        </w:rPr>
        <w:t>Inadequate Housing and Health: An Overview</w:t>
      </w:r>
      <w:r>
        <w:rPr>
          <w:color w:val="000000"/>
          <w:sz w:val="20"/>
          <w:szCs w:val="20"/>
          <w:lang w:val="en-US"/>
        </w:rPr>
        <w:t xml:space="preserve"> </w:t>
      </w:r>
      <w:r w:rsidRPr="003E5932">
        <w:rPr>
          <w:color w:val="000000"/>
          <w:sz w:val="20"/>
          <w:szCs w:val="20"/>
          <w:lang w:val="en-US"/>
        </w:rPr>
        <w:t>»</w:t>
      </w:r>
      <w:r>
        <w:rPr>
          <w:color w:val="000000"/>
          <w:sz w:val="20"/>
          <w:szCs w:val="20"/>
          <w:lang w:val="en-US"/>
        </w:rPr>
        <w:t xml:space="preserve">, </w:t>
      </w:r>
      <w:r w:rsidRPr="006D2625">
        <w:rPr>
          <w:i/>
          <w:iCs/>
          <w:color w:val="000000"/>
          <w:sz w:val="20"/>
          <w:szCs w:val="20"/>
          <w:lang w:val="en-US"/>
        </w:rPr>
        <w:t>International Journal of Environment and Pollution</w:t>
      </w:r>
      <w:r w:rsidRPr="006D2625">
        <w:rPr>
          <w:color w:val="000000"/>
          <w:sz w:val="20"/>
          <w:szCs w:val="20"/>
          <w:lang w:val="en-US"/>
        </w:rPr>
        <w:t xml:space="preserve"> 30 (3–4), pp. 411–429.</w:t>
      </w:r>
    </w:p>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eastAsia="fr-BE"/>
        </w:rPr>
      </w:pPr>
      <w:bookmarkStart w:id="4" w:name="_Hlk22748707"/>
      <w:r w:rsidRPr="006D2625">
        <w:rPr>
          <w:rFonts w:ascii="Times New Roman" w:eastAsia="Times New Roman" w:hAnsi="Times New Roman" w:cs="Times New Roman"/>
          <w:color w:val="000000"/>
          <w:sz w:val="20"/>
          <w:szCs w:val="20"/>
          <w:lang w:eastAsia="fr-BE"/>
        </w:rPr>
        <w:t xml:space="preserve">BUGEJA-BLOCH, F., 2013, </w:t>
      </w:r>
      <w:r w:rsidRPr="006D2625">
        <w:rPr>
          <w:rFonts w:ascii="Times New Roman" w:eastAsia="Times New Roman" w:hAnsi="Times New Roman" w:cs="Times New Roman"/>
          <w:i/>
          <w:iCs/>
          <w:color w:val="000000"/>
          <w:sz w:val="20"/>
          <w:szCs w:val="20"/>
          <w:lang w:eastAsia="fr-BE"/>
        </w:rPr>
        <w:t>Logement, la spirale des inégalités</w:t>
      </w:r>
      <w:r w:rsidRPr="006D2625">
        <w:rPr>
          <w:rFonts w:ascii="Times New Roman" w:eastAsia="Times New Roman" w:hAnsi="Times New Roman" w:cs="Times New Roman"/>
          <w:color w:val="000000"/>
          <w:sz w:val="20"/>
          <w:szCs w:val="20"/>
          <w:lang w:eastAsia="fr-BE"/>
        </w:rPr>
        <w:t>, Paris, Puf.</w:t>
      </w:r>
    </w:p>
    <w:bookmarkEnd w:id="4"/>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r w:rsidRPr="006D2625">
        <w:rPr>
          <w:rFonts w:ascii="Times New Roman" w:eastAsia="Times New Roman" w:hAnsi="Times New Roman" w:cs="Times New Roman"/>
          <w:color w:val="000000"/>
          <w:sz w:val="20"/>
          <w:szCs w:val="20"/>
          <w:lang w:val="en-US" w:eastAsia="fr-BE"/>
        </w:rPr>
        <w:t>BOOMSMA, C., PAHL, S., JONES, R. V., &amp; FUERTES, A., 2017, « “Damp in bathroom. Damp in back room. It's very depressing!” exploring the relationship between perceived housing problems, energy affordability concerns, and health and well-being in UK social housing</w:t>
      </w:r>
      <w:r>
        <w:rPr>
          <w:rFonts w:ascii="Times New Roman" w:eastAsia="Times New Roman" w:hAnsi="Times New Roman" w:cs="Times New Roman"/>
          <w:color w:val="000000"/>
          <w:sz w:val="20"/>
          <w:szCs w:val="20"/>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lang w:val="en-US" w:eastAsia="fr-BE"/>
        </w:rPr>
        <w:t xml:space="preserve">. </w:t>
      </w:r>
      <w:r w:rsidRPr="006D2625">
        <w:rPr>
          <w:rFonts w:ascii="Times New Roman" w:eastAsia="Times New Roman" w:hAnsi="Times New Roman" w:cs="Times New Roman"/>
          <w:i/>
          <w:color w:val="000000"/>
          <w:sz w:val="20"/>
          <w:szCs w:val="20"/>
          <w:lang w:val="en-US" w:eastAsia="fr-BE"/>
        </w:rPr>
        <w:t>Energy Policy</w:t>
      </w:r>
      <w:r w:rsidRPr="006D2625">
        <w:rPr>
          <w:rFonts w:ascii="Times New Roman" w:eastAsia="Times New Roman" w:hAnsi="Times New Roman" w:cs="Times New Roman"/>
          <w:color w:val="000000"/>
          <w:sz w:val="20"/>
          <w:szCs w:val="20"/>
          <w:lang w:val="en-US" w:eastAsia="fr-BE"/>
        </w:rPr>
        <w:t xml:space="preserve"> 106, pp. 382-393. </w:t>
      </w:r>
    </w:p>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r w:rsidRPr="006D2625">
        <w:rPr>
          <w:rFonts w:ascii="Times New Roman" w:eastAsia="Times New Roman" w:hAnsi="Times New Roman" w:cs="Times New Roman"/>
          <w:color w:val="000000"/>
          <w:sz w:val="20"/>
          <w:szCs w:val="20"/>
          <w:lang w:val="en-US" w:eastAsia="fr-BE"/>
        </w:rPr>
        <w:t xml:space="preserve">COLEY, R. L., LEVENTHAL, T., LYNCH, A. D., &amp; KULL, M., 2013, </w:t>
      </w:r>
      <w:r w:rsidRPr="003E5932">
        <w:rPr>
          <w:rFonts w:ascii="Times New Roman" w:eastAsia="Times New Roman" w:hAnsi="Times New Roman" w:cs="Times New Roman"/>
          <w:color w:val="000000"/>
          <w:sz w:val="20"/>
          <w:szCs w:val="20"/>
          <w:lang w:val="en-US" w:eastAsia="fr-BE"/>
        </w:rPr>
        <w:t>«</w:t>
      </w:r>
      <w:r>
        <w:rPr>
          <w:rFonts w:ascii="Times New Roman" w:eastAsia="Times New Roman" w:hAnsi="Times New Roman" w:cs="Times New Roman"/>
          <w:color w:val="000000"/>
          <w:sz w:val="20"/>
          <w:szCs w:val="20"/>
          <w:lang w:val="en-US" w:eastAsia="fr-BE"/>
        </w:rPr>
        <w:t xml:space="preserve"> </w:t>
      </w:r>
      <w:r w:rsidRPr="006D2625">
        <w:rPr>
          <w:rFonts w:ascii="Times New Roman" w:eastAsia="Times New Roman" w:hAnsi="Times New Roman" w:cs="Times New Roman"/>
          <w:color w:val="000000"/>
          <w:sz w:val="20"/>
          <w:szCs w:val="20"/>
          <w:lang w:val="en-US" w:eastAsia="fr-BE"/>
        </w:rPr>
        <w:t>Relations between housing characteristics and the well-being of low-income children and adolescents</w:t>
      </w:r>
      <w:r>
        <w:rPr>
          <w:rFonts w:ascii="Times New Roman" w:eastAsia="Times New Roman" w:hAnsi="Times New Roman" w:cs="Times New Roman"/>
          <w:color w:val="000000"/>
          <w:sz w:val="20"/>
          <w:szCs w:val="20"/>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lang w:val="en-US" w:eastAsia="fr-BE"/>
        </w:rPr>
        <w:t xml:space="preserve">. </w:t>
      </w:r>
      <w:r w:rsidRPr="006D2625">
        <w:rPr>
          <w:rFonts w:ascii="Times New Roman" w:eastAsia="Times New Roman" w:hAnsi="Times New Roman" w:cs="Times New Roman"/>
          <w:i/>
          <w:color w:val="000000"/>
          <w:sz w:val="20"/>
          <w:szCs w:val="20"/>
          <w:lang w:val="en-US" w:eastAsia="fr-BE"/>
        </w:rPr>
        <w:t>Developmental psychology</w:t>
      </w:r>
      <w:r w:rsidRPr="006D2625">
        <w:rPr>
          <w:rFonts w:ascii="Times New Roman" w:eastAsia="Times New Roman" w:hAnsi="Times New Roman" w:cs="Times New Roman"/>
          <w:color w:val="000000"/>
          <w:sz w:val="20"/>
          <w:szCs w:val="20"/>
          <w:lang w:val="en-US" w:eastAsia="fr-BE"/>
        </w:rPr>
        <w:t xml:space="preserve"> 49(9), p.1775.</w:t>
      </w:r>
    </w:p>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r w:rsidRPr="006D2625">
        <w:rPr>
          <w:rFonts w:ascii="Times New Roman" w:eastAsia="Times New Roman" w:hAnsi="Times New Roman" w:cs="Times New Roman"/>
          <w:color w:val="000000"/>
          <w:sz w:val="20"/>
          <w:szCs w:val="20"/>
          <w:lang w:val="en-US" w:eastAsia="fr-BE"/>
        </w:rPr>
        <w:t>CUTLER, D. M., &amp;amp; LLERAS-MUNEY, A., 2006, « Education and health: evaluating theories and evidence</w:t>
      </w:r>
      <w:r>
        <w:rPr>
          <w:rFonts w:ascii="Times New Roman" w:eastAsia="Times New Roman" w:hAnsi="Times New Roman" w:cs="Times New Roman"/>
          <w:color w:val="000000"/>
          <w:sz w:val="20"/>
          <w:szCs w:val="20"/>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lang w:val="en-US" w:eastAsia="fr-BE"/>
        </w:rPr>
        <w:t>. National bureau of economic research. Working Paper.</w:t>
      </w:r>
    </w:p>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eastAsia="fr-BE"/>
        </w:rPr>
      </w:pPr>
      <w:bookmarkStart w:id="5" w:name="_Hlk22748672"/>
      <w:r w:rsidRPr="003E5932">
        <w:rPr>
          <w:rFonts w:ascii="Times New Roman" w:eastAsia="Times New Roman" w:hAnsi="Times New Roman" w:cs="Times New Roman"/>
          <w:color w:val="000000"/>
          <w:sz w:val="20"/>
          <w:szCs w:val="20"/>
          <w:lang w:val="en-US" w:eastAsia="fr-BE"/>
        </w:rPr>
        <w:t xml:space="preserve">DEBOOSERE, P., &amp; FISZMAN, P., 2009, « About Persistent Socio-Spatial Inequalities in Health: The Belgian Example ». </w:t>
      </w:r>
      <w:r w:rsidRPr="006D2625">
        <w:rPr>
          <w:rFonts w:ascii="Times New Roman" w:eastAsia="Times New Roman" w:hAnsi="Times New Roman" w:cs="Times New Roman"/>
          <w:i/>
          <w:color w:val="000000"/>
          <w:sz w:val="20"/>
          <w:szCs w:val="20"/>
          <w:lang w:eastAsia="fr-BE"/>
        </w:rPr>
        <w:t>Space populations societies</w:t>
      </w:r>
      <w:r w:rsidRPr="006D2625">
        <w:rPr>
          <w:rFonts w:ascii="Times New Roman" w:eastAsia="Times New Roman" w:hAnsi="Times New Roman" w:cs="Times New Roman"/>
          <w:color w:val="000000"/>
          <w:sz w:val="20"/>
          <w:szCs w:val="20"/>
          <w:lang w:eastAsia="fr-BE"/>
        </w:rPr>
        <w:t xml:space="preserve"> 2009/1, pp. 149-158.</w:t>
      </w:r>
    </w:p>
    <w:bookmarkEnd w:id="5"/>
    <w:p w:rsidR="005E2D6E" w:rsidRPr="003E5932"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r w:rsidRPr="003E5932">
        <w:rPr>
          <w:rFonts w:ascii="Times New Roman" w:eastAsia="Times New Roman" w:hAnsi="Times New Roman" w:cs="Times New Roman"/>
          <w:color w:val="000000"/>
          <w:sz w:val="20"/>
          <w:szCs w:val="20"/>
          <w:lang w:val="en-US" w:eastAsia="fr-BE"/>
        </w:rPr>
        <w:t>DEBOOSERE, P. GADEYNE, S., 2005, « Adult Migrant Mortality Advantage in Belgium: Evidence Using Census and Register Data</w:t>
      </w:r>
      <w:r>
        <w:rPr>
          <w:rFonts w:ascii="Times New Roman" w:eastAsia="Times New Roman" w:hAnsi="Times New Roman" w:cs="Times New Roman"/>
          <w:color w:val="000000"/>
          <w:sz w:val="20"/>
          <w:szCs w:val="20"/>
          <w:lang w:val="en-US" w:eastAsia="fr-BE"/>
        </w:rPr>
        <w:t xml:space="preserve"> </w:t>
      </w:r>
      <w:r w:rsidRPr="003E5932">
        <w:rPr>
          <w:rFonts w:ascii="Times New Roman" w:eastAsia="Times New Roman" w:hAnsi="Times New Roman" w:cs="Times New Roman"/>
          <w:color w:val="000000"/>
          <w:sz w:val="20"/>
          <w:szCs w:val="20"/>
          <w:lang w:val="en-US" w:eastAsia="fr-BE"/>
        </w:rPr>
        <w:t xml:space="preserve">». </w:t>
      </w:r>
      <w:r w:rsidRPr="003E5932">
        <w:rPr>
          <w:rFonts w:ascii="Times New Roman" w:eastAsia="Times New Roman" w:hAnsi="Times New Roman" w:cs="Times New Roman"/>
          <w:i/>
          <w:color w:val="000000"/>
          <w:sz w:val="20"/>
          <w:szCs w:val="20"/>
          <w:lang w:val="en-US" w:eastAsia="fr-BE"/>
        </w:rPr>
        <w:t>Population</w:t>
      </w:r>
      <w:r w:rsidRPr="003E5932">
        <w:rPr>
          <w:rFonts w:ascii="Times New Roman" w:eastAsia="Times New Roman" w:hAnsi="Times New Roman" w:cs="Times New Roman"/>
          <w:color w:val="000000"/>
          <w:sz w:val="20"/>
          <w:szCs w:val="20"/>
          <w:lang w:val="en-US" w:eastAsia="fr-BE"/>
        </w:rPr>
        <w:t>, vol. 60,(5), pp.765-811.</w:t>
      </w:r>
    </w:p>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bookmarkStart w:id="6" w:name="_Hlk22748726"/>
      <w:r w:rsidRPr="006D2625">
        <w:rPr>
          <w:rFonts w:ascii="Times New Roman" w:eastAsia="Times New Roman" w:hAnsi="Times New Roman" w:cs="Times New Roman"/>
          <w:color w:val="000000"/>
          <w:sz w:val="20"/>
          <w:szCs w:val="20"/>
          <w:lang w:val="en-US" w:eastAsia="fr-BE"/>
        </w:rPr>
        <w:t xml:space="preserve">DEBOOSERE, P., GADEYNE, S., VAN OYEN, H., 2009,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rFonts w:ascii="Times New Roman" w:eastAsia="Times New Roman" w:hAnsi="Times New Roman" w:cs="Times New Roman"/>
          <w:color w:val="000000"/>
          <w:sz w:val="20"/>
          <w:szCs w:val="20"/>
          <w:lang w:val="en-US" w:eastAsia="fr-BE"/>
        </w:rPr>
        <w:t>The 1991–2004 evolution in life expectancy by educational level in Belgium based on linked census and population register data</w:t>
      </w:r>
      <w:r>
        <w:rPr>
          <w:rFonts w:ascii="Times New Roman" w:eastAsia="Times New Roman" w:hAnsi="Times New Roman" w:cs="Times New Roman"/>
          <w:color w:val="000000"/>
          <w:sz w:val="20"/>
          <w:szCs w:val="20"/>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lang w:val="en-US" w:eastAsia="fr-BE"/>
        </w:rPr>
        <w:t xml:space="preserve">, </w:t>
      </w:r>
      <w:r w:rsidRPr="00BD4E72">
        <w:rPr>
          <w:rFonts w:ascii="Times New Roman" w:eastAsia="Times New Roman" w:hAnsi="Times New Roman" w:cs="Times New Roman"/>
          <w:i/>
          <w:color w:val="000000"/>
          <w:sz w:val="20"/>
          <w:szCs w:val="20"/>
          <w:lang w:val="en-US" w:eastAsia="fr-BE"/>
        </w:rPr>
        <w:t>European Journal of Population/Revue européenne de Démographie,</w:t>
      </w:r>
      <w:r w:rsidRPr="006D2625">
        <w:rPr>
          <w:rFonts w:ascii="Times New Roman" w:eastAsia="Times New Roman" w:hAnsi="Times New Roman" w:cs="Times New Roman"/>
          <w:color w:val="000000"/>
          <w:sz w:val="20"/>
          <w:szCs w:val="20"/>
          <w:lang w:val="en-US" w:eastAsia="fr-BE"/>
        </w:rPr>
        <w:t xml:space="preserve"> 25(2), p.175.</w:t>
      </w:r>
    </w:p>
    <w:p w:rsidR="005E2D6E" w:rsidRPr="003E5932"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lang w:val="en-US"/>
        </w:rPr>
      </w:pPr>
      <w:bookmarkStart w:id="7" w:name="_Hlk22748747"/>
      <w:bookmarkEnd w:id="6"/>
      <w:r w:rsidRPr="006D2625">
        <w:rPr>
          <w:color w:val="000000"/>
          <w:sz w:val="20"/>
          <w:szCs w:val="20"/>
          <w:lang w:val="en-US"/>
        </w:rPr>
        <w:t xml:space="preserve">DUNN, J., 2002,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color w:val="000000"/>
          <w:sz w:val="20"/>
          <w:szCs w:val="20"/>
          <w:lang w:val="en-US"/>
        </w:rPr>
        <w:t>Housing and Inequalities in Health: A Study of Socioeconomic Dimensions of Housing and Self Reported Health from a Survey of Vancouver Residents</w:t>
      </w:r>
      <w:r>
        <w:rPr>
          <w:color w:val="000000"/>
          <w:sz w:val="20"/>
          <w:szCs w:val="20"/>
          <w:lang w:val="en-US"/>
        </w:rPr>
        <w:t xml:space="preserve"> </w:t>
      </w:r>
      <w:r w:rsidRPr="003E5932">
        <w:rPr>
          <w:color w:val="000000"/>
          <w:sz w:val="20"/>
          <w:szCs w:val="20"/>
          <w:lang w:val="en-US"/>
        </w:rPr>
        <w:t>»</w:t>
      </w:r>
      <w:r w:rsidRPr="006D2625">
        <w:rPr>
          <w:color w:val="000000"/>
          <w:sz w:val="20"/>
          <w:szCs w:val="20"/>
          <w:lang w:val="en-US"/>
        </w:rPr>
        <w:t xml:space="preserve">. </w:t>
      </w:r>
      <w:r w:rsidRPr="003E5932">
        <w:rPr>
          <w:color w:val="000000"/>
          <w:sz w:val="20"/>
          <w:szCs w:val="20"/>
          <w:lang w:val="en-US"/>
        </w:rPr>
        <w:t>J</w:t>
      </w:r>
      <w:r w:rsidRPr="003E5932">
        <w:rPr>
          <w:i/>
          <w:color w:val="000000"/>
          <w:sz w:val="20"/>
          <w:szCs w:val="20"/>
          <w:lang w:val="en-US"/>
        </w:rPr>
        <w:t>ournal of Epidemiology and Community Health</w:t>
      </w:r>
      <w:r w:rsidRPr="003E5932">
        <w:rPr>
          <w:color w:val="000000"/>
          <w:sz w:val="20"/>
          <w:szCs w:val="20"/>
          <w:lang w:val="en-US"/>
        </w:rPr>
        <w:t xml:space="preserve"> 56 (9), pp. 671–81</w:t>
      </w:r>
      <w:bookmarkEnd w:id="7"/>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rPr>
      </w:pPr>
      <w:bookmarkStart w:id="8" w:name="_Hlk22748780"/>
      <w:r w:rsidRPr="006D2625">
        <w:rPr>
          <w:color w:val="000000"/>
          <w:sz w:val="20"/>
          <w:szCs w:val="20"/>
          <w:shd w:val="clear" w:color="auto" w:fill="FFFFFF"/>
        </w:rPr>
        <w:t xml:space="preserve">EGGERICKX, T., LÉGER, J. F., SANDERSON, J. P., VANDESCHRICK, C., 2018-A, « L’évolution de la mortalité en Europe du 19e siècle à nos jours », </w:t>
      </w:r>
      <w:r w:rsidRPr="006D2625">
        <w:rPr>
          <w:i/>
          <w:iCs/>
          <w:color w:val="000000"/>
          <w:sz w:val="20"/>
          <w:szCs w:val="20"/>
          <w:shd w:val="clear" w:color="auto" w:fill="FFFFFF"/>
        </w:rPr>
        <w:t>Space populations societies</w:t>
      </w:r>
      <w:r w:rsidRPr="006D2625">
        <w:rPr>
          <w:color w:val="000000"/>
          <w:sz w:val="20"/>
          <w:szCs w:val="20"/>
          <w:shd w:val="clear" w:color="auto" w:fill="FFFFFF"/>
        </w:rPr>
        <w:t>, 2017-3.</w:t>
      </w:r>
    </w:p>
    <w:p w:rsidR="005E2D6E" w:rsidRPr="006D2625" w:rsidRDefault="005E2D6E" w:rsidP="005E2D6E">
      <w:pPr>
        <w:pStyle w:val="NormalWeb"/>
        <w:numPr>
          <w:ilvl w:val="0"/>
          <w:numId w:val="1"/>
        </w:numPr>
        <w:spacing w:after="0" w:line="276" w:lineRule="auto"/>
        <w:jc w:val="both"/>
        <w:textAlignment w:val="baseline"/>
        <w:rPr>
          <w:color w:val="000000"/>
          <w:sz w:val="20"/>
          <w:szCs w:val="20"/>
          <w:lang w:val="en-US"/>
        </w:rPr>
      </w:pPr>
      <w:r w:rsidRPr="003E5932">
        <w:rPr>
          <w:color w:val="000000"/>
          <w:sz w:val="20"/>
          <w:szCs w:val="20"/>
          <w:lang w:val="en-US"/>
        </w:rPr>
        <w:t xml:space="preserve">EGGERICKX T., SANDERSON J.-P., VANDESCHRICK C., 2018 – B, «Social and spatial inequalities of mortality in Belgium: 1991-2016 ». </w:t>
      </w:r>
      <w:r w:rsidRPr="003E5932">
        <w:rPr>
          <w:i/>
          <w:color w:val="000000"/>
          <w:sz w:val="20"/>
          <w:szCs w:val="20"/>
          <w:lang w:val="en-US"/>
        </w:rPr>
        <w:t>Space populations societies</w:t>
      </w:r>
      <w:r w:rsidRPr="003E5932">
        <w:rPr>
          <w:color w:val="000000"/>
          <w:sz w:val="20"/>
          <w:szCs w:val="20"/>
          <w:lang w:val="en-US"/>
        </w:rPr>
        <w:t>, 2018-1</w:t>
      </w:r>
    </w:p>
    <w:bookmarkEnd w:id="8"/>
    <w:p w:rsidR="005E2D6E" w:rsidRPr="006D2625" w:rsidRDefault="005E2D6E" w:rsidP="005E2D6E">
      <w:pPr>
        <w:pStyle w:val="NormalWeb"/>
        <w:numPr>
          <w:ilvl w:val="0"/>
          <w:numId w:val="1"/>
        </w:numPr>
        <w:spacing w:after="0" w:line="276" w:lineRule="auto"/>
        <w:jc w:val="both"/>
        <w:textAlignment w:val="baseline"/>
        <w:rPr>
          <w:color w:val="000000"/>
          <w:sz w:val="20"/>
          <w:szCs w:val="20"/>
          <w:lang w:val="en-US"/>
        </w:rPr>
      </w:pPr>
      <w:r w:rsidRPr="006D2625">
        <w:rPr>
          <w:color w:val="000000"/>
          <w:sz w:val="20"/>
          <w:szCs w:val="20"/>
          <w:lang w:val="en-US"/>
        </w:rPr>
        <w:t xml:space="preserve">EVANS, G. W., WELLS, N. M., &amp; MOCH, A., 2003,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color w:val="000000"/>
          <w:sz w:val="20"/>
          <w:szCs w:val="20"/>
          <w:lang w:val="en-US"/>
        </w:rPr>
        <w:t>Housing and mental health: a review of the evidence and a methodological and conceptual critique</w:t>
      </w:r>
      <w:r>
        <w:rPr>
          <w:color w:val="000000"/>
          <w:sz w:val="20"/>
          <w:szCs w:val="20"/>
          <w:lang w:val="en-US"/>
        </w:rPr>
        <w:t xml:space="preserve"> </w:t>
      </w:r>
      <w:r w:rsidRPr="003E5932">
        <w:rPr>
          <w:color w:val="000000"/>
          <w:sz w:val="20"/>
          <w:szCs w:val="20"/>
          <w:lang w:val="en-US"/>
        </w:rPr>
        <w:t>»</w:t>
      </w:r>
      <w:r w:rsidRPr="006D2625">
        <w:rPr>
          <w:color w:val="000000"/>
          <w:sz w:val="20"/>
          <w:szCs w:val="20"/>
          <w:lang w:val="en-US"/>
        </w:rPr>
        <w:t xml:space="preserve">. </w:t>
      </w:r>
      <w:r w:rsidRPr="006D2625">
        <w:rPr>
          <w:i/>
          <w:color w:val="000000"/>
          <w:sz w:val="20"/>
          <w:szCs w:val="20"/>
          <w:lang w:val="en-US"/>
        </w:rPr>
        <w:t>Journal of social issues</w:t>
      </w:r>
      <w:r w:rsidRPr="006D2625">
        <w:rPr>
          <w:color w:val="000000"/>
          <w:sz w:val="20"/>
          <w:szCs w:val="20"/>
          <w:lang w:val="en-US"/>
        </w:rPr>
        <w:t xml:space="preserve"> 59(3), pp. 475-500</w:t>
      </w:r>
    </w:p>
    <w:p w:rsidR="005E2D6E" w:rsidRPr="006D2625" w:rsidRDefault="005E2D6E" w:rsidP="005E2D6E">
      <w:pPr>
        <w:pStyle w:val="NormalWeb"/>
        <w:numPr>
          <w:ilvl w:val="0"/>
          <w:numId w:val="1"/>
        </w:numPr>
        <w:spacing w:after="0" w:line="276" w:lineRule="auto"/>
        <w:jc w:val="both"/>
        <w:textAlignment w:val="baseline"/>
        <w:rPr>
          <w:color w:val="000000"/>
          <w:sz w:val="20"/>
          <w:szCs w:val="20"/>
          <w:lang w:val="en-US"/>
        </w:rPr>
      </w:pPr>
      <w:r w:rsidRPr="006D2625">
        <w:rPr>
          <w:color w:val="000000"/>
          <w:sz w:val="20"/>
          <w:szCs w:val="20"/>
          <w:lang w:val="en-US"/>
        </w:rPr>
        <w:t>GADEYNE, S., 2006, The Ultimate Inequality: Socio-economic differences in all-cause and cause-specific Mortality in Belgium in the First Part of the 1990s. Centrum voor Bevolkings-en Gezinsstudie (CBGS).</w:t>
      </w:r>
    </w:p>
    <w:p w:rsidR="005E2D6E" w:rsidRPr="006D2625" w:rsidRDefault="005E2D6E" w:rsidP="005E2D6E">
      <w:pPr>
        <w:pStyle w:val="NormalWeb"/>
        <w:numPr>
          <w:ilvl w:val="0"/>
          <w:numId w:val="1"/>
        </w:numPr>
        <w:spacing w:after="0" w:line="276" w:lineRule="auto"/>
        <w:jc w:val="both"/>
        <w:textAlignment w:val="baseline"/>
        <w:rPr>
          <w:color w:val="000000"/>
          <w:sz w:val="20"/>
          <w:szCs w:val="20"/>
          <w:lang w:val="en-US"/>
        </w:rPr>
      </w:pPr>
      <w:r w:rsidRPr="006D2625">
        <w:rPr>
          <w:color w:val="000000"/>
          <w:sz w:val="20"/>
          <w:szCs w:val="20"/>
          <w:lang w:val="en-US"/>
        </w:rPr>
        <w:t xml:space="preserve">HERBERT, C. E., BELSKY, E. S., 2008.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color w:val="000000"/>
          <w:sz w:val="20"/>
          <w:szCs w:val="20"/>
          <w:lang w:val="en-US"/>
        </w:rPr>
        <w:t>The homeownership experience of low-income and minority households: A review and synthesis of the literature</w:t>
      </w:r>
      <w:r>
        <w:rPr>
          <w:color w:val="000000"/>
          <w:sz w:val="20"/>
          <w:szCs w:val="20"/>
          <w:lang w:val="en-US"/>
        </w:rPr>
        <w:t xml:space="preserve"> </w:t>
      </w:r>
      <w:r w:rsidRPr="003E5932">
        <w:rPr>
          <w:color w:val="000000"/>
          <w:sz w:val="20"/>
          <w:szCs w:val="20"/>
          <w:lang w:val="en-US"/>
        </w:rPr>
        <w:t>»</w:t>
      </w:r>
      <w:r w:rsidRPr="006D2625">
        <w:rPr>
          <w:color w:val="000000"/>
          <w:sz w:val="20"/>
          <w:szCs w:val="20"/>
          <w:lang w:val="en-US"/>
        </w:rPr>
        <w:t xml:space="preserve">. </w:t>
      </w:r>
      <w:r w:rsidRPr="003E5932">
        <w:rPr>
          <w:i/>
          <w:color w:val="000000"/>
          <w:sz w:val="20"/>
          <w:szCs w:val="20"/>
          <w:lang w:val="en-US"/>
        </w:rPr>
        <w:t>Cityscape</w:t>
      </w:r>
      <w:r w:rsidRPr="003E5932">
        <w:rPr>
          <w:color w:val="000000"/>
          <w:sz w:val="20"/>
          <w:szCs w:val="20"/>
          <w:lang w:val="en-US"/>
        </w:rPr>
        <w:t>, pp. 5-59.</w:t>
      </w:r>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rPr>
      </w:pPr>
      <w:r w:rsidRPr="00216301">
        <w:rPr>
          <w:color w:val="000000"/>
          <w:sz w:val="20"/>
          <w:szCs w:val="20"/>
          <w:shd w:val="clear" w:color="auto" w:fill="FFFFFF"/>
          <w:lang w:val="en-US"/>
        </w:rPr>
        <w:t xml:space="preserve">HERJEAN, P., 2006, « A multilevel approach to health ». </w:t>
      </w:r>
      <w:r w:rsidRPr="006D2625">
        <w:rPr>
          <w:i/>
          <w:iCs/>
          <w:color w:val="000000"/>
          <w:sz w:val="20"/>
          <w:szCs w:val="20"/>
          <w:shd w:val="clear" w:color="auto" w:fill="FFFFFF"/>
        </w:rPr>
        <w:t>Cahiers de géographie du Québec</w:t>
      </w:r>
      <w:r w:rsidRPr="006D2625">
        <w:rPr>
          <w:color w:val="000000"/>
          <w:sz w:val="20"/>
          <w:szCs w:val="20"/>
          <w:shd w:val="clear" w:color="auto" w:fill="FFFFFF"/>
        </w:rPr>
        <w:t xml:space="preserve"> 50(141), pp. 347–355.</w:t>
      </w:r>
    </w:p>
    <w:p w:rsidR="005E2D6E" w:rsidRDefault="005E2D6E" w:rsidP="005E2D6E">
      <w:pPr>
        <w:pStyle w:val="NormalWeb"/>
        <w:numPr>
          <w:ilvl w:val="0"/>
          <w:numId w:val="1"/>
        </w:numPr>
        <w:spacing w:after="0" w:line="276" w:lineRule="auto"/>
        <w:jc w:val="both"/>
        <w:textAlignment w:val="baseline"/>
        <w:rPr>
          <w:color w:val="000000"/>
          <w:sz w:val="20"/>
          <w:szCs w:val="20"/>
          <w:lang w:val="en-US"/>
        </w:rPr>
      </w:pPr>
      <w:bookmarkStart w:id="9" w:name="_Hlk22748822"/>
      <w:r w:rsidRPr="00794E86">
        <w:rPr>
          <w:color w:val="000000"/>
          <w:sz w:val="20"/>
          <w:szCs w:val="20"/>
          <w:lang w:val="en-US"/>
        </w:rPr>
        <w:t>H</w:t>
      </w:r>
      <w:r>
        <w:rPr>
          <w:color w:val="000000"/>
          <w:sz w:val="20"/>
          <w:szCs w:val="20"/>
          <w:lang w:val="en-US"/>
        </w:rPr>
        <w:t>ISCOCK</w:t>
      </w:r>
      <w:r w:rsidRPr="00794E86">
        <w:rPr>
          <w:color w:val="000000"/>
          <w:sz w:val="20"/>
          <w:szCs w:val="20"/>
          <w:lang w:val="en-US"/>
        </w:rPr>
        <w:t>, R., K</w:t>
      </w:r>
      <w:r>
        <w:rPr>
          <w:color w:val="000000"/>
          <w:sz w:val="20"/>
          <w:szCs w:val="20"/>
          <w:lang w:val="en-US"/>
        </w:rPr>
        <w:t>EARNS</w:t>
      </w:r>
      <w:r w:rsidRPr="00794E86">
        <w:rPr>
          <w:color w:val="000000"/>
          <w:sz w:val="20"/>
          <w:szCs w:val="20"/>
          <w:lang w:val="en-US"/>
        </w:rPr>
        <w:t>, A., M</w:t>
      </w:r>
      <w:r>
        <w:rPr>
          <w:color w:val="000000"/>
          <w:sz w:val="20"/>
          <w:szCs w:val="20"/>
          <w:lang w:val="en-US"/>
        </w:rPr>
        <w:t>ACINTYRE</w:t>
      </w:r>
      <w:r w:rsidRPr="00794E86">
        <w:rPr>
          <w:color w:val="000000"/>
          <w:sz w:val="20"/>
          <w:szCs w:val="20"/>
          <w:lang w:val="en-US"/>
        </w:rPr>
        <w:t>, S., &amp; E</w:t>
      </w:r>
      <w:r>
        <w:rPr>
          <w:color w:val="000000"/>
          <w:sz w:val="20"/>
          <w:szCs w:val="20"/>
          <w:lang w:val="en-US"/>
        </w:rPr>
        <w:t>LLAWAY</w:t>
      </w:r>
      <w:r w:rsidRPr="00794E86">
        <w:rPr>
          <w:color w:val="000000"/>
          <w:sz w:val="20"/>
          <w:szCs w:val="20"/>
          <w:lang w:val="en-US"/>
        </w:rPr>
        <w:t>, A.</w:t>
      </w:r>
      <w:r>
        <w:rPr>
          <w:color w:val="000000"/>
          <w:sz w:val="20"/>
          <w:szCs w:val="20"/>
          <w:lang w:val="en-US"/>
        </w:rPr>
        <w:t xml:space="preserve">, </w:t>
      </w:r>
      <w:r w:rsidRPr="00794E86">
        <w:rPr>
          <w:color w:val="000000"/>
          <w:sz w:val="20"/>
          <w:szCs w:val="20"/>
          <w:lang w:val="en-US"/>
        </w:rPr>
        <w:t>2001</w:t>
      </w:r>
      <w:r>
        <w:rPr>
          <w:color w:val="000000"/>
          <w:sz w:val="20"/>
          <w:szCs w:val="20"/>
          <w:lang w:val="en-US"/>
        </w:rPr>
        <w:t>,</w:t>
      </w:r>
      <w:r w:rsidRPr="00794E86">
        <w:rPr>
          <w:color w:val="000000"/>
          <w:sz w:val="20"/>
          <w:szCs w:val="20"/>
          <w:lang w:val="en-US"/>
        </w:rPr>
        <w:t xml:space="preserve"> </w:t>
      </w:r>
      <w:r w:rsidRPr="00216301">
        <w:rPr>
          <w:color w:val="000000"/>
          <w:sz w:val="20"/>
          <w:szCs w:val="20"/>
          <w:shd w:val="clear" w:color="auto" w:fill="FFFFFF"/>
          <w:lang w:val="en-US"/>
        </w:rPr>
        <w:t>«</w:t>
      </w:r>
      <w:r>
        <w:rPr>
          <w:color w:val="000000"/>
          <w:sz w:val="20"/>
          <w:szCs w:val="20"/>
          <w:shd w:val="clear" w:color="auto" w:fill="FFFFFF"/>
          <w:lang w:val="en-US"/>
        </w:rPr>
        <w:t xml:space="preserve"> </w:t>
      </w:r>
      <w:r w:rsidRPr="00794E86">
        <w:rPr>
          <w:color w:val="000000"/>
          <w:sz w:val="20"/>
          <w:szCs w:val="20"/>
          <w:lang w:val="en-US"/>
        </w:rPr>
        <w:t>Ontological security and psycho-social benefits from the home: Qualitative evidence on issues of tenure</w:t>
      </w:r>
      <w:r>
        <w:rPr>
          <w:color w:val="000000"/>
          <w:sz w:val="20"/>
          <w:szCs w:val="20"/>
          <w:lang w:val="en-US"/>
        </w:rPr>
        <w:t xml:space="preserve"> </w:t>
      </w:r>
      <w:r w:rsidRPr="00216301">
        <w:rPr>
          <w:color w:val="000000"/>
          <w:sz w:val="20"/>
          <w:szCs w:val="20"/>
          <w:shd w:val="clear" w:color="auto" w:fill="FFFFFF"/>
          <w:lang w:val="en-US"/>
        </w:rPr>
        <w:t>»</w:t>
      </w:r>
      <w:r>
        <w:rPr>
          <w:color w:val="000000"/>
          <w:sz w:val="20"/>
          <w:szCs w:val="20"/>
          <w:shd w:val="clear" w:color="auto" w:fill="FFFFFF"/>
          <w:lang w:val="en-US"/>
        </w:rPr>
        <w:t>,</w:t>
      </w:r>
      <w:r w:rsidRPr="00794E86">
        <w:rPr>
          <w:color w:val="000000"/>
          <w:sz w:val="20"/>
          <w:szCs w:val="20"/>
          <w:lang w:val="en-US"/>
        </w:rPr>
        <w:t xml:space="preserve"> </w:t>
      </w:r>
      <w:r w:rsidRPr="00794E86">
        <w:rPr>
          <w:i/>
          <w:color w:val="000000"/>
          <w:sz w:val="20"/>
          <w:szCs w:val="20"/>
          <w:lang w:val="en-US"/>
        </w:rPr>
        <w:t>Housing, theory and society</w:t>
      </w:r>
      <w:r w:rsidRPr="00794E86">
        <w:rPr>
          <w:color w:val="000000"/>
          <w:sz w:val="20"/>
          <w:szCs w:val="20"/>
          <w:lang w:val="en-US"/>
        </w:rPr>
        <w:t>, 18(1-2), 50-66.</w:t>
      </w:r>
    </w:p>
    <w:p w:rsidR="005E2D6E" w:rsidRPr="006D2625" w:rsidRDefault="005E2D6E" w:rsidP="005E2D6E">
      <w:pPr>
        <w:pStyle w:val="NormalWeb"/>
        <w:numPr>
          <w:ilvl w:val="0"/>
          <w:numId w:val="1"/>
        </w:numPr>
        <w:spacing w:after="0" w:line="276" w:lineRule="auto"/>
        <w:jc w:val="both"/>
        <w:textAlignment w:val="baseline"/>
        <w:rPr>
          <w:color w:val="000000"/>
          <w:sz w:val="20"/>
          <w:szCs w:val="20"/>
          <w:lang w:val="en-US"/>
        </w:rPr>
      </w:pPr>
      <w:r w:rsidRPr="006D2625">
        <w:rPr>
          <w:color w:val="000000"/>
          <w:sz w:val="20"/>
          <w:szCs w:val="20"/>
          <w:lang w:val="en-US"/>
        </w:rPr>
        <w:lastRenderedPageBreak/>
        <w:t xml:space="preserve">HISCOCK, R., MACINTYRE, S., KEARNS, A., ELLAWAY, A., 2003,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color w:val="000000"/>
          <w:sz w:val="20"/>
          <w:szCs w:val="20"/>
          <w:lang w:val="en-US"/>
        </w:rPr>
        <w:t>Residents and residence: factors predicting the health disadvantage of social renters compared to owner‐occupiers</w:t>
      </w:r>
      <w:r>
        <w:rPr>
          <w:color w:val="000000"/>
          <w:sz w:val="20"/>
          <w:szCs w:val="20"/>
          <w:lang w:val="en-US"/>
        </w:rPr>
        <w:t xml:space="preserve"> </w:t>
      </w:r>
      <w:r w:rsidRPr="003E5932">
        <w:rPr>
          <w:color w:val="000000"/>
          <w:sz w:val="20"/>
          <w:szCs w:val="20"/>
          <w:lang w:val="en-US"/>
        </w:rPr>
        <w:t>»</w:t>
      </w:r>
      <w:r w:rsidRPr="006D2625">
        <w:rPr>
          <w:color w:val="000000"/>
          <w:sz w:val="20"/>
          <w:szCs w:val="20"/>
          <w:lang w:val="en-US"/>
        </w:rPr>
        <w:t>. Journal of Social Issues 59(3), pp. 527-546.</w:t>
      </w:r>
    </w:p>
    <w:p w:rsidR="005E2D6E" w:rsidRPr="002A6534"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eastAsia="fr-BE"/>
        </w:rPr>
      </w:pPr>
      <w:bookmarkStart w:id="10" w:name="_Hlk22748647"/>
      <w:bookmarkEnd w:id="9"/>
      <w:r w:rsidRPr="00F57A65">
        <w:rPr>
          <w:rFonts w:ascii="Times New Roman" w:eastAsia="Times New Roman" w:hAnsi="Times New Roman" w:cs="Times New Roman"/>
          <w:color w:val="000000"/>
          <w:sz w:val="20"/>
          <w:szCs w:val="20"/>
          <w:lang w:eastAsia="fr-BE"/>
        </w:rPr>
        <w:t>JUSOT, F.</w:t>
      </w:r>
      <w:r>
        <w:rPr>
          <w:rFonts w:ascii="Times New Roman" w:eastAsia="Times New Roman" w:hAnsi="Times New Roman" w:cs="Times New Roman"/>
          <w:color w:val="000000"/>
          <w:sz w:val="20"/>
          <w:szCs w:val="20"/>
          <w:lang w:eastAsia="fr-BE"/>
        </w:rPr>
        <w:t xml:space="preserve">, </w:t>
      </w:r>
      <w:r w:rsidRPr="00F57A65">
        <w:rPr>
          <w:rFonts w:ascii="Times New Roman" w:eastAsia="Times New Roman" w:hAnsi="Times New Roman" w:cs="Times New Roman"/>
          <w:color w:val="000000"/>
          <w:sz w:val="20"/>
          <w:szCs w:val="20"/>
          <w:lang w:eastAsia="fr-BE"/>
        </w:rPr>
        <w:t>2010</w:t>
      </w:r>
      <w:r>
        <w:rPr>
          <w:rFonts w:ascii="Times New Roman" w:eastAsia="Times New Roman" w:hAnsi="Times New Roman" w:cs="Times New Roman"/>
          <w:color w:val="000000"/>
          <w:sz w:val="20"/>
          <w:szCs w:val="20"/>
          <w:lang w:eastAsia="fr-BE"/>
        </w:rPr>
        <w:t>,</w:t>
      </w:r>
      <w:r w:rsidRPr="00F57A65">
        <w:rPr>
          <w:rFonts w:ascii="Times New Roman" w:eastAsia="Times New Roman" w:hAnsi="Times New Roman" w:cs="Times New Roman"/>
          <w:color w:val="000000"/>
          <w:sz w:val="20"/>
          <w:szCs w:val="20"/>
          <w:lang w:eastAsia="fr-BE"/>
        </w:rPr>
        <w:t xml:space="preserve"> </w:t>
      </w:r>
      <w:r>
        <w:rPr>
          <w:rFonts w:ascii="Times New Roman" w:eastAsia="Times New Roman" w:hAnsi="Times New Roman" w:cs="Times New Roman"/>
          <w:color w:val="000000"/>
          <w:sz w:val="20"/>
          <w:szCs w:val="20"/>
          <w:lang w:eastAsia="fr-BE"/>
        </w:rPr>
        <w:t>« </w:t>
      </w:r>
      <w:r w:rsidRPr="00F57A65">
        <w:rPr>
          <w:rFonts w:ascii="Times New Roman" w:eastAsia="Times New Roman" w:hAnsi="Times New Roman" w:cs="Times New Roman"/>
          <w:color w:val="000000"/>
          <w:sz w:val="20"/>
          <w:szCs w:val="20"/>
          <w:lang w:eastAsia="fr-BE"/>
        </w:rPr>
        <w:t>Les interventions de réduction des inégalités sociales de santé en Europe</w:t>
      </w:r>
      <w:r>
        <w:rPr>
          <w:rFonts w:ascii="Times New Roman" w:eastAsia="Times New Roman" w:hAnsi="Times New Roman" w:cs="Times New Roman"/>
          <w:color w:val="000000"/>
          <w:sz w:val="20"/>
          <w:szCs w:val="20"/>
          <w:lang w:eastAsia="fr-BE"/>
        </w:rPr>
        <w:t> » (« Interventions to reduce social inequalities in health in Europe »)</w:t>
      </w:r>
      <w:r w:rsidRPr="00F57A65">
        <w:rPr>
          <w:rFonts w:ascii="Times New Roman" w:eastAsia="Times New Roman" w:hAnsi="Times New Roman" w:cs="Times New Roman"/>
          <w:color w:val="000000"/>
          <w:sz w:val="20"/>
          <w:szCs w:val="20"/>
          <w:lang w:eastAsia="fr-BE"/>
        </w:rPr>
        <w:t xml:space="preserve">. </w:t>
      </w:r>
      <w:r w:rsidRPr="002A6534">
        <w:rPr>
          <w:rFonts w:ascii="Times New Roman" w:eastAsia="Times New Roman" w:hAnsi="Times New Roman" w:cs="Times New Roman"/>
          <w:i/>
          <w:color w:val="000000"/>
          <w:sz w:val="20"/>
          <w:szCs w:val="20"/>
          <w:lang w:eastAsia="fr-BE"/>
        </w:rPr>
        <w:t>Réduire les inégalités sociales en santé</w:t>
      </w:r>
      <w:r w:rsidRPr="002A6534">
        <w:rPr>
          <w:rFonts w:ascii="Times New Roman" w:eastAsia="Times New Roman" w:hAnsi="Times New Roman" w:cs="Times New Roman"/>
          <w:color w:val="000000"/>
          <w:sz w:val="20"/>
          <w:szCs w:val="20"/>
          <w:lang w:eastAsia="fr-BE"/>
        </w:rPr>
        <w:t>. Paris : INPES, pp. 73-88.</w:t>
      </w:r>
    </w:p>
    <w:bookmarkEnd w:id="10"/>
    <w:p w:rsidR="005E2D6E" w:rsidRPr="006D2625" w:rsidRDefault="005E2D6E" w:rsidP="005E2D6E">
      <w:pPr>
        <w:numPr>
          <w:ilvl w:val="0"/>
          <w:numId w:val="1"/>
        </w:numPr>
        <w:spacing w:after="0" w:line="276" w:lineRule="auto"/>
        <w:jc w:val="both"/>
        <w:textAlignment w:val="baseline"/>
        <w:rPr>
          <w:rFonts w:ascii="Times New Roman" w:eastAsia="Times New Roman" w:hAnsi="Times New Roman" w:cs="Times New Roman"/>
          <w:color w:val="000000"/>
          <w:sz w:val="20"/>
          <w:szCs w:val="20"/>
          <w:lang w:val="en-US" w:eastAsia="fr-BE"/>
        </w:rPr>
      </w:pPr>
      <w:r w:rsidRPr="006D2625">
        <w:rPr>
          <w:rFonts w:ascii="Times New Roman" w:eastAsia="Times New Roman" w:hAnsi="Times New Roman" w:cs="Times New Roman"/>
          <w:color w:val="000000"/>
          <w:sz w:val="20"/>
          <w:szCs w:val="20"/>
          <w:shd w:val="clear" w:color="auto" w:fill="FFFFFF"/>
          <w:lang w:val="en-US" w:eastAsia="fr-BE"/>
        </w:rPr>
        <w:t xml:space="preserve">KRIEGER, J., HIGGINS, D. L., 2002, </w:t>
      </w:r>
      <w:r w:rsidRPr="003E5932">
        <w:rPr>
          <w:color w:val="000000"/>
          <w:sz w:val="20"/>
          <w:szCs w:val="20"/>
          <w:shd w:val="clear" w:color="auto" w:fill="FFFFFF"/>
          <w:lang w:val="en-US"/>
        </w:rPr>
        <w:t>«</w:t>
      </w:r>
      <w:r>
        <w:rPr>
          <w:color w:val="000000"/>
          <w:sz w:val="20"/>
          <w:szCs w:val="20"/>
          <w:shd w:val="clear" w:color="auto" w:fill="FFFFFF"/>
          <w:lang w:val="en-US"/>
        </w:rPr>
        <w:t xml:space="preserve"> </w:t>
      </w:r>
      <w:r w:rsidRPr="006D2625">
        <w:rPr>
          <w:rFonts w:ascii="Times New Roman" w:eastAsia="Times New Roman" w:hAnsi="Times New Roman" w:cs="Times New Roman"/>
          <w:color w:val="000000"/>
          <w:sz w:val="20"/>
          <w:szCs w:val="20"/>
          <w:shd w:val="clear" w:color="auto" w:fill="FFFFFF"/>
          <w:lang w:val="en-US" w:eastAsia="fr-BE"/>
        </w:rPr>
        <w:t>Housing and health: time again for public health action</w:t>
      </w:r>
      <w:r>
        <w:rPr>
          <w:rFonts w:ascii="Times New Roman" w:eastAsia="Times New Roman" w:hAnsi="Times New Roman" w:cs="Times New Roman"/>
          <w:color w:val="000000"/>
          <w:sz w:val="20"/>
          <w:szCs w:val="20"/>
          <w:shd w:val="clear" w:color="auto" w:fill="FFFFFF"/>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shd w:val="clear" w:color="auto" w:fill="FFFFFF"/>
          <w:lang w:val="en-US" w:eastAsia="fr-BE"/>
        </w:rPr>
        <w:t xml:space="preserve">. </w:t>
      </w:r>
      <w:r w:rsidRPr="006D2625">
        <w:rPr>
          <w:rFonts w:ascii="Times New Roman" w:eastAsia="Times New Roman" w:hAnsi="Times New Roman" w:cs="Times New Roman"/>
          <w:i/>
          <w:iCs/>
          <w:color w:val="000000"/>
          <w:sz w:val="20"/>
          <w:szCs w:val="20"/>
          <w:shd w:val="clear" w:color="auto" w:fill="FFFFFF"/>
          <w:lang w:val="en-US" w:eastAsia="fr-BE"/>
        </w:rPr>
        <w:t xml:space="preserve">American journal of public health </w:t>
      </w:r>
      <w:r w:rsidRPr="006D2625">
        <w:rPr>
          <w:rFonts w:ascii="Times New Roman" w:eastAsia="Times New Roman" w:hAnsi="Times New Roman" w:cs="Times New Roman"/>
          <w:color w:val="000000"/>
          <w:sz w:val="20"/>
          <w:szCs w:val="20"/>
          <w:shd w:val="clear" w:color="auto" w:fill="FFFFFF"/>
          <w:lang w:val="en-US" w:eastAsia="fr-BE"/>
        </w:rPr>
        <w:t>92(5), pp. 758–768.</w:t>
      </w:r>
    </w:p>
    <w:p w:rsidR="005E2D6E" w:rsidRPr="00216301"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u w:val="single"/>
          <w:lang w:val="en-US"/>
        </w:rPr>
      </w:pPr>
      <w:r w:rsidRPr="00216301">
        <w:rPr>
          <w:color w:val="000000"/>
          <w:sz w:val="20"/>
          <w:szCs w:val="20"/>
          <w:lang w:val="en-US"/>
        </w:rPr>
        <w:t xml:space="preserve">LAHAYE, W., PANNECOUCKE, I., VRANCKEN, J., &amp; VAN ROSSEM, R., 2013, </w:t>
      </w:r>
      <w:r w:rsidRPr="00216301">
        <w:rPr>
          <w:i/>
          <w:color w:val="000000"/>
          <w:sz w:val="20"/>
          <w:szCs w:val="20"/>
          <w:lang w:val="en-US"/>
        </w:rPr>
        <w:t>Belgian yearbook on poverty in Belgium 2013</w:t>
      </w:r>
      <w:r w:rsidRPr="00216301">
        <w:rPr>
          <w:color w:val="000000"/>
          <w:sz w:val="20"/>
          <w:szCs w:val="20"/>
          <w:lang w:val="en-US"/>
        </w:rPr>
        <w:t xml:space="preserve">. Acco: Leuven/Den Haag. </w:t>
      </w:r>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u w:val="single"/>
        </w:rPr>
      </w:pPr>
      <w:r w:rsidRPr="006D2625">
        <w:rPr>
          <w:color w:val="000000"/>
          <w:sz w:val="20"/>
          <w:szCs w:val="20"/>
        </w:rPr>
        <w:t xml:space="preserve">LAWRENCE R., 1998, « Habitat, écologie, santé et bien-être ». In : Segaud, M., Bonvalet, C., Brun, J. </w:t>
      </w:r>
      <w:r w:rsidRPr="006D2625">
        <w:rPr>
          <w:i/>
          <w:iCs/>
          <w:color w:val="000000"/>
          <w:sz w:val="20"/>
          <w:szCs w:val="20"/>
        </w:rPr>
        <w:t>Logement et habitat: l’état des savoirs</w:t>
      </w:r>
      <w:r w:rsidRPr="006D2625">
        <w:rPr>
          <w:color w:val="000000"/>
          <w:sz w:val="20"/>
          <w:szCs w:val="20"/>
        </w:rPr>
        <w:t>. La découverte. 420 p.</w:t>
      </w:r>
    </w:p>
    <w:p w:rsidR="005E2D6E"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lang w:val="en-US"/>
        </w:rPr>
      </w:pPr>
      <w:r w:rsidRPr="006D2625">
        <w:rPr>
          <w:color w:val="000000"/>
          <w:sz w:val="20"/>
          <w:szCs w:val="20"/>
          <w:lang w:val="en-US"/>
        </w:rPr>
        <w:t xml:space="preserve">MACKENBACH, J. P., 2012, </w:t>
      </w:r>
      <w:r w:rsidRPr="003E5932">
        <w:rPr>
          <w:color w:val="000000"/>
          <w:sz w:val="20"/>
          <w:szCs w:val="20"/>
          <w:lang w:val="en-US"/>
        </w:rPr>
        <w:t>«</w:t>
      </w:r>
      <w:r>
        <w:rPr>
          <w:color w:val="000000"/>
          <w:sz w:val="20"/>
          <w:szCs w:val="20"/>
          <w:lang w:val="en-US"/>
        </w:rPr>
        <w:t xml:space="preserve"> </w:t>
      </w:r>
      <w:r w:rsidRPr="006D2625">
        <w:rPr>
          <w:color w:val="000000"/>
          <w:sz w:val="20"/>
          <w:szCs w:val="20"/>
          <w:lang w:val="en-US"/>
        </w:rPr>
        <w:t>The persistence of health inequalities in modern welfare states: the explanation of a paradox</w:t>
      </w:r>
      <w:r>
        <w:rPr>
          <w:color w:val="000000"/>
          <w:sz w:val="20"/>
          <w:szCs w:val="20"/>
          <w:lang w:val="en-US"/>
        </w:rPr>
        <w:t xml:space="preserve"> </w:t>
      </w:r>
      <w:r w:rsidRPr="003E5932">
        <w:rPr>
          <w:color w:val="000000"/>
          <w:sz w:val="20"/>
          <w:szCs w:val="20"/>
          <w:lang w:val="en-US"/>
        </w:rPr>
        <w:t>»</w:t>
      </w:r>
      <w:r w:rsidRPr="006D2625">
        <w:rPr>
          <w:color w:val="000000"/>
          <w:sz w:val="20"/>
          <w:szCs w:val="20"/>
          <w:lang w:val="en-US"/>
        </w:rPr>
        <w:t xml:space="preserve">. </w:t>
      </w:r>
      <w:r w:rsidRPr="003E5932">
        <w:rPr>
          <w:i/>
          <w:color w:val="000000"/>
          <w:sz w:val="20"/>
          <w:szCs w:val="20"/>
          <w:lang w:val="en-US"/>
        </w:rPr>
        <w:t>Social science &amp; medicine</w:t>
      </w:r>
      <w:r w:rsidRPr="003E5932">
        <w:rPr>
          <w:color w:val="000000"/>
          <w:sz w:val="20"/>
          <w:szCs w:val="20"/>
          <w:lang w:val="en-US"/>
        </w:rPr>
        <w:t xml:space="preserve"> 75(4), pp. 761-769. </w:t>
      </w:r>
    </w:p>
    <w:p w:rsidR="005E2D6E" w:rsidRPr="003E5932"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lang w:val="en-US"/>
        </w:rPr>
      </w:pPr>
      <w:r w:rsidRPr="00794E86">
        <w:rPr>
          <w:color w:val="000000"/>
          <w:sz w:val="20"/>
          <w:szCs w:val="20"/>
          <w:lang w:val="en-US"/>
        </w:rPr>
        <w:t>M</w:t>
      </w:r>
      <w:r>
        <w:rPr>
          <w:color w:val="000000"/>
          <w:sz w:val="20"/>
          <w:szCs w:val="20"/>
          <w:lang w:val="en-US"/>
        </w:rPr>
        <w:t>ACINTYRE</w:t>
      </w:r>
      <w:r w:rsidRPr="00794E86">
        <w:rPr>
          <w:color w:val="000000"/>
          <w:sz w:val="20"/>
          <w:szCs w:val="20"/>
          <w:lang w:val="en-US"/>
        </w:rPr>
        <w:t>, S., E</w:t>
      </w:r>
      <w:r>
        <w:rPr>
          <w:color w:val="000000"/>
          <w:sz w:val="20"/>
          <w:szCs w:val="20"/>
          <w:lang w:val="en-US"/>
        </w:rPr>
        <w:t>LLAWAY</w:t>
      </w:r>
      <w:r w:rsidRPr="00794E86">
        <w:rPr>
          <w:color w:val="000000"/>
          <w:sz w:val="20"/>
          <w:szCs w:val="20"/>
          <w:lang w:val="en-US"/>
        </w:rPr>
        <w:t>, A., D</w:t>
      </w:r>
      <w:r>
        <w:rPr>
          <w:color w:val="000000"/>
          <w:sz w:val="20"/>
          <w:szCs w:val="20"/>
          <w:lang w:val="en-US"/>
        </w:rPr>
        <w:t>ER</w:t>
      </w:r>
      <w:r w:rsidRPr="00794E86">
        <w:rPr>
          <w:color w:val="000000"/>
          <w:sz w:val="20"/>
          <w:szCs w:val="20"/>
          <w:lang w:val="en-US"/>
        </w:rPr>
        <w:t>, G., F</w:t>
      </w:r>
      <w:r>
        <w:rPr>
          <w:color w:val="000000"/>
          <w:sz w:val="20"/>
          <w:szCs w:val="20"/>
          <w:lang w:val="en-US"/>
        </w:rPr>
        <w:t>ORD</w:t>
      </w:r>
      <w:r w:rsidRPr="00794E86">
        <w:rPr>
          <w:color w:val="000000"/>
          <w:sz w:val="20"/>
          <w:szCs w:val="20"/>
          <w:lang w:val="en-US"/>
        </w:rPr>
        <w:t>, G., &amp; H</w:t>
      </w:r>
      <w:r>
        <w:rPr>
          <w:color w:val="000000"/>
          <w:sz w:val="20"/>
          <w:szCs w:val="20"/>
          <w:lang w:val="en-US"/>
        </w:rPr>
        <w:t>UNT</w:t>
      </w:r>
      <w:r w:rsidRPr="00794E86">
        <w:rPr>
          <w:color w:val="000000"/>
          <w:sz w:val="20"/>
          <w:szCs w:val="20"/>
          <w:lang w:val="en-US"/>
        </w:rPr>
        <w:t>, K.</w:t>
      </w:r>
      <w:r>
        <w:rPr>
          <w:color w:val="000000"/>
          <w:sz w:val="20"/>
          <w:szCs w:val="20"/>
          <w:lang w:val="en-US"/>
        </w:rPr>
        <w:t xml:space="preserve">, </w:t>
      </w:r>
      <w:r w:rsidRPr="00794E86">
        <w:rPr>
          <w:color w:val="000000"/>
          <w:sz w:val="20"/>
          <w:szCs w:val="20"/>
          <w:lang w:val="en-US"/>
        </w:rPr>
        <w:t>1998</w:t>
      </w:r>
      <w:r>
        <w:rPr>
          <w:color w:val="000000"/>
          <w:sz w:val="20"/>
          <w:szCs w:val="20"/>
          <w:lang w:val="en-US"/>
        </w:rPr>
        <w:t>,</w:t>
      </w:r>
      <w:r w:rsidRPr="00794E86">
        <w:rPr>
          <w:color w:val="000000"/>
          <w:sz w:val="20"/>
          <w:szCs w:val="20"/>
          <w:lang w:val="en-US"/>
        </w:rPr>
        <w:t xml:space="preserve"> </w:t>
      </w:r>
      <w:r w:rsidRPr="003E5932">
        <w:rPr>
          <w:color w:val="000000"/>
          <w:sz w:val="20"/>
          <w:szCs w:val="20"/>
          <w:lang w:val="en-US"/>
        </w:rPr>
        <w:t>«</w:t>
      </w:r>
      <w:r>
        <w:rPr>
          <w:color w:val="000000"/>
          <w:sz w:val="20"/>
          <w:szCs w:val="20"/>
          <w:lang w:val="en-US"/>
        </w:rPr>
        <w:t xml:space="preserve"> </w:t>
      </w:r>
      <w:r w:rsidRPr="00794E86">
        <w:rPr>
          <w:color w:val="000000"/>
          <w:sz w:val="20"/>
          <w:szCs w:val="20"/>
          <w:lang w:val="en-US"/>
        </w:rPr>
        <w:t>Do housing tenure and car access predict health because they are simply markers of income or self</w:t>
      </w:r>
      <w:r>
        <w:rPr>
          <w:color w:val="000000"/>
          <w:sz w:val="20"/>
          <w:szCs w:val="20"/>
          <w:lang w:val="en-US"/>
        </w:rPr>
        <w:t>-</w:t>
      </w:r>
      <w:r w:rsidRPr="00794E86">
        <w:rPr>
          <w:color w:val="000000"/>
          <w:sz w:val="20"/>
          <w:szCs w:val="20"/>
          <w:lang w:val="en-US"/>
        </w:rPr>
        <w:t>esteem?</w:t>
      </w:r>
      <w:r>
        <w:rPr>
          <w:color w:val="000000"/>
          <w:sz w:val="20"/>
          <w:szCs w:val="20"/>
          <w:lang w:val="en-US"/>
        </w:rPr>
        <w:t xml:space="preserve"> </w:t>
      </w:r>
      <w:r w:rsidRPr="00794E86">
        <w:rPr>
          <w:color w:val="000000"/>
          <w:sz w:val="20"/>
          <w:szCs w:val="20"/>
          <w:lang w:val="en-US"/>
        </w:rPr>
        <w:t>A Scottish study</w:t>
      </w:r>
      <w:r>
        <w:rPr>
          <w:color w:val="000000"/>
          <w:sz w:val="20"/>
          <w:szCs w:val="20"/>
          <w:lang w:val="en-US"/>
        </w:rPr>
        <w:t xml:space="preserve"> </w:t>
      </w:r>
      <w:r w:rsidRPr="003E5932">
        <w:rPr>
          <w:color w:val="000000"/>
          <w:sz w:val="20"/>
          <w:szCs w:val="20"/>
          <w:lang w:val="en-US"/>
        </w:rPr>
        <w:t>»</w:t>
      </w:r>
      <w:r w:rsidRPr="00794E86">
        <w:rPr>
          <w:color w:val="000000"/>
          <w:sz w:val="20"/>
          <w:szCs w:val="20"/>
          <w:lang w:val="en-US"/>
        </w:rPr>
        <w:t xml:space="preserve">. </w:t>
      </w:r>
      <w:r w:rsidRPr="00794E86">
        <w:rPr>
          <w:i/>
          <w:color w:val="000000"/>
          <w:sz w:val="20"/>
          <w:szCs w:val="20"/>
          <w:lang w:val="en-US"/>
        </w:rPr>
        <w:t>Journal of Epidemiology &amp; Community Health</w:t>
      </w:r>
      <w:r w:rsidRPr="00794E86">
        <w:rPr>
          <w:color w:val="000000"/>
          <w:sz w:val="20"/>
          <w:szCs w:val="20"/>
          <w:lang w:val="en-US"/>
        </w:rPr>
        <w:t>, 52(10), 657-664.</w:t>
      </w:r>
    </w:p>
    <w:p w:rsidR="005E2D6E" w:rsidRPr="00566789"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rPr>
      </w:pPr>
      <w:r w:rsidRPr="003E5932">
        <w:rPr>
          <w:color w:val="000000"/>
          <w:sz w:val="20"/>
          <w:szCs w:val="20"/>
          <w:lang w:val="en-US"/>
        </w:rPr>
        <w:t>MESLÉ F., VALLIN J., 2002, « The health transitions : Trends and Prospects ». In : Caselli G., Vallin J., Wunsch G. (dir)</w:t>
      </w:r>
      <w:r w:rsidRPr="00646A9A">
        <w:rPr>
          <w:sz w:val="20"/>
          <w:lang w:val="en-US"/>
        </w:rPr>
        <w:t xml:space="preserve"> </w:t>
      </w:r>
      <w:r w:rsidRPr="00646A9A">
        <w:rPr>
          <w:i/>
          <w:sz w:val="20"/>
          <w:lang w:val="en-US"/>
        </w:rPr>
        <w:t>Demography: analysis and synthesis,</w:t>
      </w:r>
      <w:r w:rsidRPr="00646A9A">
        <w:rPr>
          <w:sz w:val="20"/>
          <w:lang w:val="en-US"/>
        </w:rPr>
        <w:t xml:space="preserve"> 3</w:t>
      </w:r>
      <w:r w:rsidRPr="003E5932">
        <w:rPr>
          <w:color w:val="000000"/>
          <w:sz w:val="20"/>
          <w:szCs w:val="20"/>
          <w:lang w:val="en-US"/>
        </w:rPr>
        <w:t xml:space="preserve">. </w:t>
      </w:r>
      <w:r w:rsidRPr="00524DE3">
        <w:rPr>
          <w:color w:val="000000"/>
          <w:sz w:val="20"/>
          <w:szCs w:val="20"/>
        </w:rPr>
        <w:t xml:space="preserve">Paris, Editions de l’INED, </w:t>
      </w:r>
      <w:r>
        <w:rPr>
          <w:color w:val="000000"/>
          <w:sz w:val="20"/>
          <w:szCs w:val="20"/>
        </w:rPr>
        <w:t xml:space="preserve">pp. </w:t>
      </w:r>
      <w:r w:rsidRPr="00524DE3">
        <w:rPr>
          <w:color w:val="000000"/>
          <w:sz w:val="20"/>
          <w:szCs w:val="20"/>
        </w:rPr>
        <w:t>439-461.</w:t>
      </w:r>
    </w:p>
    <w:p w:rsidR="005E2D6E" w:rsidRPr="00CD5293" w:rsidRDefault="005E2D6E" w:rsidP="005E2D6E">
      <w:pPr>
        <w:pStyle w:val="NormalWeb"/>
        <w:numPr>
          <w:ilvl w:val="0"/>
          <w:numId w:val="1"/>
        </w:numPr>
        <w:spacing w:after="0" w:line="276" w:lineRule="auto"/>
        <w:jc w:val="both"/>
        <w:textAlignment w:val="baseline"/>
        <w:rPr>
          <w:color w:val="000000"/>
          <w:sz w:val="20"/>
          <w:szCs w:val="20"/>
          <w:u w:val="single"/>
          <w:lang w:val="en-US"/>
        </w:rPr>
      </w:pPr>
      <w:r w:rsidRPr="006D2625">
        <w:rPr>
          <w:color w:val="000000"/>
          <w:sz w:val="20"/>
          <w:szCs w:val="20"/>
        </w:rPr>
        <w:t>MESRINE, A., 2000, « La surmortalité des chômeurs: un effet catalyseur du chômage? »</w:t>
      </w:r>
      <w:r>
        <w:rPr>
          <w:color w:val="000000"/>
          <w:sz w:val="20"/>
          <w:szCs w:val="20"/>
        </w:rPr>
        <w:t xml:space="preserve"> </w:t>
      </w:r>
      <w:r w:rsidRPr="00CD5293">
        <w:rPr>
          <w:color w:val="000000"/>
          <w:sz w:val="20"/>
          <w:szCs w:val="20"/>
          <w:lang w:val="en-US"/>
        </w:rPr>
        <w:t>(« Overmortality of the unemployed : a ca</w:t>
      </w:r>
      <w:r>
        <w:rPr>
          <w:color w:val="000000"/>
          <w:sz w:val="20"/>
          <w:szCs w:val="20"/>
          <w:lang w:val="en-US"/>
        </w:rPr>
        <w:t xml:space="preserve">talyst effect of unemployment? </w:t>
      </w:r>
      <w:r w:rsidRPr="00CD5293">
        <w:rPr>
          <w:color w:val="000000"/>
          <w:sz w:val="20"/>
          <w:szCs w:val="20"/>
          <w:lang w:val="en-US"/>
        </w:rPr>
        <w:t>»</w:t>
      </w:r>
      <w:r>
        <w:rPr>
          <w:color w:val="000000"/>
          <w:sz w:val="20"/>
          <w:szCs w:val="20"/>
          <w:lang w:val="en-US"/>
        </w:rPr>
        <w:t>)</w:t>
      </w:r>
      <w:r w:rsidRPr="00CD5293">
        <w:rPr>
          <w:color w:val="000000"/>
          <w:sz w:val="20"/>
          <w:szCs w:val="20"/>
          <w:lang w:val="en-US"/>
        </w:rPr>
        <w:t xml:space="preserve"> </w:t>
      </w:r>
      <w:r w:rsidRPr="00CD5293">
        <w:rPr>
          <w:i/>
          <w:color w:val="000000"/>
          <w:sz w:val="20"/>
          <w:szCs w:val="20"/>
          <w:lang w:val="en-US"/>
        </w:rPr>
        <w:t>Economie et statistique</w:t>
      </w:r>
      <w:r w:rsidRPr="00CD5293">
        <w:rPr>
          <w:color w:val="000000"/>
          <w:sz w:val="20"/>
          <w:szCs w:val="20"/>
          <w:lang w:val="en-US"/>
        </w:rPr>
        <w:t>,</w:t>
      </w:r>
      <w:r w:rsidRPr="00CD5293">
        <w:rPr>
          <w:color w:val="000000"/>
          <w:sz w:val="20"/>
          <w:szCs w:val="20"/>
          <w:u w:val="single"/>
          <w:lang w:val="en-US"/>
        </w:rPr>
        <w:t xml:space="preserve"> </w:t>
      </w:r>
      <w:r w:rsidRPr="00CD5293">
        <w:rPr>
          <w:color w:val="000000"/>
          <w:sz w:val="20"/>
          <w:szCs w:val="20"/>
          <w:lang w:val="en-US"/>
        </w:rPr>
        <w:t>334(1), pp. 33-48.</w:t>
      </w:r>
    </w:p>
    <w:p w:rsidR="005E2D6E" w:rsidRPr="006D2625" w:rsidRDefault="005E2D6E" w:rsidP="005E2D6E">
      <w:pPr>
        <w:pStyle w:val="NormalWeb"/>
        <w:numPr>
          <w:ilvl w:val="0"/>
          <w:numId w:val="1"/>
        </w:numPr>
        <w:spacing w:before="0" w:beforeAutospacing="0" w:after="0" w:afterAutospacing="0" w:line="276" w:lineRule="auto"/>
        <w:jc w:val="both"/>
        <w:textAlignment w:val="baseline"/>
        <w:rPr>
          <w:color w:val="000000"/>
          <w:sz w:val="20"/>
          <w:szCs w:val="20"/>
          <w:u w:val="single"/>
          <w:lang w:val="en-US"/>
        </w:rPr>
      </w:pPr>
      <w:r w:rsidRPr="006D2625">
        <w:rPr>
          <w:color w:val="000000"/>
          <w:sz w:val="20"/>
          <w:szCs w:val="20"/>
          <w:lang w:val="en-US"/>
        </w:rPr>
        <w:t xml:space="preserve">MULDER, C. H., &amp; LAUSTER, N. T., 2010, </w:t>
      </w:r>
      <w:r w:rsidRPr="003E5932">
        <w:rPr>
          <w:color w:val="000000"/>
          <w:sz w:val="20"/>
          <w:szCs w:val="20"/>
          <w:lang w:val="en-US"/>
        </w:rPr>
        <w:t>«</w:t>
      </w:r>
      <w:r>
        <w:rPr>
          <w:color w:val="000000"/>
          <w:sz w:val="20"/>
          <w:szCs w:val="20"/>
          <w:lang w:val="en-US"/>
        </w:rPr>
        <w:t xml:space="preserve"> </w:t>
      </w:r>
      <w:r w:rsidRPr="006D2625">
        <w:rPr>
          <w:color w:val="000000"/>
          <w:sz w:val="20"/>
          <w:szCs w:val="20"/>
          <w:lang w:val="en-US"/>
        </w:rPr>
        <w:t xml:space="preserve">Housing and family: An introduction”. </w:t>
      </w:r>
      <w:r w:rsidRPr="006D2625">
        <w:rPr>
          <w:i/>
          <w:iCs/>
          <w:color w:val="000000"/>
          <w:sz w:val="20"/>
          <w:szCs w:val="20"/>
          <w:lang w:val="en-US"/>
        </w:rPr>
        <w:t>Housing Studies</w:t>
      </w:r>
      <w:r w:rsidRPr="006D2625">
        <w:rPr>
          <w:color w:val="000000"/>
          <w:sz w:val="20"/>
          <w:szCs w:val="20"/>
          <w:lang w:val="en-US"/>
        </w:rPr>
        <w:t>, 25(4), pp. 433-440.</w:t>
      </w:r>
    </w:p>
    <w:p w:rsidR="005E2D6E" w:rsidRPr="006D2625" w:rsidRDefault="005E2D6E" w:rsidP="005E2D6E">
      <w:pPr>
        <w:pStyle w:val="Paragraphedeliste"/>
        <w:numPr>
          <w:ilvl w:val="0"/>
          <w:numId w:val="1"/>
        </w:numPr>
        <w:spacing w:line="276" w:lineRule="auto"/>
        <w:jc w:val="both"/>
        <w:rPr>
          <w:rFonts w:ascii="Times New Roman" w:hAnsi="Times New Roman" w:cs="Times New Roman"/>
          <w:sz w:val="20"/>
          <w:szCs w:val="20"/>
          <w:lang w:val="en-US"/>
        </w:rPr>
      </w:pPr>
      <w:r w:rsidRPr="006D2625">
        <w:rPr>
          <w:rFonts w:ascii="Times New Roman" w:eastAsia="Times New Roman" w:hAnsi="Times New Roman" w:cs="Times New Roman"/>
          <w:color w:val="000000"/>
          <w:sz w:val="20"/>
          <w:szCs w:val="20"/>
          <w:lang w:val="en-US" w:eastAsia="fr-BE"/>
        </w:rPr>
        <w:t xml:space="preserve">MUSTERD, S., &amp; VAN KEMPEN, R., 2009, </w:t>
      </w:r>
      <w:r w:rsidRPr="003E5932">
        <w:rPr>
          <w:color w:val="000000"/>
          <w:sz w:val="20"/>
          <w:szCs w:val="20"/>
          <w:lang w:val="en-US"/>
        </w:rPr>
        <w:t>«</w:t>
      </w:r>
      <w:r>
        <w:rPr>
          <w:color w:val="000000"/>
          <w:sz w:val="20"/>
          <w:szCs w:val="20"/>
          <w:lang w:val="en-US"/>
        </w:rPr>
        <w:t xml:space="preserve"> </w:t>
      </w:r>
      <w:r w:rsidRPr="006D2625">
        <w:rPr>
          <w:rFonts w:ascii="Times New Roman" w:eastAsia="Times New Roman" w:hAnsi="Times New Roman" w:cs="Times New Roman"/>
          <w:color w:val="000000"/>
          <w:sz w:val="20"/>
          <w:szCs w:val="20"/>
          <w:lang w:val="en-US" w:eastAsia="fr-BE"/>
        </w:rPr>
        <w:t>Segregation and housing of minority ethnic groups in Western European cities</w:t>
      </w:r>
      <w:r>
        <w:rPr>
          <w:rFonts w:ascii="Times New Roman" w:eastAsia="Times New Roman" w:hAnsi="Times New Roman" w:cs="Times New Roman"/>
          <w:color w:val="000000"/>
          <w:sz w:val="20"/>
          <w:szCs w:val="20"/>
          <w:lang w:val="en-US" w:eastAsia="fr-BE"/>
        </w:rPr>
        <w:t xml:space="preserve"> </w:t>
      </w:r>
      <w:r w:rsidRPr="003E5932">
        <w:rPr>
          <w:color w:val="000000"/>
          <w:sz w:val="20"/>
          <w:szCs w:val="20"/>
          <w:lang w:val="en-US"/>
        </w:rPr>
        <w:t>»</w:t>
      </w:r>
      <w:r w:rsidRPr="006D2625">
        <w:rPr>
          <w:rFonts w:ascii="Times New Roman" w:eastAsia="Times New Roman" w:hAnsi="Times New Roman" w:cs="Times New Roman"/>
          <w:color w:val="000000"/>
          <w:sz w:val="20"/>
          <w:szCs w:val="20"/>
          <w:lang w:val="en-US" w:eastAsia="fr-BE"/>
        </w:rPr>
        <w:t xml:space="preserve">. </w:t>
      </w:r>
      <w:r w:rsidRPr="006D2625">
        <w:rPr>
          <w:rFonts w:ascii="Times New Roman" w:eastAsia="Times New Roman" w:hAnsi="Times New Roman" w:cs="Times New Roman"/>
          <w:i/>
          <w:color w:val="000000"/>
          <w:sz w:val="20"/>
          <w:szCs w:val="20"/>
          <w:lang w:val="en-US" w:eastAsia="fr-BE"/>
        </w:rPr>
        <w:t>Tijdschrift voor economische en sociale geografie</w:t>
      </w:r>
      <w:r w:rsidRPr="006D2625">
        <w:rPr>
          <w:rFonts w:ascii="Times New Roman" w:eastAsia="Times New Roman" w:hAnsi="Times New Roman" w:cs="Times New Roman"/>
          <w:color w:val="000000"/>
          <w:sz w:val="20"/>
          <w:szCs w:val="20"/>
          <w:lang w:val="en-US" w:eastAsia="fr-BE"/>
        </w:rPr>
        <w:t xml:space="preserve"> 100(4), pp. 559-566</w:t>
      </w:r>
    </w:p>
    <w:p w:rsidR="005E2D6E" w:rsidRPr="006D2625" w:rsidRDefault="005E2D6E" w:rsidP="005E2D6E">
      <w:pPr>
        <w:pStyle w:val="Paragraphedeliste"/>
        <w:numPr>
          <w:ilvl w:val="0"/>
          <w:numId w:val="1"/>
        </w:numPr>
        <w:spacing w:line="276" w:lineRule="auto"/>
        <w:jc w:val="both"/>
        <w:rPr>
          <w:rFonts w:ascii="Times New Roman" w:hAnsi="Times New Roman" w:cs="Times New Roman"/>
          <w:sz w:val="20"/>
          <w:szCs w:val="20"/>
          <w:lang w:val="en-US"/>
        </w:rPr>
      </w:pPr>
      <w:r w:rsidRPr="006D2625">
        <w:rPr>
          <w:rFonts w:ascii="Times New Roman" w:hAnsi="Times New Roman" w:cs="Times New Roman"/>
          <w:color w:val="000000"/>
          <w:sz w:val="20"/>
          <w:szCs w:val="20"/>
          <w:lang w:val="en-US"/>
        </w:rPr>
        <w:t xml:space="preserve">PAINTER, G., LEE, K., 2009, </w:t>
      </w:r>
      <w:r w:rsidRPr="003E5932">
        <w:rPr>
          <w:color w:val="000000"/>
          <w:sz w:val="20"/>
          <w:szCs w:val="20"/>
          <w:lang w:val="en-US"/>
        </w:rPr>
        <w:t>«</w:t>
      </w:r>
      <w:r>
        <w:rPr>
          <w:color w:val="000000"/>
          <w:sz w:val="20"/>
          <w:szCs w:val="20"/>
          <w:lang w:val="en-US"/>
        </w:rPr>
        <w:t xml:space="preserve"> </w:t>
      </w:r>
      <w:r w:rsidRPr="006D2625">
        <w:rPr>
          <w:rFonts w:ascii="Times New Roman" w:hAnsi="Times New Roman" w:cs="Times New Roman"/>
          <w:color w:val="000000"/>
          <w:sz w:val="20"/>
          <w:szCs w:val="20"/>
          <w:lang w:val="en-US"/>
        </w:rPr>
        <w:t>Housing tenure transitions of older households: Life cycle, demographic, and familial factors</w:t>
      </w:r>
      <w:r>
        <w:rPr>
          <w:rFonts w:ascii="Times New Roman" w:hAnsi="Times New Roman" w:cs="Times New Roman"/>
          <w:color w:val="000000"/>
          <w:sz w:val="20"/>
          <w:szCs w:val="20"/>
          <w:lang w:val="en-US"/>
        </w:rPr>
        <w:t xml:space="preserve"> </w:t>
      </w:r>
      <w:r w:rsidRPr="003E5932">
        <w:rPr>
          <w:color w:val="000000"/>
          <w:sz w:val="20"/>
          <w:szCs w:val="20"/>
          <w:lang w:val="en-US"/>
        </w:rPr>
        <w:t>»</w:t>
      </w:r>
      <w:r w:rsidRPr="006D2625">
        <w:rPr>
          <w:rFonts w:ascii="Times New Roman" w:hAnsi="Times New Roman" w:cs="Times New Roman"/>
          <w:color w:val="000000"/>
          <w:sz w:val="20"/>
          <w:szCs w:val="20"/>
          <w:lang w:val="en-US"/>
        </w:rPr>
        <w:t xml:space="preserve">. </w:t>
      </w:r>
      <w:r w:rsidRPr="006D2625">
        <w:rPr>
          <w:rFonts w:ascii="Times New Roman" w:hAnsi="Times New Roman" w:cs="Times New Roman"/>
          <w:i/>
          <w:iCs/>
          <w:color w:val="000000"/>
          <w:sz w:val="20"/>
          <w:szCs w:val="20"/>
          <w:lang w:val="en-US"/>
        </w:rPr>
        <w:t>Regional Science and Urban Economics</w:t>
      </w:r>
      <w:r w:rsidRPr="006D2625">
        <w:rPr>
          <w:rFonts w:ascii="Times New Roman" w:hAnsi="Times New Roman" w:cs="Times New Roman"/>
          <w:color w:val="000000"/>
          <w:sz w:val="20"/>
          <w:szCs w:val="20"/>
          <w:lang w:val="en-US"/>
        </w:rPr>
        <w:t xml:space="preserve"> 39(6), pp. 749-760.</w:t>
      </w:r>
    </w:p>
    <w:p w:rsidR="005E2D6E" w:rsidRPr="006D2625" w:rsidRDefault="005E2D6E" w:rsidP="005E2D6E">
      <w:pPr>
        <w:pStyle w:val="Paragraphedeliste"/>
        <w:numPr>
          <w:ilvl w:val="0"/>
          <w:numId w:val="1"/>
        </w:numPr>
        <w:spacing w:line="276" w:lineRule="auto"/>
        <w:jc w:val="both"/>
        <w:rPr>
          <w:rFonts w:ascii="Times New Roman" w:hAnsi="Times New Roman" w:cs="Times New Roman"/>
          <w:sz w:val="20"/>
          <w:szCs w:val="20"/>
          <w:lang w:val="en-US"/>
        </w:rPr>
      </w:pPr>
      <w:r w:rsidRPr="006D2625">
        <w:rPr>
          <w:rFonts w:ascii="Times New Roman" w:hAnsi="Times New Roman" w:cs="Times New Roman"/>
          <w:sz w:val="20"/>
          <w:szCs w:val="20"/>
          <w:lang w:val="en-US"/>
        </w:rPr>
        <w:t xml:space="preserve">RAVESTEIJN, B., VAN KIPPERSLUIS, H., VAN DOORSLAER, E., 2013, </w:t>
      </w:r>
      <w:r w:rsidRPr="003E5932">
        <w:rPr>
          <w:color w:val="000000"/>
          <w:sz w:val="20"/>
          <w:szCs w:val="20"/>
          <w:lang w:val="en-US"/>
        </w:rPr>
        <w:t>«</w:t>
      </w:r>
      <w:r>
        <w:rPr>
          <w:color w:val="000000"/>
          <w:sz w:val="20"/>
          <w:szCs w:val="20"/>
          <w:lang w:val="en-US"/>
        </w:rPr>
        <w:t xml:space="preserve"> </w:t>
      </w:r>
      <w:r w:rsidRPr="006D2625">
        <w:rPr>
          <w:rFonts w:ascii="Times New Roman" w:hAnsi="Times New Roman" w:cs="Times New Roman"/>
          <w:sz w:val="20"/>
          <w:szCs w:val="20"/>
          <w:lang w:val="en-US"/>
        </w:rPr>
        <w:t>The contribution of occupation to health inequality</w:t>
      </w:r>
      <w:r>
        <w:rPr>
          <w:rFonts w:ascii="Times New Roman" w:hAnsi="Times New Roman" w:cs="Times New Roman"/>
          <w:sz w:val="20"/>
          <w:szCs w:val="20"/>
          <w:lang w:val="en-US"/>
        </w:rPr>
        <w:t xml:space="preserve"> </w:t>
      </w:r>
      <w:r w:rsidRPr="003E5932">
        <w:rPr>
          <w:color w:val="000000"/>
          <w:sz w:val="20"/>
          <w:szCs w:val="20"/>
          <w:lang w:val="en-US"/>
        </w:rPr>
        <w:t>»</w:t>
      </w:r>
      <w:r w:rsidRPr="006D2625">
        <w:rPr>
          <w:rFonts w:ascii="Times New Roman" w:hAnsi="Times New Roman" w:cs="Times New Roman"/>
          <w:sz w:val="20"/>
          <w:szCs w:val="20"/>
          <w:lang w:val="en-US"/>
        </w:rPr>
        <w:t xml:space="preserve">. </w:t>
      </w:r>
      <w:r w:rsidRPr="00BD4E72">
        <w:rPr>
          <w:rFonts w:ascii="Times New Roman" w:hAnsi="Times New Roman" w:cs="Times New Roman"/>
          <w:i/>
          <w:sz w:val="20"/>
          <w:szCs w:val="20"/>
          <w:lang w:val="en-US"/>
        </w:rPr>
        <w:t>Research on Economic Inequality</w:t>
      </w:r>
      <w:r w:rsidRPr="006D2625">
        <w:rPr>
          <w:rFonts w:ascii="Times New Roman" w:hAnsi="Times New Roman" w:cs="Times New Roman"/>
          <w:sz w:val="20"/>
          <w:szCs w:val="20"/>
          <w:lang w:val="en-US"/>
        </w:rPr>
        <w:t xml:space="preserve"> 21, pp.311–332.</w:t>
      </w:r>
    </w:p>
    <w:p w:rsidR="005E2D6E" w:rsidRPr="006D2625" w:rsidRDefault="005E2D6E" w:rsidP="005E2D6E">
      <w:pPr>
        <w:pStyle w:val="Paragraphedeliste"/>
        <w:numPr>
          <w:ilvl w:val="0"/>
          <w:numId w:val="1"/>
        </w:numPr>
        <w:spacing w:line="276" w:lineRule="auto"/>
        <w:jc w:val="both"/>
        <w:rPr>
          <w:rFonts w:ascii="Times New Roman" w:hAnsi="Times New Roman" w:cs="Times New Roman"/>
        </w:rPr>
      </w:pPr>
      <w:r w:rsidRPr="002A6534">
        <w:rPr>
          <w:rFonts w:ascii="Times New Roman" w:hAnsi="Times New Roman" w:cs="Times New Roman"/>
          <w:sz w:val="20"/>
        </w:rPr>
        <w:t xml:space="preserve">ROLLET, C., 2011, </w:t>
      </w:r>
      <w:r w:rsidRPr="002A6534">
        <w:rPr>
          <w:rFonts w:ascii="Times New Roman" w:hAnsi="Times New Roman" w:cs="Times New Roman"/>
          <w:i/>
          <w:sz w:val="20"/>
        </w:rPr>
        <w:t>Introduction à la démographie</w:t>
      </w:r>
      <w:r w:rsidRPr="002A6534">
        <w:rPr>
          <w:rFonts w:ascii="Times New Roman" w:hAnsi="Times New Roman" w:cs="Times New Roman"/>
          <w:sz w:val="20"/>
        </w:rPr>
        <w:t>. Armand Colin</w:t>
      </w:r>
      <w:r w:rsidRPr="006D2625">
        <w:rPr>
          <w:rFonts w:ascii="Times New Roman" w:hAnsi="Times New Roman" w:cs="Times New Roman"/>
        </w:rPr>
        <w:t>.</w:t>
      </w:r>
    </w:p>
    <w:p w:rsidR="005E2D6E" w:rsidRPr="000F7830" w:rsidRDefault="005E2D6E" w:rsidP="005E2D6E">
      <w:pPr>
        <w:pStyle w:val="Paragraphedeliste"/>
        <w:numPr>
          <w:ilvl w:val="0"/>
          <w:numId w:val="1"/>
        </w:numPr>
        <w:spacing w:line="276" w:lineRule="auto"/>
        <w:jc w:val="both"/>
        <w:rPr>
          <w:rFonts w:ascii="Times New Roman" w:hAnsi="Times New Roman" w:cs="Times New Roman"/>
          <w:sz w:val="20"/>
          <w:szCs w:val="20"/>
          <w:lang w:val="en-US"/>
        </w:rPr>
      </w:pPr>
      <w:r w:rsidRPr="006D2625">
        <w:rPr>
          <w:rFonts w:ascii="Times New Roman" w:hAnsi="Times New Roman" w:cs="Times New Roman"/>
          <w:color w:val="222222"/>
          <w:sz w:val="20"/>
          <w:szCs w:val="20"/>
          <w:shd w:val="clear" w:color="auto" w:fill="FFFFFF"/>
          <w:lang w:val="en-US"/>
        </w:rPr>
        <w:t xml:space="preserve">SHAW, M., 2004, </w:t>
      </w:r>
      <w:r w:rsidRPr="003E5932">
        <w:rPr>
          <w:color w:val="000000"/>
          <w:sz w:val="20"/>
          <w:szCs w:val="20"/>
          <w:lang w:val="en-US"/>
        </w:rPr>
        <w:t>«</w:t>
      </w:r>
      <w:r>
        <w:rPr>
          <w:color w:val="000000"/>
          <w:sz w:val="20"/>
          <w:szCs w:val="20"/>
          <w:lang w:val="en-US"/>
        </w:rPr>
        <w:t xml:space="preserve"> </w:t>
      </w:r>
      <w:r w:rsidRPr="006D2625">
        <w:rPr>
          <w:rFonts w:ascii="Times New Roman" w:hAnsi="Times New Roman" w:cs="Times New Roman"/>
          <w:color w:val="222222"/>
          <w:sz w:val="20"/>
          <w:szCs w:val="20"/>
          <w:shd w:val="clear" w:color="auto" w:fill="FFFFFF"/>
          <w:lang w:val="en-US"/>
        </w:rPr>
        <w:t>Housing and public health</w:t>
      </w:r>
      <w:r>
        <w:rPr>
          <w:rFonts w:ascii="Times New Roman" w:hAnsi="Times New Roman" w:cs="Times New Roman"/>
          <w:color w:val="222222"/>
          <w:sz w:val="20"/>
          <w:szCs w:val="20"/>
          <w:shd w:val="clear" w:color="auto" w:fill="FFFFFF"/>
          <w:lang w:val="en-US"/>
        </w:rPr>
        <w:t xml:space="preserve"> </w:t>
      </w:r>
      <w:r w:rsidRPr="003E5932">
        <w:rPr>
          <w:color w:val="000000"/>
          <w:sz w:val="20"/>
          <w:szCs w:val="20"/>
          <w:lang w:val="en-US"/>
        </w:rPr>
        <w:t>»</w:t>
      </w:r>
      <w:r w:rsidRPr="006D2625">
        <w:rPr>
          <w:rFonts w:ascii="Times New Roman" w:hAnsi="Times New Roman" w:cs="Times New Roman"/>
          <w:color w:val="222222"/>
          <w:sz w:val="20"/>
          <w:szCs w:val="20"/>
          <w:shd w:val="clear" w:color="auto" w:fill="FFFFFF"/>
          <w:lang w:val="en-US"/>
        </w:rPr>
        <w:t>. </w:t>
      </w:r>
      <w:r w:rsidRPr="006D2625">
        <w:rPr>
          <w:rFonts w:ascii="Times New Roman" w:hAnsi="Times New Roman" w:cs="Times New Roman"/>
          <w:i/>
          <w:iCs/>
          <w:color w:val="222222"/>
          <w:sz w:val="20"/>
          <w:szCs w:val="20"/>
          <w:shd w:val="clear" w:color="auto" w:fill="FFFFFF"/>
          <w:lang w:val="en-US"/>
        </w:rPr>
        <w:t>Annu. Rev. Public Health</w:t>
      </w:r>
      <w:r w:rsidRPr="006D2625">
        <w:rPr>
          <w:rFonts w:ascii="Times New Roman" w:hAnsi="Times New Roman" w:cs="Times New Roman"/>
          <w:color w:val="222222"/>
          <w:sz w:val="20"/>
          <w:szCs w:val="20"/>
          <w:shd w:val="clear" w:color="auto" w:fill="FFFFFF"/>
          <w:lang w:val="en-US"/>
        </w:rPr>
        <w:t xml:space="preserve"> </w:t>
      </w:r>
      <w:r w:rsidRPr="006D2625">
        <w:rPr>
          <w:rFonts w:ascii="Times New Roman" w:hAnsi="Times New Roman" w:cs="Times New Roman"/>
          <w:iCs/>
          <w:color w:val="222222"/>
          <w:sz w:val="20"/>
          <w:szCs w:val="20"/>
          <w:shd w:val="clear" w:color="auto" w:fill="FFFFFF"/>
          <w:lang w:val="en-US"/>
        </w:rPr>
        <w:t>25</w:t>
      </w:r>
      <w:r w:rsidRPr="006D2625">
        <w:rPr>
          <w:rFonts w:ascii="Times New Roman" w:hAnsi="Times New Roman" w:cs="Times New Roman"/>
          <w:color w:val="222222"/>
          <w:sz w:val="20"/>
          <w:szCs w:val="20"/>
          <w:shd w:val="clear" w:color="auto" w:fill="FFFFFF"/>
          <w:lang w:val="en-US"/>
        </w:rPr>
        <w:t>, pp. 397-418.</w:t>
      </w:r>
    </w:p>
    <w:p w:rsidR="005E2D6E" w:rsidRPr="00646A9A" w:rsidRDefault="005E2D6E" w:rsidP="005E2D6E">
      <w:pPr>
        <w:pStyle w:val="Paragraphedeliste"/>
        <w:numPr>
          <w:ilvl w:val="0"/>
          <w:numId w:val="1"/>
        </w:numPr>
        <w:spacing w:line="276" w:lineRule="auto"/>
        <w:jc w:val="both"/>
        <w:rPr>
          <w:rFonts w:ascii="Times New Roman" w:hAnsi="Times New Roman" w:cs="Times New Roman"/>
          <w:sz w:val="20"/>
          <w:lang w:val="en-US"/>
        </w:rPr>
      </w:pPr>
      <w:r w:rsidRPr="00646A9A">
        <w:rPr>
          <w:rFonts w:ascii="Times New Roman" w:hAnsi="Times New Roman" w:cs="Times New Roman"/>
          <w:sz w:val="20"/>
          <w:szCs w:val="20"/>
          <w:lang w:val="en-US"/>
        </w:rPr>
        <w:t xml:space="preserve">STATBEL, 2019, </w:t>
      </w:r>
      <w:r w:rsidRPr="003E5932">
        <w:rPr>
          <w:color w:val="000000"/>
          <w:sz w:val="20"/>
          <w:szCs w:val="20"/>
          <w:lang w:val="en-US"/>
        </w:rPr>
        <w:t>«</w:t>
      </w:r>
      <w:r>
        <w:rPr>
          <w:color w:val="000000"/>
          <w:sz w:val="20"/>
          <w:szCs w:val="20"/>
          <w:lang w:val="en-US"/>
        </w:rPr>
        <w:t xml:space="preserve"> </w:t>
      </w:r>
      <w:r w:rsidRPr="00646A9A">
        <w:rPr>
          <w:rFonts w:ascii="Times New Roman" w:hAnsi="Times New Roman" w:cs="Times New Roman"/>
          <w:sz w:val="20"/>
          <w:szCs w:val="20"/>
          <w:lang w:val="en-US"/>
        </w:rPr>
        <w:t>Taxable Income</w:t>
      </w:r>
      <w:r>
        <w:rPr>
          <w:rFonts w:ascii="Times New Roman" w:hAnsi="Times New Roman" w:cs="Times New Roman"/>
          <w:sz w:val="20"/>
          <w:szCs w:val="20"/>
          <w:lang w:val="en-US"/>
        </w:rPr>
        <w:t xml:space="preserve"> </w:t>
      </w:r>
      <w:r w:rsidRPr="003E5932">
        <w:rPr>
          <w:color w:val="000000"/>
          <w:sz w:val="20"/>
          <w:szCs w:val="20"/>
          <w:lang w:val="en-US"/>
        </w:rPr>
        <w:t>»</w:t>
      </w:r>
      <w:r w:rsidRPr="00646A9A">
        <w:rPr>
          <w:rFonts w:ascii="Times New Roman" w:hAnsi="Times New Roman" w:cs="Times New Roman"/>
          <w:sz w:val="20"/>
          <w:szCs w:val="20"/>
          <w:lang w:val="en-US"/>
        </w:rPr>
        <w:t>, On</w:t>
      </w:r>
      <w:r>
        <w:rPr>
          <w:rFonts w:ascii="Times New Roman" w:hAnsi="Times New Roman" w:cs="Times New Roman"/>
          <w:sz w:val="20"/>
          <w:szCs w:val="20"/>
          <w:lang w:val="en-US"/>
        </w:rPr>
        <w:t>line document</w:t>
      </w:r>
      <w:r w:rsidRPr="00646A9A">
        <w:rPr>
          <w:rFonts w:ascii="Times New Roman" w:hAnsi="Times New Roman" w:cs="Times New Roman"/>
          <w:sz w:val="20"/>
          <w:szCs w:val="20"/>
          <w:lang w:val="en-US"/>
        </w:rPr>
        <w:t xml:space="preserve">, </w:t>
      </w:r>
      <w:hyperlink r:id="rId5" w:history="1">
        <w:r w:rsidRPr="00646A9A">
          <w:rPr>
            <w:rStyle w:val="Lienhypertexte"/>
            <w:rFonts w:ascii="Times New Roman" w:hAnsi="Times New Roman" w:cs="Times New Roman"/>
            <w:sz w:val="20"/>
            <w:lang w:val="en-US"/>
          </w:rPr>
          <w:t>https://statbel.fgov.be/en/themes/households/taxable-income</w:t>
        </w:r>
      </w:hyperlink>
    </w:p>
    <w:p w:rsidR="005E2D6E" w:rsidRPr="00646A9A" w:rsidRDefault="005E2D6E" w:rsidP="005E2D6E">
      <w:pPr>
        <w:pStyle w:val="Paragraphedeliste"/>
        <w:numPr>
          <w:ilvl w:val="0"/>
          <w:numId w:val="1"/>
        </w:numPr>
        <w:spacing w:line="276" w:lineRule="auto"/>
        <w:jc w:val="both"/>
        <w:rPr>
          <w:rFonts w:ascii="Times New Roman" w:hAnsi="Times New Roman" w:cs="Times New Roman"/>
        </w:rPr>
      </w:pPr>
      <w:r w:rsidRPr="00646A9A">
        <w:rPr>
          <w:rFonts w:ascii="Times New Roman" w:hAnsi="Times New Roman" w:cs="Times New Roman"/>
          <w:color w:val="222222"/>
          <w:sz w:val="20"/>
          <w:szCs w:val="20"/>
          <w:shd w:val="clear" w:color="auto" w:fill="FFFFFF"/>
        </w:rPr>
        <w:t>TRANNOY, A., 2012, « Inégalités de santé: le rôle des transmissions intergénérationnelles »</w:t>
      </w:r>
      <w:r>
        <w:rPr>
          <w:rFonts w:ascii="Times New Roman" w:hAnsi="Times New Roman" w:cs="Times New Roman"/>
          <w:color w:val="222222"/>
          <w:sz w:val="20"/>
          <w:szCs w:val="20"/>
          <w:shd w:val="clear" w:color="auto" w:fill="FFFFFF"/>
        </w:rPr>
        <w:t xml:space="preserve"> (« </w:t>
      </w:r>
      <w:r w:rsidRPr="00CD5293">
        <w:rPr>
          <w:rFonts w:ascii="Times New Roman" w:hAnsi="Times New Roman" w:cs="Times New Roman"/>
          <w:color w:val="222222"/>
          <w:sz w:val="20"/>
          <w:szCs w:val="20"/>
          <w:shd w:val="clear" w:color="auto" w:fill="FFFFFF"/>
        </w:rPr>
        <w:t>Health Inequalities: the Role of Intergenerational Transmissions</w:t>
      </w:r>
      <w:r>
        <w:rPr>
          <w:rFonts w:ascii="Times New Roman" w:hAnsi="Times New Roman" w:cs="Times New Roman"/>
          <w:color w:val="222222"/>
          <w:sz w:val="20"/>
          <w:szCs w:val="20"/>
          <w:shd w:val="clear" w:color="auto" w:fill="FFFFFF"/>
        </w:rPr>
        <w:t> »)</w:t>
      </w:r>
      <w:r w:rsidRPr="00646A9A">
        <w:rPr>
          <w:rFonts w:ascii="Times New Roman" w:hAnsi="Times New Roman" w:cs="Times New Roman"/>
          <w:color w:val="222222"/>
          <w:sz w:val="20"/>
          <w:szCs w:val="20"/>
          <w:shd w:val="clear" w:color="auto" w:fill="FFFFFF"/>
        </w:rPr>
        <w:t>. </w:t>
      </w:r>
      <w:r w:rsidRPr="00646A9A">
        <w:rPr>
          <w:rFonts w:ascii="Times New Roman" w:hAnsi="Times New Roman" w:cs="Times New Roman"/>
          <w:i/>
          <w:iCs/>
          <w:color w:val="222222"/>
          <w:sz w:val="20"/>
          <w:szCs w:val="20"/>
          <w:shd w:val="clear" w:color="auto" w:fill="FFFFFF"/>
        </w:rPr>
        <w:t>Économie publique/Public economics</w:t>
      </w:r>
      <w:r w:rsidRPr="00646A9A">
        <w:rPr>
          <w:rFonts w:ascii="Times New Roman" w:hAnsi="Times New Roman" w:cs="Times New Roman"/>
          <w:color w:val="222222"/>
          <w:sz w:val="20"/>
          <w:szCs w:val="20"/>
          <w:shd w:val="clear" w:color="auto" w:fill="FFFFFF"/>
        </w:rPr>
        <w:t xml:space="preserve"> 24-25, pp. 17-39.</w:t>
      </w:r>
    </w:p>
    <w:p w:rsidR="005E2D6E" w:rsidRPr="00646A9A" w:rsidRDefault="005E2D6E" w:rsidP="005E2D6E">
      <w:pPr>
        <w:pStyle w:val="Paragraphedeliste"/>
        <w:numPr>
          <w:ilvl w:val="0"/>
          <w:numId w:val="1"/>
        </w:numPr>
        <w:spacing w:line="276" w:lineRule="auto"/>
        <w:jc w:val="both"/>
        <w:rPr>
          <w:rFonts w:ascii="Times New Roman" w:hAnsi="Times New Roman" w:cs="Times New Roman"/>
          <w:sz w:val="20"/>
          <w:lang w:val="en-US"/>
        </w:rPr>
      </w:pPr>
      <w:r w:rsidRPr="00646A9A">
        <w:rPr>
          <w:rFonts w:ascii="Times New Roman" w:hAnsi="Times New Roman" w:cs="Times New Roman"/>
          <w:sz w:val="20"/>
          <w:lang w:val="en-US"/>
        </w:rPr>
        <w:t>VALKONEN, T., 2002, «</w:t>
      </w:r>
      <w:r>
        <w:rPr>
          <w:rFonts w:ascii="Times New Roman" w:hAnsi="Times New Roman" w:cs="Times New Roman"/>
          <w:sz w:val="20"/>
          <w:lang w:val="en-US"/>
        </w:rPr>
        <w:t xml:space="preserve"> </w:t>
      </w:r>
      <w:r w:rsidRPr="00646A9A">
        <w:rPr>
          <w:rFonts w:ascii="Times New Roman" w:hAnsi="Times New Roman" w:cs="Times New Roman"/>
          <w:sz w:val="20"/>
          <w:lang w:val="en-US"/>
        </w:rPr>
        <w:t xml:space="preserve">Social inequalities in mortality ». </w:t>
      </w:r>
      <w:r w:rsidRPr="00646A9A">
        <w:rPr>
          <w:rFonts w:ascii="Times New Roman" w:hAnsi="Times New Roman" w:cs="Times New Roman"/>
          <w:i/>
          <w:sz w:val="20"/>
          <w:lang w:val="en-US"/>
        </w:rPr>
        <w:t>Demography: analysis and synthesis,</w:t>
      </w:r>
      <w:r w:rsidRPr="00646A9A">
        <w:rPr>
          <w:rFonts w:ascii="Times New Roman" w:hAnsi="Times New Roman" w:cs="Times New Roman"/>
          <w:sz w:val="20"/>
          <w:lang w:val="en-US"/>
        </w:rPr>
        <w:t xml:space="preserve"> 3, pp. 351-372. </w:t>
      </w:r>
    </w:p>
    <w:p w:rsidR="005E2D6E" w:rsidRPr="00646A9A" w:rsidRDefault="005E2D6E" w:rsidP="005E2D6E">
      <w:pPr>
        <w:pStyle w:val="Paragraphedeliste"/>
        <w:numPr>
          <w:ilvl w:val="0"/>
          <w:numId w:val="1"/>
        </w:numPr>
        <w:spacing w:line="276" w:lineRule="auto"/>
        <w:jc w:val="both"/>
        <w:rPr>
          <w:rFonts w:ascii="Times New Roman" w:hAnsi="Times New Roman" w:cs="Times New Roman"/>
          <w:sz w:val="20"/>
          <w:lang w:val="en-US"/>
        </w:rPr>
      </w:pPr>
      <w:r w:rsidRPr="00646A9A">
        <w:rPr>
          <w:rFonts w:ascii="Times New Roman" w:hAnsi="Times New Roman" w:cs="Times New Roman"/>
          <w:sz w:val="20"/>
          <w:lang w:val="en-US"/>
        </w:rPr>
        <w:t xml:space="preserve">VALLIN, J., 2002, « Mortality, sex and gender ». </w:t>
      </w:r>
      <w:r w:rsidRPr="00646A9A">
        <w:rPr>
          <w:rFonts w:ascii="Times New Roman" w:hAnsi="Times New Roman" w:cs="Times New Roman"/>
          <w:i/>
          <w:sz w:val="20"/>
          <w:lang w:val="en-US"/>
        </w:rPr>
        <w:t>Demography: analysis and synthesis 3</w:t>
      </w:r>
      <w:r w:rsidRPr="00646A9A">
        <w:rPr>
          <w:rFonts w:ascii="Times New Roman" w:hAnsi="Times New Roman" w:cs="Times New Roman"/>
          <w:sz w:val="20"/>
          <w:lang w:val="en-US"/>
        </w:rPr>
        <w:t>, pp. 319-350</w:t>
      </w:r>
    </w:p>
    <w:p w:rsidR="005E2D6E" w:rsidRPr="00646A9A" w:rsidRDefault="005E2D6E" w:rsidP="005E2D6E">
      <w:pPr>
        <w:pStyle w:val="Paragraphedeliste"/>
        <w:numPr>
          <w:ilvl w:val="0"/>
          <w:numId w:val="1"/>
        </w:numPr>
        <w:spacing w:line="276" w:lineRule="auto"/>
        <w:jc w:val="both"/>
        <w:rPr>
          <w:rFonts w:ascii="Times New Roman" w:hAnsi="Times New Roman" w:cs="Times New Roman"/>
          <w:sz w:val="20"/>
          <w:lang w:val="en-US"/>
        </w:rPr>
      </w:pPr>
      <w:r w:rsidRPr="00646A9A">
        <w:rPr>
          <w:rFonts w:ascii="Times New Roman" w:hAnsi="Times New Roman" w:cs="Times New Roman"/>
          <w:sz w:val="20"/>
          <w:lang w:val="en-US"/>
        </w:rPr>
        <w:t xml:space="preserve">VALLIN, J., &amp; BERLINGUER, G., 2002, « Endogenous and exogenous mortality ». </w:t>
      </w:r>
      <w:r w:rsidRPr="00646A9A">
        <w:rPr>
          <w:rFonts w:ascii="Times New Roman" w:hAnsi="Times New Roman" w:cs="Times New Roman"/>
          <w:i/>
          <w:sz w:val="20"/>
          <w:lang w:val="en-US"/>
        </w:rPr>
        <w:t>Demography: analysis and synthesis</w:t>
      </w:r>
      <w:r w:rsidRPr="00646A9A">
        <w:rPr>
          <w:rFonts w:ascii="Times New Roman" w:hAnsi="Times New Roman" w:cs="Times New Roman"/>
          <w:sz w:val="20"/>
          <w:lang w:val="en-US"/>
        </w:rPr>
        <w:t xml:space="preserve"> </w:t>
      </w:r>
      <w:r w:rsidRPr="00646A9A">
        <w:rPr>
          <w:rFonts w:ascii="Times New Roman" w:hAnsi="Times New Roman" w:cs="Times New Roman"/>
          <w:i/>
          <w:sz w:val="20"/>
          <w:lang w:val="en-US"/>
        </w:rPr>
        <w:t>3</w:t>
      </w:r>
      <w:r w:rsidRPr="00646A9A">
        <w:rPr>
          <w:rFonts w:ascii="Times New Roman" w:hAnsi="Times New Roman" w:cs="Times New Roman"/>
          <w:sz w:val="20"/>
          <w:lang w:val="en-US"/>
        </w:rPr>
        <w:t>, pp. 169-204.</w:t>
      </w:r>
    </w:p>
    <w:p w:rsidR="005E2D6E" w:rsidRPr="00646A9A" w:rsidRDefault="005E2D6E" w:rsidP="005E2D6E">
      <w:pPr>
        <w:pStyle w:val="Paragraphedeliste"/>
        <w:numPr>
          <w:ilvl w:val="0"/>
          <w:numId w:val="1"/>
        </w:numPr>
        <w:spacing w:line="276" w:lineRule="auto"/>
        <w:jc w:val="both"/>
        <w:rPr>
          <w:rFonts w:ascii="Times New Roman" w:hAnsi="Times New Roman" w:cs="Times New Roman"/>
          <w:sz w:val="20"/>
          <w:lang w:val="en-US"/>
        </w:rPr>
      </w:pPr>
      <w:r w:rsidRPr="00646A9A">
        <w:rPr>
          <w:rFonts w:ascii="Times New Roman" w:hAnsi="Times New Roman" w:cs="Times New Roman"/>
          <w:sz w:val="20"/>
          <w:lang w:val="en-US"/>
        </w:rPr>
        <w:t xml:space="preserve">VALLIN, J., CASELLI, G., &amp; SURAULT, P., 2002, « Behavior, lifestyles and sociocultural factors of mortality ». </w:t>
      </w:r>
      <w:r w:rsidRPr="00646A9A">
        <w:rPr>
          <w:rFonts w:ascii="Times New Roman" w:hAnsi="Times New Roman" w:cs="Times New Roman"/>
          <w:i/>
          <w:sz w:val="20"/>
          <w:lang w:val="en-US"/>
        </w:rPr>
        <w:t>Demography: analysis and synthesis 3</w:t>
      </w:r>
      <w:r w:rsidRPr="00646A9A">
        <w:rPr>
          <w:rFonts w:ascii="Times New Roman" w:hAnsi="Times New Roman" w:cs="Times New Roman"/>
          <w:sz w:val="20"/>
          <w:lang w:val="en-US"/>
        </w:rPr>
        <w:t xml:space="preserve">, pp. 255-305. </w:t>
      </w:r>
    </w:p>
    <w:p w:rsidR="005E2D6E" w:rsidRPr="00646A9A" w:rsidRDefault="005E2D6E" w:rsidP="005E2D6E">
      <w:pPr>
        <w:rPr>
          <w:lang w:val="en-US"/>
        </w:rPr>
      </w:pPr>
    </w:p>
    <w:p w:rsidR="005E2D6E" w:rsidRPr="00646A9A" w:rsidRDefault="005E2D6E" w:rsidP="005E2D6E">
      <w:pPr>
        <w:rPr>
          <w:lang w:val="en-US"/>
        </w:rPr>
      </w:pPr>
    </w:p>
    <w:p w:rsidR="005E2D6E" w:rsidRDefault="005E2D6E" w:rsidP="005E2D6E">
      <w:pPr>
        <w:pStyle w:val="Articletitle"/>
      </w:pPr>
      <w:r>
        <w:t>Appendix</w:t>
      </w:r>
    </w:p>
    <w:p w:rsidR="005E2D6E" w:rsidRPr="00624B0D" w:rsidRDefault="005E2D6E" w:rsidP="005E2D6E">
      <w:pPr>
        <w:spacing w:before="240" w:after="0" w:line="240" w:lineRule="auto"/>
        <w:rPr>
          <w:rFonts w:ascii="Times New Roman" w:eastAsia="Times New Roman" w:hAnsi="Times New Roman" w:cs="Times New Roman"/>
          <w:sz w:val="24"/>
          <w:szCs w:val="24"/>
          <w:lang w:val="en-US" w:eastAsia="fr-BE"/>
        </w:rPr>
      </w:pPr>
      <w:r>
        <w:rPr>
          <w:rFonts w:ascii="Times New Roman" w:eastAsia="Times New Roman" w:hAnsi="Times New Roman" w:cs="Times New Roman"/>
          <w:color w:val="000000"/>
          <w:sz w:val="24"/>
          <w:szCs w:val="24"/>
          <w:lang w:val="en-US" w:eastAsia="fr-BE"/>
        </w:rPr>
        <w:lastRenderedPageBreak/>
        <w:t>Appendix</w:t>
      </w:r>
      <w:r w:rsidRPr="00624B0D">
        <w:rPr>
          <w:rFonts w:ascii="Times New Roman" w:eastAsia="Times New Roman" w:hAnsi="Times New Roman" w:cs="Times New Roman"/>
          <w:color w:val="000000"/>
          <w:sz w:val="24"/>
          <w:szCs w:val="24"/>
          <w:lang w:val="en-US" w:eastAsia="fr-BE"/>
        </w:rPr>
        <w:t xml:space="preserve"> 1. </w:t>
      </w:r>
      <w:r>
        <w:rPr>
          <w:rFonts w:ascii="Times New Roman" w:eastAsia="Times New Roman" w:hAnsi="Times New Roman" w:cs="Times New Roman"/>
          <w:color w:val="000000"/>
          <w:sz w:val="24"/>
          <w:szCs w:val="24"/>
          <w:lang w:val="en-US" w:eastAsia="fr-BE"/>
        </w:rPr>
        <w:t>Distribution of the housing score in the Census Population (2011). Source: National Register, 2011 Population Census – calculation by DEMO-UCL and author</w:t>
      </w:r>
    </w:p>
    <w:p w:rsidR="005E2D6E" w:rsidRPr="00624B0D" w:rsidRDefault="005E2D6E" w:rsidP="005E2D6E">
      <w:pPr>
        <w:rPr>
          <w:lang w:val="en-US" w:eastAsia="en-GB"/>
        </w:rPr>
      </w:pPr>
    </w:p>
    <w:p w:rsidR="005E2D6E" w:rsidRDefault="005E2D6E" w:rsidP="005E2D6E">
      <w:pPr>
        <w:pStyle w:val="Paragraph"/>
        <w:ind w:firstLine="708"/>
        <w:jc w:val="both"/>
        <w:rPr>
          <w:lang w:val="en-US"/>
        </w:rPr>
      </w:pPr>
      <w:r w:rsidRPr="00BB2E5C">
        <w:rPr>
          <w:noProof/>
          <w:lang w:val="fr-FR" w:eastAsia="fr-FR"/>
        </w:rPr>
        <w:drawing>
          <wp:inline distT="0" distB="0" distL="0" distR="0" wp14:anchorId="0E75A11E" wp14:editId="51B2BAFD">
            <wp:extent cx="3987210" cy="1807535"/>
            <wp:effectExtent l="0" t="0" r="13335" b="2540"/>
            <wp:docPr id="29" name="Graphique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p>
    <w:p w:rsidR="005E2D6E" w:rsidRDefault="005E2D6E" w:rsidP="005E2D6E">
      <w:pPr>
        <w:spacing w:before="240" w:after="0" w:line="240" w:lineRule="auto"/>
        <w:rPr>
          <w:rFonts w:ascii="Times New Roman" w:eastAsia="Times New Roman" w:hAnsi="Times New Roman" w:cs="Times New Roman"/>
          <w:color w:val="000000"/>
          <w:sz w:val="24"/>
          <w:szCs w:val="24"/>
          <w:lang w:val="en-US" w:eastAsia="fr-BE"/>
        </w:rPr>
      </w:pPr>
      <w:r>
        <w:rPr>
          <w:rFonts w:ascii="Times New Roman" w:eastAsia="Times New Roman" w:hAnsi="Times New Roman" w:cs="Times New Roman"/>
          <w:color w:val="000000"/>
          <w:sz w:val="24"/>
          <w:szCs w:val="24"/>
          <w:lang w:val="en-US" w:eastAsia="fr-BE"/>
        </w:rPr>
        <w:t>Appendix</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2</w:t>
      </w:r>
      <w:r w:rsidRPr="00624B0D">
        <w:rPr>
          <w:rFonts w:ascii="Times New Roman" w:eastAsia="Times New Roman" w:hAnsi="Times New Roman" w:cs="Times New Roman"/>
          <w:color w:val="000000"/>
          <w:sz w:val="24"/>
          <w:szCs w:val="24"/>
          <w:lang w:val="en-US" w:eastAsia="fr-BE"/>
        </w:rPr>
        <w:t xml:space="preserve">. </w:t>
      </w:r>
      <w:r>
        <w:rPr>
          <w:rFonts w:ascii="Times New Roman" w:eastAsia="Times New Roman" w:hAnsi="Times New Roman" w:cs="Times New Roman"/>
          <w:color w:val="000000"/>
          <w:sz w:val="24"/>
          <w:szCs w:val="24"/>
          <w:lang w:val="en-US" w:eastAsia="fr-BE"/>
        </w:rPr>
        <w:t>Logistic regression models</w:t>
      </w:r>
    </w:p>
    <w:p w:rsidR="005E2D6E" w:rsidRPr="00182089" w:rsidRDefault="005E2D6E" w:rsidP="005E2D6E">
      <w:pPr>
        <w:spacing w:before="240" w:after="0" w:line="240" w:lineRule="auto"/>
        <w:rPr>
          <w:rFonts w:ascii="Times New Roman" w:eastAsia="Times New Roman" w:hAnsi="Times New Roman" w:cs="Times New Roman"/>
          <w:sz w:val="24"/>
          <w:szCs w:val="24"/>
          <w:lang w:val="en-US" w:eastAsia="fr-BE"/>
        </w:rPr>
      </w:pPr>
      <w:r>
        <w:rPr>
          <w:rFonts w:ascii="Times New Roman" w:hAnsi="Times New Roman" w:cs="Times New Roman"/>
          <w:sz w:val="24"/>
          <w:szCs w:val="24"/>
          <w:lang w:val="en-US"/>
        </w:rPr>
        <w:t xml:space="preserve">Table 6. </w:t>
      </w:r>
      <w:r w:rsidRPr="00800EE9">
        <w:rPr>
          <w:rFonts w:ascii="Times New Roman" w:hAnsi="Times New Roman" w:cs="Times New Roman"/>
          <w:sz w:val="24"/>
          <w:szCs w:val="24"/>
          <w:lang w:val="en-US"/>
        </w:rPr>
        <w:t xml:space="preserve">Odds ratio and significativity on the risk of death on the </w:t>
      </w:r>
      <w:r>
        <w:rPr>
          <w:rFonts w:ascii="Times New Roman" w:hAnsi="Times New Roman" w:cs="Times New Roman"/>
          <w:sz w:val="24"/>
          <w:szCs w:val="24"/>
          <w:lang w:val="en-US"/>
        </w:rPr>
        <w:t>1992-1996</w:t>
      </w:r>
      <w:r w:rsidRPr="00800EE9">
        <w:rPr>
          <w:rFonts w:ascii="Times New Roman" w:hAnsi="Times New Roman" w:cs="Times New Roman"/>
          <w:sz w:val="24"/>
          <w:szCs w:val="24"/>
          <w:lang w:val="en-US"/>
        </w:rPr>
        <w:t xml:space="preserve"> period</w:t>
      </w:r>
      <w:r w:rsidRPr="00941532">
        <w:rPr>
          <w:rFonts w:ascii="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sz w:val="24"/>
          <w:szCs w:val="24"/>
          <w:lang w:val="en-US" w:eastAsia="fr-BE"/>
        </w:rPr>
        <w:t>Source: National Register, 2011 Population Census – calculation by DEMO-UCL and author</w:t>
      </w:r>
    </w:p>
    <w:p w:rsidR="005E2D6E" w:rsidRPr="008E1D88" w:rsidRDefault="005E2D6E" w:rsidP="005E2D6E">
      <w:pPr>
        <w:jc w:val="center"/>
      </w:pPr>
      <w:r w:rsidRPr="009663B5">
        <w:rPr>
          <w:noProof/>
        </w:rPr>
        <w:lastRenderedPageBreak/>
        <w:drawing>
          <wp:inline distT="0" distB="0" distL="0" distR="0" wp14:anchorId="50BC5F01" wp14:editId="6595787C">
            <wp:extent cx="4396072" cy="8001000"/>
            <wp:effectExtent l="0" t="0" r="508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97732" cy="8004022"/>
                    </a:xfrm>
                    <a:prstGeom prst="rect">
                      <a:avLst/>
                    </a:prstGeom>
                    <a:noFill/>
                    <a:ln>
                      <a:noFill/>
                    </a:ln>
                  </pic:spPr>
                </pic:pic>
              </a:graphicData>
            </a:graphic>
          </wp:inline>
        </w:drawing>
      </w:r>
    </w:p>
    <w:p w:rsidR="005E2D6E" w:rsidRPr="00385AE6" w:rsidRDefault="005E2D6E" w:rsidP="005E2D6E">
      <w:pPr>
        <w:rPr>
          <w:lang w:val="en-US"/>
        </w:rPr>
      </w:pPr>
      <w:r>
        <w:rPr>
          <w:rFonts w:ascii="Times New Roman" w:hAnsi="Times New Roman" w:cs="Times New Roman"/>
          <w:sz w:val="24"/>
          <w:szCs w:val="24"/>
          <w:lang w:val="en-US"/>
        </w:rPr>
        <w:t xml:space="preserve">Table 7. </w:t>
      </w:r>
      <w:r w:rsidRPr="00800EE9">
        <w:rPr>
          <w:rFonts w:ascii="Times New Roman" w:hAnsi="Times New Roman" w:cs="Times New Roman"/>
          <w:sz w:val="24"/>
          <w:szCs w:val="24"/>
          <w:lang w:val="en-US"/>
        </w:rPr>
        <w:t xml:space="preserve">Odds ratio and significativity on the risk of death on the </w:t>
      </w:r>
      <w:r>
        <w:rPr>
          <w:rFonts w:ascii="Times New Roman" w:hAnsi="Times New Roman" w:cs="Times New Roman"/>
          <w:sz w:val="24"/>
          <w:szCs w:val="24"/>
          <w:lang w:val="en-US"/>
        </w:rPr>
        <w:t>2002-2006</w:t>
      </w:r>
      <w:r w:rsidRPr="00800EE9">
        <w:rPr>
          <w:rFonts w:ascii="Times New Roman" w:hAnsi="Times New Roman" w:cs="Times New Roman"/>
          <w:sz w:val="24"/>
          <w:szCs w:val="24"/>
          <w:lang w:val="en-US"/>
        </w:rPr>
        <w:t xml:space="preserve"> period</w:t>
      </w:r>
      <w:r w:rsidRPr="00941532">
        <w:rPr>
          <w:rFonts w:ascii="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sz w:val="24"/>
          <w:szCs w:val="24"/>
          <w:lang w:val="en-US" w:eastAsia="fr-BE"/>
        </w:rPr>
        <w:t>Source: National Register, 2001 Population Census – calculation by DEMO-UCL and author</w:t>
      </w:r>
    </w:p>
    <w:p w:rsidR="005E2D6E" w:rsidRDefault="005E2D6E" w:rsidP="005E2D6E">
      <w:pPr>
        <w:jc w:val="center"/>
      </w:pPr>
      <w:r w:rsidRPr="00385AE6">
        <w:rPr>
          <w:noProof/>
        </w:rPr>
        <w:lastRenderedPageBreak/>
        <w:drawing>
          <wp:inline distT="0" distB="0" distL="0" distR="0" wp14:anchorId="323C260F" wp14:editId="488CCE56">
            <wp:extent cx="4360504" cy="8113395"/>
            <wp:effectExtent l="0" t="0" r="2540" b="190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62360" cy="8116849"/>
                    </a:xfrm>
                    <a:prstGeom prst="rect">
                      <a:avLst/>
                    </a:prstGeom>
                    <a:noFill/>
                    <a:ln>
                      <a:noFill/>
                    </a:ln>
                  </pic:spPr>
                </pic:pic>
              </a:graphicData>
            </a:graphic>
          </wp:inline>
        </w:drawing>
      </w:r>
    </w:p>
    <w:p w:rsidR="005E2D6E" w:rsidRPr="00385AE6" w:rsidRDefault="005E2D6E" w:rsidP="005E2D6E">
      <w:pPr>
        <w:rPr>
          <w:lang w:val="en-US"/>
        </w:rPr>
      </w:pPr>
      <w:r>
        <w:rPr>
          <w:rFonts w:ascii="Times New Roman" w:hAnsi="Times New Roman" w:cs="Times New Roman"/>
          <w:sz w:val="24"/>
          <w:szCs w:val="24"/>
          <w:lang w:val="en-US"/>
        </w:rPr>
        <w:t xml:space="preserve">Table 8. </w:t>
      </w:r>
      <w:r w:rsidRPr="00800EE9">
        <w:rPr>
          <w:rFonts w:ascii="Times New Roman" w:hAnsi="Times New Roman" w:cs="Times New Roman"/>
          <w:sz w:val="24"/>
          <w:szCs w:val="24"/>
          <w:lang w:val="en-US"/>
        </w:rPr>
        <w:t xml:space="preserve">Odds ratio and significativity on the risk of death on the </w:t>
      </w:r>
      <w:r>
        <w:rPr>
          <w:rFonts w:ascii="Times New Roman" w:hAnsi="Times New Roman" w:cs="Times New Roman"/>
          <w:sz w:val="24"/>
          <w:szCs w:val="24"/>
          <w:lang w:val="en-US"/>
        </w:rPr>
        <w:t>2011-2015</w:t>
      </w:r>
      <w:r w:rsidRPr="00800EE9">
        <w:rPr>
          <w:rFonts w:ascii="Times New Roman" w:hAnsi="Times New Roman" w:cs="Times New Roman"/>
          <w:sz w:val="24"/>
          <w:szCs w:val="24"/>
          <w:lang w:val="en-US"/>
        </w:rPr>
        <w:t xml:space="preserve"> period</w:t>
      </w:r>
      <w:r w:rsidRPr="00941532">
        <w:rPr>
          <w:rFonts w:ascii="Times New Roman" w:hAnsi="Times New Roman" w:cs="Times New Roman"/>
          <w:color w:val="000000" w:themeColor="text1"/>
          <w:sz w:val="24"/>
          <w:szCs w:val="24"/>
          <w:lang w:val="en-US"/>
        </w:rPr>
        <w:t xml:space="preserve">. </w:t>
      </w:r>
      <w:r>
        <w:rPr>
          <w:rFonts w:ascii="Times New Roman" w:eastAsia="Times New Roman" w:hAnsi="Times New Roman" w:cs="Times New Roman"/>
          <w:color w:val="000000"/>
          <w:sz w:val="24"/>
          <w:szCs w:val="24"/>
          <w:lang w:val="en-US" w:eastAsia="fr-BE"/>
        </w:rPr>
        <w:t>Source: National Register, 2011 Population Census – calculation by DEMO-UCL and author</w:t>
      </w:r>
    </w:p>
    <w:p w:rsidR="005E2D6E" w:rsidRPr="002C65B6" w:rsidRDefault="005E2D6E" w:rsidP="005E2D6E">
      <w:pPr>
        <w:jc w:val="center"/>
      </w:pPr>
      <w:r w:rsidRPr="009663B5">
        <w:rPr>
          <w:noProof/>
        </w:rPr>
        <w:lastRenderedPageBreak/>
        <w:drawing>
          <wp:inline distT="0" distB="0" distL="0" distR="0" wp14:anchorId="5CD49E9E" wp14:editId="63D60A62">
            <wp:extent cx="5554980" cy="8298180"/>
            <wp:effectExtent l="0" t="0" r="762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54980" cy="8298180"/>
                    </a:xfrm>
                    <a:prstGeom prst="rect">
                      <a:avLst/>
                    </a:prstGeom>
                    <a:noFill/>
                    <a:ln>
                      <a:noFill/>
                    </a:ln>
                  </pic:spPr>
                </pic:pic>
              </a:graphicData>
            </a:graphic>
          </wp:inline>
        </w:drawing>
      </w:r>
      <w:bookmarkEnd w:id="0"/>
    </w:p>
    <w:p w:rsidR="00CB473A" w:rsidRDefault="005E2D6E"/>
    <w:sectPr w:rsidR="00CB473A">
      <w:footerReference w:type="default" r:id="rId1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2288731"/>
      <w:docPartObj>
        <w:docPartGallery w:val="Page Numbers (Bottom of Page)"/>
        <w:docPartUnique/>
      </w:docPartObj>
    </w:sdtPr>
    <w:sdtEndPr/>
    <w:sdtContent>
      <w:p w:rsidR="00056AA3" w:rsidRDefault="005E2D6E">
        <w:pPr>
          <w:pStyle w:val="Pieddepage"/>
          <w:jc w:val="center"/>
        </w:pPr>
        <w:r>
          <w:fldChar w:fldCharType="begin"/>
        </w:r>
        <w:r>
          <w:instrText>PAGE   \* MERGEFORMAT</w:instrText>
        </w:r>
        <w:r>
          <w:fldChar w:fldCharType="separate"/>
        </w:r>
        <w:r>
          <w:rPr>
            <w:lang w:val="fr-FR"/>
          </w:rPr>
          <w:t>2</w:t>
        </w:r>
        <w:r>
          <w:fldChar w:fldCharType="end"/>
        </w:r>
      </w:p>
    </w:sdtContent>
  </w:sdt>
  <w:p w:rsidR="00056AA3" w:rsidRDefault="005E2D6E">
    <w:pPr>
      <w:pStyle w:val="Pieddepage"/>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0D272BB"/>
    <w:multiLevelType w:val="hybridMultilevel"/>
    <w:tmpl w:val="A480535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49C01B58"/>
    <w:multiLevelType w:val="hybridMultilevel"/>
    <w:tmpl w:val="ECCCD814"/>
    <w:lvl w:ilvl="0" w:tplc="D5A48DD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SortMethod w:val="0002"/>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2D6E"/>
    <w:rsid w:val="00000C24"/>
    <w:rsid w:val="000012D0"/>
    <w:rsid w:val="00002979"/>
    <w:rsid w:val="00003278"/>
    <w:rsid w:val="00010DF2"/>
    <w:rsid w:val="00031955"/>
    <w:rsid w:val="000362AA"/>
    <w:rsid w:val="00043D01"/>
    <w:rsid w:val="00045C69"/>
    <w:rsid w:val="00055C17"/>
    <w:rsid w:val="0006031C"/>
    <w:rsid w:val="000616D8"/>
    <w:rsid w:val="000711CC"/>
    <w:rsid w:val="00081A44"/>
    <w:rsid w:val="000948D2"/>
    <w:rsid w:val="000A16A1"/>
    <w:rsid w:val="000A17BA"/>
    <w:rsid w:val="000B118F"/>
    <w:rsid w:val="000B1DA7"/>
    <w:rsid w:val="000B2B2F"/>
    <w:rsid w:val="000C152E"/>
    <w:rsid w:val="000D1E96"/>
    <w:rsid w:val="000D45F4"/>
    <w:rsid w:val="000D4CFD"/>
    <w:rsid w:val="000D60E5"/>
    <w:rsid w:val="000D75AB"/>
    <w:rsid w:val="000E2AD2"/>
    <w:rsid w:val="000E32A4"/>
    <w:rsid w:val="000E5337"/>
    <w:rsid w:val="000E6F1C"/>
    <w:rsid w:val="000F5159"/>
    <w:rsid w:val="001026C9"/>
    <w:rsid w:val="00116499"/>
    <w:rsid w:val="00120689"/>
    <w:rsid w:val="0012321E"/>
    <w:rsid w:val="00126D29"/>
    <w:rsid w:val="00130727"/>
    <w:rsid w:val="00136EFD"/>
    <w:rsid w:val="0014103B"/>
    <w:rsid w:val="00141FB0"/>
    <w:rsid w:val="00147921"/>
    <w:rsid w:val="00150A35"/>
    <w:rsid w:val="00150E27"/>
    <w:rsid w:val="00152873"/>
    <w:rsid w:val="00161A53"/>
    <w:rsid w:val="00165CFD"/>
    <w:rsid w:val="001715CD"/>
    <w:rsid w:val="00174F68"/>
    <w:rsid w:val="00185ADE"/>
    <w:rsid w:val="00186330"/>
    <w:rsid w:val="0018704F"/>
    <w:rsid w:val="00196D34"/>
    <w:rsid w:val="001A23F6"/>
    <w:rsid w:val="001A77FB"/>
    <w:rsid w:val="001B76A2"/>
    <w:rsid w:val="001C1FC5"/>
    <w:rsid w:val="001E1D0C"/>
    <w:rsid w:val="001E7C54"/>
    <w:rsid w:val="00205DD6"/>
    <w:rsid w:val="00206757"/>
    <w:rsid w:val="0021049E"/>
    <w:rsid w:val="00214AD8"/>
    <w:rsid w:val="00222432"/>
    <w:rsid w:val="00223D91"/>
    <w:rsid w:val="002243B7"/>
    <w:rsid w:val="00231833"/>
    <w:rsid w:val="00236157"/>
    <w:rsid w:val="00244F39"/>
    <w:rsid w:val="00250F53"/>
    <w:rsid w:val="002711D4"/>
    <w:rsid w:val="00274CAC"/>
    <w:rsid w:val="00283326"/>
    <w:rsid w:val="00287754"/>
    <w:rsid w:val="0029134F"/>
    <w:rsid w:val="002A6EF3"/>
    <w:rsid w:val="002B594C"/>
    <w:rsid w:val="002D1694"/>
    <w:rsid w:val="002D1769"/>
    <w:rsid w:val="002D6B2F"/>
    <w:rsid w:val="002E2A4F"/>
    <w:rsid w:val="002E7681"/>
    <w:rsid w:val="0030261C"/>
    <w:rsid w:val="00304FBB"/>
    <w:rsid w:val="00312A1C"/>
    <w:rsid w:val="00322DA8"/>
    <w:rsid w:val="00343E0B"/>
    <w:rsid w:val="00354270"/>
    <w:rsid w:val="00357F50"/>
    <w:rsid w:val="0036291E"/>
    <w:rsid w:val="00365724"/>
    <w:rsid w:val="00380FA9"/>
    <w:rsid w:val="00384AB1"/>
    <w:rsid w:val="00385150"/>
    <w:rsid w:val="003855D1"/>
    <w:rsid w:val="00390EFD"/>
    <w:rsid w:val="003931FD"/>
    <w:rsid w:val="003A699F"/>
    <w:rsid w:val="003B57EA"/>
    <w:rsid w:val="003D2030"/>
    <w:rsid w:val="003D39A2"/>
    <w:rsid w:val="003D69B5"/>
    <w:rsid w:val="003F1A57"/>
    <w:rsid w:val="00403C75"/>
    <w:rsid w:val="004148CE"/>
    <w:rsid w:val="00415422"/>
    <w:rsid w:val="00416133"/>
    <w:rsid w:val="00427B51"/>
    <w:rsid w:val="00432FA5"/>
    <w:rsid w:val="00436FF1"/>
    <w:rsid w:val="00442E75"/>
    <w:rsid w:val="00482C1B"/>
    <w:rsid w:val="00487249"/>
    <w:rsid w:val="00491AB7"/>
    <w:rsid w:val="00493FA8"/>
    <w:rsid w:val="0049438B"/>
    <w:rsid w:val="004A0A65"/>
    <w:rsid w:val="004B29A9"/>
    <w:rsid w:val="004C14EA"/>
    <w:rsid w:val="004C6168"/>
    <w:rsid w:val="004D2705"/>
    <w:rsid w:val="004D3C77"/>
    <w:rsid w:val="004D7231"/>
    <w:rsid w:val="004E32E1"/>
    <w:rsid w:val="004E4C62"/>
    <w:rsid w:val="00507071"/>
    <w:rsid w:val="00515A77"/>
    <w:rsid w:val="005231A9"/>
    <w:rsid w:val="005233E2"/>
    <w:rsid w:val="00535E63"/>
    <w:rsid w:val="0054039E"/>
    <w:rsid w:val="00547111"/>
    <w:rsid w:val="00564DEE"/>
    <w:rsid w:val="00567482"/>
    <w:rsid w:val="00570976"/>
    <w:rsid w:val="0058070F"/>
    <w:rsid w:val="005820F1"/>
    <w:rsid w:val="00591C2E"/>
    <w:rsid w:val="0059284B"/>
    <w:rsid w:val="00593103"/>
    <w:rsid w:val="00593C93"/>
    <w:rsid w:val="00596A78"/>
    <w:rsid w:val="005A4F64"/>
    <w:rsid w:val="005A61DB"/>
    <w:rsid w:val="005B600E"/>
    <w:rsid w:val="005C5103"/>
    <w:rsid w:val="005C7F77"/>
    <w:rsid w:val="005D28E0"/>
    <w:rsid w:val="005E2156"/>
    <w:rsid w:val="005E2D6E"/>
    <w:rsid w:val="005E3C68"/>
    <w:rsid w:val="005E59F2"/>
    <w:rsid w:val="005F0145"/>
    <w:rsid w:val="005F2FB0"/>
    <w:rsid w:val="00612BD9"/>
    <w:rsid w:val="00622C8F"/>
    <w:rsid w:val="006264E5"/>
    <w:rsid w:val="006301C3"/>
    <w:rsid w:val="00631A91"/>
    <w:rsid w:val="00632408"/>
    <w:rsid w:val="00640996"/>
    <w:rsid w:val="00646087"/>
    <w:rsid w:val="00650A15"/>
    <w:rsid w:val="00653C14"/>
    <w:rsid w:val="00672F0C"/>
    <w:rsid w:val="00692777"/>
    <w:rsid w:val="00693DC6"/>
    <w:rsid w:val="006A5601"/>
    <w:rsid w:val="006B16E3"/>
    <w:rsid w:val="006D5D6F"/>
    <w:rsid w:val="006E7BD2"/>
    <w:rsid w:val="006F010F"/>
    <w:rsid w:val="006F158A"/>
    <w:rsid w:val="006F6DC9"/>
    <w:rsid w:val="00701F9A"/>
    <w:rsid w:val="00702C3C"/>
    <w:rsid w:val="007035AB"/>
    <w:rsid w:val="00704637"/>
    <w:rsid w:val="00712645"/>
    <w:rsid w:val="00721BDD"/>
    <w:rsid w:val="00722010"/>
    <w:rsid w:val="0072338B"/>
    <w:rsid w:val="007260EB"/>
    <w:rsid w:val="0073478F"/>
    <w:rsid w:val="0073514E"/>
    <w:rsid w:val="00740439"/>
    <w:rsid w:val="00742A83"/>
    <w:rsid w:val="0074435D"/>
    <w:rsid w:val="007453B6"/>
    <w:rsid w:val="00750794"/>
    <w:rsid w:val="00762227"/>
    <w:rsid w:val="00763AAE"/>
    <w:rsid w:val="007835A3"/>
    <w:rsid w:val="0078559D"/>
    <w:rsid w:val="007A3B6A"/>
    <w:rsid w:val="007B21B1"/>
    <w:rsid w:val="007B48E5"/>
    <w:rsid w:val="007C7641"/>
    <w:rsid w:val="007E59AA"/>
    <w:rsid w:val="007F737C"/>
    <w:rsid w:val="0080521D"/>
    <w:rsid w:val="008151F9"/>
    <w:rsid w:val="00826941"/>
    <w:rsid w:val="00827838"/>
    <w:rsid w:val="00834B6A"/>
    <w:rsid w:val="008611D0"/>
    <w:rsid w:val="00870FBD"/>
    <w:rsid w:val="00875931"/>
    <w:rsid w:val="00884078"/>
    <w:rsid w:val="008854AB"/>
    <w:rsid w:val="00893DAF"/>
    <w:rsid w:val="008974D3"/>
    <w:rsid w:val="008976E0"/>
    <w:rsid w:val="008A16C5"/>
    <w:rsid w:val="008B459D"/>
    <w:rsid w:val="008C22AD"/>
    <w:rsid w:val="008C3EDA"/>
    <w:rsid w:val="008D5F15"/>
    <w:rsid w:val="008D77F9"/>
    <w:rsid w:val="008F0FBD"/>
    <w:rsid w:val="0092080E"/>
    <w:rsid w:val="009216F5"/>
    <w:rsid w:val="009232D8"/>
    <w:rsid w:val="009241EE"/>
    <w:rsid w:val="0093586F"/>
    <w:rsid w:val="00950BD6"/>
    <w:rsid w:val="00952728"/>
    <w:rsid w:val="00956895"/>
    <w:rsid w:val="00957E02"/>
    <w:rsid w:val="00961145"/>
    <w:rsid w:val="009731B2"/>
    <w:rsid w:val="0097544D"/>
    <w:rsid w:val="00991B5C"/>
    <w:rsid w:val="00995E36"/>
    <w:rsid w:val="00996023"/>
    <w:rsid w:val="009A41EC"/>
    <w:rsid w:val="009A7DBD"/>
    <w:rsid w:val="009B74EA"/>
    <w:rsid w:val="009C0A85"/>
    <w:rsid w:val="009D5D13"/>
    <w:rsid w:val="009E618B"/>
    <w:rsid w:val="009F3B6F"/>
    <w:rsid w:val="00A02184"/>
    <w:rsid w:val="00A04060"/>
    <w:rsid w:val="00A05A41"/>
    <w:rsid w:val="00A11C97"/>
    <w:rsid w:val="00A2330C"/>
    <w:rsid w:val="00A426B9"/>
    <w:rsid w:val="00A5274F"/>
    <w:rsid w:val="00A527C1"/>
    <w:rsid w:val="00A92F27"/>
    <w:rsid w:val="00A939BE"/>
    <w:rsid w:val="00A9704E"/>
    <w:rsid w:val="00AA37B5"/>
    <w:rsid w:val="00AA4E15"/>
    <w:rsid w:val="00AA59A3"/>
    <w:rsid w:val="00AB2E85"/>
    <w:rsid w:val="00AB5B2B"/>
    <w:rsid w:val="00AB7ED2"/>
    <w:rsid w:val="00AC0E98"/>
    <w:rsid w:val="00AC2B4F"/>
    <w:rsid w:val="00AC45EE"/>
    <w:rsid w:val="00AD0A1D"/>
    <w:rsid w:val="00AD0C55"/>
    <w:rsid w:val="00AD7031"/>
    <w:rsid w:val="00AE22F4"/>
    <w:rsid w:val="00AE5C01"/>
    <w:rsid w:val="00AF6E67"/>
    <w:rsid w:val="00AF7EFA"/>
    <w:rsid w:val="00B006F6"/>
    <w:rsid w:val="00B0577E"/>
    <w:rsid w:val="00B069FC"/>
    <w:rsid w:val="00B06FC6"/>
    <w:rsid w:val="00B07169"/>
    <w:rsid w:val="00B210B6"/>
    <w:rsid w:val="00B226FD"/>
    <w:rsid w:val="00B22993"/>
    <w:rsid w:val="00B273E4"/>
    <w:rsid w:val="00B30C34"/>
    <w:rsid w:val="00B35ACC"/>
    <w:rsid w:val="00B50A9C"/>
    <w:rsid w:val="00B74A7F"/>
    <w:rsid w:val="00B767DD"/>
    <w:rsid w:val="00B829F0"/>
    <w:rsid w:val="00BA4956"/>
    <w:rsid w:val="00BA5611"/>
    <w:rsid w:val="00BB1B47"/>
    <w:rsid w:val="00BB31DB"/>
    <w:rsid w:val="00BB6DCF"/>
    <w:rsid w:val="00BC431E"/>
    <w:rsid w:val="00BC783C"/>
    <w:rsid w:val="00BD32E6"/>
    <w:rsid w:val="00BF0EC5"/>
    <w:rsid w:val="00C00581"/>
    <w:rsid w:val="00C065EB"/>
    <w:rsid w:val="00C06E3C"/>
    <w:rsid w:val="00C12006"/>
    <w:rsid w:val="00C22B48"/>
    <w:rsid w:val="00C344C2"/>
    <w:rsid w:val="00C35C72"/>
    <w:rsid w:val="00C36329"/>
    <w:rsid w:val="00C47395"/>
    <w:rsid w:val="00C552E9"/>
    <w:rsid w:val="00C56671"/>
    <w:rsid w:val="00C60B62"/>
    <w:rsid w:val="00C6659F"/>
    <w:rsid w:val="00C67AC8"/>
    <w:rsid w:val="00C72B30"/>
    <w:rsid w:val="00C745B4"/>
    <w:rsid w:val="00C97FF5"/>
    <w:rsid w:val="00CB1579"/>
    <w:rsid w:val="00CC3E84"/>
    <w:rsid w:val="00CC4778"/>
    <w:rsid w:val="00CE2E7C"/>
    <w:rsid w:val="00CE5F23"/>
    <w:rsid w:val="00CF6764"/>
    <w:rsid w:val="00D0662D"/>
    <w:rsid w:val="00D1014C"/>
    <w:rsid w:val="00D16D02"/>
    <w:rsid w:val="00D20EBB"/>
    <w:rsid w:val="00D41278"/>
    <w:rsid w:val="00D47AE5"/>
    <w:rsid w:val="00D502C3"/>
    <w:rsid w:val="00D50A0B"/>
    <w:rsid w:val="00D632FD"/>
    <w:rsid w:val="00D65C73"/>
    <w:rsid w:val="00D729C9"/>
    <w:rsid w:val="00D73B1C"/>
    <w:rsid w:val="00D86722"/>
    <w:rsid w:val="00D939FD"/>
    <w:rsid w:val="00D96175"/>
    <w:rsid w:val="00D9722C"/>
    <w:rsid w:val="00DB0E5F"/>
    <w:rsid w:val="00DB37C1"/>
    <w:rsid w:val="00DC3A56"/>
    <w:rsid w:val="00DD27B6"/>
    <w:rsid w:val="00DE0B1C"/>
    <w:rsid w:val="00DE10BD"/>
    <w:rsid w:val="00E02304"/>
    <w:rsid w:val="00E10DAE"/>
    <w:rsid w:val="00E11931"/>
    <w:rsid w:val="00E140B2"/>
    <w:rsid w:val="00E35A48"/>
    <w:rsid w:val="00E37025"/>
    <w:rsid w:val="00E51BE9"/>
    <w:rsid w:val="00E56889"/>
    <w:rsid w:val="00E62377"/>
    <w:rsid w:val="00E678DC"/>
    <w:rsid w:val="00E74AD2"/>
    <w:rsid w:val="00E84760"/>
    <w:rsid w:val="00E86AFB"/>
    <w:rsid w:val="00E87B4B"/>
    <w:rsid w:val="00E90925"/>
    <w:rsid w:val="00E96867"/>
    <w:rsid w:val="00EA2149"/>
    <w:rsid w:val="00EA3664"/>
    <w:rsid w:val="00EA4AE4"/>
    <w:rsid w:val="00EB2EE3"/>
    <w:rsid w:val="00EC1187"/>
    <w:rsid w:val="00EC2892"/>
    <w:rsid w:val="00EC30AF"/>
    <w:rsid w:val="00EC49F5"/>
    <w:rsid w:val="00ED0B2D"/>
    <w:rsid w:val="00EE04A9"/>
    <w:rsid w:val="00EE3C7A"/>
    <w:rsid w:val="00EE7D90"/>
    <w:rsid w:val="00F038C0"/>
    <w:rsid w:val="00F0506F"/>
    <w:rsid w:val="00F05A0D"/>
    <w:rsid w:val="00F07776"/>
    <w:rsid w:val="00F30569"/>
    <w:rsid w:val="00F3400A"/>
    <w:rsid w:val="00F371F1"/>
    <w:rsid w:val="00F4095C"/>
    <w:rsid w:val="00F4139C"/>
    <w:rsid w:val="00F42618"/>
    <w:rsid w:val="00F51D43"/>
    <w:rsid w:val="00F54F04"/>
    <w:rsid w:val="00F63213"/>
    <w:rsid w:val="00F66323"/>
    <w:rsid w:val="00F76485"/>
    <w:rsid w:val="00F81ABC"/>
    <w:rsid w:val="00F91F35"/>
    <w:rsid w:val="00F96054"/>
    <w:rsid w:val="00FA6AD7"/>
    <w:rsid w:val="00FB0BCC"/>
    <w:rsid w:val="00FB6645"/>
    <w:rsid w:val="00FC0845"/>
    <w:rsid w:val="00FC2FCB"/>
    <w:rsid w:val="00FC5A65"/>
    <w:rsid w:val="00FD3768"/>
    <w:rsid w:val="00FE1F3E"/>
    <w:rsid w:val="00FE48C0"/>
    <w:rsid w:val="00FE63E3"/>
    <w:rsid w:val="00FE7037"/>
    <w:rsid w:val="00FF1FC4"/>
    <w:rsid w:val="00FF35DA"/>
    <w:rsid w:val="00FF4FA3"/>
    <w:rsid w:val="00FF5C1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957BF"/>
  <w15:chartTrackingRefBased/>
  <w15:docId w15:val="{AC40B9D6-B062-4104-BC93-CBFFAFE7A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2" w:lineRule="auto"/>
        <w:jc w:val="both"/>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E2D6E"/>
    <w:pPr>
      <w:spacing w:line="259" w:lineRule="auto"/>
      <w:jc w:val="left"/>
    </w:pPr>
  </w:style>
  <w:style w:type="paragraph" w:styleId="Titre1">
    <w:name w:val="heading 1"/>
    <w:basedOn w:val="Normal"/>
    <w:next w:val="Normal"/>
    <w:link w:val="Titre1Car"/>
    <w:qFormat/>
    <w:rsid w:val="005E2D6E"/>
    <w:pPr>
      <w:keepNext/>
      <w:spacing w:before="360" w:after="60" w:line="360" w:lineRule="auto"/>
      <w:ind w:right="567"/>
      <w:contextualSpacing/>
      <w:outlineLvl w:val="0"/>
    </w:pPr>
    <w:rPr>
      <w:rFonts w:ascii="Times New Roman" w:eastAsia="Times New Roman" w:hAnsi="Times New Roman" w:cs="Arial"/>
      <w:b/>
      <w:bCs/>
      <w:kern w:val="32"/>
      <w:sz w:val="24"/>
      <w:szCs w:val="32"/>
      <w:lang w:val="en-GB" w:eastAsia="en-GB"/>
    </w:rPr>
  </w:style>
  <w:style w:type="paragraph" w:styleId="Titre2">
    <w:name w:val="heading 2"/>
    <w:basedOn w:val="Normal"/>
    <w:next w:val="Normal"/>
    <w:link w:val="Titre2Car"/>
    <w:uiPriority w:val="9"/>
    <w:semiHidden/>
    <w:unhideWhenUsed/>
    <w:qFormat/>
    <w:rsid w:val="005E2D6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5E2D6E"/>
    <w:rPr>
      <w:rFonts w:ascii="Times New Roman" w:eastAsia="Times New Roman" w:hAnsi="Times New Roman" w:cs="Arial"/>
      <w:b/>
      <w:bCs/>
      <w:kern w:val="32"/>
      <w:sz w:val="24"/>
      <w:szCs w:val="32"/>
      <w:lang w:val="en-GB" w:eastAsia="en-GB"/>
    </w:rPr>
  </w:style>
  <w:style w:type="character" w:customStyle="1" w:styleId="Titre2Car">
    <w:name w:val="Titre 2 Car"/>
    <w:basedOn w:val="Policepardfaut"/>
    <w:link w:val="Titre2"/>
    <w:uiPriority w:val="9"/>
    <w:semiHidden/>
    <w:rsid w:val="005E2D6E"/>
    <w:rPr>
      <w:rFonts w:asciiTheme="majorHAnsi" w:eastAsiaTheme="majorEastAsia" w:hAnsiTheme="majorHAnsi" w:cstheme="majorBidi"/>
      <w:color w:val="2F5496" w:themeColor="accent1" w:themeShade="BF"/>
      <w:sz w:val="26"/>
      <w:szCs w:val="26"/>
    </w:rPr>
  </w:style>
  <w:style w:type="table" w:styleId="Grilledutableau">
    <w:name w:val="Table Grid"/>
    <w:basedOn w:val="TableauNormal"/>
    <w:uiPriority w:val="39"/>
    <w:rsid w:val="005E2D6E"/>
    <w:pPr>
      <w:spacing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5E2D6E"/>
    <w:pPr>
      <w:spacing w:after="0" w:line="240" w:lineRule="auto"/>
      <w:jc w:val="left"/>
    </w:pPr>
  </w:style>
  <w:style w:type="character" w:styleId="Lienhypertexte">
    <w:name w:val="Hyperlink"/>
    <w:basedOn w:val="Policepardfaut"/>
    <w:uiPriority w:val="99"/>
    <w:unhideWhenUsed/>
    <w:rsid w:val="005E2D6E"/>
    <w:rPr>
      <w:color w:val="0000FF"/>
      <w:u w:val="single"/>
    </w:rPr>
  </w:style>
  <w:style w:type="paragraph" w:styleId="En-tte">
    <w:name w:val="header"/>
    <w:basedOn w:val="Normal"/>
    <w:link w:val="En-tteCar"/>
    <w:uiPriority w:val="99"/>
    <w:unhideWhenUsed/>
    <w:rsid w:val="005E2D6E"/>
    <w:pPr>
      <w:tabs>
        <w:tab w:val="center" w:pos="4536"/>
        <w:tab w:val="right" w:pos="9072"/>
      </w:tabs>
      <w:spacing w:after="0" w:line="240" w:lineRule="auto"/>
    </w:pPr>
  </w:style>
  <w:style w:type="character" w:customStyle="1" w:styleId="En-tteCar">
    <w:name w:val="En-tête Car"/>
    <w:basedOn w:val="Policepardfaut"/>
    <w:link w:val="En-tte"/>
    <w:uiPriority w:val="99"/>
    <w:rsid w:val="005E2D6E"/>
  </w:style>
  <w:style w:type="paragraph" w:styleId="Pieddepage">
    <w:name w:val="footer"/>
    <w:basedOn w:val="Normal"/>
    <w:link w:val="PieddepageCar"/>
    <w:uiPriority w:val="99"/>
    <w:unhideWhenUsed/>
    <w:rsid w:val="005E2D6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E2D6E"/>
  </w:style>
  <w:style w:type="paragraph" w:styleId="Paragraphedeliste">
    <w:name w:val="List Paragraph"/>
    <w:basedOn w:val="Normal"/>
    <w:uiPriority w:val="34"/>
    <w:qFormat/>
    <w:rsid w:val="005E2D6E"/>
    <w:pPr>
      <w:ind w:left="720"/>
      <w:contextualSpacing/>
    </w:pPr>
  </w:style>
  <w:style w:type="paragraph" w:styleId="NormalWeb">
    <w:name w:val="Normal (Web)"/>
    <w:basedOn w:val="Normal"/>
    <w:uiPriority w:val="99"/>
    <w:semiHidden/>
    <w:unhideWhenUsed/>
    <w:rsid w:val="005E2D6E"/>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customStyle="1" w:styleId="Articletitle">
    <w:name w:val="Article title"/>
    <w:basedOn w:val="Normal"/>
    <w:next w:val="Normal"/>
    <w:qFormat/>
    <w:rsid w:val="005E2D6E"/>
    <w:pPr>
      <w:spacing w:after="120" w:line="360" w:lineRule="auto"/>
    </w:pPr>
    <w:rPr>
      <w:rFonts w:ascii="Times New Roman" w:eastAsia="Times New Roman" w:hAnsi="Times New Roman" w:cs="Times New Roman"/>
      <w:b/>
      <w:sz w:val="28"/>
      <w:szCs w:val="24"/>
      <w:lang w:val="en-GB" w:eastAsia="en-GB"/>
    </w:rPr>
  </w:style>
  <w:style w:type="paragraph" w:customStyle="1" w:styleId="Authornames">
    <w:name w:val="Author names"/>
    <w:basedOn w:val="Normal"/>
    <w:next w:val="Normal"/>
    <w:qFormat/>
    <w:rsid w:val="005E2D6E"/>
    <w:pPr>
      <w:spacing w:before="240" w:after="0" w:line="360" w:lineRule="auto"/>
    </w:pPr>
    <w:rPr>
      <w:rFonts w:ascii="Times New Roman" w:eastAsia="Times New Roman" w:hAnsi="Times New Roman" w:cs="Times New Roman"/>
      <w:sz w:val="28"/>
      <w:szCs w:val="24"/>
      <w:lang w:val="en-GB" w:eastAsia="en-GB"/>
    </w:rPr>
  </w:style>
  <w:style w:type="paragraph" w:customStyle="1" w:styleId="Affiliation">
    <w:name w:val="Affiliation"/>
    <w:basedOn w:val="Normal"/>
    <w:qFormat/>
    <w:rsid w:val="005E2D6E"/>
    <w:pPr>
      <w:spacing w:before="240" w:after="0" w:line="360" w:lineRule="auto"/>
    </w:pPr>
    <w:rPr>
      <w:rFonts w:ascii="Times New Roman" w:eastAsia="Times New Roman" w:hAnsi="Times New Roman" w:cs="Times New Roman"/>
      <w:i/>
      <w:sz w:val="24"/>
      <w:szCs w:val="24"/>
      <w:lang w:val="en-GB" w:eastAsia="en-GB"/>
    </w:rPr>
  </w:style>
  <w:style w:type="paragraph" w:customStyle="1" w:styleId="Correspondencedetails">
    <w:name w:val="Correspondence details"/>
    <w:basedOn w:val="Normal"/>
    <w:qFormat/>
    <w:rsid w:val="005E2D6E"/>
    <w:pPr>
      <w:spacing w:before="240" w:after="0" w:line="360" w:lineRule="auto"/>
    </w:pPr>
    <w:rPr>
      <w:rFonts w:ascii="Times New Roman" w:eastAsia="Times New Roman" w:hAnsi="Times New Roman" w:cs="Times New Roman"/>
      <w:sz w:val="24"/>
      <w:szCs w:val="24"/>
      <w:lang w:val="en-GB" w:eastAsia="en-GB"/>
    </w:rPr>
  </w:style>
  <w:style w:type="paragraph" w:customStyle="1" w:styleId="Notesoncontributors">
    <w:name w:val="Notes on contributors"/>
    <w:basedOn w:val="Normal"/>
    <w:qFormat/>
    <w:rsid w:val="005E2D6E"/>
    <w:pPr>
      <w:spacing w:before="240" w:after="0" w:line="360" w:lineRule="auto"/>
    </w:pPr>
    <w:rPr>
      <w:rFonts w:ascii="Times New Roman" w:eastAsia="Times New Roman" w:hAnsi="Times New Roman" w:cs="Times New Roman"/>
      <w:szCs w:val="24"/>
      <w:lang w:val="en-GB" w:eastAsia="en-GB"/>
    </w:rPr>
  </w:style>
  <w:style w:type="paragraph" w:customStyle="1" w:styleId="Keywords">
    <w:name w:val="Keywords"/>
    <w:basedOn w:val="Normal"/>
    <w:next w:val="Normal"/>
    <w:qFormat/>
    <w:rsid w:val="005E2D6E"/>
    <w:pPr>
      <w:spacing w:before="240" w:after="240" w:line="360" w:lineRule="auto"/>
      <w:ind w:left="720" w:right="567"/>
    </w:pPr>
    <w:rPr>
      <w:rFonts w:ascii="Times New Roman" w:eastAsia="Times New Roman" w:hAnsi="Times New Roman" w:cs="Times New Roman"/>
      <w:szCs w:val="24"/>
      <w:lang w:val="en-GB" w:eastAsia="en-GB"/>
    </w:rPr>
  </w:style>
  <w:style w:type="paragraph" w:customStyle="1" w:styleId="Abstract">
    <w:name w:val="Abstract"/>
    <w:basedOn w:val="Normal"/>
    <w:next w:val="Keywords"/>
    <w:qFormat/>
    <w:rsid w:val="005E2D6E"/>
    <w:pPr>
      <w:spacing w:before="360" w:after="300" w:line="360" w:lineRule="auto"/>
      <w:ind w:left="720" w:right="567"/>
    </w:pPr>
    <w:rPr>
      <w:rFonts w:ascii="Times New Roman" w:eastAsia="Times New Roman" w:hAnsi="Times New Roman" w:cs="Times New Roman"/>
      <w:szCs w:val="24"/>
      <w:lang w:val="en-GB" w:eastAsia="en-GB"/>
    </w:rPr>
  </w:style>
  <w:style w:type="paragraph" w:customStyle="1" w:styleId="Paragraph">
    <w:name w:val="Paragraph"/>
    <w:basedOn w:val="Normal"/>
    <w:next w:val="Normal"/>
    <w:qFormat/>
    <w:rsid w:val="005E2D6E"/>
    <w:pPr>
      <w:widowControl w:val="0"/>
      <w:spacing w:before="240" w:after="0" w:line="480" w:lineRule="auto"/>
    </w:pPr>
    <w:rPr>
      <w:rFonts w:ascii="Times New Roman" w:eastAsia="Times New Roman" w:hAnsi="Times New Roman" w:cs="Times New Roman"/>
      <w:sz w:val="24"/>
      <w:szCs w:val="24"/>
      <w:lang w:val="en-GB" w:eastAsia="en-GB"/>
    </w:rPr>
  </w:style>
  <w:style w:type="paragraph" w:styleId="Lgende">
    <w:name w:val="caption"/>
    <w:basedOn w:val="Normal"/>
    <w:next w:val="Normal"/>
    <w:uiPriority w:val="35"/>
    <w:unhideWhenUsed/>
    <w:qFormat/>
    <w:rsid w:val="005E2D6E"/>
    <w:pPr>
      <w:spacing w:after="200" w:line="240" w:lineRule="auto"/>
    </w:pPr>
    <w:rPr>
      <w:i/>
      <w:iCs/>
      <w:color w:val="44546A" w:themeColor="text2"/>
      <w:sz w:val="18"/>
      <w:szCs w:val="18"/>
    </w:rPr>
  </w:style>
  <w:style w:type="paragraph" w:styleId="Textedebulles">
    <w:name w:val="Balloon Text"/>
    <w:basedOn w:val="Normal"/>
    <w:link w:val="TextedebullesCar"/>
    <w:uiPriority w:val="99"/>
    <w:semiHidden/>
    <w:unhideWhenUsed/>
    <w:rsid w:val="005E2D6E"/>
    <w:pPr>
      <w:spacing w:after="0" w:line="240" w:lineRule="auto"/>
    </w:pPr>
    <w:rPr>
      <w:rFonts w:ascii="Arial" w:hAnsi="Arial" w:cs="Arial"/>
      <w:sz w:val="18"/>
      <w:szCs w:val="18"/>
    </w:rPr>
  </w:style>
  <w:style w:type="character" w:customStyle="1" w:styleId="TextedebullesCar">
    <w:name w:val="Texte de bulles Car"/>
    <w:basedOn w:val="Policepardfaut"/>
    <w:link w:val="Textedebulles"/>
    <w:uiPriority w:val="99"/>
    <w:semiHidden/>
    <w:rsid w:val="005E2D6E"/>
    <w:rPr>
      <w:rFonts w:ascii="Arial" w:hAnsi="Arial" w:cs="Arial"/>
      <w:sz w:val="18"/>
      <w:szCs w:val="18"/>
    </w:rPr>
  </w:style>
  <w:style w:type="character" w:styleId="Titredulivre">
    <w:name w:val="Book Title"/>
    <w:basedOn w:val="Policepardfaut"/>
    <w:uiPriority w:val="33"/>
    <w:qFormat/>
    <w:rsid w:val="005E2D6E"/>
    <w:rPr>
      <w:b/>
      <w:bCs/>
      <w:i/>
      <w:iCs/>
      <w:spacing w:val="5"/>
    </w:rPr>
  </w:style>
  <w:style w:type="character" w:styleId="Textedelespacerserv">
    <w:name w:val="Placeholder Text"/>
    <w:basedOn w:val="Policepardfaut"/>
    <w:uiPriority w:val="99"/>
    <w:semiHidden/>
    <w:rsid w:val="005E2D6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hyperlink" Target="https://statbel.fgov.be/en/themes/households/taxable-income"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variables%20et%20croisements\2011-2016%20variab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1"/>
          <c:order val="0"/>
          <c:spPr>
            <a:ln w="28575" cap="rnd">
              <a:solidFill>
                <a:schemeClr val="accent2"/>
              </a:solidFill>
              <a:round/>
            </a:ln>
            <a:effectLst/>
          </c:spPr>
          <c:marker>
            <c:symbol val="none"/>
          </c:marker>
          <c:cat>
            <c:numRef>
              <c:f>ScoreLog2011!$S$16:$S$53</c:f>
              <c:numCache>
                <c:formatCode>General</c:formatCode>
                <c:ptCount val="38"/>
                <c:pt idx="0">
                  <c:v>0</c:v>
                </c:pt>
                <c:pt idx="1">
                  <c:v>0.42857139999999999</c:v>
                </c:pt>
                <c:pt idx="2">
                  <c:v>0.5</c:v>
                </c:pt>
                <c:pt idx="3">
                  <c:v>0.57142859999999995</c:v>
                </c:pt>
                <c:pt idx="4">
                  <c:v>0.6</c:v>
                </c:pt>
                <c:pt idx="5">
                  <c:v>0.8</c:v>
                </c:pt>
                <c:pt idx="6">
                  <c:v>0.85714290000000004</c:v>
                </c:pt>
                <c:pt idx="7" formatCode="0.0000">
                  <c:v>1</c:v>
                </c:pt>
                <c:pt idx="8" formatCode="0.0000">
                  <c:v>1.142857</c:v>
                </c:pt>
                <c:pt idx="9" formatCode="0.0000">
                  <c:v>1.2</c:v>
                </c:pt>
                <c:pt idx="10" formatCode="0.0000">
                  <c:v>1.3333330000000001</c:v>
                </c:pt>
                <c:pt idx="11" formatCode="0.0000">
                  <c:v>1.4</c:v>
                </c:pt>
                <c:pt idx="12" formatCode="0.0000">
                  <c:v>1.428571</c:v>
                </c:pt>
                <c:pt idx="13" formatCode="0.0000">
                  <c:v>1.571429</c:v>
                </c:pt>
                <c:pt idx="14" formatCode="0.0000">
                  <c:v>1.6</c:v>
                </c:pt>
                <c:pt idx="15" formatCode="0.0000">
                  <c:v>1.714286</c:v>
                </c:pt>
                <c:pt idx="16" formatCode="0.0000">
                  <c:v>1.8333330000000001</c:v>
                </c:pt>
                <c:pt idx="17" formatCode="0.0000">
                  <c:v>2</c:v>
                </c:pt>
                <c:pt idx="18" formatCode="0.0000">
                  <c:v>2.1428569999999998</c:v>
                </c:pt>
                <c:pt idx="19" formatCode="0.0000">
                  <c:v>2.2000000000000002</c:v>
                </c:pt>
                <c:pt idx="20" formatCode="0.0000">
                  <c:v>2.285714</c:v>
                </c:pt>
                <c:pt idx="21" formatCode="0.0000">
                  <c:v>2.3333330000000001</c:v>
                </c:pt>
                <c:pt idx="22" formatCode="0.0000">
                  <c:v>2.4</c:v>
                </c:pt>
                <c:pt idx="23" formatCode="0.0000">
                  <c:v>2.5714290000000002</c:v>
                </c:pt>
                <c:pt idx="24" formatCode="0.0000">
                  <c:v>2.6666669999999999</c:v>
                </c:pt>
                <c:pt idx="25" formatCode="0.0000">
                  <c:v>2.714286</c:v>
                </c:pt>
                <c:pt idx="26" formatCode="0.0000">
                  <c:v>2.8</c:v>
                </c:pt>
                <c:pt idx="27" formatCode="0.0000">
                  <c:v>2.8571430000000002</c:v>
                </c:pt>
                <c:pt idx="28" formatCode="0.0000">
                  <c:v>3</c:v>
                </c:pt>
                <c:pt idx="29" formatCode="0.0000">
                  <c:v>3.1428569999999998</c:v>
                </c:pt>
                <c:pt idx="30" formatCode="0.0000">
                  <c:v>3.1666669999999999</c:v>
                </c:pt>
                <c:pt idx="31" formatCode="0.0000">
                  <c:v>3.2</c:v>
                </c:pt>
                <c:pt idx="32" formatCode="0.0000">
                  <c:v>3.285714</c:v>
                </c:pt>
                <c:pt idx="33" formatCode="0.0000">
                  <c:v>3.4285709999999998</c:v>
                </c:pt>
                <c:pt idx="34" formatCode="0.0000">
                  <c:v>3.6</c:v>
                </c:pt>
                <c:pt idx="35" formatCode="0.0000">
                  <c:v>3.6666669999999999</c:v>
                </c:pt>
                <c:pt idx="36" formatCode="0.0000">
                  <c:v>3.714286</c:v>
                </c:pt>
                <c:pt idx="37" formatCode="0.0000">
                  <c:v>4</c:v>
                </c:pt>
              </c:numCache>
            </c:numRef>
          </c:cat>
          <c:val>
            <c:numRef>
              <c:f>ScoreLog2011!$T$16:$T$53</c:f>
              <c:numCache>
                <c:formatCode>#,##0</c:formatCode>
                <c:ptCount val="38"/>
                <c:pt idx="0">
                  <c:v>3334</c:v>
                </c:pt>
                <c:pt idx="1">
                  <c:v>8512</c:v>
                </c:pt>
                <c:pt idx="2" formatCode="General">
                  <c:v>704</c:v>
                </c:pt>
                <c:pt idx="3" formatCode="General">
                  <c:v>698</c:v>
                </c:pt>
                <c:pt idx="4">
                  <c:v>1024</c:v>
                </c:pt>
                <c:pt idx="5">
                  <c:v>3677</c:v>
                </c:pt>
                <c:pt idx="6">
                  <c:v>6163</c:v>
                </c:pt>
                <c:pt idx="7">
                  <c:v>2558</c:v>
                </c:pt>
                <c:pt idx="8">
                  <c:v>35658</c:v>
                </c:pt>
                <c:pt idx="9" formatCode="General">
                  <c:v>727</c:v>
                </c:pt>
                <c:pt idx="10">
                  <c:v>50329</c:v>
                </c:pt>
                <c:pt idx="11">
                  <c:v>6103</c:v>
                </c:pt>
                <c:pt idx="12">
                  <c:v>1121</c:v>
                </c:pt>
                <c:pt idx="13">
                  <c:v>138079</c:v>
                </c:pt>
                <c:pt idx="14">
                  <c:v>3908</c:v>
                </c:pt>
                <c:pt idx="15">
                  <c:v>177233</c:v>
                </c:pt>
                <c:pt idx="16">
                  <c:v>114821</c:v>
                </c:pt>
                <c:pt idx="17">
                  <c:v>95189</c:v>
                </c:pt>
                <c:pt idx="18">
                  <c:v>787954</c:v>
                </c:pt>
                <c:pt idx="19">
                  <c:v>2201</c:v>
                </c:pt>
                <c:pt idx="20">
                  <c:v>156200</c:v>
                </c:pt>
                <c:pt idx="21">
                  <c:v>62356</c:v>
                </c:pt>
                <c:pt idx="22">
                  <c:v>49978</c:v>
                </c:pt>
                <c:pt idx="23">
                  <c:v>519059</c:v>
                </c:pt>
                <c:pt idx="24">
                  <c:v>120224</c:v>
                </c:pt>
                <c:pt idx="25">
                  <c:v>324331</c:v>
                </c:pt>
                <c:pt idx="26">
                  <c:v>1630</c:v>
                </c:pt>
                <c:pt idx="27">
                  <c:v>774104</c:v>
                </c:pt>
                <c:pt idx="28">
                  <c:v>5544</c:v>
                </c:pt>
                <c:pt idx="29">
                  <c:v>239492</c:v>
                </c:pt>
                <c:pt idx="30">
                  <c:v>111669</c:v>
                </c:pt>
                <c:pt idx="31">
                  <c:v>2959</c:v>
                </c:pt>
                <c:pt idx="32">
                  <c:v>2670853</c:v>
                </c:pt>
                <c:pt idx="33">
                  <c:v>260227</c:v>
                </c:pt>
                <c:pt idx="34">
                  <c:v>2588</c:v>
                </c:pt>
                <c:pt idx="35">
                  <c:v>60431</c:v>
                </c:pt>
                <c:pt idx="36">
                  <c:v>1720333</c:v>
                </c:pt>
                <c:pt idx="37">
                  <c:v>1689890</c:v>
                </c:pt>
              </c:numCache>
            </c:numRef>
          </c:val>
          <c:smooth val="0"/>
          <c:extLst>
            <c:ext xmlns:c16="http://schemas.microsoft.com/office/drawing/2014/chart" uri="{C3380CC4-5D6E-409C-BE32-E72D297353CC}">
              <c16:uniqueId val="{00000000-3FE1-42EE-95CC-138B1E27DD83}"/>
            </c:ext>
          </c:extLst>
        </c:ser>
        <c:dLbls>
          <c:showLegendKey val="0"/>
          <c:showVal val="0"/>
          <c:showCatName val="0"/>
          <c:showSerName val="0"/>
          <c:showPercent val="0"/>
          <c:showBubbleSize val="0"/>
        </c:dLbls>
        <c:smooth val="0"/>
        <c:axId val="441318936"/>
        <c:axId val="441315800"/>
      </c:lineChart>
      <c:catAx>
        <c:axId val="441318936"/>
        <c:scaling>
          <c:orientation val="minMax"/>
        </c:scaling>
        <c:delete val="0"/>
        <c:axPos val="b"/>
        <c:numFmt formatCode="#,##0.0"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41315800"/>
        <c:crosses val="autoZero"/>
        <c:auto val="1"/>
        <c:lblAlgn val="ctr"/>
        <c:lblOffset val="100"/>
        <c:tickLblSkip val="4"/>
        <c:tickMarkSkip val="2"/>
        <c:noMultiLvlLbl val="0"/>
      </c:catAx>
      <c:valAx>
        <c:axId val="4413158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4413189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31</Pages>
  <Words>9202</Words>
  <Characters>50616</Characters>
  <Application>Microsoft Office Word</Application>
  <DocSecurity>0</DocSecurity>
  <Lines>421</Lines>
  <Paragraphs>119</Paragraphs>
  <ScaleCrop>false</ScaleCrop>
  <Company/>
  <LinksUpToDate>false</LinksUpToDate>
  <CharactersWithSpaces>59699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 Jany Damiens</dc:creator>
  <cp:keywords/>
  <dc:description/>
  <cp:lastModifiedBy>Joan Jany Damiens</cp:lastModifiedBy>
  <cp:revision>1</cp:revision>
  <dcterms:created xsi:type="dcterms:W3CDTF">2021-01-07T12:14:00Z</dcterms:created>
  <dcterms:modified xsi:type="dcterms:W3CDTF">2021-01-07T12:15:00Z</dcterms:modified>
</cp:coreProperties>
</file>