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73626" w14:textId="77777777" w:rsidR="000D098F" w:rsidRPr="000D098F" w:rsidRDefault="000D098F" w:rsidP="000D098F">
      <w:pPr>
        <w:rPr>
          <w:rFonts w:ascii="Times" w:hAnsi="Times"/>
          <w:color w:val="auto"/>
          <w:szCs w:val="22"/>
        </w:rPr>
      </w:pPr>
      <w:r w:rsidRPr="000D098F">
        <w:rPr>
          <w:rFonts w:ascii="Times" w:hAnsi="Times"/>
          <w:color w:val="auto"/>
          <w:szCs w:val="22"/>
        </w:rPr>
        <w:t>COMPREHENSION/INTERPRETATION/INFERENCE</w:t>
      </w:r>
    </w:p>
    <w:p w14:paraId="58D53DCC" w14:textId="77777777" w:rsidR="000D098F" w:rsidRPr="00D21308" w:rsidRDefault="000D098F" w:rsidP="000D098F">
      <w:pPr>
        <w:spacing w:after="0"/>
        <w:rPr>
          <w:rFonts w:ascii="Times" w:hAnsi="Times"/>
          <w:szCs w:val="22"/>
        </w:rPr>
      </w:pPr>
      <w:r w:rsidRPr="00D21308">
        <w:rPr>
          <w:rFonts w:ascii="Times" w:hAnsi="Times"/>
          <w:szCs w:val="22"/>
        </w:rPr>
        <w:t xml:space="preserve">Les notions de compréhension et d’interprétation, souvent présentées comme un couple infernal, sont loin de faire consensus parmi les psychologues de la cognition et les didacticiens de la lecture et de la littérature. La notion d’inférence peut-elle aider à les distinguer l’une de l’autre ? </w:t>
      </w:r>
    </w:p>
    <w:p w14:paraId="07B0ADD4" w14:textId="77777777" w:rsidR="000D098F" w:rsidRPr="00D21308" w:rsidRDefault="000D098F" w:rsidP="000D098F">
      <w:pPr>
        <w:spacing w:after="0"/>
        <w:rPr>
          <w:rFonts w:ascii="Times" w:hAnsi="Times"/>
          <w:szCs w:val="22"/>
        </w:rPr>
      </w:pPr>
      <w:r w:rsidRPr="00D21308">
        <w:rPr>
          <w:rFonts w:ascii="Times" w:hAnsi="Times"/>
          <w:szCs w:val="22"/>
        </w:rPr>
        <w:t>Dans le domaine de l’enseignement et de l’apprentissage de la lecture, les psychologues de la cognition, se préoccupent essentiellement de définir la compréhension et d’appréhender les processus qui la sous-tendent, faisant le plus souvent de l’interprétation une opération ultérieure et d’une autre nature. Les processus de compréhension sont considérés comme des processus généraux de l’activité cognitive utilisés par l’individu dans diverses situations</w:t>
      </w:r>
      <w:r w:rsidR="001934ED" w:rsidRPr="001934ED">
        <w:rPr>
          <w:rStyle w:val="Marquenotebasdepage"/>
          <w:rFonts w:ascii="Times" w:hAnsi="Times"/>
          <w:sz w:val="24"/>
          <w:szCs w:val="24"/>
        </w:rPr>
        <w:footnoteReference w:id="1"/>
      </w:r>
      <w:r w:rsidR="001934ED">
        <w:rPr>
          <w:rFonts w:ascii="Times" w:hAnsi="Times"/>
          <w:szCs w:val="22"/>
        </w:rPr>
        <w:t>.</w:t>
      </w:r>
      <w:r w:rsidRPr="00D21308">
        <w:rPr>
          <w:rFonts w:ascii="Times" w:hAnsi="Times"/>
          <w:szCs w:val="22"/>
        </w:rPr>
        <w:t xml:space="preserve"> Qu’une histoire soit lue par l’enfant lui-même (mode visuel), écoutée (mode auditif), ou encore regardée à la télévision ou sur un écran (mode audiovisuel), sa compréhension implique invariablement l’interprétation des informations qui la composent, l’utilisation des connaissances générales dont l’individu dispose pour le faire</w:t>
      </w:r>
      <w:r w:rsidR="001934ED" w:rsidRPr="001934ED">
        <w:rPr>
          <w:rStyle w:val="Marquenotebasdepage"/>
          <w:rFonts w:ascii="Times" w:hAnsi="Times"/>
          <w:szCs w:val="22"/>
        </w:rPr>
        <w:footnoteReference w:id="2"/>
      </w:r>
      <w:r w:rsidRPr="00D21308">
        <w:rPr>
          <w:rFonts w:ascii="Times" w:hAnsi="Times"/>
          <w:szCs w:val="22"/>
        </w:rPr>
        <w:t>, afin d’aboutir à la construction d’une représentation cohérente de la situation décrite</w:t>
      </w:r>
      <w:r w:rsidR="001934ED" w:rsidRPr="001934ED">
        <w:rPr>
          <w:rStyle w:val="Marquenotebasdepage"/>
          <w:rFonts w:ascii="Times Roman" w:hAnsi="Times Roman" w:cs="Times New Roman"/>
          <w:szCs w:val="22"/>
        </w:rPr>
        <w:footnoteReference w:id="3"/>
      </w:r>
      <w:r w:rsidRPr="00D21308">
        <w:rPr>
          <w:rFonts w:ascii="Times" w:hAnsi="Times"/>
          <w:szCs w:val="22"/>
        </w:rPr>
        <w:t>. Cette représentation mentale (ou « modèle de situation ») est ce sur quoi l’individu va s’appuyer pour raconter l’histoire qu’il vient de découvrir, pour identifier le thème général, pour évaluer de manière critique le contenu de l’histoire… L’élaboration de cette représentation signifiante de la situation, de ce « réseau représentationnel » est « sensible » à trois compétences de haut niveau : l’utilisation des connaissances en matière de structuration du récit ; la liaison des informations entre elles, qui nécessite de produire des inférences, notamment causales (soit à partir des informations fournies dans le texte, soit en utilisant ses connaissances) et l’auto-évaluation par le lecteur de sa compréhension</w:t>
      </w:r>
      <w:r w:rsidR="001934ED">
        <w:rPr>
          <w:rStyle w:val="Marquenotebasdepage"/>
          <w:rFonts w:ascii="Times" w:hAnsi="Times"/>
          <w:szCs w:val="22"/>
        </w:rPr>
        <w:footnoteReference w:id="4"/>
      </w:r>
      <w:r w:rsidR="001934ED">
        <w:rPr>
          <w:rFonts w:ascii="Times" w:hAnsi="Times"/>
          <w:szCs w:val="22"/>
        </w:rPr>
        <w:t xml:space="preserve">. </w:t>
      </w:r>
      <w:proofErr w:type="spellStart"/>
      <w:r w:rsidR="001934ED">
        <w:rPr>
          <w:rFonts w:ascii="Times" w:hAnsi="Times"/>
          <w:szCs w:val="22"/>
        </w:rPr>
        <w:t>Cèbe</w:t>
      </w:r>
      <w:proofErr w:type="spellEnd"/>
      <w:r w:rsidR="001934ED">
        <w:rPr>
          <w:rFonts w:ascii="Times" w:hAnsi="Times"/>
          <w:szCs w:val="22"/>
        </w:rPr>
        <w:t xml:space="preserve"> et </w:t>
      </w:r>
      <w:proofErr w:type="spellStart"/>
      <w:r w:rsidR="001934ED">
        <w:rPr>
          <w:rFonts w:ascii="Times" w:hAnsi="Times"/>
          <w:szCs w:val="22"/>
        </w:rPr>
        <w:t>Goigoux</w:t>
      </w:r>
      <w:proofErr w:type="spellEnd"/>
      <w:r w:rsidRPr="00D21308">
        <w:rPr>
          <w:rFonts w:ascii="Times" w:hAnsi="Times"/>
          <w:szCs w:val="22"/>
        </w:rPr>
        <w:t xml:space="preserve"> insistent, quant à eux, sur le caractère cyclique du processus d’intégration des informations nouvelles aux informations anciennes et sur le caractère indissociable de la compréhension et de la mémorisation des idées du texte, laquelle exige tout au long de la lecture un effort conscient</w:t>
      </w:r>
      <w:r w:rsidR="001934ED">
        <w:rPr>
          <w:rStyle w:val="Marquenotebasdepage"/>
          <w:rFonts w:ascii="Times" w:hAnsi="Times"/>
          <w:szCs w:val="22"/>
        </w:rPr>
        <w:footnoteReference w:id="5"/>
      </w:r>
      <w:r w:rsidRPr="00D21308">
        <w:rPr>
          <w:rFonts w:ascii="Times" w:hAnsi="Times"/>
          <w:szCs w:val="22"/>
        </w:rPr>
        <w:t>. Ils mettent en évidence le rôle prépondérant des inférences, qu’ils définissent comme la capacité à tirer des conclusions qui ne sont pas explicitement écrites dans le texte. Cela suppose que le lecteur mette en relation les informations présentes dans le texte de manière éparse (inférences de liaison) et qu’il lie ces dernières avec sa base de connaissances (inférences pragmatiques ou « élaborations »). Certains psycholinguistes, comme Michel Fayol</w:t>
      </w:r>
      <w:r w:rsidR="001934ED">
        <w:rPr>
          <w:rStyle w:val="Marquenotebasdepage"/>
          <w:rFonts w:ascii="Times" w:hAnsi="Times"/>
          <w:szCs w:val="22"/>
        </w:rPr>
        <w:footnoteReference w:id="6"/>
      </w:r>
      <w:r w:rsidRPr="00D21308">
        <w:rPr>
          <w:rFonts w:ascii="Times" w:hAnsi="Times"/>
          <w:szCs w:val="22"/>
        </w:rPr>
        <w:t xml:space="preserve">, distinguent d’ailleurs la compréhension littérale, qui s’appuie sur le traitement lexical et syntaxique du texte, de la compréhension </w:t>
      </w:r>
      <w:proofErr w:type="spellStart"/>
      <w:r w:rsidRPr="00D21308">
        <w:rPr>
          <w:rFonts w:ascii="Times" w:hAnsi="Times"/>
          <w:szCs w:val="22"/>
        </w:rPr>
        <w:t>inférentielle</w:t>
      </w:r>
      <w:proofErr w:type="spellEnd"/>
      <w:r w:rsidRPr="00D21308">
        <w:rPr>
          <w:rFonts w:ascii="Times" w:hAnsi="Times"/>
          <w:szCs w:val="22"/>
        </w:rPr>
        <w:t xml:space="preserve"> qui présuppose des opérations d’intégration (mise en relation des énoncés), d’extraction (sélection et hiérarchisation des données) et d’élaboration (mise en relation du texte et des expériences et savoirs personnels du lecteur). Si cette distinction permet de découper assez précisément l’expérience du lecteur, on peut toutefois se demander « s’il existe des "compréhensions" qui ne seraient que littérales, parce qu’elles se dérouleraient sans la moindre production </w:t>
      </w:r>
      <w:proofErr w:type="spellStart"/>
      <w:r w:rsidRPr="00D21308">
        <w:rPr>
          <w:rFonts w:ascii="Times" w:hAnsi="Times"/>
          <w:szCs w:val="22"/>
        </w:rPr>
        <w:t>inférentielle</w:t>
      </w:r>
      <w:proofErr w:type="spellEnd"/>
      <w:r w:rsidRPr="00D21308">
        <w:rPr>
          <w:rFonts w:ascii="Times" w:hAnsi="Times"/>
          <w:szCs w:val="22"/>
        </w:rPr>
        <w:t> »</w:t>
      </w:r>
      <w:r w:rsidR="001934ED">
        <w:rPr>
          <w:rStyle w:val="Marquenotebasdepage"/>
          <w:rFonts w:ascii="Times" w:hAnsi="Times"/>
          <w:szCs w:val="22"/>
        </w:rPr>
        <w:footnoteReference w:id="7"/>
      </w:r>
      <w:r w:rsidR="001934ED">
        <w:rPr>
          <w:rFonts w:ascii="Times" w:hAnsi="Times"/>
          <w:szCs w:val="22"/>
        </w:rPr>
        <w:t xml:space="preserve">. </w:t>
      </w:r>
      <w:r w:rsidRPr="00D21308">
        <w:rPr>
          <w:rFonts w:ascii="Times" w:hAnsi="Times"/>
          <w:szCs w:val="22"/>
        </w:rPr>
        <w:t xml:space="preserve">L’inférence ne semble ainsi pas être la ligne de démarcation entre compréhension et interprétation. </w:t>
      </w:r>
    </w:p>
    <w:p w14:paraId="20095504" w14:textId="77777777" w:rsidR="000D098F" w:rsidRPr="00D21308" w:rsidRDefault="000D098F" w:rsidP="000D098F">
      <w:pPr>
        <w:spacing w:after="0"/>
        <w:rPr>
          <w:rFonts w:ascii="Times" w:hAnsi="Times"/>
          <w:szCs w:val="22"/>
        </w:rPr>
      </w:pPr>
      <w:r w:rsidRPr="00D21308">
        <w:rPr>
          <w:rFonts w:ascii="Times" w:hAnsi="Times"/>
          <w:szCs w:val="22"/>
        </w:rPr>
        <w:t xml:space="preserve">Dans le domaine de l’enseignement et de l’apprentissage de la littérature, les notions de « compréhension » et d’« interprétation » désignent tour à tour, selon les modèles considérés, des « processus », des « activités », des « attitudes », des « postures »… Elles sont situées, voire ordonnées et hiérarchisées, sur un axe qui met en tension « automaticité et acte délibéré », « succession et simultanéité », « unicité et pluralité », « droits du texte et droits du lecteur  ou de la communauté interprétative ». Examinons succinctement ces principaux critères de distinction. </w:t>
      </w:r>
    </w:p>
    <w:p w14:paraId="210F3A5F" w14:textId="77777777" w:rsidR="000D098F" w:rsidRPr="00D21308" w:rsidRDefault="000D098F" w:rsidP="000D098F">
      <w:pPr>
        <w:spacing w:after="0"/>
        <w:rPr>
          <w:rFonts w:ascii="Times" w:hAnsi="Times"/>
          <w:szCs w:val="22"/>
        </w:rPr>
      </w:pPr>
      <w:r w:rsidRPr="00D21308">
        <w:rPr>
          <w:rFonts w:ascii="Times" w:hAnsi="Times"/>
          <w:szCs w:val="22"/>
        </w:rPr>
        <w:t>Plusieurs modèles font de la compréhension un processus automatisé, ce que ne serait pas l’interprétation. C’est notamment ce paramètre qui conduit Gervais à distinguer la compréhension (dimension sémiotique) qui concerne « cette fraction de la saisie du texte qui ne pose aucune difficulté » de l’interprétation (dimension symbolique ou culturelle) qu’il définit comme une « opération complémentaire […] qui sert à résoudre une illisibilité résiduelle de l’acte de compréhension »</w:t>
      </w:r>
      <w:r w:rsidR="001934ED">
        <w:rPr>
          <w:rStyle w:val="Marquenotebasdepage"/>
          <w:rFonts w:ascii="Times" w:hAnsi="Times"/>
          <w:szCs w:val="22"/>
        </w:rPr>
        <w:footnoteReference w:id="8"/>
      </w:r>
      <w:r w:rsidRPr="00D21308">
        <w:rPr>
          <w:rFonts w:ascii="Times" w:hAnsi="Times"/>
          <w:szCs w:val="22"/>
        </w:rPr>
        <w:t xml:space="preserve">. De même, pour </w:t>
      </w:r>
      <w:proofErr w:type="spellStart"/>
      <w:r w:rsidRPr="00D21308">
        <w:rPr>
          <w:rFonts w:ascii="Times" w:hAnsi="Times"/>
          <w:szCs w:val="22"/>
        </w:rPr>
        <w:t>Vandendorpe</w:t>
      </w:r>
      <w:proofErr w:type="spellEnd"/>
      <w:r w:rsidR="001934ED">
        <w:rPr>
          <w:rStyle w:val="Marquenotebasdepage"/>
          <w:rFonts w:ascii="Times" w:hAnsi="Times"/>
          <w:szCs w:val="22"/>
        </w:rPr>
        <w:footnoteReference w:id="9"/>
      </w:r>
      <w:r w:rsidRPr="00D21308">
        <w:rPr>
          <w:rFonts w:ascii="Times" w:hAnsi="Times"/>
          <w:szCs w:val="22"/>
        </w:rPr>
        <w:t xml:space="preserve">, la compréhension relève de processus automatiques, </w:t>
      </w:r>
      <w:r w:rsidRPr="00D21308">
        <w:rPr>
          <w:rFonts w:ascii="Times" w:hAnsi="Times"/>
          <w:szCs w:val="22"/>
        </w:rPr>
        <w:lastRenderedPageBreak/>
        <w:t xml:space="preserve">alors que l’interprétation fait appel à des procédures délibérées (grâce à des stratégies construites dès l’enfance). Selon </w:t>
      </w:r>
      <w:proofErr w:type="spellStart"/>
      <w:r w:rsidRPr="00D21308">
        <w:rPr>
          <w:rFonts w:ascii="Times" w:hAnsi="Times"/>
          <w:szCs w:val="22"/>
        </w:rPr>
        <w:t>Tauveron</w:t>
      </w:r>
      <w:proofErr w:type="spellEnd"/>
      <w:r w:rsidRPr="00D21308">
        <w:rPr>
          <w:rFonts w:ascii="Times" w:hAnsi="Times"/>
          <w:szCs w:val="22"/>
        </w:rPr>
        <w:t>, la compréhension d’un récit est un « processus qui s’opère principalement à partir de l’identification du mobile et du but du personnage principal ainsi que du rôle tenu par les autres personnages dans la réalisation de son projet et qui aboutit à la reconstruction d’une macrostructure sémantique »</w:t>
      </w:r>
      <w:r w:rsidR="001934ED">
        <w:rPr>
          <w:rStyle w:val="Marquenotebasdepage"/>
          <w:rFonts w:ascii="Times" w:hAnsi="Times"/>
          <w:szCs w:val="22"/>
        </w:rPr>
        <w:footnoteReference w:id="10"/>
      </w:r>
      <w:r w:rsidRPr="00D21308">
        <w:rPr>
          <w:rFonts w:ascii="Times" w:hAnsi="Times"/>
          <w:szCs w:val="22"/>
        </w:rPr>
        <w:t>. Il s’agit d’un processus automatisé tandis que l’interprétation est un travail conscient et volontaire sur le sens, une résolution de problèmes d’ordres très divers qui se présentent au lecteur</w:t>
      </w:r>
      <w:r w:rsidR="001934ED">
        <w:rPr>
          <w:rStyle w:val="Marquenotebasdepage"/>
          <w:rFonts w:ascii="Times" w:hAnsi="Times"/>
          <w:szCs w:val="22"/>
        </w:rPr>
        <w:footnoteReference w:id="11"/>
      </w:r>
      <w:r w:rsidR="001934ED">
        <w:rPr>
          <w:rFonts w:ascii="Times" w:hAnsi="Times"/>
          <w:szCs w:val="22"/>
        </w:rPr>
        <w:t>.</w:t>
      </w:r>
    </w:p>
    <w:p w14:paraId="603EFFAA" w14:textId="77777777" w:rsidR="000D098F" w:rsidRPr="00D21308" w:rsidRDefault="000D098F" w:rsidP="000D098F">
      <w:pPr>
        <w:spacing w:after="0"/>
        <w:rPr>
          <w:rFonts w:ascii="Times" w:hAnsi="Times"/>
          <w:szCs w:val="22"/>
        </w:rPr>
      </w:pPr>
      <w:r w:rsidRPr="00D21308">
        <w:rPr>
          <w:rFonts w:ascii="Times" w:hAnsi="Times"/>
          <w:szCs w:val="22"/>
        </w:rPr>
        <w:t>Automatisé, le processus de compréhension précèderait également l’interprétation. Sur ce deuxième critère de distinction, relatif à l’ordre chronologique de ces deux opérations, les chercheurs ne se rejoignent pa</w:t>
      </w:r>
      <w:r w:rsidR="001934ED">
        <w:rPr>
          <w:rFonts w:ascii="Times" w:hAnsi="Times"/>
          <w:szCs w:val="22"/>
        </w:rPr>
        <w:t xml:space="preserve">s tous. Selon </w:t>
      </w:r>
      <w:proofErr w:type="spellStart"/>
      <w:r w:rsidR="001934ED">
        <w:rPr>
          <w:rFonts w:ascii="Times" w:hAnsi="Times"/>
          <w:szCs w:val="22"/>
        </w:rPr>
        <w:t>Vandendorpe</w:t>
      </w:r>
      <w:proofErr w:type="spellEnd"/>
      <w:r w:rsidRPr="00D21308">
        <w:rPr>
          <w:rFonts w:ascii="Times" w:hAnsi="Times"/>
          <w:szCs w:val="22"/>
        </w:rPr>
        <w:t>, la tradition herméneutique a toujours posé l’interprétation comme une activité de lecture postérieure à la compréhension</w:t>
      </w:r>
      <w:r w:rsidR="001934ED">
        <w:rPr>
          <w:rStyle w:val="Marquenotebasdepage"/>
          <w:rFonts w:ascii="Times" w:hAnsi="Times"/>
          <w:szCs w:val="22"/>
        </w:rPr>
        <w:footnoteReference w:id="12"/>
      </w:r>
      <w:r w:rsidRPr="00D21308">
        <w:rPr>
          <w:rFonts w:ascii="Times" w:hAnsi="Times"/>
          <w:szCs w:val="22"/>
        </w:rPr>
        <w:t xml:space="preserve">. L’interprétation est alors vue comme une compétence plus difficile à maitriser. Ainsi, selon </w:t>
      </w:r>
      <w:proofErr w:type="spellStart"/>
      <w:r w:rsidRPr="00D21308">
        <w:rPr>
          <w:rFonts w:ascii="Times" w:hAnsi="Times"/>
          <w:szCs w:val="22"/>
        </w:rPr>
        <w:t>Dufays</w:t>
      </w:r>
      <w:proofErr w:type="spellEnd"/>
      <w:r w:rsidRPr="00D21308">
        <w:rPr>
          <w:rFonts w:ascii="Times" w:hAnsi="Times"/>
          <w:szCs w:val="22"/>
        </w:rPr>
        <w:t>, « l’interprétation est […] toujours seconde par rapport à la compréhension et résulte d’une déception que le lecteur éprouve à propos de celle-ci » : il pressent que divers signes n’ont pas été intégrés dans son schéma sémantique et approfondit ses hypothèses, sans forcément annuler le premier schéma</w:t>
      </w:r>
      <w:r w:rsidR="001934ED">
        <w:rPr>
          <w:rStyle w:val="Marquenotebasdepage"/>
          <w:rFonts w:ascii="Times" w:hAnsi="Times"/>
          <w:szCs w:val="22"/>
        </w:rPr>
        <w:footnoteReference w:id="13"/>
      </w:r>
      <w:r w:rsidR="001934ED">
        <w:rPr>
          <w:rFonts w:ascii="Times" w:hAnsi="Times"/>
          <w:szCs w:val="22"/>
        </w:rPr>
        <w:t xml:space="preserve">. </w:t>
      </w:r>
      <w:r w:rsidRPr="00D21308">
        <w:rPr>
          <w:rFonts w:ascii="Times" w:hAnsi="Times" w:cs="Times New Roman"/>
          <w:szCs w:val="22"/>
          <w:lang w:val="fr-BE"/>
        </w:rPr>
        <w:t xml:space="preserve">L’interprétation n’est </w:t>
      </w:r>
      <w:r w:rsidRPr="00D21308">
        <w:rPr>
          <w:rFonts w:ascii="Times" w:hAnsi="Times"/>
          <w:szCs w:val="22"/>
        </w:rPr>
        <w:t>déclenchée que lorsque la compréhension atteint ses limites</w:t>
      </w:r>
      <w:r w:rsidR="001934ED">
        <w:rPr>
          <w:rStyle w:val="Marquenotebasdepage"/>
          <w:rFonts w:ascii="Times" w:hAnsi="Times"/>
          <w:szCs w:val="22"/>
        </w:rPr>
        <w:footnoteReference w:id="14"/>
      </w:r>
      <w:r w:rsidRPr="00D21308">
        <w:rPr>
          <w:rFonts w:ascii="Times" w:hAnsi="Times"/>
          <w:szCs w:val="22"/>
        </w:rPr>
        <w:t xml:space="preserve">. D’autres didacticiens, en revanche, </w:t>
      </w:r>
      <w:r w:rsidRPr="00D21308">
        <w:rPr>
          <w:rFonts w:ascii="Times" w:hAnsi="Times" w:cs="Times New Roman"/>
          <w:szCs w:val="22"/>
          <w:lang w:val="fr-BE"/>
        </w:rPr>
        <w:t>situent l’interprétation en amont de la compréhension</w:t>
      </w:r>
      <w:r w:rsidR="001934ED">
        <w:rPr>
          <w:rStyle w:val="Marquenotebasdepage"/>
          <w:rFonts w:ascii="Times" w:hAnsi="Times" w:cs="Times New Roman"/>
          <w:szCs w:val="22"/>
          <w:lang w:val="fr-BE"/>
        </w:rPr>
        <w:footnoteReference w:id="15"/>
      </w:r>
      <w:r w:rsidRPr="00D21308">
        <w:rPr>
          <w:rFonts w:ascii="Times" w:hAnsi="Times"/>
          <w:szCs w:val="22"/>
        </w:rPr>
        <w:t xml:space="preserve"> </w:t>
      </w:r>
      <w:r w:rsidRPr="00D21308">
        <w:rPr>
          <w:rFonts w:ascii="Times" w:hAnsi="Times" w:cs="Times New Roman"/>
          <w:szCs w:val="22"/>
          <w:lang w:val="fr-BE"/>
        </w:rPr>
        <w:t xml:space="preserve">ou considèrent que </w:t>
      </w:r>
      <w:r w:rsidRPr="00D21308">
        <w:rPr>
          <w:rFonts w:ascii="Times" w:hAnsi="Times"/>
          <w:szCs w:val="22"/>
        </w:rPr>
        <w:t>le processus interprétatif, loin d’être un processus second réservé aux seuls ainés ou experts, est intégré dialectiquement à la compréhension dans un rapport d’inclusion et non de succession</w:t>
      </w:r>
      <w:r w:rsidR="005A4FAD">
        <w:rPr>
          <w:rStyle w:val="Marquenotebasdepage"/>
          <w:rFonts w:ascii="Times" w:hAnsi="Times"/>
          <w:szCs w:val="22"/>
        </w:rPr>
        <w:footnoteReference w:id="16"/>
      </w:r>
      <w:r w:rsidRPr="00D21308">
        <w:rPr>
          <w:rFonts w:ascii="Times" w:hAnsi="Times" w:cs="Times New Roman"/>
          <w:szCs w:val="22"/>
          <w:lang w:val="fr-BE"/>
        </w:rPr>
        <w:t xml:space="preserve"> ou agit en concominante avec la compréhension, l’une puisant dans les signes produits par l’autre</w:t>
      </w:r>
      <w:r w:rsidR="005A4FAD">
        <w:rPr>
          <w:rStyle w:val="Marquenotebasdepage"/>
          <w:rFonts w:ascii="Times" w:hAnsi="Times" w:cs="Times New Roman"/>
          <w:szCs w:val="22"/>
          <w:lang w:val="fr-BE"/>
        </w:rPr>
        <w:footnoteReference w:id="17"/>
      </w:r>
      <w:r w:rsidRPr="00D21308">
        <w:rPr>
          <w:rFonts w:ascii="Times" w:hAnsi="Times" w:cs="Times New Roman"/>
          <w:szCs w:val="22"/>
          <w:lang w:val="fr-BE"/>
        </w:rPr>
        <w:t xml:space="preserve">. </w:t>
      </w:r>
    </w:p>
    <w:p w14:paraId="6BE2FC97" w14:textId="77777777" w:rsidR="000D098F" w:rsidRPr="00D21308" w:rsidRDefault="000D098F" w:rsidP="000D098F">
      <w:pPr>
        <w:spacing w:after="0"/>
        <w:rPr>
          <w:rFonts w:ascii="Times" w:hAnsi="Times"/>
          <w:szCs w:val="22"/>
        </w:rPr>
      </w:pPr>
      <w:r w:rsidRPr="00D21308">
        <w:rPr>
          <w:rFonts w:ascii="Times" w:hAnsi="Times"/>
          <w:szCs w:val="22"/>
        </w:rPr>
        <w:t>En outre – il s’agit d’un troisième critère de distinction possible –, si la compréhension est perçue comme la construction du sens à partir des éléments explicites et implicites du texte, l’interprétation est généralement associée à une activité de spéculation sur le « pluriel du texte »</w:t>
      </w:r>
      <w:r w:rsidR="005A4FAD">
        <w:rPr>
          <w:rStyle w:val="Marquenotebasdepage"/>
          <w:rFonts w:ascii="Times" w:hAnsi="Times"/>
          <w:szCs w:val="22"/>
        </w:rPr>
        <w:footnoteReference w:id="18"/>
      </w:r>
      <w:r w:rsidRPr="00D21308">
        <w:rPr>
          <w:rFonts w:ascii="Times" w:hAnsi="Times"/>
          <w:szCs w:val="22"/>
        </w:rPr>
        <w:t>, qui débouche sur un « foisonnement interprétatif », « le jeu d’</w:t>
      </w:r>
      <w:proofErr w:type="spellStart"/>
      <w:r w:rsidRPr="00D21308">
        <w:rPr>
          <w:rFonts w:ascii="Times" w:hAnsi="Times"/>
          <w:szCs w:val="22"/>
        </w:rPr>
        <w:t>interprétance</w:t>
      </w:r>
      <w:proofErr w:type="spellEnd"/>
      <w:r w:rsidRPr="00D21308">
        <w:rPr>
          <w:rFonts w:ascii="Times" w:hAnsi="Times"/>
          <w:szCs w:val="22"/>
        </w:rPr>
        <w:t xml:space="preserve"> [étant] potentiellement illimité »</w:t>
      </w:r>
      <w:r w:rsidR="005A4FAD">
        <w:rPr>
          <w:rStyle w:val="Marquenotebasdepage"/>
          <w:rFonts w:ascii="Times" w:hAnsi="Times"/>
          <w:szCs w:val="22"/>
        </w:rPr>
        <w:footnoteReference w:id="19"/>
      </w:r>
      <w:r w:rsidRPr="00D21308">
        <w:rPr>
          <w:rFonts w:ascii="Times" w:hAnsi="Times"/>
          <w:szCs w:val="22"/>
        </w:rPr>
        <w:t xml:space="preserve">. Selon </w:t>
      </w:r>
      <w:proofErr w:type="spellStart"/>
      <w:r w:rsidRPr="00D21308">
        <w:rPr>
          <w:rFonts w:ascii="Times" w:hAnsi="Times"/>
          <w:szCs w:val="22"/>
        </w:rPr>
        <w:t>Falardeau</w:t>
      </w:r>
      <w:proofErr w:type="spellEnd"/>
      <w:r w:rsidRPr="00D21308">
        <w:rPr>
          <w:rFonts w:ascii="Times" w:hAnsi="Times"/>
          <w:szCs w:val="22"/>
        </w:rPr>
        <w:t>, la compréhension vient d’abord du texte et exige du lecteur qu’il s’écarte de la microstructure lexicale et syntaxique pour bâtir une structure globalisante qui rende intelligibles les informations essentielles du contenu du texte, tandis que l’interprétation provient de l’extérieur du texte et exige du lecteur une exploration des récurrences et des possibles signifiants afin de créer de nouveaux signes, construits par l’interprète</w:t>
      </w:r>
      <w:r w:rsidR="005A4FAD">
        <w:rPr>
          <w:rStyle w:val="Marquenotebasdepage"/>
          <w:rFonts w:ascii="Times" w:hAnsi="Times"/>
          <w:szCs w:val="22"/>
        </w:rPr>
        <w:footnoteReference w:id="20"/>
      </w:r>
      <w:r w:rsidRPr="00D21308">
        <w:rPr>
          <w:rFonts w:ascii="Times" w:hAnsi="Times"/>
          <w:szCs w:val="22"/>
        </w:rPr>
        <w:t>.</w:t>
      </w:r>
    </w:p>
    <w:p w14:paraId="7E0112E8" w14:textId="77777777" w:rsidR="000D098F" w:rsidRPr="00D21308" w:rsidRDefault="000D098F" w:rsidP="000D098F">
      <w:pPr>
        <w:spacing w:after="0"/>
        <w:rPr>
          <w:rFonts w:ascii="Times" w:hAnsi="Times"/>
          <w:szCs w:val="22"/>
        </w:rPr>
      </w:pPr>
      <w:r w:rsidRPr="00D21308">
        <w:rPr>
          <w:rFonts w:ascii="Times" w:hAnsi="Times"/>
          <w:szCs w:val="22"/>
        </w:rPr>
        <w:t>Enfin, quatrième critère, compréhension et interprétation relèvent respectivement plutôt des droits du texte ou plutôt des droits du lecteur. Sous la bannière des « droits du texte », l’attitude compréhensive amène le lecteur à reconstituer le(s) sens du texte, médium clos, qu’il interroge au départ de la question « que dit le texte ? »</w:t>
      </w:r>
      <w:r w:rsidR="005A4FAD">
        <w:rPr>
          <w:rStyle w:val="Marquenotebasdepage"/>
          <w:rFonts w:ascii="Times" w:hAnsi="Times"/>
          <w:szCs w:val="22"/>
        </w:rPr>
        <w:footnoteReference w:id="21"/>
      </w:r>
      <w:r w:rsidRPr="00D21308">
        <w:rPr>
          <w:rFonts w:ascii="Times" w:hAnsi="Times"/>
          <w:szCs w:val="22"/>
        </w:rPr>
        <w:t>. L’attitude interprétative, sous la bannière des droits du lecteur, conduit le lecteur à construire le(s) sens (partiellement gisants) dans le texte, médium ouvert, qu’il interroge au départ de questions telles que « que dit réellement le texte ? », « que veut dire son auteur ? » et au moyen d’opérations telles que le complètement du sens, la désambigüisation</w:t>
      </w:r>
      <w:r w:rsidR="005A4FAD">
        <w:rPr>
          <w:rStyle w:val="Marquenotebasdepage"/>
          <w:rFonts w:ascii="Times" w:hAnsi="Times"/>
          <w:szCs w:val="22"/>
        </w:rPr>
        <w:footnoteReference w:id="22"/>
      </w:r>
      <w:r w:rsidR="005A4FAD">
        <w:rPr>
          <w:rFonts w:ascii="Times" w:hAnsi="Times"/>
          <w:szCs w:val="22"/>
        </w:rPr>
        <w:t>.</w:t>
      </w:r>
      <w:r w:rsidRPr="00D21308">
        <w:rPr>
          <w:rFonts w:ascii="Times" w:hAnsi="Times"/>
          <w:szCs w:val="22"/>
        </w:rPr>
        <w:t xml:space="preserve"> La compréhension débouche sur un « sens » généralement partagé par une communauté de lecteurs, même s’il n’est pas unique et défini, tandis que l’interprétation débouche sur une « signification » légitimée par la confrontation sociale</w:t>
      </w:r>
      <w:r w:rsidR="005A4FAD">
        <w:rPr>
          <w:rStyle w:val="Marquenotebasdepage"/>
          <w:rFonts w:ascii="Times" w:hAnsi="Times"/>
          <w:szCs w:val="22"/>
        </w:rPr>
        <w:footnoteReference w:id="23"/>
      </w:r>
      <w:r w:rsidRPr="00D21308">
        <w:rPr>
          <w:rFonts w:ascii="Times" w:hAnsi="Times"/>
          <w:szCs w:val="22"/>
        </w:rPr>
        <w:t>, jugée acceptable grâce à l’accord intersubjectif entre les lecteurs</w:t>
      </w:r>
      <w:r w:rsidR="005A4FAD">
        <w:rPr>
          <w:rStyle w:val="Marquenotebasdepage"/>
          <w:rFonts w:ascii="Times" w:hAnsi="Times"/>
          <w:szCs w:val="22"/>
        </w:rPr>
        <w:footnoteReference w:id="24"/>
      </w:r>
      <w:r w:rsidRPr="00D21308">
        <w:rPr>
          <w:rFonts w:ascii="Times" w:hAnsi="Times"/>
          <w:szCs w:val="22"/>
        </w:rPr>
        <w:t>. Si l’on pousse le raisonnement plus loin, on dira que « le sens est appelé à se transformer sous l’influence des significations dont chaque lecteur investit le texte »</w:t>
      </w:r>
      <w:r w:rsidR="005A4FAD">
        <w:rPr>
          <w:rStyle w:val="Marquenotebasdepage"/>
          <w:rFonts w:ascii="Times" w:hAnsi="Times"/>
          <w:szCs w:val="22"/>
        </w:rPr>
        <w:footnoteReference w:id="25"/>
      </w:r>
      <w:r w:rsidRPr="00D21308">
        <w:rPr>
          <w:rFonts w:ascii="Times" w:hAnsi="Times"/>
          <w:szCs w:val="22"/>
        </w:rPr>
        <w:t> ; en d’autres termes, la compréhension correspond à une interprétation admise, partagée et, par conséquent, stabilisée</w:t>
      </w:r>
      <w:r w:rsidR="005A4FAD">
        <w:rPr>
          <w:rStyle w:val="Marquenotebasdepage"/>
          <w:rFonts w:ascii="Times" w:hAnsi="Times"/>
          <w:szCs w:val="22"/>
        </w:rPr>
        <w:footnoteReference w:id="26"/>
      </w:r>
      <w:r w:rsidRPr="00D21308">
        <w:rPr>
          <w:rFonts w:ascii="Times" w:hAnsi="Times"/>
          <w:szCs w:val="22"/>
        </w:rPr>
        <w:t xml:space="preserve">. </w:t>
      </w:r>
    </w:p>
    <w:p w14:paraId="0A3F3769" w14:textId="77777777" w:rsidR="000D098F" w:rsidRPr="00D21308" w:rsidRDefault="000D098F" w:rsidP="000D098F">
      <w:pPr>
        <w:rPr>
          <w:rFonts w:ascii="Times" w:hAnsi="Times"/>
          <w:szCs w:val="22"/>
        </w:rPr>
      </w:pPr>
      <w:r w:rsidRPr="00D21308">
        <w:rPr>
          <w:rFonts w:ascii="Times" w:hAnsi="Times"/>
          <w:szCs w:val="22"/>
        </w:rPr>
        <w:t>En définitive, il semble bien qu’il n’existe pas de différence de nature profonde entre compréhension et interprétation, ces deux opérations se situant dans « un continuum interprétatif » dynamique</w:t>
      </w:r>
      <w:r w:rsidR="005A4FAD">
        <w:rPr>
          <w:rStyle w:val="Marquenotebasdepage"/>
          <w:rFonts w:ascii="Times" w:hAnsi="Times"/>
          <w:szCs w:val="22"/>
        </w:rPr>
        <w:footnoteReference w:id="27"/>
      </w:r>
      <w:r w:rsidRPr="00D21308">
        <w:rPr>
          <w:rFonts w:ascii="Times" w:hAnsi="Times"/>
          <w:szCs w:val="22"/>
        </w:rPr>
        <w:t xml:space="preserve">. </w:t>
      </w:r>
    </w:p>
    <w:p w14:paraId="363D64A0" w14:textId="77777777" w:rsidR="000D098F" w:rsidRPr="00D21308" w:rsidRDefault="000D098F" w:rsidP="000D098F">
      <w:pPr>
        <w:rPr>
          <w:rFonts w:ascii="Times" w:hAnsi="Times"/>
          <w:szCs w:val="22"/>
        </w:rPr>
      </w:pPr>
    </w:p>
    <w:p w14:paraId="6C4A31C7" w14:textId="77777777" w:rsidR="000D098F" w:rsidRPr="00D21308" w:rsidRDefault="000D098F" w:rsidP="000D098F">
      <w:pPr>
        <w:rPr>
          <w:rFonts w:ascii="Times" w:hAnsi="Times"/>
          <w:szCs w:val="22"/>
        </w:rPr>
      </w:pPr>
    </w:p>
    <w:p w14:paraId="75648F75" w14:textId="77777777" w:rsidR="000D098F" w:rsidRPr="00D21308" w:rsidRDefault="000D098F" w:rsidP="000D098F">
      <w:pPr>
        <w:rPr>
          <w:rFonts w:ascii="Times" w:hAnsi="Times"/>
          <w:b/>
          <w:szCs w:val="22"/>
        </w:rPr>
      </w:pPr>
      <w:r w:rsidRPr="00D21308">
        <w:rPr>
          <w:rFonts w:ascii="Times" w:hAnsi="Times"/>
          <w:b/>
          <w:szCs w:val="22"/>
        </w:rPr>
        <w:t>Bibliographie</w:t>
      </w:r>
    </w:p>
    <w:p w14:paraId="2DE07890" w14:textId="77777777" w:rsidR="000D098F" w:rsidRPr="00D21308" w:rsidRDefault="000D098F" w:rsidP="000D098F">
      <w:pPr>
        <w:rPr>
          <w:rFonts w:ascii="Times" w:hAnsi="Times"/>
          <w:szCs w:val="22"/>
        </w:rPr>
      </w:pPr>
      <w:r>
        <w:rPr>
          <w:rFonts w:ascii="Times" w:hAnsi="Times"/>
          <w:szCs w:val="22"/>
        </w:rPr>
        <w:t>BLANC, Nathalie</w:t>
      </w:r>
      <w:r w:rsidRPr="00D21308">
        <w:rPr>
          <w:rFonts w:ascii="Times" w:hAnsi="Times"/>
          <w:szCs w:val="22"/>
        </w:rPr>
        <w:t xml:space="preserve">, </w:t>
      </w:r>
      <w:r w:rsidRPr="00D21308">
        <w:rPr>
          <w:rFonts w:ascii="Times" w:hAnsi="Times"/>
          <w:i/>
          <w:szCs w:val="22"/>
        </w:rPr>
        <w:t>Lecture et habiletés de compréhension chez l’enfant</w:t>
      </w:r>
      <w:r>
        <w:rPr>
          <w:rFonts w:ascii="Times" w:hAnsi="Times"/>
          <w:szCs w:val="22"/>
        </w:rPr>
        <w:t xml:space="preserve">, Paris, </w:t>
      </w:r>
      <w:proofErr w:type="spellStart"/>
      <w:r>
        <w:rPr>
          <w:rFonts w:ascii="Times" w:hAnsi="Times"/>
          <w:szCs w:val="22"/>
        </w:rPr>
        <w:t>Dunod</w:t>
      </w:r>
      <w:proofErr w:type="spellEnd"/>
      <w:r>
        <w:rPr>
          <w:rFonts w:ascii="Times" w:hAnsi="Times"/>
          <w:szCs w:val="22"/>
        </w:rPr>
        <w:t xml:space="preserve">, 2009 ; </w:t>
      </w:r>
      <w:r w:rsidRPr="00D21308">
        <w:rPr>
          <w:rFonts w:ascii="Times" w:hAnsi="Times"/>
          <w:szCs w:val="22"/>
        </w:rPr>
        <w:t>DABENE, Michel &amp; QUET, François (</w:t>
      </w:r>
      <w:proofErr w:type="spellStart"/>
      <w:r>
        <w:rPr>
          <w:rFonts w:ascii="Times" w:hAnsi="Times"/>
          <w:szCs w:val="22"/>
        </w:rPr>
        <w:t>éds</w:t>
      </w:r>
      <w:proofErr w:type="spellEnd"/>
      <w:r>
        <w:rPr>
          <w:rFonts w:ascii="Times" w:hAnsi="Times"/>
          <w:szCs w:val="22"/>
        </w:rPr>
        <w:t>.)</w:t>
      </w:r>
      <w:r w:rsidRPr="00D21308">
        <w:rPr>
          <w:rFonts w:ascii="Times" w:hAnsi="Times"/>
          <w:szCs w:val="22"/>
        </w:rPr>
        <w:t xml:space="preserve">, </w:t>
      </w:r>
      <w:r w:rsidRPr="00D21308">
        <w:rPr>
          <w:rFonts w:ascii="Times" w:hAnsi="Times"/>
          <w:i/>
          <w:szCs w:val="22"/>
        </w:rPr>
        <w:t>La compréhension des textes au collège</w:t>
      </w:r>
      <w:r w:rsidRPr="00D21308">
        <w:rPr>
          <w:rFonts w:ascii="Times" w:hAnsi="Times"/>
          <w:szCs w:val="22"/>
        </w:rPr>
        <w:t>, Paris, CRDP de l’Ac</w:t>
      </w:r>
      <w:r>
        <w:rPr>
          <w:rFonts w:ascii="Times" w:hAnsi="Times"/>
          <w:szCs w:val="22"/>
        </w:rPr>
        <w:t xml:space="preserve">adémie de Grenoble et Delagrave, 1999 ; FALARDEAU, </w:t>
      </w:r>
      <w:proofErr w:type="spellStart"/>
      <w:r>
        <w:rPr>
          <w:rFonts w:ascii="Times" w:hAnsi="Times"/>
          <w:szCs w:val="22"/>
        </w:rPr>
        <w:t>Érick</w:t>
      </w:r>
      <w:proofErr w:type="spellEnd"/>
      <w:r w:rsidRPr="00D21308">
        <w:rPr>
          <w:rFonts w:ascii="Times" w:hAnsi="Times"/>
          <w:szCs w:val="22"/>
        </w:rPr>
        <w:t xml:space="preserve">, « Compréhension et interprétation : deux composantes complémentaires de la lecture littéraire », </w:t>
      </w:r>
      <w:r>
        <w:rPr>
          <w:rFonts w:ascii="Times" w:hAnsi="Times"/>
          <w:szCs w:val="22"/>
        </w:rPr>
        <w:t>dans</w:t>
      </w:r>
      <w:r w:rsidRPr="00D21308">
        <w:rPr>
          <w:rFonts w:ascii="Times" w:hAnsi="Times"/>
          <w:szCs w:val="22"/>
        </w:rPr>
        <w:t xml:space="preserve"> </w:t>
      </w:r>
      <w:r w:rsidRPr="00D21308">
        <w:rPr>
          <w:rFonts w:ascii="Times" w:hAnsi="Times"/>
          <w:i/>
          <w:szCs w:val="22"/>
        </w:rPr>
        <w:t>Revue des Sciences de l’Éducation</w:t>
      </w:r>
      <w:r w:rsidRPr="00D21308">
        <w:rPr>
          <w:rFonts w:ascii="Times" w:hAnsi="Times"/>
          <w:szCs w:val="22"/>
        </w:rPr>
        <w:t>, vol. 29,</w:t>
      </w:r>
      <w:r>
        <w:rPr>
          <w:rFonts w:ascii="Times" w:hAnsi="Times"/>
          <w:szCs w:val="22"/>
        </w:rPr>
        <w:t xml:space="preserve"> n°3, 2003, p. 673-694 ; REUTER, Yves</w:t>
      </w:r>
      <w:r w:rsidRPr="00D21308">
        <w:rPr>
          <w:rFonts w:ascii="Times" w:hAnsi="Times"/>
          <w:szCs w:val="22"/>
        </w:rPr>
        <w:t xml:space="preserve">, « Comprendre, interpréter… en situation scolaire. Retour sur quelques problèmes », </w:t>
      </w:r>
      <w:r>
        <w:rPr>
          <w:rFonts w:ascii="Times" w:hAnsi="Times"/>
          <w:szCs w:val="22"/>
        </w:rPr>
        <w:t>dans</w:t>
      </w:r>
      <w:r w:rsidRPr="00D21308">
        <w:rPr>
          <w:rFonts w:ascii="Times" w:hAnsi="Times"/>
          <w:szCs w:val="22"/>
        </w:rPr>
        <w:t xml:space="preserve"> </w:t>
      </w:r>
      <w:r w:rsidRPr="00D21308">
        <w:rPr>
          <w:rFonts w:ascii="Times" w:hAnsi="Times"/>
          <w:i/>
          <w:szCs w:val="22"/>
        </w:rPr>
        <w:t>Comprendre et interpréter le littéraire à l’école et au-delà</w:t>
      </w:r>
      <w:r>
        <w:rPr>
          <w:rFonts w:ascii="Times" w:hAnsi="Times"/>
          <w:szCs w:val="22"/>
        </w:rPr>
        <w:t xml:space="preserve">, éd. C. </w:t>
      </w:r>
      <w:proofErr w:type="spellStart"/>
      <w:r>
        <w:rPr>
          <w:rFonts w:ascii="Times" w:hAnsi="Times"/>
          <w:szCs w:val="22"/>
        </w:rPr>
        <w:t>Tauveron</w:t>
      </w:r>
      <w:proofErr w:type="spellEnd"/>
      <w:r>
        <w:rPr>
          <w:rFonts w:ascii="Times" w:hAnsi="Times"/>
          <w:szCs w:val="22"/>
        </w:rPr>
        <w:t xml:space="preserve">, Paris, INRP, 2001, p. 69-79 ; </w:t>
      </w:r>
      <w:r w:rsidRPr="00D21308">
        <w:rPr>
          <w:rFonts w:ascii="Times" w:hAnsi="Times"/>
          <w:szCs w:val="22"/>
        </w:rPr>
        <w:t>TAUVERON, Catheri</w:t>
      </w:r>
      <w:r>
        <w:rPr>
          <w:rFonts w:ascii="Times" w:hAnsi="Times"/>
          <w:szCs w:val="22"/>
        </w:rPr>
        <w:t>ne (éd.)</w:t>
      </w:r>
      <w:r w:rsidRPr="00D21308">
        <w:rPr>
          <w:rFonts w:ascii="Times" w:hAnsi="Times"/>
          <w:szCs w:val="22"/>
        </w:rPr>
        <w:t xml:space="preserve">, </w:t>
      </w:r>
      <w:r w:rsidRPr="00D21308">
        <w:rPr>
          <w:rFonts w:ascii="Times" w:hAnsi="Times"/>
          <w:i/>
          <w:szCs w:val="22"/>
        </w:rPr>
        <w:t>Comprendre et interpréter le littéraire à l’école et au-delà</w:t>
      </w:r>
      <w:r w:rsidRPr="00D21308">
        <w:rPr>
          <w:rFonts w:ascii="Times" w:hAnsi="Times"/>
          <w:szCs w:val="22"/>
        </w:rPr>
        <w:t>, Paris, INRP</w:t>
      </w:r>
      <w:r>
        <w:rPr>
          <w:rFonts w:ascii="Times" w:hAnsi="Times"/>
          <w:szCs w:val="22"/>
        </w:rPr>
        <w:t>, 2001</w:t>
      </w:r>
      <w:r w:rsidRPr="00D21308">
        <w:rPr>
          <w:rFonts w:ascii="Times" w:hAnsi="Times"/>
          <w:szCs w:val="22"/>
        </w:rPr>
        <w:t>.</w:t>
      </w:r>
    </w:p>
    <w:p w14:paraId="177DE5EF" w14:textId="77777777" w:rsidR="000D098F" w:rsidRDefault="000D098F"/>
    <w:p w14:paraId="53EACF73" w14:textId="77777777" w:rsidR="000D098F" w:rsidRPr="000D098F" w:rsidRDefault="000D098F" w:rsidP="000D098F">
      <w:pPr>
        <w:rPr>
          <w:rFonts w:ascii="Times" w:hAnsi="Times"/>
          <w:b/>
          <w:szCs w:val="22"/>
        </w:rPr>
      </w:pPr>
      <w:r w:rsidRPr="00D21308">
        <w:rPr>
          <w:rFonts w:ascii="Times" w:hAnsi="Times"/>
          <w:b/>
          <w:szCs w:val="22"/>
        </w:rPr>
        <w:t>Mots clés</w:t>
      </w:r>
      <w:r>
        <w:rPr>
          <w:rFonts w:ascii="Times" w:hAnsi="Times"/>
          <w:b/>
          <w:szCs w:val="22"/>
        </w:rPr>
        <w:t xml:space="preserve"> : </w:t>
      </w:r>
      <w:r w:rsidRPr="00D21308">
        <w:rPr>
          <w:rFonts w:ascii="Times" w:hAnsi="Times"/>
          <w:szCs w:val="22"/>
        </w:rPr>
        <w:t xml:space="preserve">Lecture littéraire. Sujet lecteur, lecteur modèle/réel. Communauté interprétative, débat interprétatif. </w:t>
      </w:r>
      <w:proofErr w:type="gramStart"/>
      <w:r w:rsidRPr="00D21308">
        <w:rPr>
          <w:rFonts w:ascii="Times" w:hAnsi="Times"/>
          <w:szCs w:val="22"/>
        </w:rPr>
        <w:t>Délire interprétatif ; droits du texte, droits</w:t>
      </w:r>
      <w:proofErr w:type="gramEnd"/>
      <w:r w:rsidRPr="00D21308">
        <w:rPr>
          <w:rFonts w:ascii="Times" w:hAnsi="Times"/>
          <w:szCs w:val="22"/>
        </w:rPr>
        <w:t xml:space="preserve"> du lecteur. Complexité.</w:t>
      </w:r>
    </w:p>
    <w:p w14:paraId="72254F82" w14:textId="77777777" w:rsidR="000D098F" w:rsidRDefault="000D098F"/>
    <w:sectPr w:rsidR="000D098F" w:rsidSect="000D098F">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0E313" w14:textId="77777777" w:rsidR="000D4717" w:rsidRDefault="000D4717" w:rsidP="001934ED">
      <w:pPr>
        <w:spacing w:after="0"/>
      </w:pPr>
      <w:r>
        <w:separator/>
      </w:r>
    </w:p>
  </w:endnote>
  <w:endnote w:type="continuationSeparator" w:id="0">
    <w:p w14:paraId="5FD68F2E" w14:textId="77777777" w:rsidR="000D4717" w:rsidRDefault="000D4717" w:rsidP="001934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81B2D" w14:textId="77777777" w:rsidR="000D4717" w:rsidRDefault="000D4717" w:rsidP="001934ED">
      <w:pPr>
        <w:spacing w:after="0"/>
      </w:pPr>
      <w:r>
        <w:separator/>
      </w:r>
    </w:p>
  </w:footnote>
  <w:footnote w:type="continuationSeparator" w:id="0">
    <w:p w14:paraId="234FA916" w14:textId="77777777" w:rsidR="000D4717" w:rsidRDefault="000D4717" w:rsidP="001934ED">
      <w:pPr>
        <w:spacing w:after="0"/>
      </w:pPr>
      <w:r>
        <w:continuationSeparator/>
      </w:r>
    </w:p>
  </w:footnote>
  <w:footnote w:id="1">
    <w:p w14:paraId="6C262601" w14:textId="77777777"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Nathalie Blanc, </w:t>
      </w:r>
      <w:r w:rsidRPr="005A4FAD">
        <w:rPr>
          <w:rFonts w:ascii="Times Roman" w:hAnsi="Times Roman"/>
          <w:i/>
          <w:sz w:val="18"/>
          <w:szCs w:val="18"/>
        </w:rPr>
        <w:t>Lecture et habiletés de compréhension chez l’enfant</w:t>
      </w:r>
      <w:r w:rsidRPr="005A4FAD">
        <w:rPr>
          <w:rFonts w:ascii="Times Roman" w:hAnsi="Times Roman"/>
          <w:sz w:val="18"/>
          <w:szCs w:val="18"/>
        </w:rPr>
        <w:t xml:space="preserve">, Paris, </w:t>
      </w:r>
      <w:proofErr w:type="spellStart"/>
      <w:r w:rsidRPr="005A4FAD">
        <w:rPr>
          <w:rFonts w:ascii="Times Roman" w:hAnsi="Times Roman"/>
          <w:sz w:val="18"/>
          <w:szCs w:val="18"/>
        </w:rPr>
        <w:t>Dunod</w:t>
      </w:r>
      <w:proofErr w:type="spellEnd"/>
      <w:r w:rsidRPr="005A4FAD">
        <w:rPr>
          <w:rFonts w:ascii="Times Roman" w:hAnsi="Times Roman"/>
          <w:sz w:val="18"/>
          <w:szCs w:val="18"/>
        </w:rPr>
        <w:t>, 2009, p. 8.</w:t>
      </w:r>
    </w:p>
  </w:footnote>
  <w:footnote w:id="2">
    <w:p w14:paraId="0E8CD5B3" w14:textId="2EB0051B"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Pr>
          <w:rFonts w:ascii="Times Roman" w:hAnsi="Times Roman"/>
          <w:i/>
          <w:sz w:val="18"/>
          <w:szCs w:val="18"/>
        </w:rPr>
        <w:t>Id</w:t>
      </w:r>
      <w:r w:rsidRPr="005A4FAD">
        <w:rPr>
          <w:rFonts w:ascii="Times Roman" w:hAnsi="Times Roman"/>
          <w:sz w:val="18"/>
          <w:szCs w:val="18"/>
        </w:rPr>
        <w:t>.</w:t>
      </w:r>
    </w:p>
  </w:footnote>
  <w:footnote w:id="3">
    <w:p w14:paraId="4BEEE5B4" w14:textId="77777777" w:rsidR="000D4717" w:rsidRPr="005770EF" w:rsidRDefault="000D4717" w:rsidP="005770EF">
      <w:pPr>
        <w:spacing w:after="60"/>
        <w:rPr>
          <w:sz w:val="21"/>
        </w:rPr>
      </w:pPr>
      <w:r w:rsidRPr="005A4FAD">
        <w:rPr>
          <w:rStyle w:val="Marquenotebasdepage"/>
          <w:rFonts w:ascii="Times Roman" w:hAnsi="Times Roman"/>
          <w:sz w:val="18"/>
          <w:szCs w:val="18"/>
        </w:rPr>
        <w:footnoteRef/>
      </w:r>
      <w:r>
        <w:rPr>
          <w:rFonts w:ascii="Times Roman" w:hAnsi="Times Roman"/>
          <w:sz w:val="18"/>
          <w:szCs w:val="18"/>
        </w:rPr>
        <w:t xml:space="preserve"> </w:t>
      </w:r>
      <w:r w:rsidRPr="005770EF">
        <w:rPr>
          <w:rFonts w:ascii="Times Roman" w:hAnsi="Times Roman"/>
          <w:sz w:val="18"/>
          <w:szCs w:val="18"/>
        </w:rPr>
        <w:t xml:space="preserve">Martine </w:t>
      </w:r>
      <w:proofErr w:type="spellStart"/>
      <w:r w:rsidRPr="005770EF">
        <w:rPr>
          <w:rFonts w:ascii="Times Roman" w:hAnsi="Times Roman"/>
          <w:sz w:val="18"/>
          <w:szCs w:val="18"/>
        </w:rPr>
        <w:t>Rémond</w:t>
      </w:r>
      <w:proofErr w:type="spellEnd"/>
      <w:r w:rsidRPr="005770EF">
        <w:rPr>
          <w:rFonts w:ascii="Times Roman" w:hAnsi="Times Roman"/>
          <w:sz w:val="18"/>
          <w:szCs w:val="18"/>
        </w:rPr>
        <w:t>, « De l’identification des difficultés de compréhension à l’apprentissage : parcours de recherche au cycle III », dans Catheri</w:t>
      </w:r>
      <w:r>
        <w:rPr>
          <w:rFonts w:ascii="Times Roman" w:hAnsi="Times Roman"/>
          <w:sz w:val="18"/>
          <w:szCs w:val="18"/>
        </w:rPr>
        <w:t xml:space="preserve">ne </w:t>
      </w:r>
      <w:proofErr w:type="spellStart"/>
      <w:r>
        <w:rPr>
          <w:rFonts w:ascii="Times Roman" w:hAnsi="Times Roman"/>
          <w:sz w:val="18"/>
          <w:szCs w:val="18"/>
        </w:rPr>
        <w:t>Tauveron</w:t>
      </w:r>
      <w:proofErr w:type="spellEnd"/>
      <w:r w:rsidRPr="005770EF">
        <w:rPr>
          <w:rFonts w:ascii="Times Roman" w:hAnsi="Times Roman"/>
          <w:sz w:val="18"/>
          <w:szCs w:val="18"/>
        </w:rPr>
        <w:t xml:space="preserve"> (</w:t>
      </w:r>
      <w:proofErr w:type="spellStart"/>
      <w:r w:rsidRPr="005770EF">
        <w:rPr>
          <w:rFonts w:ascii="Times Roman" w:hAnsi="Times Roman"/>
          <w:sz w:val="18"/>
          <w:szCs w:val="18"/>
        </w:rPr>
        <w:t>dir</w:t>
      </w:r>
      <w:proofErr w:type="spellEnd"/>
      <w:r w:rsidRPr="005770EF">
        <w:rPr>
          <w:rFonts w:ascii="Times Roman" w:hAnsi="Times Roman"/>
          <w:sz w:val="18"/>
          <w:szCs w:val="18"/>
        </w:rPr>
        <w:t xml:space="preserve">.), </w:t>
      </w:r>
      <w:r w:rsidRPr="005770EF">
        <w:rPr>
          <w:rFonts w:ascii="Times Roman" w:hAnsi="Times Roman"/>
          <w:i/>
          <w:sz w:val="18"/>
          <w:szCs w:val="18"/>
        </w:rPr>
        <w:t>Comprendre et interpréter le littéraire à l’école et au-delà</w:t>
      </w:r>
      <w:r w:rsidRPr="005770EF">
        <w:rPr>
          <w:rFonts w:ascii="Times Roman" w:hAnsi="Times Roman"/>
          <w:sz w:val="18"/>
          <w:szCs w:val="18"/>
        </w:rPr>
        <w:t>, Paris, INRP,</w:t>
      </w:r>
      <w:r>
        <w:rPr>
          <w:rFonts w:ascii="Times Roman" w:hAnsi="Times Roman"/>
          <w:sz w:val="18"/>
          <w:szCs w:val="18"/>
        </w:rPr>
        <w:t xml:space="preserve"> 2001,</w:t>
      </w:r>
      <w:r w:rsidRPr="005770EF">
        <w:rPr>
          <w:rFonts w:ascii="Times Roman" w:hAnsi="Times Roman"/>
          <w:sz w:val="18"/>
          <w:szCs w:val="18"/>
        </w:rPr>
        <w:t xml:space="preserve"> pp. 115-123.</w:t>
      </w:r>
    </w:p>
  </w:footnote>
  <w:footnote w:id="4">
    <w:p w14:paraId="26EF14A4" w14:textId="77777777"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Nathalie Blanc, </w:t>
      </w:r>
      <w:r>
        <w:rPr>
          <w:rFonts w:ascii="Times Roman" w:hAnsi="Times Roman"/>
          <w:i/>
          <w:sz w:val="18"/>
          <w:szCs w:val="18"/>
        </w:rPr>
        <w:t xml:space="preserve">Op. </w:t>
      </w:r>
      <w:proofErr w:type="spellStart"/>
      <w:proofErr w:type="gramStart"/>
      <w:r>
        <w:rPr>
          <w:rFonts w:ascii="Times Roman" w:hAnsi="Times Roman"/>
          <w:i/>
          <w:sz w:val="18"/>
          <w:szCs w:val="18"/>
        </w:rPr>
        <w:t>cit</w:t>
      </w:r>
      <w:proofErr w:type="spellEnd"/>
      <w:proofErr w:type="gramEnd"/>
      <w:r w:rsidRPr="005A4FAD">
        <w:rPr>
          <w:rFonts w:ascii="Times Roman" w:hAnsi="Times Roman"/>
          <w:sz w:val="18"/>
          <w:szCs w:val="18"/>
        </w:rPr>
        <w:t>.</w:t>
      </w:r>
    </w:p>
  </w:footnote>
  <w:footnote w:id="5">
    <w:p w14:paraId="3CF7A0C9" w14:textId="77777777" w:rsidR="000D4717" w:rsidRPr="005770EF" w:rsidRDefault="000D4717" w:rsidP="005770EF">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5770EF">
        <w:rPr>
          <w:rFonts w:ascii="Times Roman" w:hAnsi="Times Roman"/>
          <w:sz w:val="18"/>
          <w:szCs w:val="18"/>
        </w:rPr>
        <w:t xml:space="preserve">Sylvie </w:t>
      </w:r>
      <w:proofErr w:type="spellStart"/>
      <w:r w:rsidRPr="005770EF">
        <w:rPr>
          <w:rFonts w:ascii="Times Roman" w:hAnsi="Times Roman"/>
          <w:sz w:val="18"/>
          <w:szCs w:val="18"/>
        </w:rPr>
        <w:t>Cèbe</w:t>
      </w:r>
      <w:proofErr w:type="spellEnd"/>
      <w:r w:rsidRPr="005770EF">
        <w:rPr>
          <w:rFonts w:ascii="Times Roman" w:hAnsi="Times Roman"/>
          <w:sz w:val="18"/>
          <w:szCs w:val="18"/>
        </w:rPr>
        <w:t>,</w:t>
      </w:r>
      <w:r>
        <w:rPr>
          <w:rFonts w:ascii="Times Roman" w:hAnsi="Times Roman"/>
          <w:sz w:val="18"/>
          <w:szCs w:val="18"/>
        </w:rPr>
        <w:t xml:space="preserve"> </w:t>
      </w:r>
      <w:r w:rsidRPr="005770EF">
        <w:rPr>
          <w:rFonts w:ascii="Times Roman" w:hAnsi="Times Roman"/>
          <w:sz w:val="18"/>
          <w:szCs w:val="18"/>
        </w:rPr>
        <w:t xml:space="preserve">Roland </w:t>
      </w:r>
      <w:proofErr w:type="spellStart"/>
      <w:r w:rsidRPr="005770EF">
        <w:rPr>
          <w:rFonts w:ascii="Times Roman" w:hAnsi="Times Roman"/>
          <w:sz w:val="18"/>
          <w:szCs w:val="18"/>
        </w:rPr>
        <w:t>Goigoux</w:t>
      </w:r>
      <w:proofErr w:type="spellEnd"/>
      <w:r w:rsidRPr="005770EF">
        <w:rPr>
          <w:rFonts w:ascii="Times Roman" w:hAnsi="Times Roman"/>
          <w:sz w:val="18"/>
          <w:szCs w:val="18"/>
        </w:rPr>
        <w:t xml:space="preserve">, </w:t>
      </w:r>
      <w:proofErr w:type="spellStart"/>
      <w:r w:rsidRPr="005770EF">
        <w:rPr>
          <w:rFonts w:ascii="Times Roman" w:hAnsi="Times Roman"/>
          <w:i/>
          <w:sz w:val="18"/>
          <w:szCs w:val="18"/>
        </w:rPr>
        <w:t>Lectorino</w:t>
      </w:r>
      <w:proofErr w:type="spellEnd"/>
      <w:r w:rsidRPr="005770EF">
        <w:rPr>
          <w:rFonts w:ascii="Times Roman" w:hAnsi="Times Roman"/>
          <w:i/>
          <w:sz w:val="18"/>
          <w:szCs w:val="18"/>
        </w:rPr>
        <w:t xml:space="preserve"> &amp; </w:t>
      </w:r>
      <w:proofErr w:type="spellStart"/>
      <w:r w:rsidRPr="005770EF">
        <w:rPr>
          <w:rFonts w:ascii="Times Roman" w:hAnsi="Times Roman"/>
          <w:i/>
          <w:sz w:val="18"/>
          <w:szCs w:val="18"/>
        </w:rPr>
        <w:t>Lectorinette</w:t>
      </w:r>
      <w:proofErr w:type="spellEnd"/>
      <w:r w:rsidRPr="005770EF">
        <w:rPr>
          <w:rFonts w:ascii="Times Roman" w:hAnsi="Times Roman"/>
          <w:i/>
          <w:sz w:val="18"/>
          <w:szCs w:val="18"/>
        </w:rPr>
        <w:t>. Apprendre à comprendre des textes narratifs</w:t>
      </w:r>
      <w:r w:rsidRPr="005770EF">
        <w:rPr>
          <w:rFonts w:ascii="Times Roman" w:hAnsi="Times Roman"/>
          <w:sz w:val="18"/>
          <w:szCs w:val="18"/>
        </w:rPr>
        <w:t>, Paris, Retz, 2013.</w:t>
      </w:r>
    </w:p>
  </w:footnote>
  <w:footnote w:id="6">
    <w:p w14:paraId="02E00442" w14:textId="77777777"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5770EF">
        <w:rPr>
          <w:rFonts w:ascii="Times Roman" w:hAnsi="Times Roman"/>
          <w:sz w:val="18"/>
          <w:szCs w:val="18"/>
        </w:rPr>
        <w:t xml:space="preserve">Michel </w:t>
      </w:r>
      <w:r>
        <w:rPr>
          <w:rFonts w:ascii="Times Roman" w:hAnsi="Times Roman"/>
          <w:sz w:val="18"/>
          <w:szCs w:val="18"/>
        </w:rPr>
        <w:t>Fayol</w:t>
      </w:r>
      <w:r w:rsidRPr="005770EF">
        <w:rPr>
          <w:rFonts w:ascii="Times Roman" w:hAnsi="Times Roman"/>
          <w:sz w:val="18"/>
          <w:szCs w:val="18"/>
        </w:rPr>
        <w:t xml:space="preserve">, </w:t>
      </w:r>
      <w:r w:rsidRPr="005770EF">
        <w:rPr>
          <w:rFonts w:ascii="Times Roman" w:hAnsi="Times Roman"/>
          <w:i/>
          <w:sz w:val="18"/>
          <w:szCs w:val="18"/>
        </w:rPr>
        <w:t>Psychologie cognitive de la lecture</w:t>
      </w:r>
      <w:r w:rsidRPr="005770EF">
        <w:rPr>
          <w:rFonts w:ascii="Times Roman" w:hAnsi="Times Roman"/>
          <w:sz w:val="18"/>
          <w:szCs w:val="18"/>
        </w:rPr>
        <w:t>, Paris, PUF, 1992.</w:t>
      </w:r>
    </w:p>
  </w:footnote>
  <w:footnote w:id="7">
    <w:p w14:paraId="67100528" w14:textId="77777777" w:rsidR="000D4717" w:rsidRPr="005770EF" w:rsidRDefault="000D4717" w:rsidP="005770EF">
      <w:pPr>
        <w:spacing w:after="60"/>
        <w:rPr>
          <w:rFonts w:ascii="Times Roman" w:hAnsi="Times Roman"/>
          <w:sz w:val="18"/>
          <w:szCs w:val="18"/>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5770EF">
        <w:rPr>
          <w:rFonts w:ascii="Times Roman" w:hAnsi="Times Roman"/>
          <w:sz w:val="18"/>
          <w:szCs w:val="18"/>
        </w:rPr>
        <w:t xml:space="preserve">Michel </w:t>
      </w:r>
      <w:proofErr w:type="spellStart"/>
      <w:r w:rsidRPr="005770EF">
        <w:rPr>
          <w:rFonts w:ascii="Times Roman" w:hAnsi="Times Roman"/>
          <w:sz w:val="18"/>
          <w:szCs w:val="18"/>
        </w:rPr>
        <w:t>Dabène</w:t>
      </w:r>
      <w:proofErr w:type="spellEnd"/>
      <w:r w:rsidRPr="005770EF">
        <w:rPr>
          <w:rFonts w:ascii="Times Roman" w:hAnsi="Times Roman"/>
          <w:sz w:val="18"/>
          <w:szCs w:val="18"/>
        </w:rPr>
        <w:t xml:space="preserve">, François </w:t>
      </w:r>
      <w:proofErr w:type="spellStart"/>
      <w:r w:rsidRPr="005770EF">
        <w:rPr>
          <w:rFonts w:ascii="Times Roman" w:hAnsi="Times Roman"/>
          <w:sz w:val="18"/>
          <w:szCs w:val="18"/>
        </w:rPr>
        <w:t>Quet</w:t>
      </w:r>
      <w:proofErr w:type="spellEnd"/>
      <w:r w:rsidRPr="005770EF">
        <w:rPr>
          <w:rFonts w:ascii="Times Roman" w:hAnsi="Times Roman"/>
          <w:sz w:val="18"/>
          <w:szCs w:val="18"/>
        </w:rPr>
        <w:t xml:space="preserve"> (</w:t>
      </w:r>
      <w:proofErr w:type="spellStart"/>
      <w:r w:rsidRPr="005770EF">
        <w:rPr>
          <w:rFonts w:ascii="Times Roman" w:hAnsi="Times Roman"/>
          <w:sz w:val="18"/>
          <w:szCs w:val="18"/>
        </w:rPr>
        <w:t>dir</w:t>
      </w:r>
      <w:proofErr w:type="spellEnd"/>
      <w:r w:rsidRPr="005770EF">
        <w:rPr>
          <w:rFonts w:ascii="Times Roman" w:hAnsi="Times Roman"/>
          <w:sz w:val="18"/>
          <w:szCs w:val="18"/>
        </w:rPr>
        <w:t xml:space="preserve">.), </w:t>
      </w:r>
      <w:r w:rsidRPr="005770EF">
        <w:rPr>
          <w:rFonts w:ascii="Times Roman" w:hAnsi="Times Roman"/>
          <w:i/>
          <w:sz w:val="18"/>
          <w:szCs w:val="18"/>
        </w:rPr>
        <w:t>La compréhension des textes au collège</w:t>
      </w:r>
      <w:r w:rsidRPr="005770EF">
        <w:rPr>
          <w:rFonts w:ascii="Times Roman" w:hAnsi="Times Roman"/>
          <w:sz w:val="18"/>
          <w:szCs w:val="18"/>
        </w:rPr>
        <w:t>, Paris, CRDP de l’Académie de Grenoble et Delagrave, 1999, pp. 117-118.</w:t>
      </w:r>
    </w:p>
  </w:footnote>
  <w:footnote w:id="8">
    <w:p w14:paraId="3A538724" w14:textId="18AFC33C" w:rsidR="000D4717" w:rsidRPr="00AE7DD1" w:rsidRDefault="000D4717" w:rsidP="00AE7DD1">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5770EF">
        <w:rPr>
          <w:rFonts w:ascii="Times Roman" w:hAnsi="Times Roman"/>
          <w:sz w:val="18"/>
          <w:szCs w:val="18"/>
        </w:rPr>
        <w:t xml:space="preserve">Bertrand </w:t>
      </w:r>
      <w:r>
        <w:rPr>
          <w:rFonts w:ascii="Times Roman" w:hAnsi="Times Roman"/>
          <w:sz w:val="18"/>
          <w:szCs w:val="18"/>
        </w:rPr>
        <w:t>Gervais</w:t>
      </w:r>
      <w:r w:rsidRPr="005770EF">
        <w:rPr>
          <w:rFonts w:ascii="Times Roman" w:hAnsi="Times Roman"/>
          <w:sz w:val="18"/>
          <w:szCs w:val="18"/>
        </w:rPr>
        <w:t xml:space="preserve">, « Sans fin, les terres. </w:t>
      </w:r>
      <w:r w:rsidRPr="005770EF">
        <w:rPr>
          <w:rFonts w:ascii="Times Roman" w:hAnsi="Times Roman"/>
          <w:i/>
          <w:sz w:val="18"/>
          <w:szCs w:val="18"/>
        </w:rPr>
        <w:t>L’occupation des sols</w:t>
      </w:r>
      <w:r w:rsidRPr="005770EF">
        <w:rPr>
          <w:rFonts w:ascii="Times Roman" w:hAnsi="Times Roman"/>
          <w:sz w:val="18"/>
          <w:szCs w:val="18"/>
        </w:rPr>
        <w:t xml:space="preserve"> au risque d’une définitio</w:t>
      </w:r>
      <w:r>
        <w:rPr>
          <w:rFonts w:ascii="Times Roman" w:hAnsi="Times Roman"/>
          <w:sz w:val="18"/>
          <w:szCs w:val="18"/>
        </w:rPr>
        <w:t>n des pratiques de lecture », dans</w:t>
      </w:r>
      <w:r w:rsidRPr="005770EF">
        <w:rPr>
          <w:rFonts w:ascii="Times Roman" w:hAnsi="Times Roman"/>
          <w:sz w:val="18"/>
          <w:szCs w:val="18"/>
        </w:rPr>
        <w:t xml:space="preserve"> Catherine </w:t>
      </w:r>
      <w:proofErr w:type="spellStart"/>
      <w:r w:rsidRPr="005770EF">
        <w:rPr>
          <w:rFonts w:ascii="Times Roman" w:hAnsi="Times Roman"/>
          <w:sz w:val="18"/>
          <w:szCs w:val="18"/>
        </w:rPr>
        <w:t>T</w:t>
      </w:r>
      <w:r>
        <w:rPr>
          <w:rFonts w:ascii="Times Roman" w:hAnsi="Times Roman"/>
          <w:sz w:val="18"/>
          <w:szCs w:val="18"/>
        </w:rPr>
        <w:t>auveron</w:t>
      </w:r>
      <w:proofErr w:type="spellEnd"/>
      <w:r w:rsidRPr="005770EF">
        <w:rPr>
          <w:rFonts w:ascii="Times Roman" w:hAnsi="Times Roman"/>
          <w:sz w:val="18"/>
          <w:szCs w:val="18"/>
        </w:rPr>
        <w:t xml:space="preserve"> (</w:t>
      </w:r>
      <w:proofErr w:type="spellStart"/>
      <w:r w:rsidRPr="005770EF">
        <w:rPr>
          <w:rFonts w:ascii="Times Roman" w:hAnsi="Times Roman"/>
          <w:sz w:val="18"/>
          <w:szCs w:val="18"/>
        </w:rPr>
        <w:t>dir</w:t>
      </w:r>
      <w:proofErr w:type="spellEnd"/>
      <w:r w:rsidRPr="005770EF">
        <w:rPr>
          <w:rFonts w:ascii="Times Roman" w:hAnsi="Times Roman"/>
          <w:sz w:val="18"/>
          <w:szCs w:val="18"/>
        </w:rPr>
        <w:t xml:space="preserve">.), </w:t>
      </w:r>
      <w:r w:rsidRPr="005770EF">
        <w:rPr>
          <w:rFonts w:ascii="Times Roman" w:hAnsi="Times Roman"/>
          <w:i/>
          <w:sz w:val="18"/>
          <w:szCs w:val="18"/>
        </w:rPr>
        <w:t>Comprendre et interpréter le littéraire à l’école et au-delà</w:t>
      </w:r>
      <w:r w:rsidRPr="005770EF">
        <w:rPr>
          <w:rFonts w:ascii="Times Roman" w:hAnsi="Times Roman"/>
          <w:sz w:val="18"/>
          <w:szCs w:val="18"/>
        </w:rPr>
        <w:t>, Paris, INRP,</w:t>
      </w:r>
      <w:r>
        <w:rPr>
          <w:rFonts w:ascii="Times Roman" w:hAnsi="Times Roman"/>
          <w:sz w:val="18"/>
          <w:szCs w:val="18"/>
        </w:rPr>
        <w:t xml:space="preserve"> 2001, p</w:t>
      </w:r>
      <w:r w:rsidRPr="005770EF">
        <w:rPr>
          <w:rFonts w:ascii="Times Roman" w:hAnsi="Times Roman"/>
          <w:sz w:val="18"/>
          <w:szCs w:val="18"/>
        </w:rPr>
        <w:t>.</w:t>
      </w:r>
      <w:r>
        <w:rPr>
          <w:rFonts w:ascii="Times Roman" w:hAnsi="Times Roman"/>
          <w:sz w:val="18"/>
          <w:szCs w:val="18"/>
        </w:rPr>
        <w:t xml:space="preserve"> 38.</w:t>
      </w:r>
    </w:p>
  </w:footnote>
  <w:footnote w:id="9">
    <w:p w14:paraId="31743C22" w14:textId="4ED09919" w:rsidR="000D4717" w:rsidRPr="00692D0C" w:rsidRDefault="000D4717" w:rsidP="00692D0C">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692D0C">
        <w:rPr>
          <w:rFonts w:ascii="Times Roman" w:hAnsi="Times Roman"/>
          <w:sz w:val="18"/>
          <w:szCs w:val="18"/>
        </w:rPr>
        <w:t xml:space="preserve">Christian </w:t>
      </w:r>
      <w:proofErr w:type="spellStart"/>
      <w:r w:rsidRPr="00692D0C">
        <w:rPr>
          <w:rFonts w:ascii="Times Roman" w:hAnsi="Times Roman"/>
          <w:sz w:val="18"/>
          <w:szCs w:val="18"/>
        </w:rPr>
        <w:t>Vandendorpe</w:t>
      </w:r>
      <w:proofErr w:type="spellEnd"/>
      <w:r w:rsidRPr="00692D0C">
        <w:rPr>
          <w:rFonts w:ascii="Times Roman" w:hAnsi="Times Roman"/>
          <w:sz w:val="18"/>
          <w:szCs w:val="18"/>
        </w:rPr>
        <w:t>, « De la socialisation des s</w:t>
      </w:r>
      <w:r w:rsidR="00AE7DD1">
        <w:rPr>
          <w:rFonts w:ascii="Times Roman" w:hAnsi="Times Roman"/>
          <w:sz w:val="18"/>
          <w:szCs w:val="18"/>
        </w:rPr>
        <w:t xml:space="preserve">tratégies interprétatives », dans </w:t>
      </w:r>
      <w:r w:rsidRPr="00692D0C">
        <w:rPr>
          <w:rFonts w:ascii="Times Roman" w:hAnsi="Times Roman"/>
          <w:sz w:val="18"/>
          <w:szCs w:val="18"/>
        </w:rPr>
        <w:t xml:space="preserve">Catherine </w:t>
      </w:r>
      <w:proofErr w:type="spellStart"/>
      <w:r w:rsidRPr="00692D0C">
        <w:rPr>
          <w:rFonts w:ascii="Times Roman" w:hAnsi="Times Roman"/>
          <w:sz w:val="18"/>
          <w:szCs w:val="18"/>
        </w:rPr>
        <w:t>Tauveron</w:t>
      </w:r>
      <w:proofErr w:type="spellEnd"/>
      <w:r w:rsidRPr="00692D0C">
        <w:rPr>
          <w:rFonts w:ascii="Times Roman" w:hAnsi="Times Roman"/>
          <w:sz w:val="18"/>
          <w:szCs w:val="18"/>
        </w:rPr>
        <w:t xml:space="preserve"> (</w:t>
      </w:r>
      <w:proofErr w:type="spellStart"/>
      <w:r w:rsidRPr="00692D0C">
        <w:rPr>
          <w:rFonts w:ascii="Times Roman" w:hAnsi="Times Roman"/>
          <w:sz w:val="18"/>
          <w:szCs w:val="18"/>
        </w:rPr>
        <w:t>dir</w:t>
      </w:r>
      <w:proofErr w:type="spellEnd"/>
      <w:r w:rsidRPr="00692D0C">
        <w:rPr>
          <w:rFonts w:ascii="Times Roman" w:hAnsi="Times Roman"/>
          <w:sz w:val="18"/>
          <w:szCs w:val="18"/>
        </w:rPr>
        <w:t xml:space="preserve">.), </w:t>
      </w:r>
      <w:r w:rsidRPr="00692D0C">
        <w:rPr>
          <w:rFonts w:ascii="Times Roman" w:hAnsi="Times Roman"/>
          <w:i/>
          <w:sz w:val="18"/>
          <w:szCs w:val="18"/>
        </w:rPr>
        <w:t>Comprendre et interpréter le littéraire à l’école et au-delà</w:t>
      </w:r>
      <w:r w:rsidRPr="00692D0C">
        <w:rPr>
          <w:rFonts w:ascii="Times Roman" w:hAnsi="Times Roman"/>
          <w:sz w:val="18"/>
          <w:szCs w:val="18"/>
        </w:rPr>
        <w:t>, Paris, INRP, 2001, pp. 81-101.</w:t>
      </w:r>
    </w:p>
  </w:footnote>
  <w:footnote w:id="10">
    <w:p w14:paraId="5333A5D7" w14:textId="77777777" w:rsidR="000D4717" w:rsidRPr="00692D0C" w:rsidRDefault="000D4717" w:rsidP="00692D0C">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692D0C">
        <w:rPr>
          <w:rFonts w:ascii="Times Roman" w:hAnsi="Times Roman"/>
          <w:sz w:val="18"/>
          <w:szCs w:val="18"/>
        </w:rPr>
        <w:t xml:space="preserve">Catherine </w:t>
      </w:r>
      <w:proofErr w:type="spellStart"/>
      <w:r w:rsidRPr="00692D0C">
        <w:rPr>
          <w:rFonts w:ascii="Times Roman" w:hAnsi="Times Roman"/>
          <w:sz w:val="18"/>
          <w:szCs w:val="18"/>
        </w:rPr>
        <w:t>Tauveron</w:t>
      </w:r>
      <w:proofErr w:type="spellEnd"/>
      <w:r w:rsidRPr="00692D0C">
        <w:rPr>
          <w:rFonts w:ascii="Times Roman" w:hAnsi="Times Roman"/>
          <w:sz w:val="18"/>
          <w:szCs w:val="18"/>
        </w:rPr>
        <w:t xml:space="preserve"> (</w:t>
      </w:r>
      <w:proofErr w:type="spellStart"/>
      <w:r w:rsidRPr="00692D0C">
        <w:rPr>
          <w:rFonts w:ascii="Times Roman" w:hAnsi="Times Roman"/>
          <w:sz w:val="18"/>
          <w:szCs w:val="18"/>
        </w:rPr>
        <w:t>dir</w:t>
      </w:r>
      <w:proofErr w:type="spellEnd"/>
      <w:r w:rsidRPr="00692D0C">
        <w:rPr>
          <w:rFonts w:ascii="Times Roman" w:hAnsi="Times Roman"/>
          <w:sz w:val="18"/>
          <w:szCs w:val="18"/>
        </w:rPr>
        <w:t xml:space="preserve">.), </w:t>
      </w:r>
      <w:r w:rsidRPr="00692D0C">
        <w:rPr>
          <w:rFonts w:ascii="Times Roman" w:hAnsi="Times Roman"/>
          <w:i/>
          <w:sz w:val="18"/>
          <w:szCs w:val="18"/>
        </w:rPr>
        <w:t>Comprendre et interpréter le littéraire à l’école et au-delà</w:t>
      </w:r>
      <w:r w:rsidRPr="00692D0C">
        <w:rPr>
          <w:rFonts w:ascii="Times Roman" w:hAnsi="Times Roman"/>
          <w:sz w:val="18"/>
          <w:szCs w:val="18"/>
        </w:rPr>
        <w:t>, Paris, INRP, 2001</w:t>
      </w:r>
      <w:r>
        <w:rPr>
          <w:rFonts w:ascii="Times Roman" w:hAnsi="Times Roman"/>
          <w:sz w:val="18"/>
          <w:szCs w:val="18"/>
        </w:rPr>
        <w:t>, pp. 9-10</w:t>
      </w:r>
      <w:r w:rsidRPr="00692D0C">
        <w:rPr>
          <w:rFonts w:ascii="Times Roman" w:hAnsi="Times Roman"/>
          <w:sz w:val="18"/>
          <w:szCs w:val="18"/>
        </w:rPr>
        <w:t>.</w:t>
      </w:r>
    </w:p>
  </w:footnote>
  <w:footnote w:id="11">
    <w:p w14:paraId="7F6DF980" w14:textId="28E7E8ED" w:rsidR="000D4717" w:rsidRPr="000D4717" w:rsidRDefault="000D4717" w:rsidP="000D4717">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0D4717">
        <w:rPr>
          <w:rFonts w:ascii="Times Roman" w:hAnsi="Times Roman"/>
          <w:sz w:val="18"/>
          <w:szCs w:val="18"/>
        </w:rPr>
        <w:t xml:space="preserve">Voir notamment Catherine </w:t>
      </w:r>
      <w:proofErr w:type="spellStart"/>
      <w:r w:rsidRPr="000D4717">
        <w:rPr>
          <w:rFonts w:ascii="Times Roman" w:hAnsi="Times Roman"/>
          <w:sz w:val="18"/>
          <w:szCs w:val="18"/>
        </w:rPr>
        <w:t>Tauveron</w:t>
      </w:r>
      <w:proofErr w:type="spellEnd"/>
      <w:r w:rsidRPr="000D4717">
        <w:rPr>
          <w:rFonts w:ascii="Times Roman" w:hAnsi="Times Roman"/>
          <w:sz w:val="18"/>
          <w:szCs w:val="18"/>
        </w:rPr>
        <w:t xml:space="preserve">, « Comprendre et interpréter le littéraire à l’école : du texte réticent au texte proliférant », dans </w:t>
      </w:r>
      <w:r w:rsidRPr="000D4717">
        <w:rPr>
          <w:rFonts w:ascii="Times Roman" w:hAnsi="Times Roman"/>
          <w:i/>
          <w:sz w:val="18"/>
          <w:szCs w:val="18"/>
        </w:rPr>
        <w:t>Repères</w:t>
      </w:r>
      <w:r w:rsidRPr="000D4717">
        <w:rPr>
          <w:rFonts w:ascii="Times Roman" w:hAnsi="Times Roman"/>
          <w:sz w:val="18"/>
          <w:szCs w:val="18"/>
        </w:rPr>
        <w:t xml:space="preserve">, n°19, 1999, pp. 9-38 et Michel </w:t>
      </w:r>
      <w:proofErr w:type="spellStart"/>
      <w:r w:rsidRPr="000D4717">
        <w:rPr>
          <w:rFonts w:ascii="Times Roman" w:hAnsi="Times Roman"/>
          <w:sz w:val="18"/>
          <w:szCs w:val="18"/>
        </w:rPr>
        <w:t>Dabène</w:t>
      </w:r>
      <w:proofErr w:type="spellEnd"/>
      <w:r w:rsidRPr="000D4717">
        <w:rPr>
          <w:rFonts w:ascii="Times Roman" w:hAnsi="Times Roman"/>
          <w:sz w:val="18"/>
          <w:szCs w:val="18"/>
        </w:rPr>
        <w:t xml:space="preserve">, François </w:t>
      </w:r>
      <w:proofErr w:type="spellStart"/>
      <w:r w:rsidRPr="000D4717">
        <w:rPr>
          <w:rFonts w:ascii="Times Roman" w:hAnsi="Times Roman"/>
          <w:sz w:val="18"/>
          <w:szCs w:val="18"/>
        </w:rPr>
        <w:t>Quet</w:t>
      </w:r>
      <w:proofErr w:type="spellEnd"/>
      <w:r w:rsidRPr="000D4717">
        <w:rPr>
          <w:rFonts w:ascii="Times Roman" w:hAnsi="Times Roman"/>
          <w:sz w:val="18"/>
          <w:szCs w:val="18"/>
        </w:rPr>
        <w:t xml:space="preserve"> (</w:t>
      </w:r>
      <w:proofErr w:type="spellStart"/>
      <w:r w:rsidRPr="000D4717">
        <w:rPr>
          <w:rFonts w:ascii="Times Roman" w:hAnsi="Times Roman"/>
          <w:sz w:val="18"/>
          <w:szCs w:val="18"/>
        </w:rPr>
        <w:t>dir</w:t>
      </w:r>
      <w:proofErr w:type="spellEnd"/>
      <w:r w:rsidRPr="000D4717">
        <w:rPr>
          <w:rFonts w:ascii="Times Roman" w:hAnsi="Times Roman"/>
          <w:sz w:val="18"/>
          <w:szCs w:val="18"/>
        </w:rPr>
        <w:t xml:space="preserve">.), </w:t>
      </w:r>
      <w:r w:rsidRPr="000D4717">
        <w:rPr>
          <w:rFonts w:ascii="Times Roman" w:hAnsi="Times Roman"/>
          <w:i/>
          <w:sz w:val="18"/>
          <w:szCs w:val="18"/>
        </w:rPr>
        <w:t>La compréhension des textes au collège</w:t>
      </w:r>
      <w:r w:rsidRPr="000D4717">
        <w:rPr>
          <w:rFonts w:ascii="Times Roman" w:hAnsi="Times Roman"/>
          <w:sz w:val="18"/>
          <w:szCs w:val="18"/>
        </w:rPr>
        <w:t>, Paris, CRDP de l’Académie de Grenoble et Delagrave, 1999.</w:t>
      </w:r>
    </w:p>
  </w:footnote>
  <w:footnote w:id="12">
    <w:p w14:paraId="39099FE2" w14:textId="5461A358" w:rsidR="000D4717" w:rsidRPr="00AE7DD1"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00AE7DD1">
        <w:rPr>
          <w:rFonts w:ascii="Times Roman" w:hAnsi="Times Roman"/>
          <w:sz w:val="18"/>
          <w:szCs w:val="18"/>
        </w:rPr>
        <w:t xml:space="preserve">Christian </w:t>
      </w:r>
      <w:proofErr w:type="spellStart"/>
      <w:r w:rsidR="00AE7DD1">
        <w:rPr>
          <w:rFonts w:ascii="Times Roman" w:hAnsi="Times Roman"/>
          <w:sz w:val="18"/>
          <w:szCs w:val="18"/>
        </w:rPr>
        <w:t>Vandendorpe</w:t>
      </w:r>
      <w:proofErr w:type="spellEnd"/>
      <w:r w:rsidRPr="005A4FAD">
        <w:rPr>
          <w:rFonts w:ascii="Times Roman" w:hAnsi="Times Roman"/>
          <w:sz w:val="18"/>
          <w:szCs w:val="18"/>
        </w:rPr>
        <w:t>,</w:t>
      </w:r>
      <w:r w:rsidR="00AE7DD1">
        <w:rPr>
          <w:rFonts w:ascii="Times Roman" w:hAnsi="Times Roman"/>
          <w:sz w:val="18"/>
          <w:szCs w:val="18"/>
        </w:rPr>
        <w:t xml:space="preserve"> « Comprendre et interpréter », dans Clémence </w:t>
      </w:r>
      <w:proofErr w:type="spellStart"/>
      <w:r w:rsidR="00AE7DD1">
        <w:rPr>
          <w:rFonts w:ascii="Times Roman" w:hAnsi="Times Roman"/>
          <w:sz w:val="18"/>
          <w:szCs w:val="18"/>
        </w:rPr>
        <w:t>Préfontaine</w:t>
      </w:r>
      <w:proofErr w:type="spellEnd"/>
      <w:r w:rsidR="00AE7DD1">
        <w:rPr>
          <w:rFonts w:ascii="Times Roman" w:hAnsi="Times Roman"/>
          <w:sz w:val="18"/>
          <w:szCs w:val="18"/>
        </w:rPr>
        <w:t xml:space="preserve"> et Monique Lebrun (</w:t>
      </w:r>
      <w:proofErr w:type="spellStart"/>
      <w:r w:rsidR="00AE7DD1">
        <w:rPr>
          <w:rFonts w:ascii="Times Roman" w:hAnsi="Times Roman"/>
          <w:sz w:val="18"/>
          <w:szCs w:val="18"/>
        </w:rPr>
        <w:t>dir</w:t>
      </w:r>
      <w:proofErr w:type="spellEnd"/>
      <w:r w:rsidR="00AE7DD1">
        <w:rPr>
          <w:rFonts w:ascii="Times Roman" w:hAnsi="Times Roman"/>
          <w:sz w:val="18"/>
          <w:szCs w:val="18"/>
        </w:rPr>
        <w:t xml:space="preserve">.), </w:t>
      </w:r>
      <w:r w:rsidR="00AE7DD1">
        <w:rPr>
          <w:rFonts w:ascii="Times Roman" w:hAnsi="Times Roman"/>
          <w:i/>
          <w:sz w:val="18"/>
          <w:szCs w:val="18"/>
        </w:rPr>
        <w:t>La lecture et l’écriture. Enseignement et apprentissage</w:t>
      </w:r>
      <w:r w:rsidR="00AE7DD1">
        <w:rPr>
          <w:rFonts w:ascii="Times Roman" w:hAnsi="Times Roman"/>
          <w:sz w:val="18"/>
          <w:szCs w:val="18"/>
        </w:rPr>
        <w:t>, Montréal, Les éditions Logiques, 1992, pp. 159-181.</w:t>
      </w:r>
    </w:p>
  </w:footnote>
  <w:footnote w:id="13">
    <w:p w14:paraId="414768A9" w14:textId="668C169F" w:rsidR="000D4717" w:rsidRPr="006F0048" w:rsidRDefault="000D4717" w:rsidP="006F0048">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6F0048">
        <w:rPr>
          <w:rFonts w:ascii="Times Roman" w:hAnsi="Times Roman"/>
          <w:sz w:val="18"/>
          <w:szCs w:val="18"/>
        </w:rPr>
        <w:t>Jean-Louis</w:t>
      </w:r>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Dufays</w:t>
      </w:r>
      <w:proofErr w:type="spellEnd"/>
      <w:r w:rsidRPr="006F0048">
        <w:rPr>
          <w:rFonts w:ascii="Times Roman" w:hAnsi="Times Roman"/>
          <w:sz w:val="18"/>
          <w:szCs w:val="18"/>
        </w:rPr>
        <w:t xml:space="preserve">, </w:t>
      </w:r>
      <w:r w:rsidR="006F0048" w:rsidRPr="006F0048">
        <w:rPr>
          <w:rFonts w:ascii="Times Roman" w:hAnsi="Times Roman"/>
          <w:sz w:val="18"/>
          <w:szCs w:val="18"/>
        </w:rPr>
        <w:t xml:space="preserve">Louis </w:t>
      </w:r>
      <w:proofErr w:type="spellStart"/>
      <w:r w:rsidR="006F0048" w:rsidRPr="006F0048">
        <w:rPr>
          <w:rFonts w:ascii="Times Roman" w:hAnsi="Times Roman"/>
          <w:sz w:val="18"/>
          <w:szCs w:val="18"/>
        </w:rPr>
        <w:t>Gemenne</w:t>
      </w:r>
      <w:proofErr w:type="spellEnd"/>
      <w:r w:rsidR="006F0048" w:rsidRPr="006F0048">
        <w:rPr>
          <w:rFonts w:ascii="Times Roman" w:hAnsi="Times Roman"/>
          <w:sz w:val="18"/>
          <w:szCs w:val="18"/>
        </w:rPr>
        <w:t>, Dominique Ledur</w:t>
      </w:r>
      <w:r w:rsidRPr="006F0048">
        <w:rPr>
          <w:rFonts w:ascii="Times Roman" w:hAnsi="Times Roman"/>
          <w:sz w:val="18"/>
          <w:szCs w:val="18"/>
        </w:rPr>
        <w:t xml:space="preserve">, </w:t>
      </w:r>
      <w:r w:rsidRPr="006F0048">
        <w:rPr>
          <w:rFonts w:ascii="Times Roman" w:hAnsi="Times Roman"/>
          <w:i/>
          <w:sz w:val="18"/>
          <w:szCs w:val="18"/>
        </w:rPr>
        <w:t>Pour une lecture littéraire. Histoire, théories, pistes pour la classe</w:t>
      </w:r>
      <w:r w:rsidRPr="006F0048">
        <w:rPr>
          <w:rFonts w:ascii="Times Roman" w:hAnsi="Times Roman"/>
          <w:sz w:val="18"/>
          <w:szCs w:val="18"/>
        </w:rPr>
        <w:t xml:space="preserve">, Bruxelles, De Boeck Supérieur, </w:t>
      </w:r>
      <w:r w:rsidR="006F0048" w:rsidRPr="006F0048">
        <w:rPr>
          <w:rFonts w:ascii="Times Roman" w:hAnsi="Times Roman"/>
          <w:sz w:val="18"/>
          <w:szCs w:val="18"/>
        </w:rPr>
        <w:t>2015, p. 121</w:t>
      </w:r>
      <w:r w:rsidRPr="006F0048">
        <w:rPr>
          <w:rFonts w:ascii="Times Roman" w:hAnsi="Times Roman"/>
          <w:sz w:val="18"/>
          <w:szCs w:val="18"/>
        </w:rPr>
        <w:t>.</w:t>
      </w:r>
    </w:p>
  </w:footnote>
  <w:footnote w:id="14">
    <w:p w14:paraId="6B86E0C7" w14:textId="77777777"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5770EF">
        <w:rPr>
          <w:rFonts w:ascii="Times Roman" w:hAnsi="Times Roman"/>
          <w:sz w:val="18"/>
          <w:szCs w:val="18"/>
        </w:rPr>
        <w:t xml:space="preserve">Bertrand </w:t>
      </w:r>
      <w:r>
        <w:rPr>
          <w:rFonts w:ascii="Times Roman" w:hAnsi="Times Roman"/>
          <w:sz w:val="18"/>
          <w:szCs w:val="18"/>
        </w:rPr>
        <w:t>Gervais</w:t>
      </w:r>
      <w:r w:rsidRPr="005770EF">
        <w:rPr>
          <w:rFonts w:ascii="Times Roman" w:hAnsi="Times Roman"/>
          <w:sz w:val="18"/>
          <w:szCs w:val="18"/>
        </w:rPr>
        <w:t xml:space="preserve">, « Sans fin, les terres. </w:t>
      </w:r>
      <w:r w:rsidRPr="005770EF">
        <w:rPr>
          <w:rFonts w:ascii="Times Roman" w:hAnsi="Times Roman"/>
          <w:i/>
          <w:sz w:val="18"/>
          <w:szCs w:val="18"/>
        </w:rPr>
        <w:t>L’occupation des sols</w:t>
      </w:r>
      <w:r w:rsidRPr="005770EF">
        <w:rPr>
          <w:rFonts w:ascii="Times Roman" w:hAnsi="Times Roman"/>
          <w:sz w:val="18"/>
          <w:szCs w:val="18"/>
        </w:rPr>
        <w:t xml:space="preserve"> au risque d’une définitio</w:t>
      </w:r>
      <w:r>
        <w:rPr>
          <w:rFonts w:ascii="Times Roman" w:hAnsi="Times Roman"/>
          <w:sz w:val="18"/>
          <w:szCs w:val="18"/>
        </w:rPr>
        <w:t>n des pratiques de lecture », dans</w:t>
      </w:r>
      <w:r w:rsidRPr="005770EF">
        <w:rPr>
          <w:rFonts w:ascii="Times Roman" w:hAnsi="Times Roman"/>
          <w:sz w:val="18"/>
          <w:szCs w:val="18"/>
        </w:rPr>
        <w:t xml:space="preserve"> Catherine </w:t>
      </w:r>
      <w:proofErr w:type="spellStart"/>
      <w:r w:rsidRPr="005770EF">
        <w:rPr>
          <w:rFonts w:ascii="Times Roman" w:hAnsi="Times Roman"/>
          <w:sz w:val="18"/>
          <w:szCs w:val="18"/>
        </w:rPr>
        <w:t>T</w:t>
      </w:r>
      <w:r>
        <w:rPr>
          <w:rFonts w:ascii="Times Roman" w:hAnsi="Times Roman"/>
          <w:sz w:val="18"/>
          <w:szCs w:val="18"/>
        </w:rPr>
        <w:t>auveron</w:t>
      </w:r>
      <w:proofErr w:type="spellEnd"/>
      <w:r w:rsidRPr="005770EF">
        <w:rPr>
          <w:rFonts w:ascii="Times Roman" w:hAnsi="Times Roman"/>
          <w:sz w:val="18"/>
          <w:szCs w:val="18"/>
        </w:rPr>
        <w:t xml:space="preserve"> (</w:t>
      </w:r>
      <w:proofErr w:type="spellStart"/>
      <w:r w:rsidRPr="005770EF">
        <w:rPr>
          <w:rFonts w:ascii="Times Roman" w:hAnsi="Times Roman"/>
          <w:sz w:val="18"/>
          <w:szCs w:val="18"/>
        </w:rPr>
        <w:t>dir</w:t>
      </w:r>
      <w:proofErr w:type="spellEnd"/>
      <w:r w:rsidRPr="005770EF">
        <w:rPr>
          <w:rFonts w:ascii="Times Roman" w:hAnsi="Times Roman"/>
          <w:sz w:val="18"/>
          <w:szCs w:val="18"/>
        </w:rPr>
        <w:t xml:space="preserve">.), </w:t>
      </w:r>
      <w:r>
        <w:rPr>
          <w:rFonts w:ascii="Times Roman" w:hAnsi="Times Roman"/>
          <w:i/>
          <w:sz w:val="18"/>
          <w:szCs w:val="18"/>
        </w:rPr>
        <w:t xml:space="preserve">Op. </w:t>
      </w:r>
      <w:proofErr w:type="spellStart"/>
      <w:proofErr w:type="gramStart"/>
      <w:r>
        <w:rPr>
          <w:rFonts w:ascii="Times Roman" w:hAnsi="Times Roman"/>
          <w:i/>
          <w:sz w:val="18"/>
          <w:szCs w:val="18"/>
        </w:rPr>
        <w:t>cit</w:t>
      </w:r>
      <w:proofErr w:type="spellEnd"/>
      <w:r>
        <w:rPr>
          <w:rFonts w:ascii="Times Roman" w:hAnsi="Times Roman"/>
          <w:i/>
          <w:sz w:val="18"/>
          <w:szCs w:val="18"/>
        </w:rPr>
        <w:t>.</w:t>
      </w:r>
      <w:r>
        <w:rPr>
          <w:rFonts w:ascii="Times Roman" w:hAnsi="Times Roman"/>
          <w:sz w:val="18"/>
          <w:szCs w:val="18"/>
        </w:rPr>
        <w:t>,</w:t>
      </w:r>
      <w:proofErr w:type="gramEnd"/>
      <w:r>
        <w:rPr>
          <w:rFonts w:ascii="Times Roman" w:hAnsi="Times Roman"/>
          <w:sz w:val="18"/>
          <w:szCs w:val="18"/>
        </w:rPr>
        <w:t xml:space="preserve"> p</w:t>
      </w:r>
      <w:r w:rsidRPr="005770EF">
        <w:rPr>
          <w:rFonts w:ascii="Times Roman" w:hAnsi="Times Roman"/>
          <w:sz w:val="18"/>
          <w:szCs w:val="18"/>
        </w:rPr>
        <w:t>.</w:t>
      </w:r>
      <w:r>
        <w:rPr>
          <w:rFonts w:ascii="Times Roman" w:hAnsi="Times Roman"/>
          <w:sz w:val="18"/>
          <w:szCs w:val="18"/>
        </w:rPr>
        <w:t xml:space="preserve"> 39.</w:t>
      </w:r>
    </w:p>
  </w:footnote>
  <w:footnote w:id="15">
    <w:p w14:paraId="306A13C7" w14:textId="37D6B957"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00AE7DD1">
        <w:rPr>
          <w:rFonts w:ascii="Times Roman" w:hAnsi="Times Roman"/>
          <w:sz w:val="18"/>
          <w:szCs w:val="18"/>
        </w:rPr>
        <w:t xml:space="preserve">Christian </w:t>
      </w:r>
      <w:proofErr w:type="spellStart"/>
      <w:r w:rsidR="00AE7DD1">
        <w:rPr>
          <w:rFonts w:ascii="Times Roman" w:hAnsi="Times Roman"/>
          <w:sz w:val="18"/>
          <w:szCs w:val="18"/>
        </w:rPr>
        <w:t>Vandendorpe</w:t>
      </w:r>
      <w:proofErr w:type="spellEnd"/>
      <w:r w:rsidR="00AE7DD1" w:rsidRPr="005A4FAD">
        <w:rPr>
          <w:rFonts w:ascii="Times Roman" w:hAnsi="Times Roman"/>
          <w:sz w:val="18"/>
          <w:szCs w:val="18"/>
        </w:rPr>
        <w:t>,</w:t>
      </w:r>
      <w:r w:rsidR="00AE7DD1">
        <w:rPr>
          <w:rFonts w:ascii="Times Roman" w:hAnsi="Times Roman"/>
          <w:sz w:val="18"/>
          <w:szCs w:val="18"/>
        </w:rPr>
        <w:t xml:space="preserve"> « Comprendre et interpréter », dans</w:t>
      </w:r>
      <w:r w:rsidR="00AE7DD1">
        <w:rPr>
          <w:rFonts w:ascii="Times Roman" w:hAnsi="Times Roman"/>
          <w:sz w:val="18"/>
          <w:szCs w:val="18"/>
        </w:rPr>
        <w:t xml:space="preserve"> Clémence</w:t>
      </w:r>
      <w:r w:rsidR="00AE7DD1">
        <w:rPr>
          <w:rFonts w:ascii="Times Roman" w:hAnsi="Times Roman"/>
          <w:sz w:val="18"/>
          <w:szCs w:val="18"/>
        </w:rPr>
        <w:t xml:space="preserve"> </w:t>
      </w:r>
      <w:proofErr w:type="spellStart"/>
      <w:r w:rsidR="00AE7DD1">
        <w:rPr>
          <w:rFonts w:ascii="Times Roman" w:hAnsi="Times Roman"/>
          <w:sz w:val="18"/>
          <w:szCs w:val="18"/>
        </w:rPr>
        <w:t>Préfontaine</w:t>
      </w:r>
      <w:proofErr w:type="spellEnd"/>
      <w:r w:rsidR="00AE7DD1">
        <w:rPr>
          <w:rFonts w:ascii="Times Roman" w:hAnsi="Times Roman"/>
          <w:sz w:val="18"/>
          <w:szCs w:val="18"/>
        </w:rPr>
        <w:t xml:space="preserve"> et Monique Lebrun (</w:t>
      </w:r>
      <w:proofErr w:type="spellStart"/>
      <w:r w:rsidR="00AE7DD1">
        <w:rPr>
          <w:rFonts w:ascii="Times Roman" w:hAnsi="Times Roman"/>
          <w:sz w:val="18"/>
          <w:szCs w:val="18"/>
        </w:rPr>
        <w:t>dir</w:t>
      </w:r>
      <w:proofErr w:type="spellEnd"/>
      <w:r w:rsidR="00AE7DD1">
        <w:rPr>
          <w:rFonts w:ascii="Times Roman" w:hAnsi="Times Roman"/>
          <w:sz w:val="18"/>
          <w:szCs w:val="18"/>
        </w:rPr>
        <w:t xml:space="preserve">.), </w:t>
      </w:r>
      <w:r w:rsidR="00AE7DD1">
        <w:rPr>
          <w:rFonts w:ascii="Times Roman" w:hAnsi="Times Roman"/>
          <w:i/>
          <w:sz w:val="18"/>
          <w:szCs w:val="18"/>
        </w:rPr>
        <w:t xml:space="preserve">Op. </w:t>
      </w:r>
      <w:proofErr w:type="spellStart"/>
      <w:proofErr w:type="gramStart"/>
      <w:r w:rsidR="00AE7DD1">
        <w:rPr>
          <w:rFonts w:ascii="Times Roman" w:hAnsi="Times Roman"/>
          <w:i/>
          <w:sz w:val="18"/>
          <w:szCs w:val="18"/>
        </w:rPr>
        <w:t>cit</w:t>
      </w:r>
      <w:proofErr w:type="spellEnd"/>
      <w:proofErr w:type="gramEnd"/>
      <w:r w:rsidR="00AE7DD1">
        <w:rPr>
          <w:rFonts w:ascii="Times Roman" w:hAnsi="Times Roman"/>
          <w:sz w:val="18"/>
          <w:szCs w:val="18"/>
        </w:rPr>
        <w:t>.</w:t>
      </w:r>
      <w:r w:rsidR="00AE7DD1" w:rsidRPr="005A4FAD">
        <w:rPr>
          <w:rFonts w:ascii="Times Roman" w:hAnsi="Times Roman"/>
          <w:sz w:val="18"/>
          <w:szCs w:val="18"/>
        </w:rPr>
        <w:t xml:space="preserve"> </w:t>
      </w:r>
    </w:p>
  </w:footnote>
  <w:footnote w:id="16">
    <w:p w14:paraId="708578E8" w14:textId="7002089F"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0D4717">
        <w:rPr>
          <w:rFonts w:ascii="Times Roman" w:hAnsi="Times Roman"/>
          <w:sz w:val="18"/>
          <w:szCs w:val="18"/>
        </w:rPr>
        <w:t xml:space="preserve">Catherine </w:t>
      </w:r>
      <w:proofErr w:type="spellStart"/>
      <w:r w:rsidRPr="000D4717">
        <w:rPr>
          <w:rFonts w:ascii="Times Roman" w:hAnsi="Times Roman"/>
          <w:sz w:val="18"/>
          <w:szCs w:val="18"/>
        </w:rPr>
        <w:t>Tauveron</w:t>
      </w:r>
      <w:proofErr w:type="spellEnd"/>
      <w:r w:rsidRPr="000D4717">
        <w:rPr>
          <w:rFonts w:ascii="Times Roman" w:hAnsi="Times Roman"/>
          <w:sz w:val="18"/>
          <w:szCs w:val="18"/>
        </w:rPr>
        <w:t xml:space="preserve">, « Comprendre et interpréter le littéraire à l’école : du texte réticent au texte proliférant », dans </w:t>
      </w:r>
      <w:r w:rsidRPr="000D4717">
        <w:rPr>
          <w:rFonts w:ascii="Times Roman" w:hAnsi="Times Roman"/>
          <w:i/>
          <w:sz w:val="18"/>
          <w:szCs w:val="18"/>
        </w:rPr>
        <w:t>Repères</w:t>
      </w:r>
      <w:r w:rsidRPr="000D4717">
        <w:rPr>
          <w:rFonts w:ascii="Times Roman" w:hAnsi="Times Roman"/>
          <w:sz w:val="18"/>
          <w:szCs w:val="18"/>
        </w:rPr>
        <w:t xml:space="preserve">, n°19, 1999, </w:t>
      </w:r>
      <w:r>
        <w:rPr>
          <w:rFonts w:ascii="Times Roman" w:hAnsi="Times Roman"/>
          <w:sz w:val="18"/>
          <w:szCs w:val="18"/>
        </w:rPr>
        <w:t>pp. 9-38.</w:t>
      </w:r>
    </w:p>
  </w:footnote>
  <w:footnote w:id="17">
    <w:p w14:paraId="4B7C3E49" w14:textId="1EF17375" w:rsidR="000D4717" w:rsidRPr="006F0048" w:rsidRDefault="000D4717" w:rsidP="006F0048">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proofErr w:type="spellStart"/>
      <w:r w:rsidR="006F0048" w:rsidRPr="006F0048">
        <w:rPr>
          <w:rFonts w:ascii="Times Roman" w:hAnsi="Times Roman"/>
          <w:sz w:val="18"/>
          <w:szCs w:val="18"/>
        </w:rPr>
        <w:t>Érick</w:t>
      </w:r>
      <w:proofErr w:type="spellEnd"/>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Falardeau</w:t>
      </w:r>
      <w:proofErr w:type="spellEnd"/>
      <w:r w:rsidR="006F0048" w:rsidRPr="006F0048">
        <w:rPr>
          <w:rFonts w:ascii="Times Roman" w:hAnsi="Times Roman"/>
          <w:sz w:val="18"/>
          <w:szCs w:val="18"/>
        </w:rPr>
        <w:t>, « Compréhension et interprétation : deux composantes complémentaire</w:t>
      </w:r>
      <w:r w:rsidR="006F0048" w:rsidRPr="006F0048">
        <w:rPr>
          <w:rFonts w:ascii="Times Roman" w:hAnsi="Times Roman"/>
          <w:sz w:val="18"/>
          <w:szCs w:val="18"/>
        </w:rPr>
        <w:t>s de la lecture littéraire », dans</w:t>
      </w:r>
      <w:r w:rsidR="006F0048" w:rsidRPr="006F0048">
        <w:rPr>
          <w:rFonts w:ascii="Times Roman" w:hAnsi="Times Roman"/>
          <w:sz w:val="18"/>
          <w:szCs w:val="18"/>
        </w:rPr>
        <w:t xml:space="preserve"> </w:t>
      </w:r>
      <w:r w:rsidR="006F0048" w:rsidRPr="006F0048">
        <w:rPr>
          <w:rFonts w:ascii="Times Roman" w:hAnsi="Times Roman"/>
          <w:i/>
          <w:sz w:val="18"/>
          <w:szCs w:val="18"/>
        </w:rPr>
        <w:t>Revue des Sciences de l’Éducation</w:t>
      </w:r>
      <w:r w:rsidR="006F0048" w:rsidRPr="006F0048">
        <w:rPr>
          <w:rFonts w:ascii="Times Roman" w:hAnsi="Times Roman"/>
          <w:sz w:val="18"/>
          <w:szCs w:val="18"/>
        </w:rPr>
        <w:t>, vol. 29, n°3,</w:t>
      </w:r>
      <w:r w:rsidR="006F0048" w:rsidRPr="006F0048">
        <w:rPr>
          <w:rFonts w:ascii="Times Roman" w:hAnsi="Times Roman"/>
          <w:sz w:val="18"/>
          <w:szCs w:val="18"/>
        </w:rPr>
        <w:t xml:space="preserve"> 2003,</w:t>
      </w:r>
      <w:r w:rsidR="006F0048" w:rsidRPr="006F0048">
        <w:rPr>
          <w:rFonts w:ascii="Times Roman" w:hAnsi="Times Roman"/>
          <w:sz w:val="18"/>
          <w:szCs w:val="18"/>
        </w:rPr>
        <w:t xml:space="preserve"> pp. 673-694.</w:t>
      </w:r>
    </w:p>
  </w:footnote>
  <w:footnote w:id="18">
    <w:p w14:paraId="786E66D5" w14:textId="0F892D51"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proofErr w:type="spellStart"/>
      <w:r w:rsidR="006F0048" w:rsidRPr="006F0048">
        <w:rPr>
          <w:rFonts w:ascii="Times Roman" w:hAnsi="Times Roman"/>
          <w:sz w:val="18"/>
          <w:szCs w:val="18"/>
        </w:rPr>
        <w:t>Érick</w:t>
      </w:r>
      <w:proofErr w:type="spellEnd"/>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Falardeau</w:t>
      </w:r>
      <w:proofErr w:type="spellEnd"/>
      <w:r w:rsidR="006F0048" w:rsidRPr="006F0048">
        <w:rPr>
          <w:rFonts w:ascii="Times Roman" w:hAnsi="Times Roman"/>
          <w:sz w:val="18"/>
          <w:szCs w:val="18"/>
        </w:rPr>
        <w:t xml:space="preserve">, </w:t>
      </w:r>
      <w:r w:rsidR="006F0048">
        <w:rPr>
          <w:rFonts w:ascii="Times Roman" w:hAnsi="Times Roman"/>
          <w:i/>
          <w:sz w:val="18"/>
          <w:szCs w:val="18"/>
        </w:rPr>
        <w:t>Op.</w:t>
      </w:r>
      <w:r w:rsidR="006F0048" w:rsidRPr="006F0048">
        <w:rPr>
          <w:rFonts w:ascii="Times Roman" w:hAnsi="Times Roman"/>
          <w:i/>
          <w:sz w:val="18"/>
          <w:szCs w:val="18"/>
        </w:rPr>
        <w:t xml:space="preserve"> </w:t>
      </w:r>
      <w:proofErr w:type="spellStart"/>
      <w:proofErr w:type="gramStart"/>
      <w:r w:rsidR="006F0048" w:rsidRPr="006F0048">
        <w:rPr>
          <w:rFonts w:ascii="Times Roman" w:hAnsi="Times Roman"/>
          <w:i/>
          <w:sz w:val="18"/>
          <w:szCs w:val="18"/>
        </w:rPr>
        <w:t>cit</w:t>
      </w:r>
      <w:proofErr w:type="spellEnd"/>
      <w:proofErr w:type="gramEnd"/>
      <w:r w:rsidR="006F0048" w:rsidRPr="006F0048">
        <w:rPr>
          <w:rFonts w:ascii="Times Roman" w:hAnsi="Times Roman"/>
          <w:i/>
          <w:sz w:val="18"/>
          <w:szCs w:val="18"/>
        </w:rPr>
        <w:t>.</w:t>
      </w:r>
      <w:r w:rsidR="006F0048" w:rsidRPr="005A4FAD">
        <w:rPr>
          <w:rFonts w:ascii="Times Roman" w:hAnsi="Times Roman"/>
          <w:sz w:val="18"/>
          <w:szCs w:val="18"/>
        </w:rPr>
        <w:t xml:space="preserve"> </w:t>
      </w:r>
    </w:p>
  </w:footnote>
  <w:footnote w:id="19">
    <w:p w14:paraId="3E6C044C" w14:textId="70E64402"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692D0C">
        <w:rPr>
          <w:rFonts w:ascii="Times Roman" w:hAnsi="Times Roman"/>
          <w:sz w:val="18"/>
          <w:szCs w:val="18"/>
        </w:rPr>
        <w:t xml:space="preserve">Christian </w:t>
      </w:r>
      <w:proofErr w:type="spellStart"/>
      <w:r w:rsidRPr="00692D0C">
        <w:rPr>
          <w:rFonts w:ascii="Times Roman" w:hAnsi="Times Roman"/>
          <w:sz w:val="18"/>
          <w:szCs w:val="18"/>
        </w:rPr>
        <w:t>Vandendorpe</w:t>
      </w:r>
      <w:proofErr w:type="spellEnd"/>
      <w:r w:rsidRPr="00692D0C">
        <w:rPr>
          <w:rFonts w:ascii="Times Roman" w:hAnsi="Times Roman"/>
          <w:sz w:val="18"/>
          <w:szCs w:val="18"/>
        </w:rPr>
        <w:t xml:space="preserve">, « De la socialisation des </w:t>
      </w:r>
      <w:r w:rsidR="00AE7DD1">
        <w:rPr>
          <w:rFonts w:ascii="Times Roman" w:hAnsi="Times Roman"/>
          <w:sz w:val="18"/>
          <w:szCs w:val="18"/>
        </w:rPr>
        <w:t>stratégies interprétatives », dans</w:t>
      </w:r>
      <w:r w:rsidRPr="00692D0C">
        <w:rPr>
          <w:rFonts w:ascii="Times Roman" w:hAnsi="Times Roman"/>
          <w:sz w:val="18"/>
          <w:szCs w:val="18"/>
        </w:rPr>
        <w:t xml:space="preserve"> Catherine </w:t>
      </w:r>
      <w:proofErr w:type="spellStart"/>
      <w:r w:rsidRPr="00692D0C">
        <w:rPr>
          <w:rFonts w:ascii="Times Roman" w:hAnsi="Times Roman"/>
          <w:sz w:val="18"/>
          <w:szCs w:val="18"/>
        </w:rPr>
        <w:t>Tauveron</w:t>
      </w:r>
      <w:proofErr w:type="spellEnd"/>
      <w:r w:rsidRPr="00692D0C">
        <w:rPr>
          <w:rFonts w:ascii="Times Roman" w:hAnsi="Times Roman"/>
          <w:sz w:val="18"/>
          <w:szCs w:val="18"/>
        </w:rPr>
        <w:t xml:space="preserve"> (</w:t>
      </w:r>
      <w:proofErr w:type="spellStart"/>
      <w:r w:rsidRPr="00692D0C">
        <w:rPr>
          <w:rFonts w:ascii="Times Roman" w:hAnsi="Times Roman"/>
          <w:sz w:val="18"/>
          <w:szCs w:val="18"/>
        </w:rPr>
        <w:t>dir</w:t>
      </w:r>
      <w:proofErr w:type="spellEnd"/>
      <w:r w:rsidRPr="00692D0C">
        <w:rPr>
          <w:rFonts w:ascii="Times Roman" w:hAnsi="Times Roman"/>
          <w:sz w:val="18"/>
          <w:szCs w:val="18"/>
        </w:rPr>
        <w:t xml:space="preserve">.), </w:t>
      </w:r>
      <w:r>
        <w:rPr>
          <w:rFonts w:ascii="Times Roman" w:hAnsi="Times Roman"/>
          <w:i/>
          <w:sz w:val="18"/>
          <w:szCs w:val="18"/>
        </w:rPr>
        <w:t xml:space="preserve">Op. </w:t>
      </w:r>
      <w:proofErr w:type="spellStart"/>
      <w:proofErr w:type="gramStart"/>
      <w:r>
        <w:rPr>
          <w:rFonts w:ascii="Times Roman" w:hAnsi="Times Roman"/>
          <w:i/>
          <w:sz w:val="18"/>
          <w:szCs w:val="18"/>
        </w:rPr>
        <w:t>cit</w:t>
      </w:r>
      <w:proofErr w:type="spellEnd"/>
      <w:r>
        <w:rPr>
          <w:rFonts w:ascii="Times Roman" w:hAnsi="Times Roman"/>
          <w:i/>
          <w:sz w:val="18"/>
          <w:szCs w:val="18"/>
        </w:rPr>
        <w:t>.</w:t>
      </w:r>
      <w:r w:rsidRPr="00692D0C">
        <w:rPr>
          <w:rFonts w:ascii="Times Roman" w:hAnsi="Times Roman"/>
          <w:sz w:val="18"/>
          <w:szCs w:val="18"/>
        </w:rPr>
        <w:t>,</w:t>
      </w:r>
      <w:proofErr w:type="gramEnd"/>
      <w:r w:rsidRPr="00692D0C">
        <w:rPr>
          <w:rFonts w:ascii="Times Roman" w:hAnsi="Times Roman"/>
          <w:sz w:val="18"/>
          <w:szCs w:val="18"/>
        </w:rPr>
        <w:t xml:space="preserve"> </w:t>
      </w:r>
      <w:r>
        <w:rPr>
          <w:rFonts w:ascii="Times Roman" w:hAnsi="Times Roman"/>
          <w:sz w:val="18"/>
          <w:szCs w:val="18"/>
        </w:rPr>
        <w:t>pp. 83-84</w:t>
      </w:r>
      <w:r w:rsidRPr="00692D0C">
        <w:rPr>
          <w:rFonts w:ascii="Times Roman" w:hAnsi="Times Roman"/>
          <w:sz w:val="18"/>
          <w:szCs w:val="18"/>
        </w:rPr>
        <w:t>.</w:t>
      </w:r>
      <w:r w:rsidRPr="005A4FAD">
        <w:rPr>
          <w:rFonts w:ascii="Times Roman" w:hAnsi="Times Roman"/>
          <w:sz w:val="18"/>
          <w:szCs w:val="18"/>
        </w:rPr>
        <w:t xml:space="preserve"> </w:t>
      </w:r>
    </w:p>
  </w:footnote>
  <w:footnote w:id="20">
    <w:p w14:paraId="50EDA875" w14:textId="3E378887"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proofErr w:type="spellStart"/>
      <w:r w:rsidR="006F0048" w:rsidRPr="006F0048">
        <w:rPr>
          <w:rFonts w:ascii="Times Roman" w:hAnsi="Times Roman"/>
          <w:sz w:val="18"/>
          <w:szCs w:val="18"/>
        </w:rPr>
        <w:t>Érick</w:t>
      </w:r>
      <w:proofErr w:type="spellEnd"/>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Falardeau</w:t>
      </w:r>
      <w:proofErr w:type="spellEnd"/>
      <w:r w:rsidR="006F0048" w:rsidRPr="006F0048">
        <w:rPr>
          <w:rFonts w:ascii="Times Roman" w:hAnsi="Times Roman"/>
          <w:sz w:val="18"/>
          <w:szCs w:val="18"/>
        </w:rPr>
        <w:t xml:space="preserve">, </w:t>
      </w:r>
      <w:r w:rsidR="006F0048">
        <w:rPr>
          <w:rFonts w:ascii="Times Roman" w:hAnsi="Times Roman"/>
          <w:i/>
          <w:sz w:val="18"/>
          <w:szCs w:val="18"/>
        </w:rPr>
        <w:t>Op.</w:t>
      </w:r>
      <w:r w:rsidR="006F0048" w:rsidRPr="006F0048">
        <w:rPr>
          <w:rFonts w:ascii="Times Roman" w:hAnsi="Times Roman"/>
          <w:i/>
          <w:sz w:val="18"/>
          <w:szCs w:val="18"/>
        </w:rPr>
        <w:t xml:space="preserve"> </w:t>
      </w:r>
      <w:proofErr w:type="spellStart"/>
      <w:proofErr w:type="gramStart"/>
      <w:r w:rsidR="006F0048" w:rsidRPr="006F0048">
        <w:rPr>
          <w:rFonts w:ascii="Times Roman" w:hAnsi="Times Roman"/>
          <w:i/>
          <w:sz w:val="18"/>
          <w:szCs w:val="18"/>
        </w:rPr>
        <w:t>cit</w:t>
      </w:r>
      <w:proofErr w:type="spellEnd"/>
      <w:proofErr w:type="gramEnd"/>
      <w:r w:rsidR="006F0048" w:rsidRPr="006F0048">
        <w:rPr>
          <w:rFonts w:ascii="Times Roman" w:hAnsi="Times Roman"/>
          <w:i/>
          <w:sz w:val="18"/>
          <w:szCs w:val="18"/>
        </w:rPr>
        <w:t>.</w:t>
      </w:r>
    </w:p>
  </w:footnote>
  <w:footnote w:id="21">
    <w:p w14:paraId="486469F8" w14:textId="055B0680"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006F0048" w:rsidRPr="006F0048">
        <w:rPr>
          <w:rFonts w:ascii="Times Roman" w:hAnsi="Times Roman"/>
          <w:sz w:val="18"/>
          <w:szCs w:val="18"/>
        </w:rPr>
        <w:t>Yves</w:t>
      </w:r>
      <w:r w:rsidR="006F0048" w:rsidRPr="006F0048">
        <w:rPr>
          <w:rFonts w:ascii="Times Roman" w:hAnsi="Times Roman"/>
          <w:sz w:val="18"/>
          <w:szCs w:val="18"/>
        </w:rPr>
        <w:t xml:space="preserve"> Reuter</w:t>
      </w:r>
      <w:r w:rsidR="006F0048" w:rsidRPr="006F0048">
        <w:rPr>
          <w:rFonts w:ascii="Times Roman" w:hAnsi="Times Roman"/>
          <w:sz w:val="18"/>
          <w:szCs w:val="18"/>
        </w:rPr>
        <w:t>, « Comprendre, interpréter… en situation scolaire. Ret</w:t>
      </w:r>
      <w:r w:rsidR="006F0048" w:rsidRPr="006F0048">
        <w:rPr>
          <w:rFonts w:ascii="Times Roman" w:hAnsi="Times Roman"/>
          <w:sz w:val="18"/>
          <w:szCs w:val="18"/>
        </w:rPr>
        <w:t xml:space="preserve">our sur quelques problèmes », dans Catherine </w:t>
      </w:r>
      <w:proofErr w:type="spellStart"/>
      <w:r w:rsidR="006F0048" w:rsidRPr="006F0048">
        <w:rPr>
          <w:rFonts w:ascii="Times Roman" w:hAnsi="Times Roman"/>
          <w:sz w:val="18"/>
          <w:szCs w:val="18"/>
        </w:rPr>
        <w:t>Tauveron</w:t>
      </w:r>
      <w:proofErr w:type="spellEnd"/>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dir</w:t>
      </w:r>
      <w:proofErr w:type="spellEnd"/>
      <w:r w:rsidR="006F0048" w:rsidRPr="006F0048">
        <w:rPr>
          <w:rFonts w:ascii="Times Roman" w:hAnsi="Times Roman"/>
          <w:sz w:val="18"/>
          <w:szCs w:val="18"/>
        </w:rPr>
        <w:t xml:space="preserve">.), </w:t>
      </w:r>
      <w:r w:rsidR="006F0048" w:rsidRPr="006F0048">
        <w:rPr>
          <w:rFonts w:ascii="Times Roman" w:hAnsi="Times Roman"/>
          <w:i/>
          <w:sz w:val="18"/>
          <w:szCs w:val="18"/>
        </w:rPr>
        <w:t>Comprendre et interpréter le littéraire à l’école et au-delà</w:t>
      </w:r>
      <w:r w:rsidR="006F0048" w:rsidRPr="006F0048">
        <w:rPr>
          <w:rFonts w:ascii="Times Roman" w:hAnsi="Times Roman"/>
          <w:sz w:val="18"/>
          <w:szCs w:val="18"/>
        </w:rPr>
        <w:t>, Paris, INRP,</w:t>
      </w:r>
      <w:r w:rsidR="006F0048" w:rsidRPr="006F0048">
        <w:rPr>
          <w:rFonts w:ascii="Times Roman" w:hAnsi="Times Roman"/>
          <w:sz w:val="18"/>
          <w:szCs w:val="18"/>
        </w:rPr>
        <w:t xml:space="preserve"> 2001, pp. 70</w:t>
      </w:r>
      <w:r w:rsidR="006F0048" w:rsidRPr="006F0048">
        <w:rPr>
          <w:rFonts w:ascii="Times Roman" w:hAnsi="Times Roman"/>
          <w:sz w:val="18"/>
          <w:szCs w:val="18"/>
        </w:rPr>
        <w:t>-7</w:t>
      </w:r>
      <w:r w:rsidR="006F0048" w:rsidRPr="006F0048">
        <w:rPr>
          <w:rFonts w:ascii="Times Roman" w:hAnsi="Times Roman"/>
          <w:sz w:val="18"/>
          <w:szCs w:val="18"/>
        </w:rPr>
        <w:t>1.</w:t>
      </w:r>
      <w:r w:rsidR="006F0048" w:rsidRPr="005A4FAD">
        <w:rPr>
          <w:rFonts w:ascii="Times Roman" w:hAnsi="Times Roman"/>
          <w:sz w:val="18"/>
          <w:szCs w:val="18"/>
        </w:rPr>
        <w:t xml:space="preserve"> </w:t>
      </w:r>
    </w:p>
  </w:footnote>
  <w:footnote w:id="22">
    <w:p w14:paraId="4F422449" w14:textId="31C0ABC9"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006F0048" w:rsidRPr="006F0048">
        <w:rPr>
          <w:rFonts w:ascii="Times Roman" w:hAnsi="Times Roman"/>
          <w:i/>
          <w:sz w:val="18"/>
          <w:szCs w:val="18"/>
        </w:rPr>
        <w:t>Ibid</w:t>
      </w:r>
      <w:r w:rsidR="006F0048">
        <w:rPr>
          <w:rFonts w:ascii="Times Roman" w:hAnsi="Times Roman"/>
          <w:sz w:val="18"/>
          <w:szCs w:val="18"/>
        </w:rPr>
        <w:t>.</w:t>
      </w:r>
    </w:p>
  </w:footnote>
  <w:footnote w:id="23">
    <w:p w14:paraId="3776F284" w14:textId="31FE66D3"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proofErr w:type="spellStart"/>
      <w:r w:rsidR="006F0048" w:rsidRPr="006F0048">
        <w:rPr>
          <w:rFonts w:ascii="Times Roman" w:hAnsi="Times Roman"/>
          <w:sz w:val="18"/>
          <w:szCs w:val="18"/>
        </w:rPr>
        <w:t>Érick</w:t>
      </w:r>
      <w:proofErr w:type="spellEnd"/>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Falardeau</w:t>
      </w:r>
      <w:proofErr w:type="spellEnd"/>
      <w:r w:rsidR="006F0048" w:rsidRPr="006F0048">
        <w:rPr>
          <w:rFonts w:ascii="Times Roman" w:hAnsi="Times Roman"/>
          <w:sz w:val="18"/>
          <w:szCs w:val="18"/>
        </w:rPr>
        <w:t xml:space="preserve">, </w:t>
      </w:r>
      <w:r w:rsidR="006F0048">
        <w:rPr>
          <w:rFonts w:ascii="Times Roman" w:hAnsi="Times Roman"/>
          <w:i/>
          <w:sz w:val="18"/>
          <w:szCs w:val="18"/>
        </w:rPr>
        <w:t>Op.</w:t>
      </w:r>
      <w:r w:rsidR="006F0048" w:rsidRPr="006F0048">
        <w:rPr>
          <w:rFonts w:ascii="Times Roman" w:hAnsi="Times Roman"/>
          <w:i/>
          <w:sz w:val="18"/>
          <w:szCs w:val="18"/>
        </w:rPr>
        <w:t xml:space="preserve"> </w:t>
      </w:r>
      <w:proofErr w:type="spellStart"/>
      <w:proofErr w:type="gramStart"/>
      <w:r w:rsidR="006F0048" w:rsidRPr="006F0048">
        <w:rPr>
          <w:rFonts w:ascii="Times Roman" w:hAnsi="Times Roman"/>
          <w:i/>
          <w:sz w:val="18"/>
          <w:szCs w:val="18"/>
        </w:rPr>
        <w:t>cit</w:t>
      </w:r>
      <w:proofErr w:type="spellEnd"/>
      <w:proofErr w:type="gramEnd"/>
      <w:r w:rsidR="006F0048" w:rsidRPr="006F0048">
        <w:rPr>
          <w:rFonts w:ascii="Times Roman" w:hAnsi="Times Roman"/>
          <w:i/>
          <w:sz w:val="18"/>
          <w:szCs w:val="18"/>
        </w:rPr>
        <w:t>.</w:t>
      </w:r>
    </w:p>
  </w:footnote>
  <w:footnote w:id="24">
    <w:p w14:paraId="69427E4E" w14:textId="4A172F28" w:rsidR="000D4717" w:rsidRPr="006F0048" w:rsidRDefault="000D4717" w:rsidP="006F0048">
      <w:pPr>
        <w:spacing w:after="60"/>
        <w:rPr>
          <w:sz w:val="21"/>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006F0048" w:rsidRPr="006F0048">
        <w:rPr>
          <w:rFonts w:ascii="Times Roman" w:hAnsi="Times Roman"/>
          <w:sz w:val="18"/>
          <w:szCs w:val="18"/>
        </w:rPr>
        <w:t>Marion</w:t>
      </w:r>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Sauvaire</w:t>
      </w:r>
      <w:proofErr w:type="spellEnd"/>
      <w:r w:rsidR="006F0048" w:rsidRPr="006F0048">
        <w:rPr>
          <w:rFonts w:ascii="Times Roman" w:hAnsi="Times Roman"/>
          <w:sz w:val="18"/>
          <w:szCs w:val="18"/>
        </w:rPr>
        <w:t xml:space="preserve">, </w:t>
      </w:r>
      <w:r w:rsidR="006F0048" w:rsidRPr="006F0048">
        <w:rPr>
          <w:rFonts w:ascii="Times Roman" w:hAnsi="Times Roman"/>
          <w:i/>
          <w:sz w:val="18"/>
          <w:szCs w:val="18"/>
        </w:rPr>
        <w:t>Diversité des lectures littéraires. Comment former des sujets lecteurs divers ?</w:t>
      </w:r>
      <w:r w:rsidR="006F0048" w:rsidRPr="006F0048">
        <w:rPr>
          <w:rFonts w:ascii="Times Roman" w:hAnsi="Times Roman"/>
          <w:sz w:val="18"/>
          <w:szCs w:val="18"/>
        </w:rPr>
        <w:t xml:space="preserve">, Thèse de doctorat, Université Laval et Université de Toulouse Le Mirail, </w:t>
      </w:r>
      <w:r w:rsidR="006F0048" w:rsidRPr="006F0048">
        <w:rPr>
          <w:rFonts w:ascii="Times Roman" w:hAnsi="Times Roman"/>
          <w:sz w:val="18"/>
          <w:szCs w:val="18"/>
        </w:rPr>
        <w:t xml:space="preserve">2013, </w:t>
      </w:r>
      <w:r w:rsidR="006F0048" w:rsidRPr="006F0048">
        <w:rPr>
          <w:rFonts w:ascii="Times Roman" w:hAnsi="Times Roman" w:cs="Arial"/>
          <w:sz w:val="18"/>
          <w:szCs w:val="18"/>
        </w:rPr>
        <w:t>www.theses.ulaval.ca/2013/29976/29976.pdf.</w:t>
      </w:r>
    </w:p>
  </w:footnote>
  <w:footnote w:id="25">
    <w:p w14:paraId="36F453B3" w14:textId="478B02BB"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bookmarkStart w:id="0" w:name="_GoBack"/>
      <w:bookmarkEnd w:id="0"/>
      <w:r w:rsidR="006F0048">
        <w:rPr>
          <w:rFonts w:ascii="Times Roman" w:hAnsi="Times Roman"/>
          <w:sz w:val="18"/>
          <w:szCs w:val="18"/>
        </w:rPr>
        <w:t xml:space="preserve">Sylviane </w:t>
      </w:r>
      <w:proofErr w:type="spellStart"/>
      <w:r w:rsidRPr="005A4FAD">
        <w:rPr>
          <w:rFonts w:ascii="Times Roman" w:hAnsi="Times Roman"/>
          <w:sz w:val="18"/>
          <w:szCs w:val="18"/>
        </w:rPr>
        <w:t>Ahr</w:t>
      </w:r>
      <w:proofErr w:type="spellEnd"/>
      <w:r w:rsidRPr="005A4FAD">
        <w:rPr>
          <w:rFonts w:ascii="Times Roman" w:hAnsi="Times Roman"/>
          <w:sz w:val="18"/>
          <w:szCs w:val="18"/>
        </w:rPr>
        <w:t xml:space="preserve">, </w:t>
      </w:r>
      <w:r w:rsidR="006F0048">
        <w:rPr>
          <w:rFonts w:ascii="Times Roman" w:hAnsi="Times Roman"/>
          <w:i/>
          <w:sz w:val="18"/>
          <w:szCs w:val="18"/>
        </w:rPr>
        <w:t xml:space="preserve">Vers un enseignement de la lecture littéraire au lycée – Expérimentations et </w:t>
      </w:r>
      <w:r w:rsidR="006F0048" w:rsidRPr="006F0048">
        <w:rPr>
          <w:rFonts w:ascii="Times Roman" w:hAnsi="Times Roman"/>
          <w:sz w:val="18"/>
          <w:szCs w:val="18"/>
        </w:rPr>
        <w:t>réflexions</w:t>
      </w:r>
      <w:r w:rsidR="006F0048">
        <w:rPr>
          <w:rFonts w:ascii="Times Roman" w:hAnsi="Times Roman"/>
          <w:sz w:val="18"/>
          <w:szCs w:val="18"/>
        </w:rPr>
        <w:t>, Grenoble, CNDP/CRDP Grenoble, 2013, p. 23.</w:t>
      </w:r>
      <w:r w:rsidRPr="005A4FAD">
        <w:rPr>
          <w:rFonts w:ascii="Times Roman" w:hAnsi="Times Roman"/>
          <w:sz w:val="18"/>
          <w:szCs w:val="18"/>
        </w:rPr>
        <w:t> </w:t>
      </w:r>
    </w:p>
  </w:footnote>
  <w:footnote w:id="26">
    <w:p w14:paraId="563BB9F1" w14:textId="3DC1FCDD"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proofErr w:type="spellStart"/>
      <w:r w:rsidR="006F0048" w:rsidRPr="006F0048">
        <w:rPr>
          <w:rFonts w:ascii="Times Roman" w:hAnsi="Times Roman"/>
          <w:sz w:val="18"/>
          <w:szCs w:val="18"/>
        </w:rPr>
        <w:t>Érick</w:t>
      </w:r>
      <w:proofErr w:type="spellEnd"/>
      <w:r w:rsidR="006F0048" w:rsidRPr="006F0048">
        <w:rPr>
          <w:rFonts w:ascii="Times Roman" w:hAnsi="Times Roman"/>
          <w:sz w:val="18"/>
          <w:szCs w:val="18"/>
        </w:rPr>
        <w:t xml:space="preserve"> </w:t>
      </w:r>
      <w:proofErr w:type="spellStart"/>
      <w:r w:rsidR="006F0048" w:rsidRPr="006F0048">
        <w:rPr>
          <w:rFonts w:ascii="Times Roman" w:hAnsi="Times Roman"/>
          <w:sz w:val="18"/>
          <w:szCs w:val="18"/>
        </w:rPr>
        <w:t>Falardeau</w:t>
      </w:r>
      <w:proofErr w:type="spellEnd"/>
      <w:r w:rsidR="006F0048" w:rsidRPr="006F0048">
        <w:rPr>
          <w:rFonts w:ascii="Times Roman" w:hAnsi="Times Roman"/>
          <w:sz w:val="18"/>
          <w:szCs w:val="18"/>
        </w:rPr>
        <w:t xml:space="preserve">, </w:t>
      </w:r>
      <w:r w:rsidR="006F0048">
        <w:rPr>
          <w:rFonts w:ascii="Times Roman" w:hAnsi="Times Roman"/>
          <w:i/>
          <w:sz w:val="18"/>
          <w:szCs w:val="18"/>
        </w:rPr>
        <w:t>Op.</w:t>
      </w:r>
      <w:r w:rsidR="006F0048" w:rsidRPr="006F0048">
        <w:rPr>
          <w:rFonts w:ascii="Times Roman" w:hAnsi="Times Roman"/>
          <w:i/>
          <w:sz w:val="18"/>
          <w:szCs w:val="18"/>
        </w:rPr>
        <w:t xml:space="preserve"> </w:t>
      </w:r>
      <w:proofErr w:type="spellStart"/>
      <w:proofErr w:type="gramStart"/>
      <w:r w:rsidR="006F0048" w:rsidRPr="006F0048">
        <w:rPr>
          <w:rFonts w:ascii="Times Roman" w:hAnsi="Times Roman"/>
          <w:i/>
          <w:sz w:val="18"/>
          <w:szCs w:val="18"/>
        </w:rPr>
        <w:t>cit</w:t>
      </w:r>
      <w:proofErr w:type="spellEnd"/>
      <w:proofErr w:type="gramEnd"/>
      <w:r w:rsidR="006F0048" w:rsidRPr="006F0048">
        <w:rPr>
          <w:rFonts w:ascii="Times Roman" w:hAnsi="Times Roman"/>
          <w:i/>
          <w:sz w:val="18"/>
          <w:szCs w:val="18"/>
        </w:rPr>
        <w:t>.</w:t>
      </w:r>
    </w:p>
  </w:footnote>
  <w:footnote w:id="27">
    <w:p w14:paraId="4C592A11" w14:textId="77777777" w:rsidR="000D4717" w:rsidRPr="005A4FAD" w:rsidRDefault="000D4717">
      <w:pPr>
        <w:pStyle w:val="Notedebasdepage"/>
        <w:rPr>
          <w:rFonts w:ascii="Times Roman" w:hAnsi="Times Roman"/>
          <w:sz w:val="18"/>
          <w:szCs w:val="18"/>
          <w:lang w:val="nl-NL"/>
        </w:rPr>
      </w:pPr>
      <w:r w:rsidRPr="005A4FAD">
        <w:rPr>
          <w:rStyle w:val="Marquenotebasdepage"/>
          <w:rFonts w:ascii="Times Roman" w:hAnsi="Times Roman"/>
          <w:sz w:val="18"/>
          <w:szCs w:val="18"/>
        </w:rPr>
        <w:footnoteRef/>
      </w:r>
      <w:r w:rsidRPr="005A4FAD">
        <w:rPr>
          <w:rFonts w:ascii="Times Roman" w:hAnsi="Times Roman"/>
          <w:sz w:val="18"/>
          <w:szCs w:val="18"/>
        </w:rPr>
        <w:t xml:space="preserve"> </w:t>
      </w:r>
      <w:r w:rsidRPr="005770EF">
        <w:rPr>
          <w:rFonts w:ascii="Times Roman" w:hAnsi="Times Roman"/>
          <w:sz w:val="18"/>
          <w:szCs w:val="18"/>
        </w:rPr>
        <w:t xml:space="preserve">Michel </w:t>
      </w:r>
      <w:proofErr w:type="spellStart"/>
      <w:r w:rsidRPr="005770EF">
        <w:rPr>
          <w:rFonts w:ascii="Times Roman" w:hAnsi="Times Roman"/>
          <w:sz w:val="18"/>
          <w:szCs w:val="18"/>
        </w:rPr>
        <w:t>Dabène</w:t>
      </w:r>
      <w:proofErr w:type="spellEnd"/>
      <w:r w:rsidRPr="005770EF">
        <w:rPr>
          <w:rFonts w:ascii="Times Roman" w:hAnsi="Times Roman"/>
          <w:sz w:val="18"/>
          <w:szCs w:val="18"/>
        </w:rPr>
        <w:t xml:space="preserve">, François </w:t>
      </w:r>
      <w:proofErr w:type="spellStart"/>
      <w:r w:rsidRPr="005770EF">
        <w:rPr>
          <w:rFonts w:ascii="Times Roman" w:hAnsi="Times Roman"/>
          <w:sz w:val="18"/>
          <w:szCs w:val="18"/>
        </w:rPr>
        <w:t>Quet</w:t>
      </w:r>
      <w:proofErr w:type="spellEnd"/>
      <w:r w:rsidRPr="005770EF">
        <w:rPr>
          <w:rFonts w:ascii="Times Roman" w:hAnsi="Times Roman"/>
          <w:sz w:val="18"/>
          <w:szCs w:val="18"/>
        </w:rPr>
        <w:t xml:space="preserve"> (</w:t>
      </w:r>
      <w:proofErr w:type="spellStart"/>
      <w:r w:rsidRPr="005770EF">
        <w:rPr>
          <w:rFonts w:ascii="Times Roman" w:hAnsi="Times Roman"/>
          <w:sz w:val="18"/>
          <w:szCs w:val="18"/>
        </w:rPr>
        <w:t>dir</w:t>
      </w:r>
      <w:proofErr w:type="spellEnd"/>
      <w:r w:rsidRPr="005770EF">
        <w:rPr>
          <w:rFonts w:ascii="Times Roman" w:hAnsi="Times Roman"/>
          <w:sz w:val="18"/>
          <w:szCs w:val="18"/>
        </w:rPr>
        <w:t xml:space="preserve">.), </w:t>
      </w:r>
      <w:r>
        <w:rPr>
          <w:rFonts w:ascii="Times Roman" w:hAnsi="Times Roman"/>
          <w:i/>
          <w:sz w:val="18"/>
          <w:szCs w:val="18"/>
        </w:rPr>
        <w:t xml:space="preserve">Op. </w:t>
      </w:r>
      <w:proofErr w:type="spellStart"/>
      <w:proofErr w:type="gramStart"/>
      <w:r>
        <w:rPr>
          <w:rFonts w:ascii="Times Roman" w:hAnsi="Times Roman"/>
          <w:i/>
          <w:sz w:val="18"/>
          <w:szCs w:val="18"/>
        </w:rPr>
        <w:t>cit</w:t>
      </w:r>
      <w:proofErr w:type="spellEnd"/>
      <w:r>
        <w:rPr>
          <w:rFonts w:ascii="Times Roman" w:hAnsi="Times Roman"/>
          <w:i/>
          <w:sz w:val="18"/>
          <w:szCs w:val="18"/>
        </w:rPr>
        <w:t>.</w:t>
      </w:r>
      <w:r>
        <w:rPr>
          <w:rFonts w:ascii="Times Roman" w:hAnsi="Times Roman"/>
          <w:sz w:val="18"/>
          <w:szCs w:val="18"/>
        </w:rPr>
        <w:t>,</w:t>
      </w:r>
      <w:proofErr w:type="gramEnd"/>
      <w:r>
        <w:rPr>
          <w:rFonts w:ascii="Times Roman" w:hAnsi="Times Roman"/>
          <w:sz w:val="18"/>
          <w:szCs w:val="18"/>
        </w:rPr>
        <w:t xml:space="preserve"> p. 121</w:t>
      </w:r>
      <w:r w:rsidRPr="005770EF">
        <w:rPr>
          <w:rFonts w:ascii="Times Roman" w:hAnsi="Times Roman"/>
          <w:sz w:val="18"/>
          <w:szCs w:val="18"/>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5188D"/>
    <w:multiLevelType w:val="hybridMultilevel"/>
    <w:tmpl w:val="D682DCCE"/>
    <w:lvl w:ilvl="0" w:tplc="5074D486">
      <w:start w:val="1"/>
      <w:numFmt w:val="decimal"/>
      <w:pStyle w:val="titre2rang"/>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B70505D"/>
    <w:multiLevelType w:val="hybridMultilevel"/>
    <w:tmpl w:val="1EEA4544"/>
    <w:lvl w:ilvl="0" w:tplc="A3EE8826">
      <w:start w:val="1"/>
      <w:numFmt w:val="lowerLetter"/>
      <w:pStyle w:val="Style1"/>
      <w:lvlText w:val="%1)"/>
      <w:lvlJc w:val="left"/>
      <w:pPr>
        <w:ind w:left="1780" w:hanging="360"/>
      </w:pPr>
      <w:rPr>
        <w:rFonts w:hint="default"/>
      </w:rPr>
    </w:lvl>
    <w:lvl w:ilvl="1" w:tplc="040C0019" w:tentative="1">
      <w:start w:val="1"/>
      <w:numFmt w:val="lowerLetter"/>
      <w:lvlText w:val="%2."/>
      <w:lvlJc w:val="left"/>
      <w:pPr>
        <w:ind w:left="2500" w:hanging="360"/>
      </w:pPr>
    </w:lvl>
    <w:lvl w:ilvl="2" w:tplc="040C001B" w:tentative="1">
      <w:start w:val="1"/>
      <w:numFmt w:val="lowerRoman"/>
      <w:lvlText w:val="%3."/>
      <w:lvlJc w:val="right"/>
      <w:pPr>
        <w:ind w:left="3220" w:hanging="180"/>
      </w:pPr>
    </w:lvl>
    <w:lvl w:ilvl="3" w:tplc="040C000F" w:tentative="1">
      <w:start w:val="1"/>
      <w:numFmt w:val="decimal"/>
      <w:lvlText w:val="%4."/>
      <w:lvlJc w:val="left"/>
      <w:pPr>
        <w:ind w:left="3940" w:hanging="360"/>
      </w:pPr>
    </w:lvl>
    <w:lvl w:ilvl="4" w:tplc="040C0019" w:tentative="1">
      <w:start w:val="1"/>
      <w:numFmt w:val="lowerLetter"/>
      <w:lvlText w:val="%5."/>
      <w:lvlJc w:val="left"/>
      <w:pPr>
        <w:ind w:left="4660" w:hanging="360"/>
      </w:pPr>
    </w:lvl>
    <w:lvl w:ilvl="5" w:tplc="040C001B" w:tentative="1">
      <w:start w:val="1"/>
      <w:numFmt w:val="lowerRoman"/>
      <w:lvlText w:val="%6."/>
      <w:lvlJc w:val="right"/>
      <w:pPr>
        <w:ind w:left="5380" w:hanging="180"/>
      </w:pPr>
    </w:lvl>
    <w:lvl w:ilvl="6" w:tplc="040C000F" w:tentative="1">
      <w:start w:val="1"/>
      <w:numFmt w:val="decimal"/>
      <w:lvlText w:val="%7."/>
      <w:lvlJc w:val="left"/>
      <w:pPr>
        <w:ind w:left="6100" w:hanging="360"/>
      </w:pPr>
    </w:lvl>
    <w:lvl w:ilvl="7" w:tplc="040C0019" w:tentative="1">
      <w:start w:val="1"/>
      <w:numFmt w:val="lowerLetter"/>
      <w:lvlText w:val="%8."/>
      <w:lvlJc w:val="left"/>
      <w:pPr>
        <w:ind w:left="6820" w:hanging="360"/>
      </w:pPr>
    </w:lvl>
    <w:lvl w:ilvl="8" w:tplc="040C001B" w:tentative="1">
      <w:start w:val="1"/>
      <w:numFmt w:val="lowerRoman"/>
      <w:lvlText w:val="%9."/>
      <w:lvlJc w:val="right"/>
      <w:pPr>
        <w:ind w:left="75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98F"/>
    <w:rsid w:val="000D098F"/>
    <w:rsid w:val="000D4717"/>
    <w:rsid w:val="001934ED"/>
    <w:rsid w:val="005770EF"/>
    <w:rsid w:val="005A4FAD"/>
    <w:rsid w:val="005B1D68"/>
    <w:rsid w:val="00692D0C"/>
    <w:rsid w:val="006F0048"/>
    <w:rsid w:val="0073485F"/>
    <w:rsid w:val="00AE7DD1"/>
    <w:rsid w:val="00CF2D4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EC7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D098F"/>
    <w:pPr>
      <w:widowControl w:val="0"/>
      <w:pBdr>
        <w:top w:val="nil"/>
        <w:left w:val="nil"/>
        <w:bottom w:val="nil"/>
        <w:right w:val="nil"/>
        <w:between w:val="nil"/>
      </w:pBdr>
      <w:spacing w:after="160"/>
      <w:jc w:val="both"/>
    </w:pPr>
    <w:rPr>
      <w:rFonts w:asciiTheme="majorHAnsi" w:eastAsia="Calibri" w:hAnsiTheme="majorHAnsi" w:cs="Calibri"/>
      <w:color w:val="000000"/>
      <w:sz w:val="22"/>
      <w:szCs w:val="21"/>
      <w:lang w:eastAsia="fr-FR"/>
    </w:rPr>
  </w:style>
  <w:style w:type="paragraph" w:styleId="Titre1">
    <w:name w:val="heading 1"/>
    <w:basedOn w:val="Normal"/>
    <w:next w:val="Normal"/>
    <w:link w:val="Titre1Car"/>
    <w:autoRedefine/>
    <w:uiPriority w:val="9"/>
    <w:qFormat/>
    <w:rsid w:val="006264FA"/>
    <w:pPr>
      <w:keepNext/>
      <w:keepLines/>
      <w:widowControl/>
      <w:pBdr>
        <w:top w:val="none" w:sz="0" w:space="0" w:color="auto"/>
        <w:left w:val="none" w:sz="0" w:space="0" w:color="auto"/>
        <w:bottom w:val="none" w:sz="0" w:space="0" w:color="auto"/>
        <w:right w:val="none" w:sz="0" w:space="0" w:color="auto"/>
        <w:between w:val="none" w:sz="0" w:space="0" w:color="auto"/>
      </w:pBdr>
      <w:spacing w:before="240" w:after="0" w:line="360" w:lineRule="auto"/>
      <w:outlineLvl w:val="0"/>
    </w:pPr>
    <w:rPr>
      <w:rFonts w:ascii="Calibri" w:eastAsia="Times New Roman" w:hAnsi="Calibri" w:cs="Times New Roman"/>
      <w:sz w:val="24"/>
      <w:szCs w:val="32"/>
      <w:lang w:eastAsia="en-US"/>
    </w:rPr>
  </w:style>
  <w:style w:type="paragraph" w:styleId="Titre2">
    <w:name w:val="heading 2"/>
    <w:basedOn w:val="Normal"/>
    <w:next w:val="Normal"/>
    <w:link w:val="Titre2Car"/>
    <w:autoRedefine/>
    <w:uiPriority w:val="9"/>
    <w:unhideWhenUsed/>
    <w:qFormat/>
    <w:rsid w:val="006264FA"/>
    <w:pPr>
      <w:keepNext/>
      <w:keepLines/>
      <w:widowControl/>
      <w:pBdr>
        <w:top w:val="none" w:sz="0" w:space="0" w:color="auto"/>
        <w:left w:val="none" w:sz="0" w:space="0" w:color="auto"/>
        <w:bottom w:val="none" w:sz="0" w:space="0" w:color="auto"/>
        <w:right w:val="none" w:sz="0" w:space="0" w:color="auto"/>
        <w:between w:val="none" w:sz="0" w:space="0" w:color="auto"/>
      </w:pBdr>
      <w:spacing w:before="200" w:after="0" w:line="360" w:lineRule="auto"/>
      <w:ind w:left="708"/>
      <w:outlineLvl w:val="1"/>
    </w:pPr>
    <w:rPr>
      <w:rFonts w:eastAsiaTheme="majorEastAsia" w:cstheme="majorBidi"/>
      <w:b/>
      <w:bCs/>
      <w:color w:val="000000" w:themeColor="text1"/>
      <w:sz w:val="24"/>
      <w:szCs w:val="26"/>
      <w:lang w:eastAsia="en-US"/>
    </w:rPr>
  </w:style>
  <w:style w:type="paragraph" w:styleId="Titre3">
    <w:name w:val="heading 3"/>
    <w:basedOn w:val="Corpsdetexte"/>
    <w:next w:val="Normal"/>
    <w:link w:val="Titre3Car"/>
    <w:autoRedefine/>
    <w:uiPriority w:val="9"/>
    <w:unhideWhenUsed/>
    <w:qFormat/>
    <w:rsid w:val="00881CD2"/>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2rang">
    <w:name w:val="titre 2 rang"/>
    <w:basedOn w:val="Titre2"/>
    <w:next w:val="Titre2"/>
    <w:qFormat/>
    <w:rsid w:val="002074E5"/>
    <w:pPr>
      <w:keepLines w:val="0"/>
      <w:numPr>
        <w:numId w:val="1"/>
      </w:numPr>
      <w:spacing w:before="0"/>
    </w:pPr>
    <w:rPr>
      <w:rFonts w:ascii="Times" w:eastAsia="Times" w:hAnsi="Times" w:cs="Times New Roman"/>
      <w:bCs w:val="0"/>
      <w:color w:val="auto"/>
      <w:sz w:val="22"/>
      <w:szCs w:val="20"/>
      <w:lang w:eastAsia="fr-FR"/>
    </w:rPr>
  </w:style>
  <w:style w:type="character" w:customStyle="1" w:styleId="Titre2Car">
    <w:name w:val="Titre 2 Car"/>
    <w:basedOn w:val="Policepardfaut"/>
    <w:link w:val="Titre2"/>
    <w:uiPriority w:val="9"/>
    <w:rsid w:val="006264FA"/>
    <w:rPr>
      <w:rFonts w:asciiTheme="majorHAnsi" w:eastAsiaTheme="majorEastAsia" w:hAnsiTheme="majorHAnsi" w:cstheme="majorBidi"/>
      <w:b/>
      <w:bCs/>
      <w:color w:val="000000" w:themeColor="text1"/>
      <w:szCs w:val="26"/>
    </w:rPr>
  </w:style>
  <w:style w:type="paragraph" w:styleId="Paragraphedeliste">
    <w:name w:val="List Paragraph"/>
    <w:aliases w:val="normal"/>
    <w:basedOn w:val="Normal"/>
    <w:next w:val="Normal"/>
    <w:uiPriority w:val="34"/>
    <w:qFormat/>
    <w:rsid w:val="00881CD2"/>
    <w:pPr>
      <w:widowControl/>
      <w:pBdr>
        <w:top w:val="none" w:sz="0" w:space="0" w:color="auto"/>
        <w:left w:val="none" w:sz="0" w:space="0" w:color="auto"/>
        <w:bottom w:val="none" w:sz="0" w:space="0" w:color="auto"/>
        <w:right w:val="none" w:sz="0" w:space="0" w:color="auto"/>
        <w:between w:val="none" w:sz="0" w:space="0" w:color="auto"/>
      </w:pBdr>
      <w:spacing w:after="0"/>
      <w:ind w:left="720"/>
      <w:contextualSpacing/>
      <w:jc w:val="left"/>
    </w:pPr>
    <w:rPr>
      <w:rFonts w:ascii="Times New Roman" w:eastAsia="Cambria" w:hAnsi="Times New Roman" w:cs="Times New Roman"/>
      <w:color w:val="auto"/>
      <w:szCs w:val="24"/>
      <w:lang w:eastAsia="en-US"/>
    </w:rPr>
  </w:style>
  <w:style w:type="character" w:customStyle="1" w:styleId="Titre3Car">
    <w:name w:val="Titre 3 Car"/>
    <w:basedOn w:val="Policepardfaut"/>
    <w:link w:val="Titre3"/>
    <w:uiPriority w:val="9"/>
    <w:rsid w:val="00881CD2"/>
    <w:rPr>
      <w:rFonts w:asciiTheme="majorHAnsi" w:eastAsiaTheme="majorEastAsia" w:hAnsiTheme="majorHAnsi" w:cstheme="majorBidi"/>
      <w:b/>
      <w:bCs/>
      <w:color w:val="4F81BD" w:themeColor="accent1"/>
    </w:rPr>
  </w:style>
  <w:style w:type="paragraph" w:customStyle="1" w:styleId="Style1">
    <w:name w:val="Style1"/>
    <w:basedOn w:val="Titre3"/>
    <w:qFormat/>
    <w:rsid w:val="002074E5"/>
    <w:pPr>
      <w:keepLines w:val="0"/>
      <w:numPr>
        <w:numId w:val="2"/>
      </w:numPr>
      <w:spacing w:before="0" w:line="360" w:lineRule="auto"/>
      <w:ind w:right="1134"/>
      <w:jc w:val="both"/>
    </w:pPr>
    <w:rPr>
      <w:rFonts w:ascii="Times New Roman" w:eastAsia="Times" w:hAnsi="Times New Roman" w:cs="Times New Roman"/>
      <w:bCs w:val="0"/>
      <w:color w:val="auto"/>
      <w:sz w:val="22"/>
      <w:szCs w:val="20"/>
      <w:lang w:eastAsia="fr-FR"/>
    </w:rPr>
  </w:style>
  <w:style w:type="paragraph" w:styleId="Corpsdetexte">
    <w:name w:val="Body Text"/>
    <w:basedOn w:val="Normal"/>
    <w:link w:val="CorpsdetexteCar"/>
    <w:uiPriority w:val="99"/>
    <w:semiHidden/>
    <w:unhideWhenUsed/>
    <w:rsid w:val="00881CD2"/>
    <w:pPr>
      <w:widowControl/>
      <w:pBdr>
        <w:top w:val="none" w:sz="0" w:space="0" w:color="auto"/>
        <w:left w:val="none" w:sz="0" w:space="0" w:color="auto"/>
        <w:bottom w:val="none" w:sz="0" w:space="0" w:color="auto"/>
        <w:right w:val="none" w:sz="0" w:space="0" w:color="auto"/>
        <w:between w:val="none" w:sz="0" w:space="0" w:color="auto"/>
      </w:pBdr>
      <w:spacing w:after="120"/>
      <w:jc w:val="left"/>
    </w:pPr>
    <w:rPr>
      <w:rFonts w:asciiTheme="minorHAnsi" w:eastAsiaTheme="minorHAnsi" w:hAnsiTheme="minorHAnsi" w:cstheme="minorBidi"/>
      <w:color w:val="auto"/>
      <w:sz w:val="24"/>
      <w:szCs w:val="24"/>
      <w:lang w:eastAsia="en-US"/>
    </w:rPr>
  </w:style>
  <w:style w:type="character" w:customStyle="1" w:styleId="CorpsdetexteCar">
    <w:name w:val="Corps de texte Car"/>
    <w:basedOn w:val="Policepardfaut"/>
    <w:link w:val="Corpsdetexte"/>
    <w:uiPriority w:val="99"/>
    <w:semiHidden/>
    <w:rsid w:val="00881CD2"/>
  </w:style>
  <w:style w:type="character" w:customStyle="1" w:styleId="Titre1Car">
    <w:name w:val="Titre 1 Car"/>
    <w:basedOn w:val="Policepardfaut"/>
    <w:link w:val="Titre1"/>
    <w:uiPriority w:val="9"/>
    <w:rsid w:val="006264FA"/>
    <w:rPr>
      <w:rFonts w:ascii="Calibri" w:eastAsia="Times New Roman" w:hAnsi="Calibri" w:cs="Times New Roman"/>
      <w:color w:val="000000"/>
      <w:szCs w:val="32"/>
    </w:rPr>
  </w:style>
  <w:style w:type="paragraph" w:styleId="Notedebasdepage">
    <w:name w:val="footnote text"/>
    <w:basedOn w:val="Normal"/>
    <w:link w:val="NotedebasdepageCar"/>
    <w:uiPriority w:val="99"/>
    <w:unhideWhenUsed/>
    <w:rsid w:val="001934ED"/>
    <w:pPr>
      <w:spacing w:after="0"/>
    </w:pPr>
    <w:rPr>
      <w:sz w:val="24"/>
      <w:szCs w:val="24"/>
    </w:rPr>
  </w:style>
  <w:style w:type="character" w:customStyle="1" w:styleId="NotedebasdepageCar">
    <w:name w:val="Note de bas de page Car"/>
    <w:basedOn w:val="Policepardfaut"/>
    <w:link w:val="Notedebasdepage"/>
    <w:uiPriority w:val="99"/>
    <w:rsid w:val="001934ED"/>
    <w:rPr>
      <w:rFonts w:asciiTheme="majorHAnsi" w:eastAsia="Calibri" w:hAnsiTheme="majorHAnsi" w:cs="Calibri"/>
      <w:color w:val="000000"/>
      <w:lang w:eastAsia="fr-FR"/>
    </w:rPr>
  </w:style>
  <w:style w:type="character" w:styleId="Marquenotebasdepage">
    <w:name w:val="footnote reference"/>
    <w:basedOn w:val="Policepardfaut"/>
    <w:uiPriority w:val="99"/>
    <w:unhideWhenUsed/>
    <w:rsid w:val="001934E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D098F"/>
    <w:pPr>
      <w:widowControl w:val="0"/>
      <w:pBdr>
        <w:top w:val="nil"/>
        <w:left w:val="nil"/>
        <w:bottom w:val="nil"/>
        <w:right w:val="nil"/>
        <w:between w:val="nil"/>
      </w:pBdr>
      <w:spacing w:after="160"/>
      <w:jc w:val="both"/>
    </w:pPr>
    <w:rPr>
      <w:rFonts w:asciiTheme="majorHAnsi" w:eastAsia="Calibri" w:hAnsiTheme="majorHAnsi" w:cs="Calibri"/>
      <w:color w:val="000000"/>
      <w:sz w:val="22"/>
      <w:szCs w:val="21"/>
      <w:lang w:eastAsia="fr-FR"/>
    </w:rPr>
  </w:style>
  <w:style w:type="paragraph" w:styleId="Titre1">
    <w:name w:val="heading 1"/>
    <w:basedOn w:val="Normal"/>
    <w:next w:val="Normal"/>
    <w:link w:val="Titre1Car"/>
    <w:autoRedefine/>
    <w:uiPriority w:val="9"/>
    <w:qFormat/>
    <w:rsid w:val="006264FA"/>
    <w:pPr>
      <w:keepNext/>
      <w:keepLines/>
      <w:widowControl/>
      <w:pBdr>
        <w:top w:val="none" w:sz="0" w:space="0" w:color="auto"/>
        <w:left w:val="none" w:sz="0" w:space="0" w:color="auto"/>
        <w:bottom w:val="none" w:sz="0" w:space="0" w:color="auto"/>
        <w:right w:val="none" w:sz="0" w:space="0" w:color="auto"/>
        <w:between w:val="none" w:sz="0" w:space="0" w:color="auto"/>
      </w:pBdr>
      <w:spacing w:before="240" w:after="0" w:line="360" w:lineRule="auto"/>
      <w:outlineLvl w:val="0"/>
    </w:pPr>
    <w:rPr>
      <w:rFonts w:ascii="Calibri" w:eastAsia="Times New Roman" w:hAnsi="Calibri" w:cs="Times New Roman"/>
      <w:sz w:val="24"/>
      <w:szCs w:val="32"/>
      <w:lang w:eastAsia="en-US"/>
    </w:rPr>
  </w:style>
  <w:style w:type="paragraph" w:styleId="Titre2">
    <w:name w:val="heading 2"/>
    <w:basedOn w:val="Normal"/>
    <w:next w:val="Normal"/>
    <w:link w:val="Titre2Car"/>
    <w:autoRedefine/>
    <w:uiPriority w:val="9"/>
    <w:unhideWhenUsed/>
    <w:qFormat/>
    <w:rsid w:val="006264FA"/>
    <w:pPr>
      <w:keepNext/>
      <w:keepLines/>
      <w:widowControl/>
      <w:pBdr>
        <w:top w:val="none" w:sz="0" w:space="0" w:color="auto"/>
        <w:left w:val="none" w:sz="0" w:space="0" w:color="auto"/>
        <w:bottom w:val="none" w:sz="0" w:space="0" w:color="auto"/>
        <w:right w:val="none" w:sz="0" w:space="0" w:color="auto"/>
        <w:between w:val="none" w:sz="0" w:space="0" w:color="auto"/>
      </w:pBdr>
      <w:spacing w:before="200" w:after="0" w:line="360" w:lineRule="auto"/>
      <w:ind w:left="708"/>
      <w:outlineLvl w:val="1"/>
    </w:pPr>
    <w:rPr>
      <w:rFonts w:eastAsiaTheme="majorEastAsia" w:cstheme="majorBidi"/>
      <w:b/>
      <w:bCs/>
      <w:color w:val="000000" w:themeColor="text1"/>
      <w:sz w:val="24"/>
      <w:szCs w:val="26"/>
      <w:lang w:eastAsia="en-US"/>
    </w:rPr>
  </w:style>
  <w:style w:type="paragraph" w:styleId="Titre3">
    <w:name w:val="heading 3"/>
    <w:basedOn w:val="Corpsdetexte"/>
    <w:next w:val="Normal"/>
    <w:link w:val="Titre3Car"/>
    <w:autoRedefine/>
    <w:uiPriority w:val="9"/>
    <w:unhideWhenUsed/>
    <w:qFormat/>
    <w:rsid w:val="00881CD2"/>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2rang">
    <w:name w:val="titre 2 rang"/>
    <w:basedOn w:val="Titre2"/>
    <w:next w:val="Titre2"/>
    <w:qFormat/>
    <w:rsid w:val="002074E5"/>
    <w:pPr>
      <w:keepLines w:val="0"/>
      <w:numPr>
        <w:numId w:val="1"/>
      </w:numPr>
      <w:spacing w:before="0"/>
    </w:pPr>
    <w:rPr>
      <w:rFonts w:ascii="Times" w:eastAsia="Times" w:hAnsi="Times" w:cs="Times New Roman"/>
      <w:bCs w:val="0"/>
      <w:color w:val="auto"/>
      <w:sz w:val="22"/>
      <w:szCs w:val="20"/>
      <w:lang w:eastAsia="fr-FR"/>
    </w:rPr>
  </w:style>
  <w:style w:type="character" w:customStyle="1" w:styleId="Titre2Car">
    <w:name w:val="Titre 2 Car"/>
    <w:basedOn w:val="Policepardfaut"/>
    <w:link w:val="Titre2"/>
    <w:uiPriority w:val="9"/>
    <w:rsid w:val="006264FA"/>
    <w:rPr>
      <w:rFonts w:asciiTheme="majorHAnsi" w:eastAsiaTheme="majorEastAsia" w:hAnsiTheme="majorHAnsi" w:cstheme="majorBidi"/>
      <w:b/>
      <w:bCs/>
      <w:color w:val="000000" w:themeColor="text1"/>
      <w:szCs w:val="26"/>
    </w:rPr>
  </w:style>
  <w:style w:type="paragraph" w:styleId="Paragraphedeliste">
    <w:name w:val="List Paragraph"/>
    <w:aliases w:val="normal"/>
    <w:basedOn w:val="Normal"/>
    <w:next w:val="Normal"/>
    <w:uiPriority w:val="34"/>
    <w:qFormat/>
    <w:rsid w:val="00881CD2"/>
    <w:pPr>
      <w:widowControl/>
      <w:pBdr>
        <w:top w:val="none" w:sz="0" w:space="0" w:color="auto"/>
        <w:left w:val="none" w:sz="0" w:space="0" w:color="auto"/>
        <w:bottom w:val="none" w:sz="0" w:space="0" w:color="auto"/>
        <w:right w:val="none" w:sz="0" w:space="0" w:color="auto"/>
        <w:between w:val="none" w:sz="0" w:space="0" w:color="auto"/>
      </w:pBdr>
      <w:spacing w:after="0"/>
      <w:ind w:left="720"/>
      <w:contextualSpacing/>
      <w:jc w:val="left"/>
    </w:pPr>
    <w:rPr>
      <w:rFonts w:ascii="Times New Roman" w:eastAsia="Cambria" w:hAnsi="Times New Roman" w:cs="Times New Roman"/>
      <w:color w:val="auto"/>
      <w:szCs w:val="24"/>
      <w:lang w:eastAsia="en-US"/>
    </w:rPr>
  </w:style>
  <w:style w:type="character" w:customStyle="1" w:styleId="Titre3Car">
    <w:name w:val="Titre 3 Car"/>
    <w:basedOn w:val="Policepardfaut"/>
    <w:link w:val="Titre3"/>
    <w:uiPriority w:val="9"/>
    <w:rsid w:val="00881CD2"/>
    <w:rPr>
      <w:rFonts w:asciiTheme="majorHAnsi" w:eastAsiaTheme="majorEastAsia" w:hAnsiTheme="majorHAnsi" w:cstheme="majorBidi"/>
      <w:b/>
      <w:bCs/>
      <w:color w:val="4F81BD" w:themeColor="accent1"/>
    </w:rPr>
  </w:style>
  <w:style w:type="paragraph" w:customStyle="1" w:styleId="Style1">
    <w:name w:val="Style1"/>
    <w:basedOn w:val="Titre3"/>
    <w:qFormat/>
    <w:rsid w:val="002074E5"/>
    <w:pPr>
      <w:keepLines w:val="0"/>
      <w:numPr>
        <w:numId w:val="2"/>
      </w:numPr>
      <w:spacing w:before="0" w:line="360" w:lineRule="auto"/>
      <w:ind w:right="1134"/>
      <w:jc w:val="both"/>
    </w:pPr>
    <w:rPr>
      <w:rFonts w:ascii="Times New Roman" w:eastAsia="Times" w:hAnsi="Times New Roman" w:cs="Times New Roman"/>
      <w:bCs w:val="0"/>
      <w:color w:val="auto"/>
      <w:sz w:val="22"/>
      <w:szCs w:val="20"/>
      <w:lang w:eastAsia="fr-FR"/>
    </w:rPr>
  </w:style>
  <w:style w:type="paragraph" w:styleId="Corpsdetexte">
    <w:name w:val="Body Text"/>
    <w:basedOn w:val="Normal"/>
    <w:link w:val="CorpsdetexteCar"/>
    <w:uiPriority w:val="99"/>
    <w:semiHidden/>
    <w:unhideWhenUsed/>
    <w:rsid w:val="00881CD2"/>
    <w:pPr>
      <w:widowControl/>
      <w:pBdr>
        <w:top w:val="none" w:sz="0" w:space="0" w:color="auto"/>
        <w:left w:val="none" w:sz="0" w:space="0" w:color="auto"/>
        <w:bottom w:val="none" w:sz="0" w:space="0" w:color="auto"/>
        <w:right w:val="none" w:sz="0" w:space="0" w:color="auto"/>
        <w:between w:val="none" w:sz="0" w:space="0" w:color="auto"/>
      </w:pBdr>
      <w:spacing w:after="120"/>
      <w:jc w:val="left"/>
    </w:pPr>
    <w:rPr>
      <w:rFonts w:asciiTheme="minorHAnsi" w:eastAsiaTheme="minorHAnsi" w:hAnsiTheme="minorHAnsi" w:cstheme="minorBidi"/>
      <w:color w:val="auto"/>
      <w:sz w:val="24"/>
      <w:szCs w:val="24"/>
      <w:lang w:eastAsia="en-US"/>
    </w:rPr>
  </w:style>
  <w:style w:type="character" w:customStyle="1" w:styleId="CorpsdetexteCar">
    <w:name w:val="Corps de texte Car"/>
    <w:basedOn w:val="Policepardfaut"/>
    <w:link w:val="Corpsdetexte"/>
    <w:uiPriority w:val="99"/>
    <w:semiHidden/>
    <w:rsid w:val="00881CD2"/>
  </w:style>
  <w:style w:type="character" w:customStyle="1" w:styleId="Titre1Car">
    <w:name w:val="Titre 1 Car"/>
    <w:basedOn w:val="Policepardfaut"/>
    <w:link w:val="Titre1"/>
    <w:uiPriority w:val="9"/>
    <w:rsid w:val="006264FA"/>
    <w:rPr>
      <w:rFonts w:ascii="Calibri" w:eastAsia="Times New Roman" w:hAnsi="Calibri" w:cs="Times New Roman"/>
      <w:color w:val="000000"/>
      <w:szCs w:val="32"/>
    </w:rPr>
  </w:style>
  <w:style w:type="paragraph" w:styleId="Notedebasdepage">
    <w:name w:val="footnote text"/>
    <w:basedOn w:val="Normal"/>
    <w:link w:val="NotedebasdepageCar"/>
    <w:uiPriority w:val="99"/>
    <w:unhideWhenUsed/>
    <w:rsid w:val="001934ED"/>
    <w:pPr>
      <w:spacing w:after="0"/>
    </w:pPr>
    <w:rPr>
      <w:sz w:val="24"/>
      <w:szCs w:val="24"/>
    </w:rPr>
  </w:style>
  <w:style w:type="character" w:customStyle="1" w:styleId="NotedebasdepageCar">
    <w:name w:val="Note de bas de page Car"/>
    <w:basedOn w:val="Policepardfaut"/>
    <w:link w:val="Notedebasdepage"/>
    <w:uiPriority w:val="99"/>
    <w:rsid w:val="001934ED"/>
    <w:rPr>
      <w:rFonts w:asciiTheme="majorHAnsi" w:eastAsia="Calibri" w:hAnsiTheme="majorHAnsi" w:cs="Calibri"/>
      <w:color w:val="000000"/>
      <w:lang w:eastAsia="fr-FR"/>
    </w:rPr>
  </w:style>
  <w:style w:type="character" w:styleId="Marquenotebasdepage">
    <w:name w:val="footnote reference"/>
    <w:basedOn w:val="Policepardfaut"/>
    <w:uiPriority w:val="99"/>
    <w:unhideWhenUsed/>
    <w:rsid w:val="001934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1503</Words>
  <Characters>8271</Characters>
  <Application>Microsoft Macintosh Word</Application>
  <DocSecurity>0</DocSecurity>
  <Lines>68</Lines>
  <Paragraphs>19</Paragraphs>
  <ScaleCrop>false</ScaleCrop>
  <Company/>
  <LinksUpToDate>false</LinksUpToDate>
  <CharactersWithSpaces>9755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cp:lastModifiedBy>Séverine De Croix</cp:lastModifiedBy>
  <cp:revision>6</cp:revision>
  <dcterms:created xsi:type="dcterms:W3CDTF">2018-07-10T13:31:00Z</dcterms:created>
  <dcterms:modified xsi:type="dcterms:W3CDTF">2018-07-10T14:42:00Z</dcterms:modified>
</cp:coreProperties>
</file>