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058D36" w14:textId="5B50ADA4" w:rsidR="00DA0609" w:rsidRPr="005A51FD" w:rsidRDefault="00DA0609" w:rsidP="00FB677C">
      <w:pPr>
        <w:pBdr>
          <w:top w:val="single" w:sz="8" w:space="1" w:color="auto"/>
          <w:left w:val="single" w:sz="8" w:space="4" w:color="auto"/>
          <w:bottom w:val="single" w:sz="8" w:space="1" w:color="auto"/>
          <w:right w:val="single" w:sz="8" w:space="4" w:color="auto"/>
        </w:pBdr>
        <w:spacing w:before="120" w:line="240" w:lineRule="auto"/>
        <w:jc w:val="center"/>
        <w:rPr>
          <w:rFonts w:eastAsia="Times New Roman" w:cs="FrutigerLTStd-Roman"/>
          <w:b/>
          <w:bCs/>
          <w:sz w:val="26"/>
          <w:szCs w:val="26"/>
        </w:rPr>
      </w:pPr>
      <w:r w:rsidRPr="005A51FD">
        <w:rPr>
          <w:rFonts w:eastAsia="Times New Roman" w:cs="FrutigerLTStd-Roman"/>
          <w:b/>
          <w:bCs/>
          <w:sz w:val="26"/>
          <w:szCs w:val="26"/>
        </w:rPr>
        <w:t>Obligation de réserve pour les salariés en lien avec l’État : vers une</w:t>
      </w:r>
      <w:r w:rsidR="005A51FD" w:rsidRPr="005A51FD">
        <w:rPr>
          <w:rFonts w:eastAsia="Times New Roman" w:cs="FrutigerLTStd-Roman"/>
          <w:b/>
          <w:bCs/>
          <w:sz w:val="26"/>
          <w:szCs w:val="26"/>
        </w:rPr>
        <w:t xml:space="preserve"> nouvelle</w:t>
      </w:r>
      <w:r w:rsidRPr="005A51FD">
        <w:rPr>
          <w:rFonts w:eastAsia="Times New Roman" w:cs="FrutigerLTStd-Roman"/>
          <w:b/>
          <w:bCs/>
          <w:sz w:val="26"/>
          <w:szCs w:val="26"/>
        </w:rPr>
        <w:t xml:space="preserve"> extension du domaine de la neutralité ?</w:t>
      </w:r>
    </w:p>
    <w:p w14:paraId="47537A00" w14:textId="6072FBEA" w:rsidR="00642EBD" w:rsidRPr="00642EBD" w:rsidRDefault="00642EBD" w:rsidP="00642EBD">
      <w:pPr>
        <w:pBdr>
          <w:top w:val="single" w:sz="8" w:space="1" w:color="auto"/>
          <w:left w:val="single" w:sz="8" w:space="4" w:color="auto"/>
          <w:bottom w:val="single" w:sz="8" w:space="1" w:color="auto"/>
          <w:right w:val="single" w:sz="8" w:space="4" w:color="auto"/>
        </w:pBdr>
        <w:spacing w:before="120" w:line="240" w:lineRule="auto"/>
        <w:jc w:val="center"/>
        <w:rPr>
          <w:rFonts w:eastAsia="Times New Roman" w:cs="FrutigerLTStd-Roman"/>
          <w:bCs/>
          <w:sz w:val="26"/>
          <w:szCs w:val="26"/>
        </w:rPr>
      </w:pPr>
      <w:r>
        <w:rPr>
          <w:rFonts w:eastAsia="Times New Roman" w:cs="FrutigerLTStd-Roman"/>
          <w:bCs/>
          <w:sz w:val="26"/>
          <w:szCs w:val="26"/>
        </w:rPr>
        <w:t>(obs. sous Cass. (soc.), 19 octobre 2022, n° 21-12.370)</w:t>
      </w:r>
    </w:p>
    <w:p w14:paraId="5234D527" w14:textId="77777777" w:rsidR="005065FB" w:rsidRPr="005668C2" w:rsidRDefault="005065FB" w:rsidP="005065FB">
      <w:pPr>
        <w:widowControl w:val="0"/>
        <w:suppressAutoHyphens/>
        <w:rPr>
          <w:rFonts w:eastAsia="SimSun" w:cs="FrutigerLTStd-Roman"/>
          <w:szCs w:val="24"/>
          <w:lang w:eastAsia="ar-SA"/>
        </w:rPr>
      </w:pPr>
    </w:p>
    <w:p w14:paraId="4FE20CA3" w14:textId="10BF54CB" w:rsidR="005065FB" w:rsidRDefault="005065FB" w:rsidP="005065FB">
      <w:pPr>
        <w:widowControl w:val="0"/>
        <w:suppressAutoHyphens/>
        <w:ind w:left="1440" w:hanging="1440"/>
        <w:rPr>
          <w:rFonts w:eastAsia="Calibri" w:cs="Times New Roman"/>
          <w:lang w:val="fr-FR"/>
        </w:rPr>
      </w:pPr>
      <w:r w:rsidRPr="1A8112F1">
        <w:rPr>
          <w:rFonts w:eastAsia="Calibri" w:cs="Times New Roman"/>
          <w:i/>
          <w:iCs/>
          <w:u w:val="single"/>
          <w:lang w:val="fr-FR"/>
        </w:rPr>
        <w:t>Auteur</w:t>
      </w:r>
      <w:r w:rsidR="00642EBD" w:rsidRPr="00642EBD">
        <w:rPr>
          <w:rFonts w:eastAsia="Calibri" w:cs="Times New Roman"/>
          <w:i/>
          <w:u w:val="single"/>
          <w:lang w:val="fr-FR"/>
        </w:rPr>
        <w:t> :</w:t>
      </w:r>
      <w:r>
        <w:tab/>
      </w:r>
      <w:r w:rsidRPr="1A8112F1">
        <w:rPr>
          <w:rFonts w:eastAsia="Calibri" w:cs="Times New Roman"/>
          <w:b/>
          <w:bCs/>
          <w:lang w:val="fr-FR"/>
        </w:rPr>
        <w:t>Léopold Vanbellingen</w:t>
      </w:r>
      <w:r w:rsidRPr="1A8112F1">
        <w:rPr>
          <w:rFonts w:eastAsia="Calibri" w:cs="Times New Roman"/>
          <w:lang w:val="fr-FR"/>
        </w:rPr>
        <w:t xml:space="preserve"> (Docteur en droit, Chercheur</w:t>
      </w:r>
      <w:r w:rsidR="00FB677C">
        <w:rPr>
          <w:rFonts w:eastAsia="Calibri" w:cs="Times New Roman"/>
          <w:lang w:val="fr-FR"/>
        </w:rPr>
        <w:t xml:space="preserve"> postdoctoral</w:t>
      </w:r>
      <w:r w:rsidRPr="1A8112F1">
        <w:rPr>
          <w:rFonts w:eastAsia="Calibri" w:cs="Times New Roman"/>
          <w:lang w:val="fr-FR"/>
        </w:rPr>
        <w:t xml:space="preserve"> à la Chaire de droit des religions de l’Université catholique de Louvain)</w:t>
      </w:r>
    </w:p>
    <w:p w14:paraId="4677D040" w14:textId="76FB26ED" w:rsidR="001F2AC8" w:rsidRDefault="001F2AC8" w:rsidP="005065FB"/>
    <w:p w14:paraId="4903E832" w14:textId="3C39FC4D" w:rsidR="00AE696B" w:rsidRDefault="00AE696B" w:rsidP="00AE696B">
      <w:pPr>
        <w:pStyle w:val="Corpsdetexte"/>
        <w:rPr>
          <w:lang w:val="fr-FR"/>
        </w:rPr>
      </w:pPr>
      <w:r>
        <w:rPr>
          <w:lang w:val="fr-FR"/>
        </w:rPr>
        <w:t>L’obligation de neutralité et le devoir de réserve trouvent-ils à s’appliquer aux propos tenus en dehors de son travail par un salarié de droit privé chargé d’une mission de service public ou mis à disposition d’une collectivité territoriale ?</w:t>
      </w:r>
    </w:p>
    <w:p w14:paraId="71A8C7EE" w14:textId="5D9FBFE2" w:rsidR="005604DE" w:rsidRDefault="00AE696B" w:rsidP="00AE696B">
      <w:pPr>
        <w:pStyle w:val="Corpsdetexte"/>
        <w:rPr>
          <w:lang w:val="fr-FR"/>
        </w:rPr>
      </w:pPr>
      <w:r>
        <w:rPr>
          <w:lang w:val="fr-FR"/>
        </w:rPr>
        <w:t>A cette question précise, la chambre sociale de la Cour de cassation répond par l’affirmative</w:t>
      </w:r>
      <w:r w:rsidR="005604DE">
        <w:rPr>
          <w:lang w:val="fr-FR"/>
        </w:rPr>
        <w:t>, à l’occasion d’une affaire relative au licenciement d’un salarié employé par une mission locale, à la suite de propos à connotation politique et religieuse tenus sur Facebook.</w:t>
      </w:r>
    </w:p>
    <w:p w14:paraId="2F244C1E" w14:textId="42FD90E0" w:rsidR="005604DE" w:rsidRDefault="005604DE" w:rsidP="00AE696B">
      <w:pPr>
        <w:pStyle w:val="Corpsdetexte"/>
        <w:rPr>
          <w:lang w:val="fr-FR"/>
        </w:rPr>
      </w:pPr>
      <w:r>
        <w:rPr>
          <w:lang w:val="fr-FR"/>
        </w:rPr>
        <w:t>Publiés en son nom propre et sur un compte visiblement accessible à tous, ces propos</w:t>
      </w:r>
      <w:r w:rsidR="00C66A8F">
        <w:rPr>
          <w:lang w:val="fr-FR"/>
        </w:rPr>
        <w:t xml:space="preserve"> interviennent en novembre et décembre 2015, à quelques jours des élections régionales françaises, et quelques semaines après les attentats islamistes du 13 novembre.</w:t>
      </w:r>
      <w:r>
        <w:rPr>
          <w:lang w:val="fr-FR"/>
        </w:rPr>
        <w:t xml:space="preserve"> </w:t>
      </w:r>
      <w:r w:rsidR="00C66A8F">
        <w:rPr>
          <w:lang w:val="fr-FR"/>
        </w:rPr>
        <w:t xml:space="preserve">Ces publications </w:t>
      </w:r>
      <w:r>
        <w:rPr>
          <w:lang w:val="fr-FR"/>
        </w:rPr>
        <w:t>compr</w:t>
      </w:r>
      <w:r w:rsidR="00C66A8F">
        <w:rPr>
          <w:lang w:val="fr-FR"/>
        </w:rPr>
        <w:t>ennent</w:t>
      </w:r>
      <w:r>
        <w:rPr>
          <w:lang w:val="fr-FR"/>
        </w:rPr>
        <w:t xml:space="preserve"> notamment une invitation à s’abstenir de voter pour les candidats LR et FN, qu’il qualifie de « fascistes, racistes, islamophobes »</w:t>
      </w:r>
      <w:r w:rsidR="00C66A8F">
        <w:rPr>
          <w:lang w:val="fr-FR"/>
        </w:rPr>
        <w:t>, ainsi qu’un refus de « mettre le drapeau » et de reconnaître le gouvernement français. En outre, le salarié demande à tous ses « contacts musulmans ou pas de diffuser le Coran en masse », tout en citant une sourate où il est question de « placer les croyants à leurs postes de combat ».</w:t>
      </w:r>
    </w:p>
    <w:p w14:paraId="5D81AACB" w14:textId="0077478C" w:rsidR="001158CF" w:rsidRDefault="00F4003C" w:rsidP="00AE696B">
      <w:pPr>
        <w:pStyle w:val="Corpsdetexte"/>
        <w:rPr>
          <w:lang w:val="fr-FR"/>
        </w:rPr>
      </w:pPr>
      <w:r>
        <w:rPr>
          <w:lang w:val="fr-FR"/>
        </w:rPr>
        <w:t>E</w:t>
      </w:r>
      <w:r w:rsidR="00C66A8F">
        <w:rPr>
          <w:lang w:val="fr-FR"/>
        </w:rPr>
        <w:t>ngagé</w:t>
      </w:r>
      <w:r>
        <w:rPr>
          <w:lang w:val="fr-FR"/>
        </w:rPr>
        <w:t xml:space="preserve"> quelques mois plus tôt</w:t>
      </w:r>
      <w:r w:rsidR="00C66A8F">
        <w:rPr>
          <w:lang w:val="fr-FR"/>
        </w:rPr>
        <w:t xml:space="preserve"> par la </w:t>
      </w:r>
      <w:r w:rsidR="00B079CF">
        <w:rPr>
          <w:lang w:val="fr-FR"/>
        </w:rPr>
        <w:t>m</w:t>
      </w:r>
      <w:r w:rsidR="00C66A8F">
        <w:rPr>
          <w:lang w:val="fr-FR"/>
        </w:rPr>
        <w:t xml:space="preserve">ission locale du pays salonais comme conseiller en insertion sociale et professionnelle, le salarié </w:t>
      </w:r>
      <w:r>
        <w:rPr>
          <w:lang w:val="fr-FR"/>
        </w:rPr>
        <w:t>avait</w:t>
      </w:r>
      <w:r w:rsidR="00C66A8F">
        <w:rPr>
          <w:lang w:val="fr-FR"/>
        </w:rPr>
        <w:t xml:space="preserve"> ensuite</w:t>
      </w:r>
      <w:r>
        <w:rPr>
          <w:lang w:val="fr-FR"/>
        </w:rPr>
        <w:t xml:space="preserve"> été</w:t>
      </w:r>
      <w:r w:rsidR="00C66A8F">
        <w:rPr>
          <w:lang w:val="fr-FR"/>
        </w:rPr>
        <w:t xml:space="preserve"> mis à disposition d’une municipalité afin de </w:t>
      </w:r>
      <w:r w:rsidR="001158CF">
        <w:rPr>
          <w:lang w:val="fr-FR"/>
        </w:rPr>
        <w:t>collaborer à l’accompagnement et d’insertion de jeunes en difficulté, dans le cadre d’un partenariat entre la commune et la mission locale.</w:t>
      </w:r>
    </w:p>
    <w:p w14:paraId="56B6EF0C" w14:textId="4B5C38AF" w:rsidR="00C66A8F" w:rsidRDefault="001158CF" w:rsidP="00AE696B">
      <w:pPr>
        <w:pStyle w:val="Corpsdetexte"/>
        <w:rPr>
          <w:lang w:val="fr-FR"/>
        </w:rPr>
      </w:pPr>
      <w:r>
        <w:rPr>
          <w:lang w:val="fr-FR"/>
        </w:rPr>
        <w:t>Faisant suite à la découverte des propos tenus sur Facebook par son employé, la mission locale licencie celui-ci pour faute grave, du fait de l’incompatibilité entre ces propos et « l’exercice de [ses] missions ». Aux yeux de l’employeur, ces « manifestations politiques et religieuses » sont considérées comme un abus de sa liberté d’expression et jugées contraires à l’obligation de neutralité du salarié, celle-ci incluant « un devoir de réserve ainsi qu’une obligation de respect de la laïcité ».</w:t>
      </w:r>
    </w:p>
    <w:p w14:paraId="2BF7712F" w14:textId="57319D3E" w:rsidR="001158CF" w:rsidRDefault="001158CF" w:rsidP="00AE696B">
      <w:pPr>
        <w:pStyle w:val="Corpsdetexte"/>
        <w:rPr>
          <w:lang w:val="fr-FR"/>
        </w:rPr>
      </w:pPr>
      <w:r>
        <w:rPr>
          <w:lang w:val="fr-FR"/>
        </w:rPr>
        <w:t>Contesté</w:t>
      </w:r>
      <w:r w:rsidR="00F1317A">
        <w:rPr>
          <w:lang w:val="fr-FR"/>
        </w:rPr>
        <w:t xml:space="preserve"> par l’intéressé</w:t>
      </w:r>
      <w:r>
        <w:rPr>
          <w:lang w:val="fr-FR"/>
        </w:rPr>
        <w:t>, le licenciement est d’abord jugé sans cause réelle et sérieuse par le Conseil de prud’hommes d’Aix-en-Provence</w:t>
      </w:r>
      <w:r w:rsidR="00F1317A">
        <w:rPr>
          <w:rStyle w:val="Appelnotedebasdep"/>
          <w:lang w:val="fr-FR"/>
        </w:rPr>
        <w:footnoteReference w:id="2"/>
      </w:r>
      <w:r>
        <w:rPr>
          <w:lang w:val="fr-FR"/>
        </w:rPr>
        <w:t xml:space="preserve">, avant d’être déclaré nul par la </w:t>
      </w:r>
      <w:r w:rsidR="00DA34FC">
        <w:rPr>
          <w:lang w:val="fr-FR"/>
        </w:rPr>
        <w:t>c</w:t>
      </w:r>
      <w:r>
        <w:rPr>
          <w:lang w:val="fr-FR"/>
        </w:rPr>
        <w:t xml:space="preserve">our d’appel d’Aix-en-Provence, cette dernière concluant à l’existence d’une discrimination </w:t>
      </w:r>
      <w:r w:rsidR="00F1317A">
        <w:rPr>
          <w:lang w:val="fr-FR"/>
        </w:rPr>
        <w:t>fondée sur le</w:t>
      </w:r>
      <w:r>
        <w:rPr>
          <w:lang w:val="fr-FR"/>
        </w:rPr>
        <w:t xml:space="preserve">s </w:t>
      </w:r>
      <w:r w:rsidR="00F1317A">
        <w:rPr>
          <w:lang w:val="fr-FR"/>
        </w:rPr>
        <w:t>opinions politiques et les convictions</w:t>
      </w:r>
      <w:r>
        <w:rPr>
          <w:lang w:val="fr-FR"/>
        </w:rPr>
        <w:t xml:space="preserve"> religieuses du salarié</w:t>
      </w:r>
      <w:r w:rsidR="00F1317A">
        <w:rPr>
          <w:rStyle w:val="Appelnotedebasdep"/>
          <w:lang w:val="fr-FR"/>
        </w:rPr>
        <w:footnoteReference w:id="3"/>
      </w:r>
      <w:r>
        <w:rPr>
          <w:lang w:val="fr-FR"/>
        </w:rPr>
        <w:t>.</w:t>
      </w:r>
    </w:p>
    <w:p w14:paraId="15ABBFAE" w14:textId="10A8179A" w:rsidR="00047738" w:rsidRDefault="00F1317A" w:rsidP="00AE696B">
      <w:pPr>
        <w:pStyle w:val="Corpsdetexte"/>
        <w:rPr>
          <w:lang w:val="fr-FR"/>
        </w:rPr>
      </w:pPr>
      <w:r>
        <w:rPr>
          <w:lang w:val="fr-FR"/>
        </w:rPr>
        <w:t xml:space="preserve">Faisant suite au pourvoi formulé par la mission locale, la chambre sociale de la Cour de cassation invalide le raisonnement </w:t>
      </w:r>
      <w:r w:rsidR="00047738">
        <w:rPr>
          <w:lang w:val="fr-FR"/>
        </w:rPr>
        <w:t>de la cour</w:t>
      </w:r>
      <w:r>
        <w:rPr>
          <w:lang w:val="fr-FR"/>
        </w:rPr>
        <w:t xml:space="preserve"> d’appel : </w:t>
      </w:r>
      <w:r w:rsidR="00047738">
        <w:rPr>
          <w:lang w:val="fr-FR"/>
        </w:rPr>
        <w:t xml:space="preserve">la décision est cassée pour cause d’absence de base légale, </w:t>
      </w:r>
      <w:r>
        <w:rPr>
          <w:lang w:val="fr-FR"/>
        </w:rPr>
        <w:t>dans la mesure où</w:t>
      </w:r>
      <w:r w:rsidR="00047738">
        <w:rPr>
          <w:lang w:val="fr-FR"/>
        </w:rPr>
        <w:t xml:space="preserve"> celle-ci ne se prononce pas </w:t>
      </w:r>
      <w:r w:rsidR="00F4003C">
        <w:rPr>
          <w:lang w:val="fr-FR"/>
        </w:rPr>
        <w:t xml:space="preserve">sur </w:t>
      </w:r>
      <w:r w:rsidR="00047738">
        <w:rPr>
          <w:lang w:val="fr-FR"/>
        </w:rPr>
        <w:t xml:space="preserve">le fait de savoir si </w:t>
      </w:r>
      <w:r w:rsidR="00047738">
        <w:rPr>
          <w:lang w:val="fr-FR"/>
        </w:rPr>
        <w:lastRenderedPageBreak/>
        <w:t>la consultation du compte Facebook permettait l’identification du salarié en tant que conseiller d’insertion, notamment par les jeunes qu’il accompagnait, ni sur la compatibilité des propos tenus avec l’obligation de réserve, tenant compte de leur virulence et de leur publicité</w:t>
      </w:r>
      <w:r>
        <w:rPr>
          <w:lang w:val="fr-FR"/>
        </w:rPr>
        <w:t>.</w:t>
      </w:r>
      <w:r w:rsidR="00CE5EE6">
        <w:rPr>
          <w:lang w:val="fr-FR"/>
        </w:rPr>
        <w:t xml:space="preserve"> La prise en compte de ces éléments </w:t>
      </w:r>
      <w:r w:rsidR="00B76FA6">
        <w:rPr>
          <w:lang w:val="fr-FR"/>
        </w:rPr>
        <w:t>aurait</w:t>
      </w:r>
      <w:r w:rsidR="00CE5EE6">
        <w:rPr>
          <w:lang w:val="fr-FR"/>
        </w:rPr>
        <w:t xml:space="preserve"> </w:t>
      </w:r>
      <w:r w:rsidR="00F4003C">
        <w:rPr>
          <w:lang w:val="fr-FR"/>
        </w:rPr>
        <w:t xml:space="preserve">alors </w:t>
      </w:r>
      <w:r w:rsidR="00B76FA6">
        <w:rPr>
          <w:lang w:val="fr-FR"/>
        </w:rPr>
        <w:t>condui</w:t>
      </w:r>
      <w:r w:rsidR="00F4003C">
        <w:rPr>
          <w:lang w:val="fr-FR"/>
        </w:rPr>
        <w:t>t</w:t>
      </w:r>
      <w:r w:rsidR="00CE5EE6">
        <w:rPr>
          <w:lang w:val="fr-FR"/>
        </w:rPr>
        <w:t xml:space="preserve"> les juges d’appel à </w:t>
      </w:r>
      <w:r w:rsidR="00B76FA6">
        <w:rPr>
          <w:lang w:val="fr-FR"/>
        </w:rPr>
        <w:t>répo</w:t>
      </w:r>
      <w:r w:rsidR="00CE5EE6">
        <w:rPr>
          <w:lang w:val="fr-FR"/>
        </w:rPr>
        <w:t>ndre à la question de l’existence d’une « exigence</w:t>
      </w:r>
      <w:r w:rsidR="00B76FA6">
        <w:rPr>
          <w:lang w:val="fr-FR"/>
        </w:rPr>
        <w:t xml:space="preserve"> professionnelle essentielle et déterminante » liée à l’obligation de réserve et justifiant le caractère discriminatoire du licenciement.</w:t>
      </w:r>
    </w:p>
    <w:p w14:paraId="434D1C92" w14:textId="022F6C70" w:rsidR="00CE5EE6" w:rsidRDefault="00047738" w:rsidP="00AE696B">
      <w:pPr>
        <w:pStyle w:val="Corpsdetexte"/>
        <w:rPr>
          <w:lang w:val="fr-FR"/>
        </w:rPr>
      </w:pPr>
      <w:r>
        <w:rPr>
          <w:lang w:val="fr-FR"/>
        </w:rPr>
        <w:t>Plus fondamentalement, la</w:t>
      </w:r>
      <w:r w:rsidR="00F1317A">
        <w:rPr>
          <w:lang w:val="fr-FR"/>
        </w:rPr>
        <w:t xml:space="preserve"> Cour de cassation</w:t>
      </w:r>
      <w:r w:rsidR="00CE5EE6">
        <w:rPr>
          <w:lang w:val="fr-FR"/>
        </w:rPr>
        <w:t xml:space="preserve"> consacre à cette occasion l’existence d’une obligation de réserve dans le chef des salariés assurant une fonction en lien avec l’État.</w:t>
      </w:r>
    </w:p>
    <w:p w14:paraId="7E460CB6" w14:textId="2AED3524" w:rsidR="00CE5EE6" w:rsidRDefault="00CE5EE6" w:rsidP="00AE696B">
      <w:pPr>
        <w:pStyle w:val="Corpsdetexte"/>
        <w:rPr>
          <w:lang w:val="fr-FR"/>
        </w:rPr>
      </w:pPr>
      <w:r>
        <w:rPr>
          <w:lang w:val="fr-FR"/>
        </w:rPr>
        <w:t>En l’espèce, cette obligation trouvait un double fondement, dès lors que le salarié licencié occupait non seulement une fonction liée à l’exercice d’une mission de service public, mais était par ailleurs mis à disposition d’une collectivité territoriale.</w:t>
      </w:r>
    </w:p>
    <w:p w14:paraId="14D39200" w14:textId="35A0E051" w:rsidR="009D22A9" w:rsidRDefault="00CE5EE6" w:rsidP="00AE696B">
      <w:pPr>
        <w:pStyle w:val="Corpsdetexte"/>
        <w:rPr>
          <w:lang w:val="fr-FR"/>
        </w:rPr>
      </w:pPr>
      <w:r>
        <w:rPr>
          <w:lang w:val="fr-FR"/>
        </w:rPr>
        <w:t>Dans chacune de ces deux hypothèses, la Cour de cassation considère que le salarié est « soumis aux principes de laïcité et de neutralité du service public et dès lors à une obligation de réserve en dehors de l’exercice de ses fonctions ».</w:t>
      </w:r>
    </w:p>
    <w:p w14:paraId="77CA63DB" w14:textId="6DF7324C" w:rsidR="009D22A9" w:rsidRDefault="00056144" w:rsidP="00AE696B">
      <w:pPr>
        <w:pStyle w:val="Corpsdetexte"/>
        <w:rPr>
          <w:lang w:val="fr-FR"/>
        </w:rPr>
      </w:pPr>
      <w:r>
        <w:rPr>
          <w:lang w:val="fr-FR"/>
        </w:rPr>
        <w:t xml:space="preserve">Les conclusions de cet arrêt </w:t>
      </w:r>
      <w:r w:rsidR="00DA0609">
        <w:rPr>
          <w:lang w:val="fr-FR"/>
        </w:rPr>
        <w:t>soulèvent au moins deux enjeux importants, s’agissant de l’invocation de la neutralité comme motif de restriction des droits et libertés d’un salarié.</w:t>
      </w:r>
      <w:r>
        <w:rPr>
          <w:lang w:val="fr-FR"/>
        </w:rPr>
        <w:t xml:space="preserve"> </w:t>
      </w:r>
      <w:r w:rsidR="00DA0609">
        <w:rPr>
          <w:lang w:val="fr-FR"/>
        </w:rPr>
        <w:t>P</w:t>
      </w:r>
      <w:r>
        <w:rPr>
          <w:lang w:val="fr-FR"/>
        </w:rPr>
        <w:t>remièrement,</w:t>
      </w:r>
      <w:r w:rsidR="00DA0609">
        <w:rPr>
          <w:lang w:val="fr-FR"/>
        </w:rPr>
        <w:t xml:space="preserve"> il convient de s’interroger sur les ressorts d’une telle extension du principe de neutralité aux salariés dont la fonction entre en lien avec les missions de l’État (I). Deuxièmement, l’arrêt mérite d’être confronté au droit européen de la liberté religieuse et de la non-discrimination, s’agissant des </w:t>
      </w:r>
      <w:r w:rsidR="00DA0609">
        <w:t>critères d’appréciation de la licéité d’une telle restriction fondée sur la neutralité (II).</w:t>
      </w:r>
    </w:p>
    <w:p w14:paraId="0B68A94F" w14:textId="401FA947" w:rsidR="00855EC0" w:rsidRPr="00262445" w:rsidRDefault="00262445" w:rsidP="00855EC0">
      <w:pPr>
        <w:pStyle w:val="Titre1"/>
      </w:pPr>
      <w:r w:rsidRPr="00262445">
        <w:t>Double</w:t>
      </w:r>
      <w:r w:rsidR="007E231A" w:rsidRPr="00262445">
        <w:t xml:space="preserve"> extension du domaine de la neutralité</w:t>
      </w:r>
    </w:p>
    <w:p w14:paraId="53CBCDC3" w14:textId="550EDA2C" w:rsidR="00DA0609" w:rsidRDefault="00357164" w:rsidP="00DA0609">
      <w:pPr>
        <w:rPr>
          <w:lang w:val="fr-FR"/>
        </w:rPr>
      </w:pPr>
      <w:r>
        <w:t xml:space="preserve">L’arrêt rendu par la chambre sociale a pour originalité le fait d’établir une obligation de réserve dans le chef des salariés assurant une mission en lien avec l’État, soit lorsque leur </w:t>
      </w:r>
      <w:r>
        <w:rPr>
          <w:lang w:val="fr-FR"/>
        </w:rPr>
        <w:t>fonction est liée à l’exercice d’une mission de service public, soit lorsqu’ils sont mis à disposition d’une collectivité territoriale. Aux yeux de la Cour, ces salariés étant soumis au respect des principes de laïcité et de neutralité du service public, il est « dès lors » logique que s’impose également à eux une obligation de réserve en dehors de ses fonctions</w:t>
      </w:r>
      <w:r w:rsidR="00430939">
        <w:rPr>
          <w:rStyle w:val="Appelnotedebasdep"/>
          <w:lang w:val="fr-FR"/>
        </w:rPr>
        <w:footnoteReference w:id="4"/>
      </w:r>
      <w:r>
        <w:rPr>
          <w:lang w:val="fr-FR"/>
        </w:rPr>
        <w:t>.</w:t>
      </w:r>
    </w:p>
    <w:p w14:paraId="55F365FF" w14:textId="6D4EC148" w:rsidR="006C0363" w:rsidRDefault="006C0363" w:rsidP="00DA0609">
      <w:pPr>
        <w:rPr>
          <w:lang w:val="fr-FR"/>
        </w:rPr>
      </w:pPr>
      <w:r>
        <w:rPr>
          <w:lang w:val="fr-FR"/>
        </w:rPr>
        <w:t xml:space="preserve">Partant du principe de laïcité et de l’obligation de neutralité qui en découle pour l’État, il convient de mesurer les multiples étapes que franchit la Cour pour conclure, sur cette base, à l’existence d’une obligation de réserve pour un salarié de droit privé, qui plus est en dehors de ses fonctions : passage de l’organisation à l’individu comme débiteur de cette obligation ; </w:t>
      </w:r>
      <w:r w:rsidR="00316CD4">
        <w:rPr>
          <w:lang w:val="fr-FR"/>
        </w:rPr>
        <w:t xml:space="preserve">passage de l’administration publique à celle des organisations privées en lien avec l’État ; </w:t>
      </w:r>
      <w:r>
        <w:rPr>
          <w:lang w:val="fr-FR"/>
        </w:rPr>
        <w:t xml:space="preserve">passage de l’obligation de neutralité au devoir de réserve ; passage </w:t>
      </w:r>
      <w:r w:rsidR="00316CD4">
        <w:rPr>
          <w:lang w:val="fr-FR"/>
        </w:rPr>
        <w:t>de la sphère d’exercice de la fonction à celle de tout propos public tenu par le salarié</w:t>
      </w:r>
      <w:r w:rsidR="001C5B32">
        <w:rPr>
          <w:lang w:val="fr-FR"/>
        </w:rPr>
        <w:t>, y compris en dehors de son travail</w:t>
      </w:r>
      <w:r w:rsidR="00316CD4">
        <w:rPr>
          <w:lang w:val="fr-FR"/>
        </w:rPr>
        <w:t>.</w:t>
      </w:r>
    </w:p>
    <w:p w14:paraId="55EA7CE2" w14:textId="48E22DA9" w:rsidR="00316CD4" w:rsidRDefault="006C0363" w:rsidP="00DA0609">
      <w:pPr>
        <w:rPr>
          <w:lang w:val="fr-FR"/>
        </w:rPr>
      </w:pPr>
      <w:r>
        <w:rPr>
          <w:lang w:val="fr-FR"/>
        </w:rPr>
        <w:lastRenderedPageBreak/>
        <w:t xml:space="preserve">Aussi </w:t>
      </w:r>
      <w:r w:rsidR="007E7BB2">
        <w:rPr>
          <w:lang w:val="fr-FR"/>
        </w:rPr>
        <w:t>communs</w:t>
      </w:r>
      <w:r>
        <w:rPr>
          <w:lang w:val="fr-FR"/>
        </w:rPr>
        <w:t xml:space="preserve"> que puissent</w:t>
      </w:r>
      <w:r w:rsidR="00F4003C">
        <w:rPr>
          <w:lang w:val="fr-FR"/>
        </w:rPr>
        <w:t xml:space="preserve"> </w:t>
      </w:r>
      <w:r>
        <w:rPr>
          <w:lang w:val="fr-FR"/>
        </w:rPr>
        <w:t>paraître ces enchaînements conceptuels, ceux-ci emportent des implications non négligeables sur le sens et la portée donnés aux principes de laïcité et de neutralité.</w:t>
      </w:r>
    </w:p>
    <w:p w14:paraId="0BA1830D" w14:textId="380E2560" w:rsidR="00E01B3C" w:rsidRDefault="00316CD4" w:rsidP="001C5B32">
      <w:pPr>
        <w:rPr>
          <w:lang w:val="fr-FR"/>
        </w:rPr>
      </w:pPr>
      <w:r>
        <w:rPr>
          <w:lang w:val="fr-FR"/>
        </w:rPr>
        <w:t xml:space="preserve">Cette évolution s’inscrit dans la perspective d’une </w:t>
      </w:r>
      <w:r w:rsidRPr="00316CD4">
        <w:rPr>
          <w:i/>
          <w:lang w:val="fr-FR"/>
        </w:rPr>
        <w:t>extension du domaine de la neutralité</w:t>
      </w:r>
      <w:r>
        <w:rPr>
          <w:lang w:val="fr-FR"/>
        </w:rPr>
        <w:t xml:space="preserve">, telle qu’observée ces dernières années, singulièrement dans le contexte </w:t>
      </w:r>
      <w:r w:rsidR="00F417D5">
        <w:rPr>
          <w:lang w:val="fr-FR"/>
        </w:rPr>
        <w:t xml:space="preserve">juridique </w:t>
      </w:r>
      <w:r>
        <w:rPr>
          <w:lang w:val="fr-FR"/>
        </w:rPr>
        <w:t>français.</w:t>
      </w:r>
      <w:r w:rsidR="00970D0F">
        <w:rPr>
          <w:lang w:val="fr-FR"/>
        </w:rPr>
        <w:t xml:space="preserve"> Un double mouvement est en réalité ici à l’œuvre.</w:t>
      </w:r>
    </w:p>
    <w:p w14:paraId="163A5181" w14:textId="77A9E440" w:rsidR="00550359" w:rsidRDefault="00970D0F" w:rsidP="001C5B32">
      <w:r>
        <w:rPr>
          <w:lang w:val="fr-FR"/>
        </w:rPr>
        <w:t>D’une part, se produit un élargissement de la neutralité de l’État vers la sphère privée – ou, à tout le moins, non étatique –, lui-même signe d’un</w:t>
      </w:r>
      <w:r w:rsidRPr="00316CD4">
        <w:t xml:space="preserve"> double mouvement de </w:t>
      </w:r>
      <w:r w:rsidRPr="00316CD4">
        <w:rPr>
          <w:iCs/>
        </w:rPr>
        <w:t>privatisation</w:t>
      </w:r>
      <w:r w:rsidRPr="00316CD4">
        <w:t xml:space="preserve"> des missions de service public ou d’intérêt général d’un</w:t>
      </w:r>
      <w:r w:rsidRPr="00316CD4">
        <w:rPr>
          <w:iCs/>
        </w:rPr>
        <w:t xml:space="preserve"> côté</w:t>
      </w:r>
      <w:r w:rsidRPr="00316CD4">
        <w:rPr>
          <w:i/>
        </w:rPr>
        <w:fldChar w:fldCharType="begin"/>
      </w:r>
      <w:r w:rsidRPr="00316CD4">
        <w:rPr>
          <w:i/>
        </w:rPr>
        <w:instrText xml:space="preserve"> XE "</w:instrText>
      </w:r>
      <w:r w:rsidRPr="00316CD4">
        <w:instrText>Privatisation"</w:instrText>
      </w:r>
      <w:r w:rsidRPr="00316CD4">
        <w:rPr>
          <w:i/>
        </w:rPr>
        <w:instrText xml:space="preserve"> </w:instrText>
      </w:r>
      <w:r w:rsidRPr="00316CD4">
        <w:rPr>
          <w:i/>
        </w:rPr>
        <w:fldChar w:fldCharType="end"/>
      </w:r>
      <w:r w:rsidRPr="00316CD4">
        <w:t>, et d’extension de la sphère d’intervention publique de l’autre</w:t>
      </w:r>
      <w:r w:rsidRPr="00316CD4">
        <w:rPr>
          <w:vertAlign w:val="superscript"/>
        </w:rPr>
        <w:footnoteReference w:id="5"/>
      </w:r>
      <w:r>
        <w:t xml:space="preserve">. </w:t>
      </w:r>
      <w:r w:rsidR="00430939">
        <w:t xml:space="preserve">La loi </w:t>
      </w:r>
      <w:r w:rsidR="00430939" w:rsidRPr="00430939">
        <w:t>du 24 août 2021 confortant le respect des principes de la République</w:t>
      </w:r>
      <w:r w:rsidR="00430939">
        <w:t xml:space="preserve"> s’inscrit dans cette première perspective, </w:t>
      </w:r>
      <w:r w:rsidR="001C5B32">
        <w:t>en requérant des</w:t>
      </w:r>
      <w:r w:rsidR="00430939">
        <w:t xml:space="preserve"> « salariés », ou </w:t>
      </w:r>
      <w:r w:rsidR="001C5B32">
        <w:t>de</w:t>
      </w:r>
      <w:r w:rsidR="00430939">
        <w:t xml:space="preserve"> « toute autre personne », « </w:t>
      </w:r>
      <w:r w:rsidR="00430939" w:rsidRPr="002C5FD8">
        <w:t>lorsqu'ils participent à l'exécution du service public</w:t>
      </w:r>
      <w:r w:rsidR="00AE1D5B">
        <w:t> »</w:t>
      </w:r>
      <w:r w:rsidR="00430939" w:rsidRPr="002C5FD8">
        <w:t xml:space="preserve">, </w:t>
      </w:r>
      <w:r w:rsidR="001C5B32">
        <w:t>qu’ils</w:t>
      </w:r>
      <w:r w:rsidR="00AE1D5B">
        <w:t xml:space="preserve"> « </w:t>
      </w:r>
      <w:r w:rsidR="00430939" w:rsidRPr="002C5FD8">
        <w:t>s'abstiennent notamment de manifester leurs opinions politiques ou religieuses</w:t>
      </w:r>
      <w:r w:rsidR="00430939">
        <w:t> »</w:t>
      </w:r>
      <w:r w:rsidR="001C5B32" w:rsidRPr="001C5B32">
        <w:rPr>
          <w:rStyle w:val="Appelnotedebasdep"/>
        </w:rPr>
        <w:t xml:space="preserve"> </w:t>
      </w:r>
      <w:r w:rsidR="001C5B32">
        <w:rPr>
          <w:rStyle w:val="Appelnotedebasdep"/>
        </w:rPr>
        <w:footnoteReference w:id="6"/>
      </w:r>
      <w:r w:rsidR="001C5B32">
        <w:t xml:space="preserve">. Cette </w:t>
      </w:r>
      <w:r w:rsidR="00550359">
        <w:t>loi</w:t>
      </w:r>
      <w:r w:rsidR="001C5B32">
        <w:t xml:space="preserve"> tout à la fois consacre et renforce la </w:t>
      </w:r>
      <w:r w:rsidR="00550359">
        <w:t>position</w:t>
      </w:r>
      <w:r w:rsidR="001C5B32">
        <w:t xml:space="preserve"> émise par la chambre sociale de la Cour de cassation dans l’arrêt </w:t>
      </w:r>
      <w:r w:rsidR="001C5B32">
        <w:rPr>
          <w:i/>
        </w:rPr>
        <w:t>CPAM</w:t>
      </w:r>
      <w:r w:rsidR="00F417D5">
        <w:rPr>
          <w:i/>
        </w:rPr>
        <w:t xml:space="preserve"> </w:t>
      </w:r>
      <w:r w:rsidR="00F417D5">
        <w:rPr>
          <w:iCs/>
        </w:rPr>
        <w:t>en 2013</w:t>
      </w:r>
      <w:r w:rsidR="001C5B32">
        <w:t xml:space="preserve">, au sujet de l’interdiction des signes religieux </w:t>
      </w:r>
      <w:r w:rsidR="00550359">
        <w:t>pour les</w:t>
      </w:r>
      <w:r w:rsidR="001C5B32">
        <w:t xml:space="preserve"> salariés qui « </w:t>
      </w:r>
      <w:r w:rsidR="001C5B32" w:rsidRPr="00FC4572">
        <w:t>participent à une mission de service public</w:t>
      </w:r>
      <w:r w:rsidR="001C5B32">
        <w:t> », « </w:t>
      </w:r>
      <w:r w:rsidR="001C5B32" w:rsidRPr="00DD168F">
        <w:t xml:space="preserve">peu important que </w:t>
      </w:r>
      <w:r w:rsidR="00550359">
        <w:t>[ceux-ci soient]</w:t>
      </w:r>
      <w:r w:rsidR="001C5B32" w:rsidRPr="00DD168F">
        <w:t xml:space="preserve"> ou non directement en contact avec le public</w:t>
      </w:r>
      <w:r w:rsidR="001C5B32">
        <w:t> »</w:t>
      </w:r>
      <w:r w:rsidR="00550359">
        <w:rPr>
          <w:rStyle w:val="Appelnotedebasdep"/>
        </w:rPr>
        <w:footnoteReference w:id="7"/>
      </w:r>
      <w:r w:rsidR="00550359">
        <w:t>.</w:t>
      </w:r>
      <w:r w:rsidR="00E01B3C">
        <w:t xml:space="preserve"> </w:t>
      </w:r>
      <w:r w:rsidR="00550359">
        <w:t xml:space="preserve">L’arrêt rendu par la même chambre sociale en 2022 vient donc à son tour confirmer et renforcer la loi du 24 août 2021 – non encore en vigueur </w:t>
      </w:r>
      <w:r w:rsidR="00220ED8">
        <w:t>au moment</w:t>
      </w:r>
      <w:r w:rsidR="00550359">
        <w:t xml:space="preserve"> de</w:t>
      </w:r>
      <w:r w:rsidR="00220ED8">
        <w:t>s faits ayant conduit à cet arrêt</w:t>
      </w:r>
      <w:r w:rsidR="00262E5E">
        <w:t>.</w:t>
      </w:r>
    </w:p>
    <w:p w14:paraId="151991B5" w14:textId="34243B0B" w:rsidR="00E01B3C" w:rsidRDefault="00E01B3C" w:rsidP="00E01B3C">
      <w:r>
        <w:t xml:space="preserve">Par ailleurs, à ce premier mouvement d’extension de la neutralité de l’État, s’ajoute un second, lié à l’invocation de la neutralité </w:t>
      </w:r>
      <w:r w:rsidR="00220ED8">
        <w:t>au sein des entreprises</w:t>
      </w:r>
      <w:r>
        <w:t xml:space="preserve"> privés</w:t>
      </w:r>
      <w:r w:rsidR="00220ED8">
        <w:t>, comme outil restrictif de gestion des expressions religieuses des travailleurs.</w:t>
      </w:r>
      <w:r w:rsidR="00262E5E">
        <w:rPr>
          <w:rStyle w:val="Appelnotedebasdep"/>
        </w:rPr>
        <w:footnoteReference w:id="8"/>
      </w:r>
      <w:r w:rsidR="00220ED8">
        <w:t xml:space="preserve"> La neutralité correspond ici à un </w:t>
      </w:r>
      <w:r w:rsidRPr="00316CD4">
        <w:t>choix formulé par l’entreprise, et non à une obligation émanant du cadre juridique étatique</w:t>
      </w:r>
      <w:r w:rsidR="00220ED8">
        <w:t xml:space="preserve">. L’article L1321-2-1 du Code du travail, introduit en 2016, </w:t>
      </w:r>
      <w:r w:rsidR="00862CB0">
        <w:t xml:space="preserve">vient confirmer la légitimité d’une telle neutralité </w:t>
      </w:r>
      <w:r w:rsidR="00862CB0">
        <w:rPr>
          <w:i/>
        </w:rPr>
        <w:t>privatisée</w:t>
      </w:r>
      <w:r w:rsidR="00862CB0">
        <w:t xml:space="preserve"> en droit français, pour autant que les restrictions qui en découlent </w:t>
      </w:r>
      <w:r w:rsidR="00402E76">
        <w:t>soient</w:t>
      </w:r>
      <w:r w:rsidR="00862CB0" w:rsidRPr="00971C46">
        <w:t xml:space="preserve"> </w:t>
      </w:r>
      <w:r w:rsidR="00402E76">
        <w:t>« </w:t>
      </w:r>
      <w:r w:rsidR="00862CB0" w:rsidRPr="00971C46">
        <w:t>justifiées par l'exercice d'autres libertés et droits fondamentaux ou par les nécessités du bon fonctionnement</w:t>
      </w:r>
      <w:r w:rsidR="00862CB0">
        <w:fldChar w:fldCharType="begin"/>
      </w:r>
      <w:r w:rsidR="00862CB0">
        <w:instrText xml:space="preserve"> XE "</w:instrText>
      </w:r>
      <w:r w:rsidR="00862CB0" w:rsidRPr="00821CE3">
        <w:rPr>
          <w:rFonts w:eastAsia="Times New Roman" w:cs="Calibri"/>
          <w:color w:val="000000"/>
          <w:lang w:eastAsia="fr-BE"/>
        </w:rPr>
        <w:instrText>Bon fonctionnement</w:instrText>
      </w:r>
      <w:r w:rsidR="00862CB0">
        <w:rPr>
          <w:rFonts w:eastAsia="Times New Roman" w:cs="Calibri"/>
          <w:color w:val="000000"/>
          <w:lang w:eastAsia="fr-BE"/>
        </w:rPr>
        <w:instrText>"</w:instrText>
      </w:r>
      <w:r w:rsidR="00862CB0">
        <w:instrText xml:space="preserve"> </w:instrText>
      </w:r>
      <w:r w:rsidR="00862CB0">
        <w:fldChar w:fldCharType="end"/>
      </w:r>
      <w:r w:rsidR="00862CB0" w:rsidRPr="00971C46">
        <w:t xml:space="preserve"> de l'entreprise et si elles sont proportionnées au but recherché</w:t>
      </w:r>
      <w:r w:rsidR="00862CB0">
        <w:t> ».</w:t>
      </w:r>
    </w:p>
    <w:p w14:paraId="5D0D4BA7" w14:textId="3BC4C6C0" w:rsidR="0032439A" w:rsidRDefault="00862CB0" w:rsidP="0032439A">
      <w:r w:rsidRPr="00262445">
        <w:t>Dans l’une et l’autre perspective, l’invocation de la neutralité se conçoit avant tout dans une logique de restriction</w:t>
      </w:r>
      <w:r w:rsidRPr="00262445">
        <w:rPr>
          <w:i/>
        </w:rPr>
        <w:t xml:space="preserve"> </w:t>
      </w:r>
      <w:r w:rsidRPr="00262445">
        <w:t xml:space="preserve">de la liberté </w:t>
      </w:r>
      <w:r w:rsidR="00262445" w:rsidRPr="00262445">
        <w:t>de religion et d’expression</w:t>
      </w:r>
      <w:r w:rsidRPr="00262445">
        <w:t xml:space="preserve"> des travailleurs</w:t>
      </w:r>
      <w:r w:rsidR="00262445" w:rsidRPr="00262445">
        <w:t>, y compris, le cas échéant, en dehors de leur fonction</w:t>
      </w:r>
      <w:r w:rsidRPr="00262445">
        <w:t xml:space="preserve">. Dans cette logique, c’est bien par l’effacement du religieux dans la sphère de l’État </w:t>
      </w:r>
      <w:r w:rsidR="00181419">
        <w:t xml:space="preserve">ou </w:t>
      </w:r>
      <w:r w:rsidRPr="00262445">
        <w:t>de l’entreprise</w:t>
      </w:r>
      <w:r w:rsidR="00181419">
        <w:t xml:space="preserve"> –</w:t>
      </w:r>
      <w:r w:rsidR="00262445" w:rsidRPr="00262445">
        <w:t xml:space="preserve"> ou, plus largement, dans l’espace public</w:t>
      </w:r>
      <w:r w:rsidR="00181419">
        <w:t xml:space="preserve"> –</w:t>
      </w:r>
      <w:r w:rsidR="00262445" w:rsidRPr="00262445">
        <w:t>,</w:t>
      </w:r>
      <w:r w:rsidRPr="00262445">
        <w:t xml:space="preserve"> </w:t>
      </w:r>
      <w:r w:rsidR="00181419">
        <w:t>qu’est concrétisée l’exigence de</w:t>
      </w:r>
      <w:r w:rsidRPr="00262445">
        <w:t xml:space="preserve"> neutralité.</w:t>
      </w:r>
    </w:p>
    <w:p w14:paraId="753A7C1B" w14:textId="736121BB" w:rsidR="00E01B3C" w:rsidRPr="00F96EB8" w:rsidRDefault="0032439A" w:rsidP="00855EC0">
      <w:r w:rsidRPr="0032439A">
        <w:t>Cette dimension foncièrement restrictive de la neutralité ne semble pas véritablement questionnée, pas plus que la nécessité, aux fins du respect de la neutralité, d’une interdiction visant l’ensemble des travailleurs.</w:t>
      </w:r>
      <w:r w:rsidRPr="0032439A">
        <w:rPr>
          <w:rStyle w:val="Appelnotedebasdep"/>
        </w:rPr>
        <w:footnoteReference w:id="9"/>
      </w:r>
      <w:r w:rsidRPr="0032439A">
        <w:t xml:space="preserve"> </w:t>
      </w:r>
      <w:r w:rsidRPr="0032439A">
        <w:rPr>
          <w:i/>
        </w:rPr>
        <w:t>A contrario</w:t>
      </w:r>
      <w:r w:rsidRPr="0032439A">
        <w:t xml:space="preserve">, dans l’arrêt </w:t>
      </w:r>
      <w:r w:rsidRPr="0032439A">
        <w:rPr>
          <w:i/>
          <w:iCs/>
        </w:rPr>
        <w:t>LF c. SCRL</w:t>
      </w:r>
      <w:r w:rsidRPr="0032439A">
        <w:t xml:space="preserve"> </w:t>
      </w:r>
      <w:r w:rsidR="00AF49D9">
        <w:t xml:space="preserve">rendu </w:t>
      </w:r>
      <w:r w:rsidRPr="0032439A">
        <w:t xml:space="preserve">le 13 octobre </w:t>
      </w:r>
      <w:r w:rsidRPr="0032439A">
        <w:lastRenderedPageBreak/>
        <w:t>2022</w:t>
      </w:r>
      <w:r w:rsidR="00AF49D9">
        <w:t xml:space="preserve"> au sujet </w:t>
      </w:r>
      <w:r w:rsidR="001F5452">
        <w:t xml:space="preserve">du port de signes religieux au sein </w:t>
      </w:r>
      <w:r w:rsidR="00AF49D9">
        <w:t>d’une société immobilière de service public (SISP) située à Bruxelles</w:t>
      </w:r>
      <w:r w:rsidRPr="0032439A">
        <w:t>, la Cour de justice de l’Union européenne (CJUE) questionne</w:t>
      </w:r>
      <w:r w:rsidR="00AF49D9">
        <w:t xml:space="preserve"> précisément</w:t>
      </w:r>
      <w:r w:rsidRPr="0032439A">
        <w:t xml:space="preserve"> le caractère automatique d’une telle association entre neutralité et restriction des expressions religieuses des travailleurs : selon les juges européens, « la simple volonté d’un employeur de mener une politique de neutralité […] ne suffit pas » à justifier une restriction, dans la mesure où, aux yeux de la CJUE, il convient « d’encourager par principe la tolérance et le respect, ainsi que l’acceptation d’un plus grand degré de diversité »</w:t>
      </w:r>
      <w:r w:rsidRPr="0032439A">
        <w:rPr>
          <w:rStyle w:val="Appelnotedebasdep"/>
        </w:rPr>
        <w:footnoteReference w:id="10"/>
      </w:r>
      <w:r w:rsidRPr="0032439A">
        <w:t>. L’on perçoit ici la remise en cause d’une vision exclusivement restrictive de la neutralité, dont la Cour souligne le possible « détournement […] au détriment de travailleurs observant des préceptes religieux imposant de porter une certaine tenue vestimentaire »</w:t>
      </w:r>
      <w:r w:rsidRPr="0032439A">
        <w:rPr>
          <w:rStyle w:val="Appelnotedebasdep"/>
        </w:rPr>
        <w:footnoteReference w:id="11"/>
      </w:r>
      <w:r w:rsidRPr="0032439A">
        <w:t>.</w:t>
      </w:r>
    </w:p>
    <w:p w14:paraId="276C5281" w14:textId="2BF6DB7C" w:rsidR="0094766F" w:rsidRDefault="0094766F" w:rsidP="005A51FD">
      <w:pPr>
        <w:pStyle w:val="Titre1"/>
      </w:pPr>
      <w:r>
        <w:t xml:space="preserve">Règle générale de neutralité </w:t>
      </w:r>
      <w:r w:rsidR="00DB64DF">
        <w:rPr>
          <w:i/>
        </w:rPr>
        <w:t>versus</w:t>
      </w:r>
      <w:r>
        <w:t xml:space="preserve"> justification casuistique de la restriction</w:t>
      </w:r>
    </w:p>
    <w:p w14:paraId="537FEE63" w14:textId="197386E3" w:rsidR="0094766F" w:rsidRDefault="00DB64DF" w:rsidP="0094766F">
      <w:r>
        <w:t>Si l’arrêt de la Cour de cassation consacre le principe d’une obligation de réserve pour les salariés dont la fonction entre en lien avec l’État, en tant que corollaire du principe de neutralité, celui-ci ne se prononce pas sur l’existence d’une discrimination illégale en l’espèce.</w:t>
      </w:r>
    </w:p>
    <w:p w14:paraId="000A6A4A" w14:textId="060F8824" w:rsidR="00DB64DF" w:rsidRDefault="00DB64DF" w:rsidP="0094766F">
      <w:r>
        <w:t xml:space="preserve">À cet égard, </w:t>
      </w:r>
      <w:r w:rsidR="003E419D">
        <w:t>rappelons</w:t>
      </w:r>
      <w:r>
        <w:t xml:space="preserve"> que la seule invocation du principe de neutralité</w:t>
      </w:r>
      <w:r w:rsidR="003E419D">
        <w:t xml:space="preserve"> de l’État </w:t>
      </w:r>
      <w:r>
        <w:t>ne met pas fin à la discussion sur la licéité de restrictions aux droits fondamentaux du travailleur</w:t>
      </w:r>
      <w:r w:rsidRPr="00082304">
        <w:t>, y compris lorsque celui-ci</w:t>
      </w:r>
      <w:r w:rsidR="003E419D" w:rsidRPr="00082304">
        <w:t xml:space="preserve"> </w:t>
      </w:r>
      <w:r w:rsidR="001F5452">
        <w:t xml:space="preserve">collabore à </w:t>
      </w:r>
      <w:r w:rsidR="003E419D" w:rsidRPr="00082304">
        <w:t>une mission de service public ou est mis à disposition d’une collectivité publique.</w:t>
      </w:r>
    </w:p>
    <w:p w14:paraId="288950FF" w14:textId="60B31DD1" w:rsidR="003E419D" w:rsidRDefault="003E419D" w:rsidP="0094766F">
      <w:r>
        <w:t>Le droit français</w:t>
      </w:r>
      <w:r w:rsidR="00052DE0">
        <w:rPr>
          <w:rStyle w:val="Appelnotedebasdep"/>
        </w:rPr>
        <w:footnoteReference w:id="12"/>
      </w:r>
      <w:r>
        <w:t xml:space="preserve"> et européen</w:t>
      </w:r>
      <w:r w:rsidR="00052DE0">
        <w:rPr>
          <w:rStyle w:val="Appelnotedebasdep"/>
        </w:rPr>
        <w:footnoteReference w:id="13"/>
      </w:r>
      <w:r>
        <w:t xml:space="preserve"> de la liberté de religion et de la non-discrimination requiert en effet </w:t>
      </w:r>
      <w:r w:rsidR="00052DE0">
        <w:t>qu’une telle restriction</w:t>
      </w:r>
      <w:r w:rsidR="001C5E15">
        <w:t xml:space="preserve"> aux droits et libertés des travailleurs</w:t>
      </w:r>
      <w:r w:rsidR="00052DE0">
        <w:t xml:space="preserve"> poursuive un objectif légitime et que sa mise en œuvre soit proportionnée à cet objectif</w:t>
      </w:r>
      <w:r w:rsidR="00052DE0">
        <w:rPr>
          <w:rStyle w:val="Appelnotedebasdep"/>
        </w:rPr>
        <w:footnoteReference w:id="14"/>
      </w:r>
      <w:r w:rsidR="00052DE0">
        <w:t>.</w:t>
      </w:r>
    </w:p>
    <w:p w14:paraId="64671A1B" w14:textId="7EF08086" w:rsidR="0094766F" w:rsidRDefault="00082304" w:rsidP="00F96EB8">
      <w:pPr>
        <w:rPr>
          <w:lang w:val="fr-FR"/>
        </w:rPr>
      </w:pPr>
      <w:r>
        <w:t xml:space="preserve">Premièrement, s’agissant de l’existence d’un objectif légitime, la légitimité de l’invocation </w:t>
      </w:r>
      <w:r w:rsidR="001C5E15">
        <w:t>de la</w:t>
      </w:r>
      <w:r>
        <w:t xml:space="preserve"> neutralité comme fondement d’une restriction </w:t>
      </w:r>
      <w:r w:rsidR="001C5E15">
        <w:t xml:space="preserve">fait certes peu de doute, pour autant que cette neutralité ne soit pas envisagée comme un objectif en soi, mais plutôt comme visant à garantir d’autres objectifs, tels que le respect des droits et libertés d’autrui. </w:t>
      </w:r>
      <w:r w:rsidR="001C5E15" w:rsidRPr="00FB677C">
        <w:t>Dans cette perspective, il convient, pour chaque cas d’espèce, de rechercher l’objectif sous-jacent à l’invocation de cette neutralité.</w:t>
      </w:r>
    </w:p>
    <w:p w14:paraId="6E4A1497" w14:textId="29C74610" w:rsidR="0094766F" w:rsidRDefault="00B14B95" w:rsidP="00497444">
      <w:pPr>
        <w:rPr>
          <w:bCs/>
          <w:lang w:val="fr-FR"/>
        </w:rPr>
      </w:pPr>
      <w:r>
        <w:rPr>
          <w:bCs/>
          <w:lang w:val="fr-FR"/>
        </w:rPr>
        <w:t xml:space="preserve">Deuxièmement, </w:t>
      </w:r>
      <w:r w:rsidR="00C6319F">
        <w:rPr>
          <w:bCs/>
          <w:lang w:val="fr-FR"/>
        </w:rPr>
        <w:t xml:space="preserve">s’agissant de la proportionnalité de la restriction issue de la règle de neutralité, </w:t>
      </w:r>
      <w:r w:rsidR="008B7F85">
        <w:rPr>
          <w:bCs/>
          <w:lang w:val="fr-FR"/>
        </w:rPr>
        <w:t xml:space="preserve">la </w:t>
      </w:r>
      <w:proofErr w:type="spellStart"/>
      <w:r w:rsidR="008B7F85">
        <w:rPr>
          <w:bCs/>
          <w:lang w:val="fr-FR"/>
        </w:rPr>
        <w:t>CJUE</w:t>
      </w:r>
      <w:proofErr w:type="spellEnd"/>
      <w:r w:rsidR="008B7F85">
        <w:rPr>
          <w:bCs/>
          <w:lang w:val="fr-FR"/>
        </w:rPr>
        <w:t xml:space="preserve"> a eu l’occasion, dans sa jurisprudence </w:t>
      </w:r>
      <w:r w:rsidR="00DC5391">
        <w:rPr>
          <w:bCs/>
          <w:lang w:val="fr-FR"/>
        </w:rPr>
        <w:t xml:space="preserve">de plus en plus fournie sur </w:t>
      </w:r>
      <w:r w:rsidR="00F23508">
        <w:rPr>
          <w:bCs/>
          <w:lang w:val="fr-FR"/>
        </w:rPr>
        <w:t>la question, de dégager plusieurs critères, valables – à l’instar de la Directive 2000/78 – tant pour l</w:t>
      </w:r>
      <w:r w:rsidR="0059118A">
        <w:rPr>
          <w:bCs/>
          <w:lang w:val="fr-FR"/>
        </w:rPr>
        <w:t xml:space="preserve">a fonction </w:t>
      </w:r>
      <w:r w:rsidR="00F23508">
        <w:rPr>
          <w:bCs/>
          <w:lang w:val="fr-FR"/>
        </w:rPr>
        <w:t>publi</w:t>
      </w:r>
      <w:r w:rsidR="0059118A">
        <w:rPr>
          <w:bCs/>
          <w:lang w:val="fr-FR"/>
        </w:rPr>
        <w:t>que</w:t>
      </w:r>
      <w:r w:rsidR="00F23508">
        <w:rPr>
          <w:bCs/>
          <w:lang w:val="fr-FR"/>
        </w:rPr>
        <w:t xml:space="preserve"> que </w:t>
      </w:r>
      <w:r w:rsidR="0059118A">
        <w:rPr>
          <w:bCs/>
          <w:lang w:val="fr-FR"/>
        </w:rPr>
        <w:t xml:space="preserve">pour </w:t>
      </w:r>
      <w:r w:rsidR="00F23508">
        <w:rPr>
          <w:bCs/>
          <w:lang w:val="fr-FR"/>
        </w:rPr>
        <w:t>le secteur privé.</w:t>
      </w:r>
      <w:r w:rsidR="0059118A">
        <w:rPr>
          <w:bCs/>
          <w:lang w:val="fr-FR"/>
        </w:rPr>
        <w:t xml:space="preserve"> </w:t>
      </w:r>
      <w:r w:rsidR="00357030">
        <w:rPr>
          <w:bCs/>
          <w:lang w:val="fr-FR"/>
        </w:rPr>
        <w:t>Dans l’arrêt</w:t>
      </w:r>
      <w:r w:rsidR="00EB5808">
        <w:rPr>
          <w:bCs/>
          <w:lang w:val="fr-FR"/>
        </w:rPr>
        <w:t xml:space="preserve"> </w:t>
      </w:r>
      <w:proofErr w:type="spellStart"/>
      <w:r w:rsidR="00EB5808">
        <w:rPr>
          <w:bCs/>
          <w:i/>
          <w:iCs/>
          <w:lang w:val="fr-FR"/>
        </w:rPr>
        <w:t>Achbita</w:t>
      </w:r>
      <w:proofErr w:type="spellEnd"/>
      <w:r w:rsidR="00357030">
        <w:rPr>
          <w:bCs/>
          <w:lang w:val="fr-FR"/>
        </w:rPr>
        <w:t>, la Cour insiste tout d’abord sur</w:t>
      </w:r>
      <w:r w:rsidR="0059118A">
        <w:rPr>
          <w:bCs/>
          <w:lang w:val="fr-FR"/>
        </w:rPr>
        <w:t xml:space="preserve"> la </w:t>
      </w:r>
      <w:r w:rsidR="0059118A">
        <w:rPr>
          <w:bCs/>
          <w:lang w:val="fr-FR"/>
        </w:rPr>
        <w:lastRenderedPageBreak/>
        <w:t>nécessité d’une mise en œuvre « cohérente et systématique » de la politique de neutralité</w:t>
      </w:r>
      <w:r w:rsidR="00391327">
        <w:rPr>
          <w:bCs/>
          <w:lang w:val="fr-FR"/>
        </w:rPr>
        <w:t>, dont le caractère restrictif doit être limité au « strict nécessaire »</w:t>
      </w:r>
      <w:r w:rsidR="00EB5808">
        <w:rPr>
          <w:rStyle w:val="Appelnotedebasdep"/>
          <w:bCs/>
          <w:lang w:val="fr-FR"/>
        </w:rPr>
        <w:footnoteReference w:id="15"/>
      </w:r>
      <w:r w:rsidR="00EB5808">
        <w:rPr>
          <w:bCs/>
          <w:lang w:val="fr-FR"/>
        </w:rPr>
        <w:t>.</w:t>
      </w:r>
      <w:r w:rsidR="002A3F2E">
        <w:rPr>
          <w:bCs/>
          <w:lang w:val="fr-FR"/>
        </w:rPr>
        <w:t xml:space="preserve"> </w:t>
      </w:r>
      <w:r w:rsidR="00FA6652">
        <w:rPr>
          <w:bCs/>
          <w:lang w:val="fr-FR"/>
        </w:rPr>
        <w:t>A travers l</w:t>
      </w:r>
      <w:r w:rsidR="008958E0">
        <w:rPr>
          <w:bCs/>
          <w:lang w:val="fr-FR"/>
        </w:rPr>
        <w:t>’arrêt</w:t>
      </w:r>
      <w:r w:rsidR="002A3F2E">
        <w:rPr>
          <w:bCs/>
          <w:lang w:val="fr-FR"/>
        </w:rPr>
        <w:t xml:space="preserve"> </w:t>
      </w:r>
      <w:proofErr w:type="spellStart"/>
      <w:r w:rsidR="002A3F2E">
        <w:rPr>
          <w:bCs/>
          <w:i/>
          <w:iCs/>
          <w:lang w:val="fr-FR"/>
        </w:rPr>
        <w:t>WABE</w:t>
      </w:r>
      <w:proofErr w:type="spellEnd"/>
      <w:r w:rsidR="002A3F2E">
        <w:rPr>
          <w:bCs/>
          <w:i/>
          <w:iCs/>
          <w:lang w:val="fr-FR"/>
        </w:rPr>
        <w:t>-Müller</w:t>
      </w:r>
      <w:r w:rsidR="00FA6652">
        <w:rPr>
          <w:bCs/>
          <w:lang w:val="fr-FR"/>
        </w:rPr>
        <w:t>, est par ailleurs requise</w:t>
      </w:r>
      <w:r w:rsidR="008958E0">
        <w:rPr>
          <w:bCs/>
          <w:lang w:val="fr-FR"/>
        </w:rPr>
        <w:t xml:space="preserve"> </w:t>
      </w:r>
      <w:r w:rsidR="001E390D">
        <w:rPr>
          <w:bCs/>
          <w:lang w:val="fr-FR"/>
        </w:rPr>
        <w:t xml:space="preserve">la démonstration objective </w:t>
      </w:r>
      <w:r w:rsidR="008958E0">
        <w:rPr>
          <w:bCs/>
          <w:lang w:val="fr-FR"/>
        </w:rPr>
        <w:t>que </w:t>
      </w:r>
      <w:r w:rsidR="00FA6652">
        <w:rPr>
          <w:bCs/>
          <w:lang w:val="fr-FR"/>
        </w:rPr>
        <w:t>la</w:t>
      </w:r>
      <w:r w:rsidR="008958E0" w:rsidRPr="008958E0">
        <w:rPr>
          <w:bCs/>
          <w:lang w:val="fr-FR"/>
        </w:rPr>
        <w:t xml:space="preserve"> politique </w:t>
      </w:r>
      <w:r w:rsidR="001E390D">
        <w:rPr>
          <w:bCs/>
          <w:lang w:val="fr-FR"/>
        </w:rPr>
        <w:t xml:space="preserve">de neutralité </w:t>
      </w:r>
      <w:r w:rsidR="008958E0" w:rsidRPr="008958E0">
        <w:rPr>
          <w:bCs/>
          <w:lang w:val="fr-FR"/>
        </w:rPr>
        <w:t xml:space="preserve">répond à un </w:t>
      </w:r>
      <w:r w:rsidR="001E390D">
        <w:rPr>
          <w:bCs/>
          <w:lang w:val="fr-FR"/>
        </w:rPr>
        <w:t>« </w:t>
      </w:r>
      <w:r w:rsidR="008958E0" w:rsidRPr="008958E0">
        <w:rPr>
          <w:bCs/>
          <w:lang w:val="fr-FR"/>
        </w:rPr>
        <w:t>besoin véritable</w:t>
      </w:r>
      <w:r w:rsidR="001E390D">
        <w:rPr>
          <w:bCs/>
          <w:lang w:val="fr-FR"/>
        </w:rPr>
        <w:t> », tenant compte notamment des « attentes légitimes des […] usagers</w:t>
      </w:r>
      <w:r w:rsidR="00950BC1">
        <w:rPr>
          <w:bCs/>
          <w:lang w:val="fr-FR"/>
        </w:rPr>
        <w:t> » et des « </w:t>
      </w:r>
      <w:r w:rsidR="008958E0" w:rsidRPr="008958E0">
        <w:rPr>
          <w:bCs/>
          <w:lang w:val="fr-FR"/>
        </w:rPr>
        <w:t>conséquences défavorables que cet employeur subirait en l’absence d’une telle politique, compte tenu de la nature de ses activités ou du contexte dans lequel celles-ci s’inscrivent</w:t>
      </w:r>
      <w:r w:rsidR="001B4DFB">
        <w:rPr>
          <w:bCs/>
          <w:lang w:val="fr-FR"/>
        </w:rPr>
        <w:t> »</w:t>
      </w:r>
      <w:r w:rsidR="001B4DFB">
        <w:rPr>
          <w:rStyle w:val="Appelnotedebasdep"/>
          <w:bCs/>
          <w:lang w:val="fr-FR"/>
        </w:rPr>
        <w:footnoteReference w:id="16"/>
      </w:r>
      <w:r w:rsidR="001B4DFB">
        <w:rPr>
          <w:bCs/>
          <w:lang w:val="fr-FR"/>
        </w:rPr>
        <w:t>.</w:t>
      </w:r>
      <w:r w:rsidR="00FA6652">
        <w:rPr>
          <w:bCs/>
          <w:lang w:val="fr-FR"/>
        </w:rPr>
        <w:t xml:space="preserve"> Enfin, </w:t>
      </w:r>
      <w:r w:rsidR="00301C64">
        <w:rPr>
          <w:bCs/>
          <w:lang w:val="fr-FR"/>
        </w:rPr>
        <w:t xml:space="preserve">dans l’arrêt </w:t>
      </w:r>
      <w:proofErr w:type="spellStart"/>
      <w:r w:rsidR="00301C64">
        <w:rPr>
          <w:bCs/>
          <w:i/>
          <w:iCs/>
          <w:lang w:val="fr-FR"/>
        </w:rPr>
        <w:t>LF</w:t>
      </w:r>
      <w:proofErr w:type="spellEnd"/>
      <w:r w:rsidR="00301C64">
        <w:rPr>
          <w:bCs/>
          <w:i/>
          <w:iCs/>
          <w:lang w:val="fr-FR"/>
        </w:rPr>
        <w:t xml:space="preserve"> c. SCRL</w:t>
      </w:r>
      <w:r w:rsidR="00301C64">
        <w:rPr>
          <w:bCs/>
          <w:lang w:val="fr-FR"/>
        </w:rPr>
        <w:t xml:space="preserve"> évoqué plus haut, </w:t>
      </w:r>
      <w:r w:rsidR="00C51BD2">
        <w:rPr>
          <w:bCs/>
          <w:lang w:val="fr-FR"/>
        </w:rPr>
        <w:t xml:space="preserve">la </w:t>
      </w:r>
      <w:proofErr w:type="spellStart"/>
      <w:r w:rsidR="00C51BD2">
        <w:rPr>
          <w:bCs/>
          <w:lang w:val="fr-FR"/>
        </w:rPr>
        <w:t>CJUE</w:t>
      </w:r>
      <w:proofErr w:type="spellEnd"/>
      <w:r w:rsidR="00C51BD2">
        <w:rPr>
          <w:bCs/>
          <w:lang w:val="fr-FR"/>
        </w:rPr>
        <w:t xml:space="preserve"> précise le risque d’un « détournement</w:t>
      </w:r>
      <w:r w:rsidR="00A67324">
        <w:rPr>
          <w:bCs/>
          <w:lang w:val="fr-FR"/>
        </w:rPr>
        <w:t> » du recours au principe de</w:t>
      </w:r>
      <w:r w:rsidR="00C51BD2">
        <w:rPr>
          <w:bCs/>
          <w:lang w:val="fr-FR"/>
        </w:rPr>
        <w:t xml:space="preserve"> neutralité</w:t>
      </w:r>
      <w:r w:rsidR="00A67324">
        <w:rPr>
          <w:bCs/>
          <w:lang w:val="fr-FR"/>
        </w:rPr>
        <w:t xml:space="preserve"> lorsque celui-ci </w:t>
      </w:r>
      <w:r w:rsidR="00110BB7">
        <w:rPr>
          <w:bCs/>
          <w:lang w:val="fr-FR"/>
        </w:rPr>
        <w:t>est mis en œuvre « au détriment de travailleurs</w:t>
      </w:r>
      <w:r w:rsidR="00FD1A78">
        <w:rPr>
          <w:bCs/>
          <w:lang w:val="fr-FR"/>
        </w:rPr>
        <w:t> »</w:t>
      </w:r>
      <w:r w:rsidR="007D2E50" w:rsidRPr="007D2E50">
        <w:rPr>
          <w:lang w:val="fr-FR"/>
        </w:rPr>
        <w:t xml:space="preserve"> </w:t>
      </w:r>
      <w:r w:rsidR="007D2E50" w:rsidRPr="007D2E50">
        <w:rPr>
          <w:bCs/>
          <w:lang w:val="fr-FR"/>
        </w:rPr>
        <w:t xml:space="preserve">observant </w:t>
      </w:r>
      <w:r w:rsidR="007D2E50">
        <w:rPr>
          <w:bCs/>
          <w:lang w:val="fr-FR"/>
        </w:rPr>
        <w:t>certains</w:t>
      </w:r>
      <w:r w:rsidR="007D2E50" w:rsidRPr="007D2E50">
        <w:rPr>
          <w:bCs/>
          <w:lang w:val="fr-FR"/>
        </w:rPr>
        <w:t xml:space="preserve"> préceptes</w:t>
      </w:r>
      <w:r w:rsidR="007D2E50">
        <w:rPr>
          <w:bCs/>
          <w:lang w:val="fr-FR"/>
        </w:rPr>
        <w:t xml:space="preserve"> </w:t>
      </w:r>
      <w:r w:rsidR="007D2E50" w:rsidRPr="007D2E50">
        <w:rPr>
          <w:bCs/>
          <w:lang w:val="fr-FR"/>
        </w:rPr>
        <w:t>religieux</w:t>
      </w:r>
      <w:r w:rsidR="00FD1A78">
        <w:rPr>
          <w:bCs/>
          <w:lang w:val="fr-FR"/>
        </w:rPr>
        <w:t>.</w:t>
      </w:r>
      <w:r w:rsidR="00FD1A78">
        <w:rPr>
          <w:rStyle w:val="Appelnotedebasdep"/>
          <w:bCs/>
          <w:lang w:val="fr-FR"/>
        </w:rPr>
        <w:footnoteReference w:id="17"/>
      </w:r>
    </w:p>
    <w:p w14:paraId="5CD78FFA" w14:textId="6ACB00EB" w:rsidR="00502984" w:rsidRDefault="002B7509" w:rsidP="00497444">
      <w:pPr>
        <w:rPr>
          <w:bCs/>
          <w:lang w:val="fr-FR"/>
        </w:rPr>
      </w:pPr>
      <w:r>
        <w:rPr>
          <w:bCs/>
          <w:lang w:val="fr-FR"/>
        </w:rPr>
        <w:t xml:space="preserve">Eu égard au cas d’espèce </w:t>
      </w:r>
      <w:r w:rsidR="00E84942">
        <w:rPr>
          <w:bCs/>
          <w:lang w:val="fr-FR"/>
        </w:rPr>
        <w:t>soumis à l’appréciation de la Cour de cassation, l</w:t>
      </w:r>
      <w:r w:rsidR="00227DAA">
        <w:rPr>
          <w:bCs/>
          <w:lang w:val="fr-FR"/>
        </w:rPr>
        <w:t>e</w:t>
      </w:r>
      <w:r w:rsidR="00D619AB">
        <w:rPr>
          <w:bCs/>
          <w:lang w:val="fr-FR"/>
        </w:rPr>
        <w:t xml:space="preserve"> respect du</w:t>
      </w:r>
      <w:r w:rsidR="00227DAA">
        <w:rPr>
          <w:bCs/>
          <w:lang w:val="fr-FR"/>
        </w:rPr>
        <w:t xml:space="preserve"> critère de</w:t>
      </w:r>
      <w:r w:rsidR="00E84942">
        <w:rPr>
          <w:bCs/>
          <w:lang w:val="fr-FR"/>
        </w:rPr>
        <w:t xml:space="preserve"> proportionnalité </w:t>
      </w:r>
      <w:r w:rsidR="00D619AB">
        <w:rPr>
          <w:bCs/>
          <w:lang w:val="fr-FR"/>
        </w:rPr>
        <w:t xml:space="preserve">se voit </w:t>
      </w:r>
      <w:r w:rsidR="00B12B92">
        <w:rPr>
          <w:bCs/>
          <w:lang w:val="fr-FR"/>
        </w:rPr>
        <w:t xml:space="preserve">essentiellement </w:t>
      </w:r>
      <w:r w:rsidR="00D619AB">
        <w:rPr>
          <w:bCs/>
          <w:lang w:val="fr-FR"/>
        </w:rPr>
        <w:t xml:space="preserve">questionné par </w:t>
      </w:r>
      <w:r w:rsidR="00430692">
        <w:rPr>
          <w:bCs/>
          <w:lang w:val="fr-FR"/>
        </w:rPr>
        <w:t xml:space="preserve">l’intégration, au sein de l’exigence de neutralité, d’une obligation de réserve </w:t>
      </w:r>
      <w:r w:rsidR="00B12B92">
        <w:rPr>
          <w:bCs/>
          <w:lang w:val="fr-FR"/>
        </w:rPr>
        <w:t>en dehors de la sphère de travail</w:t>
      </w:r>
      <w:r w:rsidR="00BD13F1">
        <w:rPr>
          <w:bCs/>
          <w:lang w:val="fr-FR"/>
        </w:rPr>
        <w:t xml:space="preserve"> pour les salariés</w:t>
      </w:r>
      <w:r w:rsidR="00BD13F1" w:rsidRPr="00BD13F1">
        <w:rPr>
          <w:lang w:val="fr-FR"/>
        </w:rPr>
        <w:t xml:space="preserve"> </w:t>
      </w:r>
      <w:r w:rsidR="00BD13F1" w:rsidRPr="00BD13F1">
        <w:rPr>
          <w:bCs/>
          <w:lang w:val="fr-FR"/>
        </w:rPr>
        <w:t>dont la fonction entre en lien avec les missions de l’État</w:t>
      </w:r>
      <w:r w:rsidR="00BD13F1">
        <w:rPr>
          <w:bCs/>
          <w:lang w:val="fr-FR"/>
        </w:rPr>
        <w:t>.</w:t>
      </w:r>
    </w:p>
    <w:p w14:paraId="1A3EC026" w14:textId="5005CAEB" w:rsidR="00B37BD1" w:rsidRDefault="0033203F" w:rsidP="00497444">
      <w:pPr>
        <w:rPr>
          <w:bCs/>
          <w:lang w:val="fr-FR"/>
        </w:rPr>
      </w:pPr>
      <w:r>
        <w:rPr>
          <w:bCs/>
          <w:lang w:val="fr-FR"/>
        </w:rPr>
        <w:t>La consécration générale d’un tel devoir de réserve</w:t>
      </w:r>
      <w:r w:rsidR="00B516F5">
        <w:rPr>
          <w:bCs/>
          <w:lang w:val="fr-FR"/>
        </w:rPr>
        <w:t xml:space="preserve"> par la chambre sociale</w:t>
      </w:r>
      <w:r w:rsidR="004B0CF7">
        <w:rPr>
          <w:bCs/>
          <w:lang w:val="fr-FR"/>
        </w:rPr>
        <w:t>, même intégré dans l’exigence de neutralité,</w:t>
      </w:r>
      <w:r>
        <w:rPr>
          <w:bCs/>
          <w:lang w:val="fr-FR"/>
        </w:rPr>
        <w:t xml:space="preserve"> s’avère-t-il compatible avec les</w:t>
      </w:r>
      <w:r w:rsidRPr="0033203F">
        <w:rPr>
          <w:bCs/>
          <w:lang w:val="fr-FR"/>
        </w:rPr>
        <w:t xml:space="preserve"> exigences européennes de justification casuistique</w:t>
      </w:r>
      <w:r w:rsidR="004B0CF7">
        <w:rPr>
          <w:bCs/>
          <w:lang w:val="fr-FR"/>
        </w:rPr>
        <w:t xml:space="preserve"> de toute restriction</w:t>
      </w:r>
      <w:r w:rsidR="00B37BD1">
        <w:rPr>
          <w:bCs/>
          <w:lang w:val="fr-FR"/>
        </w:rPr>
        <w:t xml:space="preserve"> de la liberté et de la non-discrimination religieuses des travailleurs </w:t>
      </w:r>
      <w:r w:rsidR="004B0CF7">
        <w:rPr>
          <w:bCs/>
          <w:lang w:val="fr-FR"/>
        </w:rPr>
        <w:t>?</w:t>
      </w:r>
    </w:p>
    <w:p w14:paraId="22BB2105" w14:textId="39686B04" w:rsidR="00ED48AF" w:rsidRDefault="00312FC5" w:rsidP="00497444">
      <w:pPr>
        <w:rPr>
          <w:bCs/>
          <w:lang w:val="fr-FR"/>
        </w:rPr>
      </w:pPr>
      <w:r>
        <w:rPr>
          <w:bCs/>
          <w:lang w:val="fr-FR"/>
        </w:rPr>
        <w:t>Si la question se pose indubitablement</w:t>
      </w:r>
      <w:r w:rsidR="00BD13F1">
        <w:rPr>
          <w:bCs/>
          <w:lang w:val="fr-FR"/>
        </w:rPr>
        <w:t xml:space="preserve"> à titre principiel</w:t>
      </w:r>
      <w:r>
        <w:rPr>
          <w:bCs/>
          <w:lang w:val="fr-FR"/>
        </w:rPr>
        <w:t>, précisons que la Cour</w:t>
      </w:r>
      <w:r w:rsidR="00ED0CBA">
        <w:rPr>
          <w:bCs/>
          <w:lang w:val="fr-FR"/>
        </w:rPr>
        <w:t xml:space="preserve"> de cassation</w:t>
      </w:r>
      <w:r>
        <w:rPr>
          <w:bCs/>
          <w:lang w:val="fr-FR"/>
        </w:rPr>
        <w:t xml:space="preserve"> </w:t>
      </w:r>
      <w:r w:rsidR="00CE2D37">
        <w:rPr>
          <w:bCs/>
          <w:lang w:val="fr-FR"/>
        </w:rPr>
        <w:t>conditionne</w:t>
      </w:r>
      <w:r>
        <w:rPr>
          <w:bCs/>
          <w:lang w:val="fr-FR"/>
        </w:rPr>
        <w:t xml:space="preserve"> </w:t>
      </w:r>
      <w:r w:rsidR="00AE70C4">
        <w:rPr>
          <w:bCs/>
          <w:lang w:val="fr-FR"/>
        </w:rPr>
        <w:t xml:space="preserve">en </w:t>
      </w:r>
      <w:r w:rsidR="00AE1191">
        <w:rPr>
          <w:bCs/>
          <w:lang w:val="fr-FR"/>
        </w:rPr>
        <w:t>l’occurrence</w:t>
      </w:r>
      <w:r w:rsidR="00AE70C4">
        <w:rPr>
          <w:bCs/>
          <w:lang w:val="fr-FR"/>
        </w:rPr>
        <w:t xml:space="preserve"> </w:t>
      </w:r>
      <w:r w:rsidR="00CE2D37">
        <w:rPr>
          <w:bCs/>
          <w:lang w:val="fr-FR"/>
        </w:rPr>
        <w:t xml:space="preserve">le caractère non discriminatoire d’une telle restriction </w:t>
      </w:r>
      <w:r w:rsidR="00830C20">
        <w:rPr>
          <w:bCs/>
          <w:lang w:val="fr-FR"/>
        </w:rPr>
        <w:t xml:space="preserve">à </w:t>
      </w:r>
      <w:r w:rsidR="0091191A">
        <w:rPr>
          <w:bCs/>
          <w:lang w:val="fr-FR"/>
        </w:rPr>
        <w:t>l’</w:t>
      </w:r>
      <w:r w:rsidR="00830C20">
        <w:rPr>
          <w:bCs/>
          <w:lang w:val="fr-FR"/>
        </w:rPr>
        <w:t>appréciation</w:t>
      </w:r>
      <w:r w:rsidR="00AE1191">
        <w:rPr>
          <w:bCs/>
          <w:lang w:val="fr-FR"/>
        </w:rPr>
        <w:t xml:space="preserve"> de</w:t>
      </w:r>
      <w:r w:rsidR="00830C20">
        <w:rPr>
          <w:bCs/>
          <w:lang w:val="fr-FR"/>
        </w:rPr>
        <w:t xml:space="preserve"> la </w:t>
      </w:r>
      <w:r w:rsidR="00830C20" w:rsidRPr="00830C20">
        <w:rPr>
          <w:bCs/>
          <w:lang w:val="fr-FR"/>
        </w:rPr>
        <w:t>virulence des propos litigieux</w:t>
      </w:r>
      <w:r w:rsidR="00830C20">
        <w:rPr>
          <w:bCs/>
          <w:lang w:val="fr-FR"/>
        </w:rPr>
        <w:t xml:space="preserve"> ainsi qu’à leur caractère </w:t>
      </w:r>
      <w:r w:rsidR="00B83692">
        <w:rPr>
          <w:bCs/>
          <w:lang w:val="fr-FR"/>
        </w:rPr>
        <w:t>public</w:t>
      </w:r>
      <w:r w:rsidR="00AE01B8">
        <w:rPr>
          <w:bCs/>
          <w:lang w:val="fr-FR"/>
        </w:rPr>
        <w:t xml:space="preserve"> </w:t>
      </w:r>
      <w:r w:rsidR="0077119E">
        <w:rPr>
          <w:bCs/>
          <w:lang w:val="fr-FR"/>
        </w:rPr>
        <w:t>et accessible</w:t>
      </w:r>
      <w:r w:rsidR="00B83692">
        <w:rPr>
          <w:bCs/>
          <w:lang w:val="fr-FR"/>
        </w:rPr>
        <w:t>.</w:t>
      </w:r>
      <w:r w:rsidR="006004CA">
        <w:rPr>
          <w:bCs/>
          <w:lang w:val="fr-FR"/>
        </w:rPr>
        <w:t xml:space="preserve"> </w:t>
      </w:r>
      <w:r w:rsidR="00ED48AF">
        <w:rPr>
          <w:bCs/>
          <w:lang w:val="fr-FR"/>
        </w:rPr>
        <w:t>L’un et l’autre critère vise finalement à évaluer l</w:t>
      </w:r>
      <w:r w:rsidR="00B10820">
        <w:rPr>
          <w:bCs/>
          <w:lang w:val="fr-FR"/>
        </w:rPr>
        <w:t xml:space="preserve">’impact des propos sur le </w:t>
      </w:r>
      <w:r w:rsidR="008A1617">
        <w:rPr>
          <w:bCs/>
          <w:lang w:val="fr-FR"/>
        </w:rPr>
        <w:t>respect du principe de</w:t>
      </w:r>
      <w:r w:rsidR="00B10820">
        <w:rPr>
          <w:bCs/>
          <w:lang w:val="fr-FR"/>
        </w:rPr>
        <w:t xml:space="preserve"> neutralité de l’État</w:t>
      </w:r>
      <w:r w:rsidR="006004CA">
        <w:rPr>
          <w:bCs/>
          <w:lang w:val="fr-FR"/>
        </w:rPr>
        <w:t>, et, par conséquent, à app</w:t>
      </w:r>
      <w:r w:rsidR="009B4D4C">
        <w:rPr>
          <w:bCs/>
          <w:lang w:val="fr-FR"/>
        </w:rPr>
        <w:t xml:space="preserve">récier l’admissibilité de la différence de traitement opérée sur la base des </w:t>
      </w:r>
      <w:r w:rsidR="00BA7137">
        <w:rPr>
          <w:bCs/>
          <w:lang w:val="fr-FR"/>
        </w:rPr>
        <w:t>opinions</w:t>
      </w:r>
      <w:r w:rsidR="009B4D4C">
        <w:rPr>
          <w:bCs/>
          <w:lang w:val="fr-FR"/>
        </w:rPr>
        <w:t xml:space="preserve"> politiques et </w:t>
      </w:r>
      <w:r w:rsidR="00BA7137">
        <w:rPr>
          <w:bCs/>
          <w:lang w:val="fr-FR"/>
        </w:rPr>
        <w:t xml:space="preserve">des convictions </w:t>
      </w:r>
      <w:r w:rsidR="009B4D4C">
        <w:rPr>
          <w:bCs/>
          <w:lang w:val="fr-FR"/>
        </w:rPr>
        <w:t>religieuses du travailleur</w:t>
      </w:r>
      <w:r w:rsidR="008A1617">
        <w:rPr>
          <w:bCs/>
          <w:lang w:val="fr-FR"/>
        </w:rPr>
        <w:t>.</w:t>
      </w:r>
    </w:p>
    <w:p w14:paraId="3A2DBE7A" w14:textId="25844D4C" w:rsidR="007237C3" w:rsidRDefault="00BA7137" w:rsidP="00497444">
      <w:pPr>
        <w:rPr>
          <w:bCs/>
        </w:rPr>
      </w:pPr>
      <w:r>
        <w:rPr>
          <w:bCs/>
          <w:lang w:val="fr-FR"/>
        </w:rPr>
        <w:t xml:space="preserve">A ces critères, il convient d’ajouter la prise en compte </w:t>
      </w:r>
      <w:r w:rsidR="00D03867">
        <w:rPr>
          <w:bCs/>
          <w:lang w:val="fr-FR"/>
        </w:rPr>
        <w:t xml:space="preserve">du caractère particulièrement vulnérable des jeunes </w:t>
      </w:r>
      <w:r w:rsidR="001B7679">
        <w:rPr>
          <w:bCs/>
          <w:lang w:val="fr-FR"/>
        </w:rPr>
        <w:t>dont le salarié</w:t>
      </w:r>
      <w:r w:rsidR="00BF26F8">
        <w:rPr>
          <w:bCs/>
          <w:lang w:val="fr-FR"/>
        </w:rPr>
        <w:t xml:space="preserve"> assurait l’accompagnement, la Cour précisant que ceux-ci étaient </w:t>
      </w:r>
      <w:r w:rsidR="00BF26F8" w:rsidRPr="00BF26F8">
        <w:rPr>
          <w:bCs/>
        </w:rPr>
        <w:t>« en grande fragilité sociale »</w:t>
      </w:r>
      <w:r w:rsidR="00BF26F8">
        <w:rPr>
          <w:bCs/>
        </w:rPr>
        <w:t>.</w:t>
      </w:r>
      <w:r w:rsidR="00227722">
        <w:rPr>
          <w:bCs/>
        </w:rPr>
        <w:t xml:space="preserve"> </w:t>
      </w:r>
      <w:r w:rsidR="004B147F">
        <w:rPr>
          <w:bCs/>
        </w:rPr>
        <w:t xml:space="preserve">Ce dernier point </w:t>
      </w:r>
      <w:r w:rsidR="007E7D89">
        <w:rPr>
          <w:bCs/>
        </w:rPr>
        <w:t xml:space="preserve">renvoie à l’influence </w:t>
      </w:r>
      <w:r w:rsidR="00DC66F4">
        <w:rPr>
          <w:bCs/>
        </w:rPr>
        <w:t xml:space="preserve">des propos </w:t>
      </w:r>
      <w:r w:rsidR="00303318">
        <w:rPr>
          <w:bCs/>
        </w:rPr>
        <w:t xml:space="preserve">litigieux sur la confiance </w:t>
      </w:r>
      <w:r w:rsidR="00B92DAC">
        <w:rPr>
          <w:bCs/>
        </w:rPr>
        <w:t xml:space="preserve">des citoyens </w:t>
      </w:r>
      <w:r w:rsidR="00537C9E">
        <w:rPr>
          <w:bCs/>
        </w:rPr>
        <w:t>que</w:t>
      </w:r>
      <w:r w:rsidR="00B92DAC">
        <w:rPr>
          <w:bCs/>
        </w:rPr>
        <w:t xml:space="preserve"> la règle de neutralité </w:t>
      </w:r>
      <w:r w:rsidR="00537C9E">
        <w:rPr>
          <w:bCs/>
        </w:rPr>
        <w:t>vise précisément à garantir.</w:t>
      </w:r>
    </w:p>
    <w:p w14:paraId="38DCDC84" w14:textId="2D11E971" w:rsidR="00F21337" w:rsidRDefault="00573D72" w:rsidP="00497444">
      <w:pPr>
        <w:rPr>
          <w:bCs/>
        </w:rPr>
      </w:pPr>
      <w:r>
        <w:rPr>
          <w:bCs/>
        </w:rPr>
        <w:t xml:space="preserve">Comme en témoigne l’avis </w:t>
      </w:r>
      <w:r w:rsidR="002D1EA1">
        <w:rPr>
          <w:bCs/>
        </w:rPr>
        <w:t xml:space="preserve">contraire rendu par l’avocat général, </w:t>
      </w:r>
      <w:r w:rsidR="002E69B8">
        <w:rPr>
          <w:bCs/>
        </w:rPr>
        <w:t>les faits ne semblent toutefois pas entièrement univoques</w:t>
      </w:r>
      <w:r w:rsidR="00553268">
        <w:rPr>
          <w:bCs/>
        </w:rPr>
        <w:t xml:space="preserve">, s’agissant notamment de l’impact véritable des propos tenus sur </w:t>
      </w:r>
      <w:r w:rsidR="00227722">
        <w:rPr>
          <w:bCs/>
        </w:rPr>
        <w:t>la</w:t>
      </w:r>
      <w:r w:rsidR="00553268">
        <w:rPr>
          <w:bCs/>
        </w:rPr>
        <w:t xml:space="preserve"> neutralité </w:t>
      </w:r>
      <w:r w:rsidR="000E624E">
        <w:rPr>
          <w:bCs/>
        </w:rPr>
        <w:t>du salarié dans l’exercice de ses fonctions.</w:t>
      </w:r>
    </w:p>
    <w:p w14:paraId="602CD2A9" w14:textId="11CDA1C8" w:rsidR="00B27371" w:rsidRDefault="005D47FD" w:rsidP="00497444">
      <w:pPr>
        <w:rPr>
          <w:bCs/>
        </w:rPr>
      </w:pPr>
      <w:r>
        <w:rPr>
          <w:bCs/>
        </w:rPr>
        <w:t>Reste alors à envisager l’hypothèse de l’invocation</w:t>
      </w:r>
      <w:r w:rsidR="00D6545C">
        <w:rPr>
          <w:bCs/>
        </w:rPr>
        <w:t xml:space="preserve"> de la neutralité </w:t>
      </w:r>
      <w:r>
        <w:rPr>
          <w:bCs/>
        </w:rPr>
        <w:t xml:space="preserve">en tant qu’instrument au service </w:t>
      </w:r>
      <w:r w:rsidR="00886136">
        <w:rPr>
          <w:bCs/>
        </w:rPr>
        <w:t xml:space="preserve">du bon fonctionnement de l’entreprise, en particulier </w:t>
      </w:r>
      <w:r w:rsidR="00F057F5">
        <w:rPr>
          <w:bCs/>
        </w:rPr>
        <w:t xml:space="preserve">sur le plan de </w:t>
      </w:r>
      <w:r w:rsidR="00886136">
        <w:rPr>
          <w:bCs/>
        </w:rPr>
        <w:t>la paix sociale entre travailleurs</w:t>
      </w:r>
      <w:r w:rsidR="00813ABF">
        <w:rPr>
          <w:bCs/>
        </w:rPr>
        <w:t>.</w:t>
      </w:r>
      <w:r w:rsidR="00B27371">
        <w:rPr>
          <w:bCs/>
        </w:rPr>
        <w:t xml:space="preserve"> La restriction des propos </w:t>
      </w:r>
      <w:r w:rsidR="00227722">
        <w:rPr>
          <w:bCs/>
        </w:rPr>
        <w:t>serait</w:t>
      </w:r>
      <w:r w:rsidR="00B27371">
        <w:rPr>
          <w:bCs/>
        </w:rPr>
        <w:t xml:space="preserve"> dans ce cas jugée </w:t>
      </w:r>
      <w:r w:rsidR="00227722">
        <w:rPr>
          <w:bCs/>
        </w:rPr>
        <w:t xml:space="preserve">potentiellement </w:t>
      </w:r>
      <w:r w:rsidR="00B27371">
        <w:rPr>
          <w:bCs/>
        </w:rPr>
        <w:t xml:space="preserve">nécessaire aux fins de garantir </w:t>
      </w:r>
      <w:r w:rsidR="00EB433E">
        <w:rPr>
          <w:bCs/>
        </w:rPr>
        <w:t>des relations apaisées au sein de la communauté de travail.</w:t>
      </w:r>
    </w:p>
    <w:p w14:paraId="63BCB5B4" w14:textId="5801BF53" w:rsidR="00121FD1" w:rsidRDefault="009141E7" w:rsidP="00497444">
      <w:pPr>
        <w:rPr>
          <w:bCs/>
        </w:rPr>
      </w:pPr>
      <w:r w:rsidRPr="00C97770">
        <w:rPr>
          <w:bCs/>
        </w:rPr>
        <w:t xml:space="preserve">Le risque qui apparaît </w:t>
      </w:r>
      <w:r w:rsidR="00C97770" w:rsidRPr="00C97770">
        <w:rPr>
          <w:bCs/>
        </w:rPr>
        <w:t xml:space="preserve">toutefois </w:t>
      </w:r>
      <w:r w:rsidRPr="00C97770">
        <w:rPr>
          <w:bCs/>
        </w:rPr>
        <w:t>en filigrane</w:t>
      </w:r>
      <w:r w:rsidR="00227722">
        <w:rPr>
          <w:bCs/>
        </w:rPr>
        <w:t xml:space="preserve"> </w:t>
      </w:r>
      <w:r w:rsidRPr="00C97770">
        <w:rPr>
          <w:bCs/>
        </w:rPr>
        <w:t>revient</w:t>
      </w:r>
      <w:r w:rsidR="00C97770" w:rsidRPr="00C97770">
        <w:rPr>
          <w:bCs/>
        </w:rPr>
        <w:t xml:space="preserve"> </w:t>
      </w:r>
      <w:r w:rsidRPr="00C97770">
        <w:rPr>
          <w:bCs/>
        </w:rPr>
        <w:t>à ce que l</w:t>
      </w:r>
      <w:r w:rsidR="00B27371">
        <w:rPr>
          <w:bCs/>
        </w:rPr>
        <w:t>e moindre propos</w:t>
      </w:r>
      <w:r w:rsidRPr="00C97770">
        <w:rPr>
          <w:bCs/>
        </w:rPr>
        <w:t xml:space="preserve"> qui « heurte, choque ou inquiète » émis par un </w:t>
      </w:r>
      <w:r w:rsidR="005A28AB">
        <w:rPr>
          <w:bCs/>
        </w:rPr>
        <w:t>travailleur</w:t>
      </w:r>
      <w:r w:rsidRPr="00C97770">
        <w:rPr>
          <w:bCs/>
        </w:rPr>
        <w:t xml:space="preserve">, en ligne ou ailleurs, en sa qualité de citoyen, </w:t>
      </w:r>
      <w:r w:rsidRPr="00C97770">
        <w:rPr>
          <w:bCs/>
        </w:rPr>
        <w:lastRenderedPageBreak/>
        <w:t>constitue un motif légitime d’immixtion de l’employeur</w:t>
      </w:r>
      <w:r w:rsidRPr="00C97770">
        <w:rPr>
          <w:bCs/>
        </w:rPr>
        <w:t xml:space="preserve"> </w:t>
      </w:r>
      <w:r w:rsidRPr="00C97770">
        <w:rPr>
          <w:bCs/>
        </w:rPr>
        <w:t xml:space="preserve">dans </w:t>
      </w:r>
      <w:r w:rsidR="00B27371">
        <w:rPr>
          <w:bCs/>
        </w:rPr>
        <w:t>sa</w:t>
      </w:r>
      <w:r w:rsidRPr="00C97770">
        <w:rPr>
          <w:bCs/>
        </w:rPr>
        <w:t xml:space="preserve"> liberté </w:t>
      </w:r>
      <w:r w:rsidRPr="00C97770">
        <w:rPr>
          <w:bCs/>
        </w:rPr>
        <w:t xml:space="preserve">de religion </w:t>
      </w:r>
      <w:r w:rsidR="00B27371">
        <w:rPr>
          <w:bCs/>
        </w:rPr>
        <w:t>ou</w:t>
      </w:r>
      <w:r w:rsidRPr="00C97770">
        <w:rPr>
          <w:bCs/>
        </w:rPr>
        <w:t xml:space="preserve"> </w:t>
      </w:r>
      <w:r w:rsidRPr="00C97770">
        <w:rPr>
          <w:bCs/>
        </w:rPr>
        <w:t>d’expression</w:t>
      </w:r>
      <w:r w:rsidRPr="00C97770">
        <w:rPr>
          <w:bCs/>
        </w:rPr>
        <w:t>.</w:t>
      </w:r>
      <w:r w:rsidR="00EB433E">
        <w:rPr>
          <w:bCs/>
        </w:rPr>
        <w:t xml:space="preserve"> </w:t>
      </w:r>
      <w:r w:rsidR="00583454">
        <w:rPr>
          <w:bCs/>
        </w:rPr>
        <w:t>L</w:t>
      </w:r>
      <w:r w:rsidR="005F6295">
        <w:rPr>
          <w:bCs/>
        </w:rPr>
        <w:t>’on perçoit</w:t>
      </w:r>
      <w:r w:rsidR="00583454">
        <w:rPr>
          <w:bCs/>
        </w:rPr>
        <w:t xml:space="preserve"> certes</w:t>
      </w:r>
      <w:r w:rsidR="005F6295">
        <w:rPr>
          <w:bCs/>
        </w:rPr>
        <w:t xml:space="preserve">, dans le cas d’espèce, l’enjeu spécifique soulevé par </w:t>
      </w:r>
      <w:r w:rsidR="009E71AC">
        <w:rPr>
          <w:bCs/>
        </w:rPr>
        <w:t xml:space="preserve">la </w:t>
      </w:r>
      <w:r w:rsidR="009E71AC" w:rsidRPr="009E71AC">
        <w:rPr>
          <w:bCs/>
        </w:rPr>
        <w:t>nature</w:t>
      </w:r>
      <w:r w:rsidR="002E268F">
        <w:rPr>
          <w:bCs/>
        </w:rPr>
        <w:t xml:space="preserve"> particulière</w:t>
      </w:r>
      <w:r w:rsidR="009E71AC" w:rsidRPr="009E71AC">
        <w:rPr>
          <w:bCs/>
        </w:rPr>
        <w:t xml:space="preserve"> de la tâche</w:t>
      </w:r>
      <w:r w:rsidR="009E71AC">
        <w:rPr>
          <w:bCs/>
        </w:rPr>
        <w:t> </w:t>
      </w:r>
      <w:r w:rsidR="00BC7AAB">
        <w:rPr>
          <w:bCs/>
        </w:rPr>
        <w:t>assumée</w:t>
      </w:r>
      <w:r w:rsidR="002E268F">
        <w:rPr>
          <w:bCs/>
        </w:rPr>
        <w:t xml:space="preserve"> par le salarié</w:t>
      </w:r>
      <w:r w:rsidR="003F3CE2">
        <w:rPr>
          <w:bCs/>
        </w:rPr>
        <w:t xml:space="preserve"> concerné</w:t>
      </w:r>
      <w:r w:rsidR="00583454">
        <w:rPr>
          <w:bCs/>
        </w:rPr>
        <w:t>.</w:t>
      </w:r>
      <w:r w:rsidR="00ED390A">
        <w:rPr>
          <w:bCs/>
        </w:rPr>
        <w:t xml:space="preserve"> </w:t>
      </w:r>
      <w:r w:rsidR="0024049F">
        <w:rPr>
          <w:bCs/>
        </w:rPr>
        <w:t xml:space="preserve">Il convient néanmoins de </w:t>
      </w:r>
      <w:r w:rsidR="00FE03F2">
        <w:rPr>
          <w:bCs/>
        </w:rPr>
        <w:t>veiller à ce que la</w:t>
      </w:r>
      <w:r w:rsidR="0024049F">
        <w:rPr>
          <w:bCs/>
        </w:rPr>
        <w:t xml:space="preserve"> consécration d’un tel dev</w:t>
      </w:r>
      <w:r w:rsidR="00ED390A">
        <w:rPr>
          <w:bCs/>
        </w:rPr>
        <w:t xml:space="preserve">oir de réserve </w:t>
      </w:r>
      <w:r w:rsidR="00FE03F2">
        <w:rPr>
          <w:bCs/>
        </w:rPr>
        <w:t>ne vienne pas</w:t>
      </w:r>
      <w:r w:rsidR="002D010F">
        <w:rPr>
          <w:bCs/>
        </w:rPr>
        <w:t xml:space="preserve">, </w:t>
      </w:r>
      <w:r w:rsidR="00A10B41">
        <w:rPr>
          <w:bCs/>
        </w:rPr>
        <w:t>sous couvert de</w:t>
      </w:r>
      <w:r w:rsidR="002D010F">
        <w:rPr>
          <w:bCs/>
        </w:rPr>
        <w:t xml:space="preserve"> neutralité,</w:t>
      </w:r>
      <w:r w:rsidR="00FE03F2">
        <w:rPr>
          <w:bCs/>
        </w:rPr>
        <w:t xml:space="preserve"> légitimer certaines restrictions abusives</w:t>
      </w:r>
      <w:r w:rsidR="0078083E">
        <w:rPr>
          <w:bCs/>
        </w:rPr>
        <w:t xml:space="preserve"> – voire </w:t>
      </w:r>
      <w:r w:rsidR="00BC7AAB">
        <w:rPr>
          <w:bCs/>
        </w:rPr>
        <w:t xml:space="preserve">proprement </w:t>
      </w:r>
      <w:r w:rsidR="0078083E">
        <w:rPr>
          <w:bCs/>
        </w:rPr>
        <w:t>idéologiques</w:t>
      </w:r>
      <w:r w:rsidR="0029167D">
        <w:rPr>
          <w:rStyle w:val="Appelnotedebasdep"/>
          <w:bCs/>
        </w:rPr>
        <w:footnoteReference w:id="18"/>
      </w:r>
      <w:r w:rsidR="0078083E">
        <w:rPr>
          <w:bCs/>
        </w:rPr>
        <w:t xml:space="preserve"> –</w:t>
      </w:r>
      <w:r w:rsidR="00FE03F2">
        <w:rPr>
          <w:bCs/>
        </w:rPr>
        <w:t xml:space="preserve"> </w:t>
      </w:r>
      <w:r w:rsidR="004F0E6D">
        <w:rPr>
          <w:bCs/>
        </w:rPr>
        <w:t>de la liberté de religion et d’expression</w:t>
      </w:r>
      <w:r w:rsidR="00FE03F2">
        <w:rPr>
          <w:bCs/>
        </w:rPr>
        <w:t xml:space="preserve"> du </w:t>
      </w:r>
      <w:r w:rsidR="003F2DE3">
        <w:rPr>
          <w:bCs/>
        </w:rPr>
        <w:t>salarié</w:t>
      </w:r>
      <w:r w:rsidR="00FE03F2">
        <w:rPr>
          <w:bCs/>
        </w:rPr>
        <w:t xml:space="preserve">, en particulier </w:t>
      </w:r>
      <w:r w:rsidR="00BC7AAB">
        <w:rPr>
          <w:bCs/>
        </w:rPr>
        <w:t>pour des</w:t>
      </w:r>
      <w:r w:rsidR="003F2DE3">
        <w:rPr>
          <w:bCs/>
        </w:rPr>
        <w:t xml:space="preserve"> propos tenus</w:t>
      </w:r>
      <w:r w:rsidR="0078083E">
        <w:rPr>
          <w:bCs/>
        </w:rPr>
        <w:t xml:space="preserve"> en dehors </w:t>
      </w:r>
      <w:r w:rsidR="003F2DE3">
        <w:rPr>
          <w:bCs/>
        </w:rPr>
        <w:t xml:space="preserve">du travail </w:t>
      </w:r>
      <w:r w:rsidR="00BC7AAB">
        <w:rPr>
          <w:bCs/>
        </w:rPr>
        <w:t>et</w:t>
      </w:r>
      <w:r w:rsidR="003F2DE3">
        <w:rPr>
          <w:bCs/>
        </w:rPr>
        <w:t xml:space="preserve"> </w:t>
      </w:r>
      <w:r w:rsidR="00BC7AAB">
        <w:rPr>
          <w:bCs/>
        </w:rPr>
        <w:t xml:space="preserve">qui n’entrent pas en </w:t>
      </w:r>
      <w:r w:rsidR="003F2DE3">
        <w:rPr>
          <w:bCs/>
        </w:rPr>
        <w:t xml:space="preserve">lien </w:t>
      </w:r>
      <w:r w:rsidR="003F2DE3" w:rsidRPr="003F2DE3">
        <w:rPr>
          <w:bCs/>
        </w:rPr>
        <w:t xml:space="preserve">avec </w:t>
      </w:r>
      <w:r w:rsidR="00BC7AAB">
        <w:rPr>
          <w:bCs/>
        </w:rPr>
        <w:t>sa fonction</w:t>
      </w:r>
      <w:r w:rsidR="0078083E">
        <w:rPr>
          <w:bCs/>
        </w:rPr>
        <w:t>.</w:t>
      </w:r>
    </w:p>
    <w:p w14:paraId="15A79875" w14:textId="58D05F25" w:rsidR="00BC603C" w:rsidRPr="00F4003C" w:rsidRDefault="00FC02C4" w:rsidP="00F4003C">
      <w:pPr>
        <w:rPr>
          <w:bCs/>
        </w:rPr>
      </w:pPr>
      <w:r>
        <w:rPr>
          <w:bCs/>
        </w:rPr>
        <w:t>Une dernière particularité</w:t>
      </w:r>
      <w:r w:rsidR="003F507F">
        <w:rPr>
          <w:bCs/>
        </w:rPr>
        <w:t xml:space="preserve"> de l’affaire ici commentée mérite d’être soulignée</w:t>
      </w:r>
      <w:r>
        <w:rPr>
          <w:bCs/>
        </w:rPr>
        <w:t xml:space="preserve"> : les propos litigieux se distinguent par leur </w:t>
      </w:r>
      <w:r w:rsidR="00F04FB3">
        <w:rPr>
          <w:bCs/>
        </w:rPr>
        <w:t>connotation</w:t>
      </w:r>
      <w:r>
        <w:rPr>
          <w:bCs/>
        </w:rPr>
        <w:t xml:space="preserve"> </w:t>
      </w:r>
      <w:r w:rsidR="000D2E06">
        <w:rPr>
          <w:bCs/>
        </w:rPr>
        <w:t>simultanément politique et religieuse.</w:t>
      </w:r>
      <w:r w:rsidR="00AD7E5D">
        <w:rPr>
          <w:bCs/>
        </w:rPr>
        <w:t xml:space="preserve"> </w:t>
      </w:r>
      <w:r w:rsidR="00084032">
        <w:rPr>
          <w:bCs/>
        </w:rPr>
        <w:t xml:space="preserve">Sur le plan de la neutralité, cette double dimension </w:t>
      </w:r>
      <w:r w:rsidR="00B80636">
        <w:rPr>
          <w:bCs/>
        </w:rPr>
        <w:t xml:space="preserve">soulève la question </w:t>
      </w:r>
      <w:r w:rsidR="00C9447C">
        <w:rPr>
          <w:bCs/>
        </w:rPr>
        <w:t>d</w:t>
      </w:r>
      <w:r w:rsidR="00B80636">
        <w:rPr>
          <w:bCs/>
        </w:rPr>
        <w:t xml:space="preserve">u champ </w:t>
      </w:r>
      <w:r w:rsidR="00C9447C">
        <w:rPr>
          <w:bCs/>
        </w:rPr>
        <w:t>matériel couvert par</w:t>
      </w:r>
      <w:r w:rsidR="003F11FC">
        <w:rPr>
          <w:bCs/>
        </w:rPr>
        <w:t xml:space="preserve"> la règle de</w:t>
      </w:r>
      <w:r w:rsidR="00B80636">
        <w:rPr>
          <w:bCs/>
        </w:rPr>
        <w:t xml:space="preserve"> neutralité</w:t>
      </w:r>
      <w:r w:rsidR="003F11FC">
        <w:rPr>
          <w:bCs/>
        </w:rPr>
        <w:t> : pour être véritablement neutre, la politique de neutralité doit-elle viser</w:t>
      </w:r>
      <w:r w:rsidR="00A1749A">
        <w:rPr>
          <w:bCs/>
        </w:rPr>
        <w:t xml:space="preserve"> uniquement les convictions religieuses, ou englober au contraire </w:t>
      </w:r>
      <w:r w:rsidR="00C9447C">
        <w:rPr>
          <w:bCs/>
        </w:rPr>
        <w:t xml:space="preserve">toute conviction politique, philosophique ou religieuse ? </w:t>
      </w:r>
      <w:r w:rsidR="007E4961">
        <w:rPr>
          <w:bCs/>
        </w:rPr>
        <w:t>Alors que les principes de laïcité et de neutralité ont vocation à éviter une politisation</w:t>
      </w:r>
      <w:r w:rsidR="00C9447C">
        <w:rPr>
          <w:bCs/>
        </w:rPr>
        <w:t xml:space="preserve"> </w:t>
      </w:r>
      <w:r w:rsidR="009E7060">
        <w:rPr>
          <w:bCs/>
        </w:rPr>
        <w:t>outrancière</w:t>
      </w:r>
      <w:r w:rsidR="007E4961">
        <w:rPr>
          <w:bCs/>
        </w:rPr>
        <w:t xml:space="preserve"> du </w:t>
      </w:r>
      <w:r w:rsidR="009E7060">
        <w:rPr>
          <w:bCs/>
        </w:rPr>
        <w:t xml:space="preserve">fait </w:t>
      </w:r>
      <w:r w:rsidR="007E4961">
        <w:rPr>
          <w:bCs/>
        </w:rPr>
        <w:t>religieux au sein</w:t>
      </w:r>
      <w:r w:rsidR="00AB20EE">
        <w:rPr>
          <w:bCs/>
        </w:rPr>
        <w:t xml:space="preserve"> de la sphère publique, </w:t>
      </w:r>
      <w:r w:rsidR="00434912">
        <w:rPr>
          <w:bCs/>
        </w:rPr>
        <w:t>il semble que la confusion des genres librement assumée par le salarié en l’espèce ait précisément conforté la Cour de cassation dans</w:t>
      </w:r>
      <w:r w:rsidR="0046126B">
        <w:rPr>
          <w:bCs/>
        </w:rPr>
        <w:t xml:space="preserve"> </w:t>
      </w:r>
      <w:r w:rsidR="00CF2A21">
        <w:rPr>
          <w:bCs/>
        </w:rPr>
        <w:t xml:space="preserve">son insistance sur </w:t>
      </w:r>
      <w:r w:rsidR="006C7640">
        <w:rPr>
          <w:bCs/>
        </w:rPr>
        <w:t xml:space="preserve">la notion d’obligation </w:t>
      </w:r>
      <w:r w:rsidR="0046126B">
        <w:rPr>
          <w:bCs/>
        </w:rPr>
        <w:t>de réserve</w:t>
      </w:r>
      <w:r w:rsidR="002010FD">
        <w:rPr>
          <w:bCs/>
        </w:rPr>
        <w:t>.</w:t>
      </w:r>
    </w:p>
    <w:sectPr w:rsidR="00BC603C" w:rsidRPr="00F400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B15B80" w14:textId="77777777" w:rsidR="000C3A60" w:rsidRDefault="000C3A60" w:rsidP="005065FB">
      <w:r>
        <w:separator/>
      </w:r>
    </w:p>
  </w:endnote>
  <w:endnote w:type="continuationSeparator" w:id="0">
    <w:p w14:paraId="6BE7099E" w14:textId="77777777" w:rsidR="000C3A60" w:rsidRDefault="000C3A60" w:rsidP="005065FB">
      <w:r>
        <w:continuationSeparator/>
      </w:r>
    </w:p>
  </w:endnote>
  <w:endnote w:type="continuationNotice" w:id="1">
    <w:p w14:paraId="681647CD" w14:textId="77777777" w:rsidR="000C3A60" w:rsidRDefault="000C3A60" w:rsidP="005065F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476">
    <w:altName w:val="Times New Roman"/>
    <w:charset w:val="00"/>
    <w:family w:val="auto"/>
    <w:pitch w:val="variable"/>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utigerLTStd-Roman">
    <w:altName w:val="Calibri"/>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49DC2B" w14:textId="77777777" w:rsidR="000C3A60" w:rsidRDefault="000C3A60" w:rsidP="005065FB">
      <w:r>
        <w:separator/>
      </w:r>
    </w:p>
  </w:footnote>
  <w:footnote w:type="continuationSeparator" w:id="0">
    <w:p w14:paraId="3CD7F09F" w14:textId="77777777" w:rsidR="000C3A60" w:rsidRDefault="000C3A60" w:rsidP="005065FB">
      <w:r>
        <w:continuationSeparator/>
      </w:r>
    </w:p>
  </w:footnote>
  <w:footnote w:type="continuationNotice" w:id="1">
    <w:p w14:paraId="27FD6FDB" w14:textId="77777777" w:rsidR="000C3A60" w:rsidRDefault="000C3A60" w:rsidP="005065FB"/>
  </w:footnote>
  <w:footnote w:id="2">
    <w:p w14:paraId="32A317E1" w14:textId="5E1EA808" w:rsidR="00CE5EE6" w:rsidRPr="00F1317A" w:rsidRDefault="00CE5EE6">
      <w:pPr>
        <w:pStyle w:val="Notedebasdepage"/>
        <w:rPr>
          <w:lang w:val="fr-FR"/>
        </w:rPr>
      </w:pPr>
      <w:r>
        <w:rPr>
          <w:rStyle w:val="Appelnotedebasdep"/>
        </w:rPr>
        <w:footnoteRef/>
      </w:r>
      <w:r>
        <w:t xml:space="preserve"> </w:t>
      </w:r>
      <w:proofErr w:type="spellStart"/>
      <w:r w:rsidR="00262445">
        <w:t>Prud’h</w:t>
      </w:r>
      <w:proofErr w:type="spellEnd"/>
      <w:r w:rsidR="00262445">
        <w:t>.</w:t>
      </w:r>
      <w:r w:rsidR="00262445" w:rsidRPr="004A0002">
        <w:t xml:space="preserve"> </w:t>
      </w:r>
      <w:r w:rsidR="00262445">
        <w:t>Aix-en-Provence, 28 septembre 2017.</w:t>
      </w:r>
      <w:r>
        <w:t> </w:t>
      </w:r>
    </w:p>
  </w:footnote>
  <w:footnote w:id="3">
    <w:p w14:paraId="693D40E2" w14:textId="6C69CFEF" w:rsidR="00CE5EE6" w:rsidRPr="00F1317A" w:rsidRDefault="00CE5EE6">
      <w:pPr>
        <w:pStyle w:val="Notedebasdepage"/>
        <w:rPr>
          <w:lang w:val="fr-FR"/>
        </w:rPr>
      </w:pPr>
      <w:r>
        <w:rPr>
          <w:rStyle w:val="Appelnotedebasdep"/>
        </w:rPr>
        <w:footnoteRef/>
      </w:r>
      <w:r>
        <w:t xml:space="preserve"> </w:t>
      </w:r>
      <w:r w:rsidR="00262445">
        <w:t>C.A. Aix-en-Provence, 18 décembre 2020</w:t>
      </w:r>
      <w:r w:rsidR="00262E5E">
        <w:t xml:space="preserve">, n° </w:t>
      </w:r>
      <w:r w:rsidR="00262E5E" w:rsidRPr="00262E5E">
        <w:t>°17/2066</w:t>
      </w:r>
      <w:r w:rsidR="00262E5E">
        <w:t>1.</w:t>
      </w:r>
    </w:p>
  </w:footnote>
  <w:footnote w:id="4">
    <w:p w14:paraId="35D4AFAA" w14:textId="546C3C87" w:rsidR="00430939" w:rsidRPr="00E01B3C" w:rsidRDefault="00430939">
      <w:pPr>
        <w:pStyle w:val="Notedebasdepage"/>
      </w:pPr>
      <w:r w:rsidRPr="00E01B3C">
        <w:rPr>
          <w:rStyle w:val="Appelnotedebasdep"/>
        </w:rPr>
        <w:footnoteRef/>
      </w:r>
      <w:r w:rsidRPr="00E01B3C">
        <w:t xml:space="preserve"> </w:t>
      </w:r>
      <w:r w:rsidR="00E01B3C" w:rsidRPr="00E01B3C">
        <w:t xml:space="preserve">Sur le caractère contestable de l’automaticité du lien entre l’obligation de réserve et les principes de neutralité et de laïcité, </w:t>
      </w:r>
      <w:proofErr w:type="spellStart"/>
      <w:r w:rsidR="00E01B3C" w:rsidRPr="00E01B3C">
        <w:t>voy</w:t>
      </w:r>
      <w:proofErr w:type="spellEnd"/>
      <w:r w:rsidR="00E01B3C" w:rsidRPr="00E01B3C">
        <w:t xml:space="preserve">. A. </w:t>
      </w:r>
      <w:r w:rsidR="00E01B3C" w:rsidRPr="00E01B3C">
        <w:rPr>
          <w:smallCaps/>
        </w:rPr>
        <w:t>Fabre</w:t>
      </w:r>
      <w:r w:rsidR="00E01B3C" w:rsidRPr="00E01B3C">
        <w:t xml:space="preserve">, « L’obligation de réserve, nouvelle venue au pays de la liberté d’expression des salariés », </w:t>
      </w:r>
      <w:r w:rsidR="00E01B3C" w:rsidRPr="00E01B3C">
        <w:rPr>
          <w:i/>
        </w:rPr>
        <w:t>Revue de Droit du Travail</w:t>
      </w:r>
      <w:r w:rsidR="00E01B3C" w:rsidRPr="00E01B3C">
        <w:t>, 2023, n° 1, p. 41.</w:t>
      </w:r>
    </w:p>
  </w:footnote>
  <w:footnote w:id="5">
    <w:p w14:paraId="2C3865D2" w14:textId="0DAEDF2D" w:rsidR="00970D0F" w:rsidRPr="00022216" w:rsidRDefault="00970D0F" w:rsidP="00970D0F">
      <w:pPr>
        <w:pStyle w:val="Notedebasdepage"/>
        <w:rPr>
          <w:rFonts w:cs="Times New Roman"/>
        </w:rPr>
      </w:pPr>
      <w:r w:rsidRPr="00022216">
        <w:rPr>
          <w:rStyle w:val="Appelnotedebasdep"/>
          <w:rFonts w:cs="Times New Roman"/>
        </w:rPr>
        <w:footnoteRef/>
      </w:r>
      <w:r w:rsidRPr="00022216">
        <w:rPr>
          <w:rFonts w:cs="Times New Roman"/>
        </w:rPr>
        <w:t xml:space="preserve"> </w:t>
      </w:r>
      <w:r w:rsidRPr="00022216">
        <w:rPr>
          <w:rFonts w:cs="Times New Roman"/>
        </w:rPr>
        <w:fldChar w:fldCharType="begin"/>
      </w:r>
      <w:r w:rsidR="0086176C">
        <w:rPr>
          <w:rFonts w:cs="Times New Roman"/>
        </w:rPr>
        <w:instrText xml:space="preserve"> ADDIN ZOTERO_ITEM CSL_CITATION {"citationID":"N104uEi5","properties":{"formattedCitation":"S. {\\scaps Hennette-Vauchez} et V. {\\scaps Valentin}, {\\i{}L\\uc0\\u8217{}affaire Baby Loup ou la Nouvelle La\\uc0\\u239{}cit\\uc0\\u233{}}, Paris, LGDJ, 2014, p. 59.","plainCitation":"S. Hennette-Vauchez et V. Valentin, L’affaire Baby Loup ou la Nouvelle Laïcité, Paris, LGDJ, 2014, p. 59.","noteIndex":4},"citationItems":[{"id":1189,"uris":["http://zotero.org/users/5133869/items/H2JFE7DP"],"itemData":{"id":1189,"type":"book","event-place":"Paris","ISBN":"978-2-275-04446-0","language":"fre","number-of-pages":"115","publisher":"LGDJ","publisher-place":"Paris","source":"Gemeinsamer Bibliotheksverbund ISBN","title":"L'affaire Baby Loup ou la Nouvelle Laïcité","author":[{"family":"Hennette-Vauchez","given":"Stéphanie"},{"family":"Valentin","given":"Vincent"}],"issued":{"date-parts":[["2014"]]}},"locator":"59"}],"schema":"https://github.com/citation-style-language/schema/raw/master/csl-citation.json"} </w:instrText>
      </w:r>
      <w:r w:rsidRPr="00022216">
        <w:rPr>
          <w:rFonts w:cs="Times New Roman"/>
        </w:rPr>
        <w:fldChar w:fldCharType="separate"/>
      </w:r>
      <w:r w:rsidR="0086176C" w:rsidRPr="0086176C">
        <w:rPr>
          <w:rFonts w:cs="Times New Roman"/>
          <w:szCs w:val="24"/>
        </w:rPr>
        <w:t xml:space="preserve">S. </w:t>
      </w:r>
      <w:r w:rsidR="0086176C" w:rsidRPr="0086176C">
        <w:rPr>
          <w:rFonts w:cs="Times New Roman"/>
          <w:smallCaps/>
          <w:szCs w:val="24"/>
        </w:rPr>
        <w:t>Hennette-Vauchez</w:t>
      </w:r>
      <w:r w:rsidR="0086176C" w:rsidRPr="0086176C">
        <w:rPr>
          <w:rFonts w:cs="Times New Roman"/>
          <w:szCs w:val="24"/>
        </w:rPr>
        <w:t xml:space="preserve"> et V. </w:t>
      </w:r>
      <w:r w:rsidR="0086176C" w:rsidRPr="0086176C">
        <w:rPr>
          <w:rFonts w:cs="Times New Roman"/>
          <w:smallCaps/>
          <w:szCs w:val="24"/>
        </w:rPr>
        <w:t>Valentin</w:t>
      </w:r>
      <w:r w:rsidR="0086176C" w:rsidRPr="0086176C">
        <w:rPr>
          <w:rFonts w:cs="Times New Roman"/>
          <w:szCs w:val="24"/>
        </w:rPr>
        <w:t xml:space="preserve">, </w:t>
      </w:r>
      <w:r w:rsidR="0086176C" w:rsidRPr="0086176C">
        <w:rPr>
          <w:rFonts w:cs="Times New Roman"/>
          <w:i/>
          <w:iCs/>
          <w:szCs w:val="24"/>
        </w:rPr>
        <w:t>L’affaire Baby Loup ou la Nouvelle Laïcité</w:t>
      </w:r>
      <w:r w:rsidR="0086176C" w:rsidRPr="0086176C">
        <w:rPr>
          <w:rFonts w:cs="Times New Roman"/>
          <w:szCs w:val="24"/>
        </w:rPr>
        <w:t xml:space="preserve">, Paris, </w:t>
      </w:r>
      <w:proofErr w:type="spellStart"/>
      <w:r w:rsidR="0086176C" w:rsidRPr="0086176C">
        <w:rPr>
          <w:rFonts w:cs="Times New Roman"/>
          <w:szCs w:val="24"/>
        </w:rPr>
        <w:t>LGDJ</w:t>
      </w:r>
      <w:proofErr w:type="spellEnd"/>
      <w:r w:rsidR="0086176C" w:rsidRPr="0086176C">
        <w:rPr>
          <w:rFonts w:cs="Times New Roman"/>
          <w:szCs w:val="24"/>
        </w:rPr>
        <w:t>, 2014, p. 59.</w:t>
      </w:r>
      <w:r w:rsidRPr="00022216">
        <w:rPr>
          <w:rFonts w:cs="Times New Roman"/>
        </w:rPr>
        <w:fldChar w:fldCharType="end"/>
      </w:r>
    </w:p>
  </w:footnote>
  <w:footnote w:id="6">
    <w:p w14:paraId="5648A108" w14:textId="7F021DDF" w:rsidR="001C5B32" w:rsidRPr="00E74ED6" w:rsidRDefault="001C5B32" w:rsidP="001C5B32">
      <w:pPr>
        <w:pStyle w:val="Notedebasdepage"/>
      </w:pPr>
      <w:bookmarkStart w:id="0" w:name="_Ref91754772"/>
      <w:r>
        <w:rPr>
          <w:rStyle w:val="Appelnotedebasdep"/>
        </w:rPr>
        <w:footnoteRef/>
      </w:r>
      <w:r w:rsidRPr="00E74ED6">
        <w:t xml:space="preserve"> </w:t>
      </w:r>
      <w:r>
        <w:t>Loi du 24 août 2021 « </w:t>
      </w:r>
      <w:r w:rsidRPr="002C5FD8">
        <w:t>confortant le respect des principes de la République</w:t>
      </w:r>
      <w:r>
        <w:t xml:space="preserve"> », </w:t>
      </w:r>
      <w:r>
        <w:rPr>
          <w:i/>
        </w:rPr>
        <w:t>JORF</w:t>
      </w:r>
      <w:r>
        <w:t>, 25 août 2021, n° 0197.</w:t>
      </w:r>
      <w:bookmarkEnd w:id="0"/>
    </w:p>
  </w:footnote>
  <w:footnote w:id="7">
    <w:p w14:paraId="532DC576" w14:textId="03A496D3" w:rsidR="00550359" w:rsidRPr="00016D32" w:rsidRDefault="00550359" w:rsidP="00550359">
      <w:pPr>
        <w:pStyle w:val="Notedebasdepage"/>
        <w:rPr>
          <w:szCs w:val="17"/>
        </w:rPr>
      </w:pPr>
      <w:r w:rsidRPr="00016D32">
        <w:rPr>
          <w:rStyle w:val="Appelnotedebasdep"/>
          <w:szCs w:val="17"/>
        </w:rPr>
        <w:footnoteRef/>
      </w:r>
      <w:r w:rsidRPr="00016D32">
        <w:rPr>
          <w:szCs w:val="17"/>
        </w:rPr>
        <w:t xml:space="preserve"> Cass. (soc.), 19 mars 2013, </w:t>
      </w:r>
      <w:proofErr w:type="spellStart"/>
      <w:r w:rsidRPr="00016D32">
        <w:rPr>
          <w:szCs w:val="17"/>
        </w:rPr>
        <w:t>req</w:t>
      </w:r>
      <w:proofErr w:type="spellEnd"/>
      <w:r w:rsidRPr="00016D32">
        <w:rPr>
          <w:szCs w:val="17"/>
        </w:rPr>
        <w:t>. n°12-11.690</w:t>
      </w:r>
      <w:r w:rsidR="0032439A">
        <w:rPr>
          <w:szCs w:val="17"/>
        </w:rPr>
        <w:t xml:space="preserve"> (ci-après </w:t>
      </w:r>
      <w:r w:rsidR="0032439A">
        <w:rPr>
          <w:i/>
          <w:szCs w:val="17"/>
        </w:rPr>
        <w:t>CPAM</w:t>
      </w:r>
      <w:r w:rsidR="0032439A">
        <w:rPr>
          <w:szCs w:val="17"/>
        </w:rPr>
        <w:t>)</w:t>
      </w:r>
      <w:r w:rsidRPr="00016D32">
        <w:rPr>
          <w:szCs w:val="17"/>
        </w:rPr>
        <w:t>.</w:t>
      </w:r>
    </w:p>
  </w:footnote>
  <w:footnote w:id="8">
    <w:p w14:paraId="267179DD" w14:textId="2BC2F9BF" w:rsidR="00262E5E" w:rsidRPr="00262E5E" w:rsidRDefault="00262E5E">
      <w:pPr>
        <w:pStyle w:val="Notedebasdepage"/>
        <w:rPr>
          <w:lang w:val="fr-FR"/>
        </w:rPr>
      </w:pPr>
      <w:r>
        <w:rPr>
          <w:rStyle w:val="Appelnotedebasdep"/>
        </w:rPr>
        <w:footnoteRef/>
      </w:r>
      <w:r>
        <w:t xml:space="preserve"> </w:t>
      </w:r>
      <w:r>
        <w:rPr>
          <w:lang w:val="fr-FR"/>
        </w:rPr>
        <w:t xml:space="preserve">Pour une analyse approfondie de cette tendance, sous l’angle de la jurisprudence française, belge et européenne, </w:t>
      </w:r>
      <w:proofErr w:type="spellStart"/>
      <w:r>
        <w:rPr>
          <w:lang w:val="fr-FR"/>
        </w:rPr>
        <w:t>voy</w:t>
      </w:r>
      <w:proofErr w:type="spellEnd"/>
      <w:r>
        <w:rPr>
          <w:lang w:val="fr-FR"/>
        </w:rPr>
        <w:t xml:space="preserve">. </w:t>
      </w:r>
      <w:r w:rsidR="00D329FC">
        <w:rPr>
          <w:lang w:val="fr-FR"/>
        </w:rPr>
        <w:fldChar w:fldCharType="begin"/>
      </w:r>
      <w:r w:rsidR="00D329FC">
        <w:rPr>
          <w:lang w:val="fr-FR"/>
        </w:rPr>
        <w:instrText xml:space="preserve"> ADDIN ZOTERO_ITEM CSL_CITATION {"citationID":"U2wv4QNk","properties":{"formattedCitation":"L. {\\scaps Vanbellingen}, {\\i{}La neutralit\\uc0\\u233{} de l\\uc0\\u8217{}entreprise face aux expressions religieuses du travailleur\\uc0\\u8239{}: test de compatibilit\\uc0\\u233{} en droit europ\\uc0\\u233{}en de la libert\\uc0\\u233{} de religion et de la non-discrimination}, Bruxelles, Bruylant, 2022.","plainCitation":"L. Vanbellingen, La neutralité de l’entreprise face aux expressions religieuses du travailleur : test de compatibilité en droit européen de la liberté de religion et de la non-discrimination, Bruxelles, Bruylant, 2022.","noteIndex":8},"citationItems":[{"id":3269,"uris":["http://zotero.org/users/5133869/items/DJFT6GL5"],"itemData":{"id":3269,"type":"book","event-place":"Bruxelles","ISBN":"978-2-8027-7096-1","note":"OCLC: 1330705619","publisher":"Bruylant","publisher-place":"Bruxelles","source":"Open WorldCat","title":"La neutralité de l'entreprise face aux expressions religieuses du travailleur : test de compatibilité en droit européen de la liberté de religion et de la non-discrimination","title-short":"La neutralité de l'entreprise face aux expressions religieuses du travailleur","author":[{"family":"Vanbellingen","given":"Léopold"}],"issued":{"date-parts":[["2022"]]}}}],"schema":"https://github.com/citation-style-language/schema/raw/master/csl-citation.json"} </w:instrText>
      </w:r>
      <w:r w:rsidR="00D329FC">
        <w:rPr>
          <w:lang w:val="fr-FR"/>
        </w:rPr>
        <w:fldChar w:fldCharType="separate"/>
      </w:r>
      <w:r w:rsidR="00D329FC" w:rsidRPr="00D329FC">
        <w:rPr>
          <w:rFonts w:cs="Times New Roman"/>
          <w:szCs w:val="24"/>
        </w:rPr>
        <w:t xml:space="preserve">L. </w:t>
      </w:r>
      <w:r w:rsidR="00D329FC" w:rsidRPr="00D329FC">
        <w:rPr>
          <w:rFonts w:cs="Times New Roman"/>
          <w:smallCaps/>
          <w:szCs w:val="24"/>
        </w:rPr>
        <w:t>Vanbellingen</w:t>
      </w:r>
      <w:r w:rsidR="00D329FC" w:rsidRPr="00D329FC">
        <w:rPr>
          <w:rFonts w:cs="Times New Roman"/>
          <w:szCs w:val="24"/>
        </w:rPr>
        <w:t xml:space="preserve">, </w:t>
      </w:r>
      <w:r w:rsidR="00D329FC" w:rsidRPr="00D329FC">
        <w:rPr>
          <w:rFonts w:cs="Times New Roman"/>
          <w:i/>
          <w:iCs/>
          <w:szCs w:val="24"/>
        </w:rPr>
        <w:t>La neutralité de l’entreprise face aux expressions religieuses du travailleur : test de compatibilité en droit européen de la liberté de religion et de la non-discrimination</w:t>
      </w:r>
      <w:r w:rsidR="00D329FC" w:rsidRPr="00D329FC">
        <w:rPr>
          <w:rFonts w:cs="Times New Roman"/>
          <w:szCs w:val="24"/>
        </w:rPr>
        <w:t>, Bruxelles, Bruylant, 2022.</w:t>
      </w:r>
      <w:r w:rsidR="00D329FC">
        <w:rPr>
          <w:lang w:val="fr-FR"/>
        </w:rPr>
        <w:fldChar w:fldCharType="end"/>
      </w:r>
    </w:p>
  </w:footnote>
  <w:footnote w:id="9">
    <w:p w14:paraId="463EA387" w14:textId="34BF1458" w:rsidR="0032439A" w:rsidRPr="00262445" w:rsidRDefault="0032439A" w:rsidP="0032439A">
      <w:pPr>
        <w:pStyle w:val="Notedebasdepage"/>
      </w:pPr>
      <w:bookmarkStart w:id="1" w:name="_Ref48141869"/>
      <w:r>
        <w:rPr>
          <w:rStyle w:val="Appelnotedebasdep"/>
        </w:rPr>
        <w:footnoteRef/>
      </w:r>
      <w:r>
        <w:t xml:space="preserve"> Ainsi, dans l’arrêt </w:t>
      </w:r>
      <w:r>
        <w:rPr>
          <w:i/>
        </w:rPr>
        <w:t>CPAM</w:t>
      </w:r>
      <w:r>
        <w:t xml:space="preserve">, la Cour de cassation se contente-t-elle d’indiquer que </w:t>
      </w:r>
      <w:r w:rsidRPr="00262445">
        <w:t>l’interdiction du port de signes religieux</w:t>
      </w:r>
      <w:r>
        <w:t>, y compris pour les salariés sans contact avec le public,</w:t>
      </w:r>
      <w:r w:rsidRPr="00262445">
        <w:t xml:space="preserve"> </w:t>
      </w:r>
      <w:r>
        <w:t>est</w:t>
      </w:r>
      <w:r w:rsidRPr="00262445">
        <w:t xml:space="preserve"> effectivement « nécessaire à la mise en œuvre du principe de laïcité de nature à assurer aux yeux des usagers la neutralité du service public et à ses employés ».</w:t>
      </w:r>
      <w:bookmarkEnd w:id="1"/>
    </w:p>
  </w:footnote>
  <w:footnote w:id="10">
    <w:p w14:paraId="799C64D4" w14:textId="7FEDB1E9" w:rsidR="0032439A" w:rsidRPr="00093A8C" w:rsidRDefault="0032439A" w:rsidP="0032439A">
      <w:pPr>
        <w:pStyle w:val="Notedebasdepage"/>
      </w:pPr>
      <w:r>
        <w:rPr>
          <w:rStyle w:val="Appelnotedebasdep"/>
        </w:rPr>
        <w:footnoteRef/>
      </w:r>
      <w:r>
        <w:t xml:space="preserve"> CJUE, </w:t>
      </w:r>
      <w:r w:rsidRPr="008D517D">
        <w:rPr>
          <w:i/>
          <w:iCs/>
        </w:rPr>
        <w:t>LF c. SCRL</w:t>
      </w:r>
      <w:r>
        <w:t xml:space="preserve">, 13 octobre 2022, </w:t>
      </w:r>
      <w:r w:rsidRPr="002C5521">
        <w:t>C‑344/20</w:t>
      </w:r>
      <w:r>
        <w:t xml:space="preserve">, para 40-41 (ci-après </w:t>
      </w:r>
      <w:r>
        <w:rPr>
          <w:i/>
        </w:rPr>
        <w:t>LF c. SCRL</w:t>
      </w:r>
      <w:r>
        <w:t>).</w:t>
      </w:r>
    </w:p>
  </w:footnote>
  <w:footnote w:id="11">
    <w:p w14:paraId="7FD50DE6" w14:textId="759EF8CE" w:rsidR="0032439A" w:rsidRPr="005C0806" w:rsidRDefault="0032439A" w:rsidP="0032439A">
      <w:pPr>
        <w:pStyle w:val="Notedebasdepage"/>
      </w:pPr>
      <w:r>
        <w:rPr>
          <w:rStyle w:val="Appelnotedebasdep"/>
        </w:rPr>
        <w:footnoteRef/>
      </w:r>
      <w:r>
        <w:t xml:space="preserve"> </w:t>
      </w:r>
      <w:r w:rsidR="00AF49D9">
        <w:rPr>
          <w:i/>
        </w:rPr>
        <w:t>Ibid</w:t>
      </w:r>
      <w:r>
        <w:t>.</w:t>
      </w:r>
    </w:p>
  </w:footnote>
  <w:footnote w:id="12">
    <w:p w14:paraId="76830BE7" w14:textId="450A5EA4" w:rsidR="00052DE0" w:rsidRPr="00052DE0" w:rsidRDefault="00052DE0">
      <w:pPr>
        <w:pStyle w:val="Notedebasdepage"/>
      </w:pPr>
      <w:r>
        <w:rPr>
          <w:rStyle w:val="Appelnotedebasdep"/>
        </w:rPr>
        <w:footnoteRef/>
      </w:r>
      <w:r>
        <w:t xml:space="preserve"> Code du travail, art. L1121-1 et L1133-1.</w:t>
      </w:r>
    </w:p>
  </w:footnote>
  <w:footnote w:id="13">
    <w:p w14:paraId="07362179" w14:textId="02C9758B" w:rsidR="00052DE0" w:rsidRPr="00052DE0" w:rsidRDefault="00052DE0">
      <w:pPr>
        <w:pStyle w:val="Notedebasdepage"/>
      </w:pPr>
      <w:r>
        <w:rPr>
          <w:rStyle w:val="Appelnotedebasdep"/>
        </w:rPr>
        <w:footnoteRef/>
      </w:r>
      <w:r>
        <w:t xml:space="preserve"> Convention européenne des droits de l’homme, art. 9, 10 et 14 ; Directive 2000/78/</w:t>
      </w:r>
      <w:r w:rsidRPr="00A569A1">
        <w:t>CE du Conseil du 27 novembre 2000 portant création d'un cadre général en</w:t>
      </w:r>
      <w:r>
        <w:t xml:space="preserve"> </w:t>
      </w:r>
      <w:r w:rsidRPr="00A569A1">
        <w:t>faveur de l'égalité de traitement en matière d'emploi et de travail</w:t>
      </w:r>
      <w:r>
        <w:t>, art. 2</w:t>
      </w:r>
      <w:r w:rsidR="00264E14">
        <w:t>.2</w:t>
      </w:r>
      <w:r>
        <w:t xml:space="preserve"> et 4.</w:t>
      </w:r>
      <w:r w:rsidR="00264E14">
        <w:t>1.</w:t>
      </w:r>
    </w:p>
  </w:footnote>
  <w:footnote w:id="14">
    <w:p w14:paraId="1BAFA159" w14:textId="1B1E29E0" w:rsidR="00052DE0" w:rsidRPr="00052DE0" w:rsidRDefault="00052DE0">
      <w:pPr>
        <w:pStyle w:val="Notedebasdepage"/>
        <w:rPr>
          <w:lang w:val="fr-FR"/>
        </w:rPr>
      </w:pPr>
      <w:r>
        <w:rPr>
          <w:rStyle w:val="Appelnotedebasdep"/>
        </w:rPr>
        <w:footnoteRef/>
      </w:r>
      <w:r>
        <w:t xml:space="preserve"> Notons d’ailleurs, à l’instar d’A. </w:t>
      </w:r>
      <w:r w:rsidRPr="00052DE0">
        <w:rPr>
          <w:smallCaps/>
        </w:rPr>
        <w:t>Fabre</w:t>
      </w:r>
      <w:r>
        <w:t>, que</w:t>
      </w:r>
      <w:r w:rsidR="00264E14">
        <w:t>, dans son arrêt du 19 octobre 2022,</w:t>
      </w:r>
      <w:r>
        <w:t xml:space="preserve"> la chambre sociale ne mentionne aucunement ces deux exigences, se contentant de reprendre la première partie de l’article L1133-1 du Code du travail, relative à l’existence d’une « </w:t>
      </w:r>
      <w:r w:rsidRPr="00052DE0">
        <w:t>exigence professionnelle essentielle et déterminante</w:t>
      </w:r>
      <w:r>
        <w:t> » pouvant justifier une différence de traitement (</w:t>
      </w:r>
      <w:r w:rsidRPr="00E01B3C">
        <w:t>« L’obligation de réserve</w:t>
      </w:r>
      <w:r>
        <w:t xml:space="preserve"> … », </w:t>
      </w:r>
      <w:r>
        <w:rPr>
          <w:i/>
        </w:rPr>
        <w:t>op.cit.</w:t>
      </w:r>
      <w:r>
        <w:t>, p. 45).</w:t>
      </w:r>
    </w:p>
  </w:footnote>
  <w:footnote w:id="15">
    <w:p w14:paraId="05922A01" w14:textId="27997ED2" w:rsidR="00EB5808" w:rsidRPr="0075076A" w:rsidRDefault="00EB5808" w:rsidP="00EB5808">
      <w:pPr>
        <w:pStyle w:val="Notedebasdepage"/>
        <w:rPr>
          <w:lang w:val="nl-BE"/>
        </w:rPr>
      </w:pPr>
      <w:r>
        <w:rPr>
          <w:rStyle w:val="Appelnotedebasdep"/>
        </w:rPr>
        <w:footnoteRef/>
      </w:r>
      <w:r w:rsidRPr="0075076A">
        <w:rPr>
          <w:lang w:val="nl-BE"/>
        </w:rPr>
        <w:t xml:space="preserve"> </w:t>
      </w:r>
      <w:proofErr w:type="spellStart"/>
      <w:r w:rsidRPr="0075076A">
        <w:rPr>
          <w:lang w:val="nl-BE"/>
        </w:rPr>
        <w:t>CJUE</w:t>
      </w:r>
      <w:proofErr w:type="spellEnd"/>
      <w:r w:rsidRPr="0075076A">
        <w:rPr>
          <w:lang w:val="nl-BE"/>
        </w:rPr>
        <w:t xml:space="preserve"> (Gr. </w:t>
      </w:r>
      <w:proofErr w:type="spellStart"/>
      <w:r w:rsidRPr="0075076A">
        <w:rPr>
          <w:lang w:val="nl-BE"/>
        </w:rPr>
        <w:t>Ch</w:t>
      </w:r>
      <w:proofErr w:type="spellEnd"/>
      <w:r w:rsidRPr="0075076A">
        <w:rPr>
          <w:lang w:val="nl-BE"/>
        </w:rPr>
        <w:t xml:space="preserve">.), </w:t>
      </w:r>
      <w:r w:rsidRPr="0075076A">
        <w:rPr>
          <w:i/>
          <w:lang w:val="nl-BE"/>
        </w:rPr>
        <w:t xml:space="preserve">Samira </w:t>
      </w:r>
      <w:proofErr w:type="spellStart"/>
      <w:r w:rsidRPr="0075076A">
        <w:rPr>
          <w:i/>
          <w:lang w:val="nl-BE"/>
        </w:rPr>
        <w:t>Achbita</w:t>
      </w:r>
      <w:proofErr w:type="spellEnd"/>
      <w:r w:rsidRPr="0075076A">
        <w:rPr>
          <w:i/>
          <w:lang w:val="nl-BE"/>
        </w:rPr>
        <w:t xml:space="preserve"> et Centrum voor gelijkheid van kansen en voor racismebestrijding c. G4S Secure Solutions NV</w:t>
      </w:r>
      <w:r w:rsidRPr="0075076A">
        <w:rPr>
          <w:lang w:val="nl-BE"/>
        </w:rPr>
        <w:t>, 14 mars 2017, C‑157/15</w:t>
      </w:r>
      <w:r>
        <w:rPr>
          <w:lang w:val="nl-BE"/>
        </w:rPr>
        <w:t>, para. 40</w:t>
      </w:r>
      <w:r>
        <w:rPr>
          <w:lang w:val="nl-BE"/>
        </w:rPr>
        <w:t>-42</w:t>
      </w:r>
      <w:r>
        <w:rPr>
          <w:lang w:val="nl-BE"/>
        </w:rPr>
        <w:t>.</w:t>
      </w:r>
    </w:p>
  </w:footnote>
  <w:footnote w:id="16">
    <w:p w14:paraId="556678A9" w14:textId="45278AC0" w:rsidR="001B4DFB" w:rsidRPr="0000347E" w:rsidRDefault="001B4DFB">
      <w:pPr>
        <w:pStyle w:val="Notedebasdepage"/>
        <w:rPr>
          <w:iCs/>
        </w:rPr>
      </w:pPr>
      <w:r>
        <w:rPr>
          <w:rStyle w:val="Appelnotedebasdep"/>
        </w:rPr>
        <w:footnoteRef/>
      </w:r>
      <w:r>
        <w:t xml:space="preserve"> </w:t>
      </w:r>
      <w:proofErr w:type="spellStart"/>
      <w:r w:rsidR="0000347E" w:rsidRPr="0000347E">
        <w:t>CJUE</w:t>
      </w:r>
      <w:proofErr w:type="spellEnd"/>
      <w:r w:rsidR="0000347E" w:rsidRPr="0000347E">
        <w:t xml:space="preserve"> (Gr. Ch.), </w:t>
      </w:r>
      <w:proofErr w:type="gramStart"/>
      <w:r w:rsidR="0000347E" w:rsidRPr="0000347E">
        <w:rPr>
          <w:i/>
        </w:rPr>
        <w:t>IX .</w:t>
      </w:r>
      <w:proofErr w:type="gramEnd"/>
      <w:r w:rsidR="0000347E" w:rsidRPr="0000347E">
        <w:rPr>
          <w:i/>
        </w:rPr>
        <w:t xml:space="preserve"> </w:t>
      </w:r>
      <w:proofErr w:type="spellStart"/>
      <w:r w:rsidR="0000347E" w:rsidRPr="0000347E">
        <w:rPr>
          <w:i/>
        </w:rPr>
        <w:t>WABE</w:t>
      </w:r>
      <w:proofErr w:type="spellEnd"/>
      <w:r w:rsidR="0000347E" w:rsidRPr="0000347E">
        <w:rPr>
          <w:i/>
        </w:rPr>
        <w:t xml:space="preserve"> eV</w:t>
      </w:r>
      <w:r w:rsidR="0000347E" w:rsidRPr="0000347E">
        <w:t xml:space="preserve"> et </w:t>
      </w:r>
      <w:proofErr w:type="spellStart"/>
      <w:r w:rsidR="0000347E" w:rsidRPr="0000347E">
        <w:rPr>
          <w:i/>
        </w:rPr>
        <w:t>MH</w:t>
      </w:r>
      <w:proofErr w:type="spellEnd"/>
      <w:r w:rsidR="0000347E" w:rsidRPr="0000347E">
        <w:rPr>
          <w:i/>
        </w:rPr>
        <w:t xml:space="preserve"> Müller </w:t>
      </w:r>
      <w:proofErr w:type="spellStart"/>
      <w:r w:rsidR="0000347E" w:rsidRPr="0000347E">
        <w:rPr>
          <w:i/>
        </w:rPr>
        <w:t>Handels</w:t>
      </w:r>
      <w:proofErr w:type="spellEnd"/>
      <w:r w:rsidR="0000347E" w:rsidRPr="0000347E">
        <w:rPr>
          <w:i/>
        </w:rPr>
        <w:t xml:space="preserve"> </w:t>
      </w:r>
      <w:proofErr w:type="spellStart"/>
      <w:r w:rsidR="0000347E" w:rsidRPr="0000347E">
        <w:rPr>
          <w:i/>
        </w:rPr>
        <w:t>GmbH</w:t>
      </w:r>
      <w:proofErr w:type="spellEnd"/>
      <w:r w:rsidR="0000347E" w:rsidRPr="0000347E">
        <w:rPr>
          <w:i/>
        </w:rPr>
        <w:t xml:space="preserve"> c. MJ</w:t>
      </w:r>
      <w:r w:rsidR="0000347E" w:rsidRPr="0000347E">
        <w:t>, 15 juillet 2021, C-804/18 et C-341/19</w:t>
      </w:r>
      <w:r w:rsidR="0000347E">
        <w:t xml:space="preserve">, para. </w:t>
      </w:r>
      <w:r w:rsidR="00950BC1">
        <w:rPr>
          <w:iCs/>
        </w:rPr>
        <w:t>64-70.</w:t>
      </w:r>
    </w:p>
  </w:footnote>
  <w:footnote w:id="17">
    <w:p w14:paraId="221B4273" w14:textId="5FDFF18F" w:rsidR="00FD1A78" w:rsidRPr="00FD1A78" w:rsidRDefault="00FD1A78">
      <w:pPr>
        <w:pStyle w:val="Notedebasdepage"/>
        <w:rPr>
          <w:iCs/>
        </w:rPr>
      </w:pPr>
      <w:r>
        <w:rPr>
          <w:rStyle w:val="Appelnotedebasdep"/>
        </w:rPr>
        <w:footnoteRef/>
      </w:r>
      <w:r>
        <w:t xml:space="preserve"> </w:t>
      </w:r>
      <w:proofErr w:type="spellStart"/>
      <w:r>
        <w:t>CJUE</w:t>
      </w:r>
      <w:proofErr w:type="spellEnd"/>
      <w:r>
        <w:t xml:space="preserve">, </w:t>
      </w:r>
      <w:proofErr w:type="spellStart"/>
      <w:r w:rsidRPr="00FD1A78">
        <w:rPr>
          <w:i/>
        </w:rPr>
        <w:t>LF</w:t>
      </w:r>
      <w:proofErr w:type="spellEnd"/>
      <w:r w:rsidRPr="00FD1A78">
        <w:rPr>
          <w:i/>
        </w:rPr>
        <w:t xml:space="preserve"> c. SCRL</w:t>
      </w:r>
      <w:r>
        <w:rPr>
          <w:iCs/>
        </w:rPr>
        <w:t>, para.4</w:t>
      </w:r>
      <w:r w:rsidR="00502984">
        <w:rPr>
          <w:iCs/>
        </w:rPr>
        <w:t>1.</w:t>
      </w:r>
    </w:p>
  </w:footnote>
  <w:footnote w:id="18">
    <w:p w14:paraId="04F26B93" w14:textId="590EA01D" w:rsidR="0029167D" w:rsidRPr="00702B64" w:rsidRDefault="0029167D">
      <w:pPr>
        <w:pStyle w:val="Notedebasdepage"/>
        <w:rPr>
          <w:lang w:val="fr-FR"/>
        </w:rPr>
      </w:pPr>
      <w:r>
        <w:rPr>
          <w:rStyle w:val="Appelnotedebasdep"/>
        </w:rPr>
        <w:footnoteRef/>
      </w:r>
      <w:r>
        <w:t xml:space="preserve"> Dans l’arrêt faisant l’objet du pourvoi, la </w:t>
      </w:r>
      <w:r w:rsidR="00DA34FC">
        <w:t>c</w:t>
      </w:r>
      <w:r>
        <w:t xml:space="preserve">our d’appel d’Aix-en-Provence suggère </w:t>
      </w:r>
      <w:r w:rsidR="006C48E1">
        <w:t xml:space="preserve">d’ailleurs le caractère idéologique de la restriction, indiquant qu’en l’espèce, </w:t>
      </w:r>
      <w:r w:rsidR="006C48E1" w:rsidRPr="006C48E1">
        <w:t>« l’employeur ne constitue nullement une organisation confessionnelle »</w:t>
      </w:r>
      <w:r w:rsidR="006C48E1">
        <w:t xml:space="preserve">. Référence semble ici implicitement faite </w:t>
      </w:r>
      <w:r w:rsidR="006C48E1" w:rsidRPr="006C48E1">
        <w:t>à l’</w:t>
      </w:r>
      <w:r w:rsidR="006C48E1">
        <w:t>hypothèse de l’</w:t>
      </w:r>
      <w:r w:rsidR="006C48E1" w:rsidRPr="006C48E1">
        <w:t>entreprise de tendance</w:t>
      </w:r>
      <w:r w:rsidR="00753FD2">
        <w:t xml:space="preserve"> neutre ou</w:t>
      </w:r>
      <w:r w:rsidR="006C48E1" w:rsidRPr="006C48E1">
        <w:t xml:space="preserve"> laïque</w:t>
      </w:r>
      <w:r w:rsidR="006C48E1">
        <w:t xml:space="preserve">, </w:t>
      </w:r>
      <w:r w:rsidR="00753FD2">
        <w:t>dont l’ancrage idéologique revendiqué lui permettrait d’exiger un degré de loyauté renforcé de la part de ses travailleurs. Sur cett</w:t>
      </w:r>
      <w:r w:rsidR="00126F5D">
        <w:t xml:space="preserve">e catégorie de l’entreprise de tendance neutre, </w:t>
      </w:r>
      <w:proofErr w:type="spellStart"/>
      <w:r w:rsidR="00126F5D">
        <w:t>voy</w:t>
      </w:r>
      <w:proofErr w:type="spellEnd"/>
      <w:r w:rsidR="00126F5D">
        <w:t>. notamment</w:t>
      </w:r>
      <w:r w:rsidR="00462959">
        <w:rPr>
          <w:lang w:val="fr-FR"/>
        </w:rPr>
        <w:t xml:space="preserve"> </w:t>
      </w:r>
      <w:r w:rsidR="0086176C">
        <w:rPr>
          <w:lang w:val="fr-FR"/>
        </w:rPr>
        <w:fldChar w:fldCharType="begin"/>
      </w:r>
      <w:r w:rsidR="00D329FC">
        <w:rPr>
          <w:lang w:val="fr-FR"/>
        </w:rPr>
        <w:instrText xml:space="preserve"> ADDIN ZOTERO_ITEM CSL_CITATION {"citationID":"hs5WkFrw","properties":{"formattedCitation":"F. {\\scaps Gaudu}, \\uc0\\u171{}\\uc0\\u160{}L\\uc0\\u8217{}entreprise de tendance la\\uc0\\u239{}que\\uc0\\u160{}\\uc0\\u187{}, {\\i{}Droit social}, 2011, n\\uc0\\u176{} 12, pp. 1186\\uc0\\u8209{}1189\\uc0\\u160{}; V. {\\scaps Valentin}, \\uc0\\u171{}\\uc0\\u160{}La notion d\\uc0\\u8217{}entreprise de conviction \\uc0\\u8220{}la\\uc0\\u239{}que\\uc0\\u8221{}\\uc0\\u160{}\\uc0\\u187{}, {\\i{}in} B. {\\scaps Callebat}, H. {\\scaps de}\\uc0\\u160{}{\\scaps Courr\\uc0\\u232{}ges} et V. {\\scaps Louvel-Parisot} (\\uc0\\u233{}ds.), {\\i{}Les religions et le droit du travail\\uc0\\u8239{}: regards crois\\uc0\\u233{}s, d\\uc0\\u8217{}ici et d\\uc0\\u8217{}ailleurs [actes du colloque international, Universit\\uc0\\u233{} de Rouen, 20 et 21 octobre 2016]}, Collection Droit et religion, n\\uc0\\u176{} 9, Bruxelles, Bruylant, 2017, pp. 271\\uc0\\u8209{}284\\uc0\\u160{}; L. {\\scaps Vanbellingen}, {\\i{}La neutralit\\uc0\\u233{} de l\\uc0\\u8217{}entreprise face aux expressions religieuses du travailleur}, {\\i{}op. cit.}, p. 347 et s.","plainCitation":"F. Gaudu, « L’entreprise de tendance laïque », Droit social, 2011, n° 12, pp. 1186‑1189 ; V. Valentin, « La notion d’entreprise de conviction “laïque” », in B. Callebat, H. de Courrèges et V. Louvel-Parisot (éds.), Les religions et le droit du travail : regards croisés, d’ici et d’ailleurs [actes du colloque international, Université de Rouen, 20 et 21 octobre 2016], Collection Droit et religion, n° 9, Bruxelles, Bruylant, 2017, pp. 271‑284 ; L. Vanbellingen, La neutralité de l’entreprise face aux expressions religieuses du travailleur, op. cit., p. 347 et s.","noteIndex":18},"citationItems":[{"id":113,"uris":["http://zotero.org/users/5133869/items/ABWJTQ9D"],"itemData":{"id":113,"type":"article-journal","container-title":"Droit social","issue":"12","page":"1186-1189","title":"L'entreprise de tendance laïque","author":[{"family":"Gaudu","given":"François"}],"issued":{"date-parts":[["2011"]]}}},{"id":2164,"uris":["http://zotero.org/users/5133869/items/2L2HSTKE"],"itemData":{"id":2164,"type":"chapter","collection-number":"9","collection-title":"Collection Droit et religion","container-title":"Les religions et le droit du travail : regards croisés, d'ici et d'ailleurs [actes du colloque international, Université de Rouen, 20 et 21 octobre 2016]","event-place":"Bruxelles","ISBN":"978-2-8027-5913-3","language":"mul spa","note":"OCLC: 1057455736","page":"271-284","publisher":"Bruylant","publisher-place":"Bruxelles","source":"Gemeinsamer Bibliotheksverbund ISBN","title":"La notion d'entreprise de conviction 'laïque'","editor":[{"family":"Callebat","given":"Bernard"},{"family":"Courrèges","given":"Hélène","non-dropping-particle":"de"},{"family":"Louvel-Parisot","given":"Valérie"}],"author":[{"family":"Valentin","given":"Vincent"}],"issued":{"date-parts":[["2017"]]}}},{"id":3269,"uris":["http://zotero.org/users/5133869/items/DJFT6GL5"],"itemData":{"id":3269,"type":"book","event-place":"Bruxelles","ISBN":"978-2-8027-7096-1","note":"OCLC: 1330705619","publisher":"Bruylant","publisher-place":"Bruxelles","source":"Open WorldCat","title":"La neutralité de l'entreprise face aux expressions religieuses du travailleur : test de compatibilité en droit européen de la liberté de religion et de la non-discrimination","title-short":"La neutralité de l'entreprise face aux expressions religieuses du travailleur","author":[{"family":"Vanbellingen","given":"Léopold"}],"issued":{"date-parts":[["2022"]]}},"locator":"347 et s.","label":"page"}],"schema":"https://github.com/citation-style-language/schema/raw/master/csl-citation.json"} </w:instrText>
      </w:r>
      <w:r w:rsidR="0086176C">
        <w:rPr>
          <w:lang w:val="fr-FR"/>
        </w:rPr>
        <w:fldChar w:fldCharType="separate"/>
      </w:r>
      <w:r w:rsidR="00D329FC" w:rsidRPr="00D329FC">
        <w:rPr>
          <w:rFonts w:cs="Times New Roman"/>
          <w:szCs w:val="24"/>
        </w:rPr>
        <w:t xml:space="preserve">F. </w:t>
      </w:r>
      <w:proofErr w:type="spellStart"/>
      <w:r w:rsidR="00D329FC" w:rsidRPr="00D329FC">
        <w:rPr>
          <w:rFonts w:cs="Times New Roman"/>
          <w:smallCaps/>
          <w:szCs w:val="24"/>
        </w:rPr>
        <w:t>Gaudu</w:t>
      </w:r>
      <w:proofErr w:type="spellEnd"/>
      <w:r w:rsidR="00D329FC" w:rsidRPr="00D329FC">
        <w:rPr>
          <w:rFonts w:cs="Times New Roman"/>
          <w:szCs w:val="24"/>
        </w:rPr>
        <w:t xml:space="preserve">, « L’entreprise de tendance laïque », </w:t>
      </w:r>
      <w:r w:rsidR="00D329FC" w:rsidRPr="00D329FC">
        <w:rPr>
          <w:rFonts w:cs="Times New Roman"/>
          <w:i/>
          <w:iCs/>
          <w:szCs w:val="24"/>
        </w:rPr>
        <w:t>Droit social</w:t>
      </w:r>
      <w:r w:rsidR="00D329FC" w:rsidRPr="00D329FC">
        <w:rPr>
          <w:rFonts w:cs="Times New Roman"/>
          <w:szCs w:val="24"/>
        </w:rPr>
        <w:t xml:space="preserve">, 2011, n° 12, pp. 1186‑1189 ; V. </w:t>
      </w:r>
      <w:r w:rsidR="00D329FC" w:rsidRPr="00D329FC">
        <w:rPr>
          <w:rFonts w:cs="Times New Roman"/>
          <w:smallCaps/>
          <w:szCs w:val="24"/>
        </w:rPr>
        <w:t>Valentin</w:t>
      </w:r>
      <w:r w:rsidR="00D329FC" w:rsidRPr="00D329FC">
        <w:rPr>
          <w:rFonts w:cs="Times New Roman"/>
          <w:szCs w:val="24"/>
        </w:rPr>
        <w:t xml:space="preserve">, « La notion d’entreprise de conviction “laïque” », </w:t>
      </w:r>
      <w:r w:rsidR="00D329FC" w:rsidRPr="00D329FC">
        <w:rPr>
          <w:rFonts w:cs="Times New Roman"/>
          <w:i/>
          <w:iCs/>
          <w:szCs w:val="24"/>
        </w:rPr>
        <w:t>in</w:t>
      </w:r>
      <w:r w:rsidR="00D329FC" w:rsidRPr="00D329FC">
        <w:rPr>
          <w:rFonts w:cs="Times New Roman"/>
          <w:szCs w:val="24"/>
        </w:rPr>
        <w:t xml:space="preserve"> B. </w:t>
      </w:r>
      <w:proofErr w:type="spellStart"/>
      <w:r w:rsidR="00D329FC" w:rsidRPr="00D329FC">
        <w:rPr>
          <w:rFonts w:cs="Times New Roman"/>
          <w:smallCaps/>
          <w:szCs w:val="24"/>
        </w:rPr>
        <w:t>Callebat</w:t>
      </w:r>
      <w:proofErr w:type="spellEnd"/>
      <w:r w:rsidR="00D329FC" w:rsidRPr="00D329FC">
        <w:rPr>
          <w:rFonts w:cs="Times New Roman"/>
          <w:szCs w:val="24"/>
        </w:rPr>
        <w:t xml:space="preserve">, H. </w:t>
      </w:r>
      <w:r w:rsidR="00D329FC" w:rsidRPr="00D329FC">
        <w:rPr>
          <w:rFonts w:cs="Times New Roman"/>
          <w:smallCaps/>
          <w:szCs w:val="24"/>
        </w:rPr>
        <w:t>de</w:t>
      </w:r>
      <w:r w:rsidR="00D329FC" w:rsidRPr="00D329FC">
        <w:rPr>
          <w:rFonts w:cs="Times New Roman"/>
          <w:szCs w:val="24"/>
        </w:rPr>
        <w:t> </w:t>
      </w:r>
      <w:r w:rsidR="00D329FC" w:rsidRPr="00D329FC">
        <w:rPr>
          <w:rFonts w:cs="Times New Roman"/>
          <w:smallCaps/>
          <w:szCs w:val="24"/>
        </w:rPr>
        <w:t>Courrèges</w:t>
      </w:r>
      <w:r w:rsidR="00D329FC" w:rsidRPr="00D329FC">
        <w:rPr>
          <w:rFonts w:cs="Times New Roman"/>
          <w:szCs w:val="24"/>
        </w:rPr>
        <w:t xml:space="preserve"> et V. </w:t>
      </w:r>
      <w:r w:rsidR="00D329FC" w:rsidRPr="00D329FC">
        <w:rPr>
          <w:rFonts w:cs="Times New Roman"/>
          <w:smallCaps/>
          <w:szCs w:val="24"/>
        </w:rPr>
        <w:t>Louvel-Parisot</w:t>
      </w:r>
      <w:r w:rsidR="00D329FC" w:rsidRPr="00D329FC">
        <w:rPr>
          <w:rFonts w:cs="Times New Roman"/>
          <w:szCs w:val="24"/>
        </w:rPr>
        <w:t xml:space="preserve"> (</w:t>
      </w:r>
      <w:proofErr w:type="spellStart"/>
      <w:r w:rsidR="00D329FC" w:rsidRPr="00D329FC">
        <w:rPr>
          <w:rFonts w:cs="Times New Roman"/>
          <w:szCs w:val="24"/>
        </w:rPr>
        <w:t>éds</w:t>
      </w:r>
      <w:proofErr w:type="spellEnd"/>
      <w:r w:rsidR="00D329FC" w:rsidRPr="00D329FC">
        <w:rPr>
          <w:rFonts w:cs="Times New Roman"/>
          <w:szCs w:val="24"/>
        </w:rPr>
        <w:t xml:space="preserve">.), </w:t>
      </w:r>
      <w:r w:rsidR="00D329FC" w:rsidRPr="00D329FC">
        <w:rPr>
          <w:rFonts w:cs="Times New Roman"/>
          <w:i/>
          <w:iCs/>
          <w:szCs w:val="24"/>
        </w:rPr>
        <w:t>Les religions et le droit du travail : regards croisés, d’ici et d’ailleurs [actes du colloque international, Université de Rouen, 20 et 21 octobre 2016]</w:t>
      </w:r>
      <w:r w:rsidR="00D329FC" w:rsidRPr="00D329FC">
        <w:rPr>
          <w:rFonts w:cs="Times New Roman"/>
          <w:szCs w:val="24"/>
        </w:rPr>
        <w:t xml:space="preserve">, Collection Droit et religion, n° 9, Bruxelles, Bruylant, 2017, pp. 271‑284 ; L. </w:t>
      </w:r>
      <w:r w:rsidR="00D329FC" w:rsidRPr="00D329FC">
        <w:rPr>
          <w:rFonts w:cs="Times New Roman"/>
          <w:smallCaps/>
          <w:szCs w:val="24"/>
        </w:rPr>
        <w:t>Vanbellingen</w:t>
      </w:r>
      <w:r w:rsidR="00D329FC" w:rsidRPr="00D329FC">
        <w:rPr>
          <w:rFonts w:cs="Times New Roman"/>
          <w:szCs w:val="24"/>
        </w:rPr>
        <w:t xml:space="preserve">, </w:t>
      </w:r>
      <w:r w:rsidR="00D329FC" w:rsidRPr="00D329FC">
        <w:rPr>
          <w:rFonts w:cs="Times New Roman"/>
          <w:i/>
          <w:iCs/>
          <w:szCs w:val="24"/>
        </w:rPr>
        <w:t>La neutralité de l’entreprise face aux expressions religieuses du travailleur</w:t>
      </w:r>
      <w:r w:rsidR="00D329FC" w:rsidRPr="00D329FC">
        <w:rPr>
          <w:rFonts w:cs="Times New Roman"/>
          <w:szCs w:val="24"/>
        </w:rPr>
        <w:t xml:space="preserve">, </w:t>
      </w:r>
      <w:r w:rsidR="00D329FC" w:rsidRPr="00D329FC">
        <w:rPr>
          <w:rFonts w:cs="Times New Roman"/>
          <w:i/>
          <w:iCs/>
          <w:szCs w:val="24"/>
        </w:rPr>
        <w:t xml:space="preserve">op. </w:t>
      </w:r>
      <w:proofErr w:type="spellStart"/>
      <w:r w:rsidR="00D329FC" w:rsidRPr="00D329FC">
        <w:rPr>
          <w:rFonts w:cs="Times New Roman"/>
          <w:i/>
          <w:iCs/>
          <w:szCs w:val="24"/>
        </w:rPr>
        <w:t>cit</w:t>
      </w:r>
      <w:proofErr w:type="spellEnd"/>
      <w:r w:rsidR="00D329FC" w:rsidRPr="00D329FC">
        <w:rPr>
          <w:rFonts w:cs="Times New Roman"/>
          <w:i/>
          <w:iCs/>
          <w:szCs w:val="24"/>
        </w:rPr>
        <w:t>.</w:t>
      </w:r>
      <w:r w:rsidR="00D329FC" w:rsidRPr="00D329FC">
        <w:rPr>
          <w:rFonts w:cs="Times New Roman"/>
          <w:szCs w:val="24"/>
        </w:rPr>
        <w:t>, p. 347 et s.</w:t>
      </w:r>
      <w:r w:rsidR="0086176C">
        <w:rPr>
          <w:lang w:val="fr-FR"/>
        </w:rPr>
        <w:fldChar w:fldCharType="end"/>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801C2374"/>
    <w:lvl w:ilvl="0">
      <w:start w:val="1"/>
      <w:numFmt w:val="bullet"/>
      <w:pStyle w:val="Listepuces"/>
      <w:lvlText w:val=""/>
      <w:lvlJc w:val="left"/>
      <w:pPr>
        <w:tabs>
          <w:tab w:val="num" w:pos="360"/>
        </w:tabs>
        <w:ind w:left="360" w:hanging="360"/>
      </w:pPr>
      <w:rPr>
        <w:rFonts w:ascii="Symbol" w:hAnsi="Symbol" w:hint="default"/>
      </w:rPr>
    </w:lvl>
  </w:abstractNum>
  <w:abstractNum w:abstractNumId="1" w15:restartNumberingAfterBreak="0">
    <w:nsid w:val="0A394F5E"/>
    <w:multiLevelType w:val="hybridMultilevel"/>
    <w:tmpl w:val="3BB05DAE"/>
    <w:lvl w:ilvl="0" w:tplc="080C0019">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15301209"/>
    <w:multiLevelType w:val="hybridMultilevel"/>
    <w:tmpl w:val="93B616F4"/>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1A090F88"/>
    <w:multiLevelType w:val="hybridMultilevel"/>
    <w:tmpl w:val="296ED0BC"/>
    <w:lvl w:ilvl="0" w:tplc="675245D0">
      <w:start w:val="1"/>
      <w:numFmt w:val="decimal"/>
      <w:lvlText w:val="%1."/>
      <w:lvlJc w:val="right"/>
      <w:pPr>
        <w:ind w:left="720" w:hanging="360"/>
      </w:pPr>
      <w:rPr>
        <w:rFonts w:hint="default"/>
        <w:b/>
        <w:bCs/>
        <w:i w:val="0"/>
        <w:iCs w:val="0"/>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1CB035A2"/>
    <w:multiLevelType w:val="hybridMultilevel"/>
    <w:tmpl w:val="09A07BE8"/>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2F4D489C"/>
    <w:multiLevelType w:val="hybridMultilevel"/>
    <w:tmpl w:val="CA26C26A"/>
    <w:lvl w:ilvl="0" w:tplc="7A929488">
      <w:start w:val="20"/>
      <w:numFmt w:val="bullet"/>
      <w:lvlText w:val=""/>
      <w:lvlJc w:val="left"/>
      <w:pPr>
        <w:ind w:left="720" w:hanging="360"/>
      </w:pPr>
      <w:rPr>
        <w:rFonts w:ascii="Wingdings" w:eastAsiaTheme="minorHAnsi" w:hAnsi="Wingdings"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6" w15:restartNumberingAfterBreak="0">
    <w:nsid w:val="43AC6785"/>
    <w:multiLevelType w:val="hybridMultilevel"/>
    <w:tmpl w:val="3B9C4720"/>
    <w:lvl w:ilvl="0" w:tplc="95E6022C">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457671F3"/>
    <w:multiLevelType w:val="hybridMultilevel"/>
    <w:tmpl w:val="670CC990"/>
    <w:lvl w:ilvl="0" w:tplc="809EC8D6">
      <w:start w:val="1"/>
      <w:numFmt w:val="upperRoman"/>
      <w:pStyle w:val="Titre1"/>
      <w:lvlText w:val="%1."/>
      <w:lvlJc w:val="righ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4D2D73F9"/>
    <w:multiLevelType w:val="hybridMultilevel"/>
    <w:tmpl w:val="FFB8CCAC"/>
    <w:lvl w:ilvl="0" w:tplc="1D7A32A2">
      <w:numFmt w:val="bullet"/>
      <w:lvlText w:val=""/>
      <w:lvlJc w:val="left"/>
      <w:pPr>
        <w:ind w:left="720" w:hanging="360"/>
      </w:pPr>
      <w:rPr>
        <w:rFonts w:ascii="Wingdings" w:eastAsiaTheme="minorHAnsi" w:hAnsi="Wingdings"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 w15:restartNumberingAfterBreak="0">
    <w:nsid w:val="4E64256D"/>
    <w:multiLevelType w:val="hybridMultilevel"/>
    <w:tmpl w:val="AFC8FC66"/>
    <w:lvl w:ilvl="0" w:tplc="23F6E7DC">
      <w:start w:val="1"/>
      <w:numFmt w:val="upperLetter"/>
      <w:pStyle w:val="Titre2"/>
      <w:lvlText w:val="%1."/>
      <w:lvlJc w:val="left"/>
      <w:pPr>
        <w:ind w:left="1077" w:hanging="360"/>
      </w:pPr>
    </w:lvl>
    <w:lvl w:ilvl="1" w:tplc="080C0019" w:tentative="1">
      <w:start w:val="1"/>
      <w:numFmt w:val="lowerLetter"/>
      <w:lvlText w:val="%2."/>
      <w:lvlJc w:val="left"/>
      <w:pPr>
        <w:ind w:left="1797" w:hanging="360"/>
      </w:pPr>
    </w:lvl>
    <w:lvl w:ilvl="2" w:tplc="080C001B" w:tentative="1">
      <w:start w:val="1"/>
      <w:numFmt w:val="lowerRoman"/>
      <w:lvlText w:val="%3."/>
      <w:lvlJc w:val="right"/>
      <w:pPr>
        <w:ind w:left="2517" w:hanging="180"/>
      </w:pPr>
    </w:lvl>
    <w:lvl w:ilvl="3" w:tplc="080C000F" w:tentative="1">
      <w:start w:val="1"/>
      <w:numFmt w:val="decimal"/>
      <w:lvlText w:val="%4."/>
      <w:lvlJc w:val="left"/>
      <w:pPr>
        <w:ind w:left="3237" w:hanging="360"/>
      </w:pPr>
    </w:lvl>
    <w:lvl w:ilvl="4" w:tplc="080C0019" w:tentative="1">
      <w:start w:val="1"/>
      <w:numFmt w:val="lowerLetter"/>
      <w:lvlText w:val="%5."/>
      <w:lvlJc w:val="left"/>
      <w:pPr>
        <w:ind w:left="3957" w:hanging="360"/>
      </w:pPr>
    </w:lvl>
    <w:lvl w:ilvl="5" w:tplc="080C001B" w:tentative="1">
      <w:start w:val="1"/>
      <w:numFmt w:val="lowerRoman"/>
      <w:lvlText w:val="%6."/>
      <w:lvlJc w:val="right"/>
      <w:pPr>
        <w:ind w:left="4677" w:hanging="180"/>
      </w:pPr>
    </w:lvl>
    <w:lvl w:ilvl="6" w:tplc="080C000F" w:tentative="1">
      <w:start w:val="1"/>
      <w:numFmt w:val="decimal"/>
      <w:lvlText w:val="%7."/>
      <w:lvlJc w:val="left"/>
      <w:pPr>
        <w:ind w:left="5397" w:hanging="360"/>
      </w:pPr>
    </w:lvl>
    <w:lvl w:ilvl="7" w:tplc="080C0019" w:tentative="1">
      <w:start w:val="1"/>
      <w:numFmt w:val="lowerLetter"/>
      <w:lvlText w:val="%8."/>
      <w:lvlJc w:val="left"/>
      <w:pPr>
        <w:ind w:left="6117" w:hanging="360"/>
      </w:pPr>
    </w:lvl>
    <w:lvl w:ilvl="8" w:tplc="080C001B" w:tentative="1">
      <w:start w:val="1"/>
      <w:numFmt w:val="lowerRoman"/>
      <w:lvlText w:val="%9."/>
      <w:lvlJc w:val="right"/>
      <w:pPr>
        <w:ind w:left="6837" w:hanging="180"/>
      </w:pPr>
    </w:lvl>
  </w:abstractNum>
  <w:abstractNum w:abstractNumId="10" w15:restartNumberingAfterBreak="0">
    <w:nsid w:val="5B661CCE"/>
    <w:multiLevelType w:val="hybridMultilevel"/>
    <w:tmpl w:val="EE888A8A"/>
    <w:lvl w:ilvl="0" w:tplc="85FA3224">
      <w:start w:val="20"/>
      <w:numFmt w:val="bullet"/>
      <w:lvlText w:val="-"/>
      <w:lvlJc w:val="left"/>
      <w:pPr>
        <w:ind w:left="720" w:hanging="360"/>
      </w:pPr>
      <w:rPr>
        <w:rFonts w:ascii="Times New Roman" w:eastAsiaTheme="minorHAnsi" w:hAnsi="Times New Roman" w:cs="Times New Roman"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683573E3"/>
    <w:multiLevelType w:val="hybridMultilevel"/>
    <w:tmpl w:val="AFC23A94"/>
    <w:lvl w:ilvl="0" w:tplc="DCF64FD2">
      <w:start w:val="1"/>
      <w:numFmt w:val="upp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2" w15:restartNumberingAfterBreak="0">
    <w:nsid w:val="69A2493D"/>
    <w:multiLevelType w:val="hybridMultilevel"/>
    <w:tmpl w:val="C8747F24"/>
    <w:lvl w:ilvl="0" w:tplc="080C000F">
      <w:start w:val="1"/>
      <w:numFmt w:val="decimal"/>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3" w15:restartNumberingAfterBreak="0">
    <w:nsid w:val="72C4219D"/>
    <w:multiLevelType w:val="hybridMultilevel"/>
    <w:tmpl w:val="DEBC5364"/>
    <w:lvl w:ilvl="0" w:tplc="B7CC8410">
      <w:start w:val="1"/>
      <w:numFmt w:val="upperRoman"/>
      <w:lvlText w:val="%1."/>
      <w:lvlJc w:val="left"/>
      <w:pPr>
        <w:ind w:left="1080" w:hanging="72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4" w15:restartNumberingAfterBreak="0">
    <w:nsid w:val="752D7FE7"/>
    <w:multiLevelType w:val="hybridMultilevel"/>
    <w:tmpl w:val="7ECA68A2"/>
    <w:lvl w:ilvl="0" w:tplc="81806AE4">
      <w:start w:val="1"/>
      <w:numFmt w:val="decimal"/>
      <w:pStyle w:val="Titre3"/>
      <w:lvlText w:val="%1."/>
      <w:lvlJc w:val="left"/>
      <w:pPr>
        <w:ind w:left="1800" w:hanging="360"/>
      </w:pPr>
    </w:lvl>
    <w:lvl w:ilvl="1" w:tplc="080C0019" w:tentative="1">
      <w:start w:val="1"/>
      <w:numFmt w:val="lowerLetter"/>
      <w:lvlText w:val="%2."/>
      <w:lvlJc w:val="left"/>
      <w:pPr>
        <w:ind w:left="2520" w:hanging="360"/>
      </w:pPr>
    </w:lvl>
    <w:lvl w:ilvl="2" w:tplc="080C001B" w:tentative="1">
      <w:start w:val="1"/>
      <w:numFmt w:val="lowerRoman"/>
      <w:lvlText w:val="%3."/>
      <w:lvlJc w:val="right"/>
      <w:pPr>
        <w:ind w:left="3240" w:hanging="180"/>
      </w:pPr>
    </w:lvl>
    <w:lvl w:ilvl="3" w:tplc="080C000F" w:tentative="1">
      <w:start w:val="1"/>
      <w:numFmt w:val="decimal"/>
      <w:lvlText w:val="%4."/>
      <w:lvlJc w:val="left"/>
      <w:pPr>
        <w:ind w:left="3960" w:hanging="360"/>
      </w:pPr>
    </w:lvl>
    <w:lvl w:ilvl="4" w:tplc="080C0019" w:tentative="1">
      <w:start w:val="1"/>
      <w:numFmt w:val="lowerLetter"/>
      <w:lvlText w:val="%5."/>
      <w:lvlJc w:val="left"/>
      <w:pPr>
        <w:ind w:left="4680" w:hanging="360"/>
      </w:pPr>
    </w:lvl>
    <w:lvl w:ilvl="5" w:tplc="080C001B" w:tentative="1">
      <w:start w:val="1"/>
      <w:numFmt w:val="lowerRoman"/>
      <w:lvlText w:val="%6."/>
      <w:lvlJc w:val="right"/>
      <w:pPr>
        <w:ind w:left="5400" w:hanging="180"/>
      </w:pPr>
    </w:lvl>
    <w:lvl w:ilvl="6" w:tplc="080C000F" w:tentative="1">
      <w:start w:val="1"/>
      <w:numFmt w:val="decimal"/>
      <w:lvlText w:val="%7."/>
      <w:lvlJc w:val="left"/>
      <w:pPr>
        <w:ind w:left="6120" w:hanging="360"/>
      </w:pPr>
    </w:lvl>
    <w:lvl w:ilvl="7" w:tplc="080C0019" w:tentative="1">
      <w:start w:val="1"/>
      <w:numFmt w:val="lowerLetter"/>
      <w:lvlText w:val="%8."/>
      <w:lvlJc w:val="left"/>
      <w:pPr>
        <w:ind w:left="6840" w:hanging="360"/>
      </w:pPr>
    </w:lvl>
    <w:lvl w:ilvl="8" w:tplc="080C001B" w:tentative="1">
      <w:start w:val="1"/>
      <w:numFmt w:val="lowerRoman"/>
      <w:lvlText w:val="%9."/>
      <w:lvlJc w:val="right"/>
      <w:pPr>
        <w:ind w:left="7560" w:hanging="180"/>
      </w:pPr>
    </w:lvl>
  </w:abstractNum>
  <w:abstractNum w:abstractNumId="15" w15:restartNumberingAfterBreak="0">
    <w:nsid w:val="78A4054D"/>
    <w:multiLevelType w:val="hybridMultilevel"/>
    <w:tmpl w:val="ACCE0A7A"/>
    <w:lvl w:ilvl="0" w:tplc="AFC48EF4">
      <w:numFmt w:val="bullet"/>
      <w:lvlText w:val="-"/>
      <w:lvlJc w:val="left"/>
      <w:pPr>
        <w:ind w:left="720" w:hanging="360"/>
      </w:pPr>
      <w:rPr>
        <w:rFonts w:ascii="Times New Roman" w:eastAsiaTheme="minorHAnsi"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16cid:durableId="86469554">
    <w:abstractNumId w:val="7"/>
  </w:num>
  <w:num w:numId="2" w16cid:durableId="891231142">
    <w:abstractNumId w:val="9"/>
  </w:num>
  <w:num w:numId="3" w16cid:durableId="1331828834">
    <w:abstractNumId w:val="14"/>
  </w:num>
  <w:num w:numId="4" w16cid:durableId="825779880">
    <w:abstractNumId w:val="0"/>
  </w:num>
  <w:num w:numId="5" w16cid:durableId="327173798">
    <w:abstractNumId w:val="8"/>
  </w:num>
  <w:num w:numId="6" w16cid:durableId="1700740084">
    <w:abstractNumId w:val="11"/>
  </w:num>
  <w:num w:numId="7" w16cid:durableId="1116948021">
    <w:abstractNumId w:val="2"/>
  </w:num>
  <w:num w:numId="8" w16cid:durableId="700976578">
    <w:abstractNumId w:val="1"/>
  </w:num>
  <w:num w:numId="9" w16cid:durableId="655259669">
    <w:abstractNumId w:val="4"/>
  </w:num>
  <w:num w:numId="10" w16cid:durableId="440492736">
    <w:abstractNumId w:val="12"/>
  </w:num>
  <w:num w:numId="11" w16cid:durableId="582380425">
    <w:abstractNumId w:val="9"/>
    <w:lvlOverride w:ilvl="0">
      <w:startOverride w:val="1"/>
    </w:lvlOverride>
  </w:num>
  <w:num w:numId="12" w16cid:durableId="9839220">
    <w:abstractNumId w:val="6"/>
  </w:num>
  <w:num w:numId="13" w16cid:durableId="1591891956">
    <w:abstractNumId w:val="10"/>
  </w:num>
  <w:num w:numId="14" w16cid:durableId="1280063845">
    <w:abstractNumId w:val="5"/>
  </w:num>
  <w:num w:numId="15" w16cid:durableId="1666395022">
    <w:abstractNumId w:val="13"/>
  </w:num>
  <w:num w:numId="16" w16cid:durableId="494106746">
    <w:abstractNumId w:val="9"/>
    <w:lvlOverride w:ilvl="0">
      <w:startOverride w:val="1"/>
    </w:lvlOverride>
  </w:num>
  <w:num w:numId="17" w16cid:durableId="1793744106">
    <w:abstractNumId w:val="3"/>
  </w:num>
  <w:num w:numId="18" w16cid:durableId="214600324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6FF7"/>
    <w:rsid w:val="0000347E"/>
    <w:rsid w:val="00014D04"/>
    <w:rsid w:val="00014F63"/>
    <w:rsid w:val="00015348"/>
    <w:rsid w:val="00016F6A"/>
    <w:rsid w:val="00031CFF"/>
    <w:rsid w:val="00042749"/>
    <w:rsid w:val="0004503E"/>
    <w:rsid w:val="00047738"/>
    <w:rsid w:val="00052DE0"/>
    <w:rsid w:val="00056144"/>
    <w:rsid w:val="00065FB1"/>
    <w:rsid w:val="000747B8"/>
    <w:rsid w:val="00082304"/>
    <w:rsid w:val="0008374F"/>
    <w:rsid w:val="00084032"/>
    <w:rsid w:val="000868BA"/>
    <w:rsid w:val="000A52E1"/>
    <w:rsid w:val="000B2AF8"/>
    <w:rsid w:val="000B61A6"/>
    <w:rsid w:val="000C3A60"/>
    <w:rsid w:val="000D2E06"/>
    <w:rsid w:val="000D58AE"/>
    <w:rsid w:val="000D659C"/>
    <w:rsid w:val="000E4272"/>
    <w:rsid w:val="000E5A6E"/>
    <w:rsid w:val="000E624E"/>
    <w:rsid w:val="000F5180"/>
    <w:rsid w:val="001107A7"/>
    <w:rsid w:val="00110BB7"/>
    <w:rsid w:val="001158CF"/>
    <w:rsid w:val="00121FD1"/>
    <w:rsid w:val="00126F5D"/>
    <w:rsid w:val="00136056"/>
    <w:rsid w:val="00145881"/>
    <w:rsid w:val="00145B70"/>
    <w:rsid w:val="00155CAA"/>
    <w:rsid w:val="00155DB5"/>
    <w:rsid w:val="001565AD"/>
    <w:rsid w:val="00163210"/>
    <w:rsid w:val="0017787F"/>
    <w:rsid w:val="00181419"/>
    <w:rsid w:val="001830B6"/>
    <w:rsid w:val="001B4DFB"/>
    <w:rsid w:val="001B7679"/>
    <w:rsid w:val="001C3A37"/>
    <w:rsid w:val="001C5B32"/>
    <w:rsid w:val="001C5E15"/>
    <w:rsid w:val="001C6790"/>
    <w:rsid w:val="001C78C4"/>
    <w:rsid w:val="001E390D"/>
    <w:rsid w:val="001E43D7"/>
    <w:rsid w:val="001E5151"/>
    <w:rsid w:val="001E58AD"/>
    <w:rsid w:val="001E5C89"/>
    <w:rsid w:val="001E6E65"/>
    <w:rsid w:val="001F2AC8"/>
    <w:rsid w:val="001F5452"/>
    <w:rsid w:val="002010FD"/>
    <w:rsid w:val="00220ED8"/>
    <w:rsid w:val="002262FD"/>
    <w:rsid w:val="00227722"/>
    <w:rsid w:val="00227DAA"/>
    <w:rsid w:val="0023727E"/>
    <w:rsid w:val="0024049F"/>
    <w:rsid w:val="002507F4"/>
    <w:rsid w:val="00254D82"/>
    <w:rsid w:val="002600CF"/>
    <w:rsid w:val="00262445"/>
    <w:rsid w:val="00262E5E"/>
    <w:rsid w:val="00264626"/>
    <w:rsid w:val="002646CB"/>
    <w:rsid w:val="00264E14"/>
    <w:rsid w:val="00273AAD"/>
    <w:rsid w:val="0029167D"/>
    <w:rsid w:val="002A268E"/>
    <w:rsid w:val="002A3F2E"/>
    <w:rsid w:val="002A49CD"/>
    <w:rsid w:val="002A6C6F"/>
    <w:rsid w:val="002B3968"/>
    <w:rsid w:val="002B425C"/>
    <w:rsid w:val="002B5771"/>
    <w:rsid w:val="002B7016"/>
    <w:rsid w:val="002B7509"/>
    <w:rsid w:val="002C60CE"/>
    <w:rsid w:val="002D010F"/>
    <w:rsid w:val="002D1EA1"/>
    <w:rsid w:val="002E268F"/>
    <w:rsid w:val="002E271F"/>
    <w:rsid w:val="002E3454"/>
    <w:rsid w:val="002E69B8"/>
    <w:rsid w:val="002F0479"/>
    <w:rsid w:val="002F4722"/>
    <w:rsid w:val="002F6A3C"/>
    <w:rsid w:val="002F7ABF"/>
    <w:rsid w:val="00301C64"/>
    <w:rsid w:val="00303318"/>
    <w:rsid w:val="00307431"/>
    <w:rsid w:val="00312FC5"/>
    <w:rsid w:val="0031443D"/>
    <w:rsid w:val="00316CD4"/>
    <w:rsid w:val="0032439A"/>
    <w:rsid w:val="0033203F"/>
    <w:rsid w:val="003329AC"/>
    <w:rsid w:val="00334B42"/>
    <w:rsid w:val="00335E35"/>
    <w:rsid w:val="00353247"/>
    <w:rsid w:val="00356FAC"/>
    <w:rsid w:val="00357030"/>
    <w:rsid w:val="00357164"/>
    <w:rsid w:val="00362143"/>
    <w:rsid w:val="003664FE"/>
    <w:rsid w:val="00366853"/>
    <w:rsid w:val="00367BD7"/>
    <w:rsid w:val="00370757"/>
    <w:rsid w:val="00374B32"/>
    <w:rsid w:val="00382DB6"/>
    <w:rsid w:val="00386E98"/>
    <w:rsid w:val="0038720E"/>
    <w:rsid w:val="00390379"/>
    <w:rsid w:val="00391327"/>
    <w:rsid w:val="003918C3"/>
    <w:rsid w:val="00392014"/>
    <w:rsid w:val="00393166"/>
    <w:rsid w:val="003A0659"/>
    <w:rsid w:val="003A0B9B"/>
    <w:rsid w:val="003A1E27"/>
    <w:rsid w:val="003A2E58"/>
    <w:rsid w:val="003B366F"/>
    <w:rsid w:val="003B5489"/>
    <w:rsid w:val="003B618C"/>
    <w:rsid w:val="003C6522"/>
    <w:rsid w:val="003C6EF9"/>
    <w:rsid w:val="003D332F"/>
    <w:rsid w:val="003D48E1"/>
    <w:rsid w:val="003E419D"/>
    <w:rsid w:val="003E56CD"/>
    <w:rsid w:val="003E5EB2"/>
    <w:rsid w:val="003E6B29"/>
    <w:rsid w:val="003F11FC"/>
    <w:rsid w:val="003F2DE3"/>
    <w:rsid w:val="003F3CE2"/>
    <w:rsid w:val="003F47B4"/>
    <w:rsid w:val="003F507F"/>
    <w:rsid w:val="003F6808"/>
    <w:rsid w:val="00402E76"/>
    <w:rsid w:val="004102D0"/>
    <w:rsid w:val="00410AD6"/>
    <w:rsid w:val="00412D5E"/>
    <w:rsid w:val="00415034"/>
    <w:rsid w:val="004264C2"/>
    <w:rsid w:val="00430692"/>
    <w:rsid w:val="00430939"/>
    <w:rsid w:val="004347E1"/>
    <w:rsid w:val="00434912"/>
    <w:rsid w:val="00435972"/>
    <w:rsid w:val="0044104C"/>
    <w:rsid w:val="004510E7"/>
    <w:rsid w:val="0046126B"/>
    <w:rsid w:val="00462959"/>
    <w:rsid w:val="00464DA8"/>
    <w:rsid w:val="004729F5"/>
    <w:rsid w:val="00473746"/>
    <w:rsid w:val="00476CFE"/>
    <w:rsid w:val="00494894"/>
    <w:rsid w:val="0049628C"/>
    <w:rsid w:val="00497444"/>
    <w:rsid w:val="004B0511"/>
    <w:rsid w:val="004B0CF7"/>
    <w:rsid w:val="004B147F"/>
    <w:rsid w:val="004B1D68"/>
    <w:rsid w:val="004B73B4"/>
    <w:rsid w:val="004B75EC"/>
    <w:rsid w:val="004C352A"/>
    <w:rsid w:val="004C41C8"/>
    <w:rsid w:val="004F0E6D"/>
    <w:rsid w:val="00502984"/>
    <w:rsid w:val="005065FB"/>
    <w:rsid w:val="0052082F"/>
    <w:rsid w:val="00534547"/>
    <w:rsid w:val="00535CC0"/>
    <w:rsid w:val="00537C9E"/>
    <w:rsid w:val="00540D1B"/>
    <w:rsid w:val="00542749"/>
    <w:rsid w:val="005429F6"/>
    <w:rsid w:val="005435EA"/>
    <w:rsid w:val="00550359"/>
    <w:rsid w:val="00553268"/>
    <w:rsid w:val="005604DE"/>
    <w:rsid w:val="0056174D"/>
    <w:rsid w:val="005668C2"/>
    <w:rsid w:val="00573D72"/>
    <w:rsid w:val="00577A88"/>
    <w:rsid w:val="005819C0"/>
    <w:rsid w:val="00583454"/>
    <w:rsid w:val="0059118A"/>
    <w:rsid w:val="005948AA"/>
    <w:rsid w:val="00597F8B"/>
    <w:rsid w:val="005A24B1"/>
    <w:rsid w:val="005A28AB"/>
    <w:rsid w:val="005A4015"/>
    <w:rsid w:val="005A5109"/>
    <w:rsid w:val="005A51FD"/>
    <w:rsid w:val="005A7743"/>
    <w:rsid w:val="005B050D"/>
    <w:rsid w:val="005B5D82"/>
    <w:rsid w:val="005C081A"/>
    <w:rsid w:val="005C0F83"/>
    <w:rsid w:val="005C4ECE"/>
    <w:rsid w:val="005C5E67"/>
    <w:rsid w:val="005D47FD"/>
    <w:rsid w:val="005E3A5D"/>
    <w:rsid w:val="005F40B8"/>
    <w:rsid w:val="005F6295"/>
    <w:rsid w:val="006004CA"/>
    <w:rsid w:val="00616377"/>
    <w:rsid w:val="00616B7D"/>
    <w:rsid w:val="00617190"/>
    <w:rsid w:val="0064075A"/>
    <w:rsid w:val="00642EBD"/>
    <w:rsid w:val="006665A8"/>
    <w:rsid w:val="00675AE8"/>
    <w:rsid w:val="00677829"/>
    <w:rsid w:val="00686F4C"/>
    <w:rsid w:val="00687F4C"/>
    <w:rsid w:val="006A0A4F"/>
    <w:rsid w:val="006A2EEB"/>
    <w:rsid w:val="006B1235"/>
    <w:rsid w:val="006C0363"/>
    <w:rsid w:val="006C48E1"/>
    <w:rsid w:val="006C7640"/>
    <w:rsid w:val="006D17F0"/>
    <w:rsid w:val="006D3F29"/>
    <w:rsid w:val="006D5C5B"/>
    <w:rsid w:val="006E535B"/>
    <w:rsid w:val="006F1521"/>
    <w:rsid w:val="006F1608"/>
    <w:rsid w:val="006F4D98"/>
    <w:rsid w:val="006F64A1"/>
    <w:rsid w:val="00702B64"/>
    <w:rsid w:val="00703B1A"/>
    <w:rsid w:val="00706123"/>
    <w:rsid w:val="007140F0"/>
    <w:rsid w:val="007237C3"/>
    <w:rsid w:val="0073121E"/>
    <w:rsid w:val="00740F94"/>
    <w:rsid w:val="0075076A"/>
    <w:rsid w:val="00751851"/>
    <w:rsid w:val="00753868"/>
    <w:rsid w:val="00753FD2"/>
    <w:rsid w:val="00754884"/>
    <w:rsid w:val="00755DC1"/>
    <w:rsid w:val="0076249E"/>
    <w:rsid w:val="00764DB5"/>
    <w:rsid w:val="0077119E"/>
    <w:rsid w:val="0077517C"/>
    <w:rsid w:val="0078083E"/>
    <w:rsid w:val="00783CA7"/>
    <w:rsid w:val="00784070"/>
    <w:rsid w:val="007862A9"/>
    <w:rsid w:val="007905DE"/>
    <w:rsid w:val="007A11D4"/>
    <w:rsid w:val="007C5A7A"/>
    <w:rsid w:val="007D2E50"/>
    <w:rsid w:val="007D4C15"/>
    <w:rsid w:val="007E231A"/>
    <w:rsid w:val="007E3E8A"/>
    <w:rsid w:val="007E4961"/>
    <w:rsid w:val="007E7BB2"/>
    <w:rsid w:val="007E7D89"/>
    <w:rsid w:val="007F1C60"/>
    <w:rsid w:val="00801C65"/>
    <w:rsid w:val="0080300E"/>
    <w:rsid w:val="00805350"/>
    <w:rsid w:val="0081152C"/>
    <w:rsid w:val="00813ABF"/>
    <w:rsid w:val="00815010"/>
    <w:rsid w:val="0081765E"/>
    <w:rsid w:val="00817CBF"/>
    <w:rsid w:val="0082044B"/>
    <w:rsid w:val="00830C20"/>
    <w:rsid w:val="0083791E"/>
    <w:rsid w:val="00855EC0"/>
    <w:rsid w:val="0086176C"/>
    <w:rsid w:val="00862CB0"/>
    <w:rsid w:val="008705A1"/>
    <w:rsid w:val="00886136"/>
    <w:rsid w:val="00893602"/>
    <w:rsid w:val="008958E0"/>
    <w:rsid w:val="00895C0F"/>
    <w:rsid w:val="008A0987"/>
    <w:rsid w:val="008A1601"/>
    <w:rsid w:val="008A1617"/>
    <w:rsid w:val="008A6DC5"/>
    <w:rsid w:val="008A7F1C"/>
    <w:rsid w:val="008B40F3"/>
    <w:rsid w:val="008B7F85"/>
    <w:rsid w:val="008C2ADF"/>
    <w:rsid w:val="008C5DB5"/>
    <w:rsid w:val="008F3029"/>
    <w:rsid w:val="0091191A"/>
    <w:rsid w:val="00911DB9"/>
    <w:rsid w:val="009141E7"/>
    <w:rsid w:val="00925609"/>
    <w:rsid w:val="0094766F"/>
    <w:rsid w:val="00950BC1"/>
    <w:rsid w:val="00951D63"/>
    <w:rsid w:val="009543C0"/>
    <w:rsid w:val="0095719C"/>
    <w:rsid w:val="00961290"/>
    <w:rsid w:val="00970D0F"/>
    <w:rsid w:val="00973F14"/>
    <w:rsid w:val="00981DE0"/>
    <w:rsid w:val="00984C92"/>
    <w:rsid w:val="0099383E"/>
    <w:rsid w:val="00995370"/>
    <w:rsid w:val="009A08B7"/>
    <w:rsid w:val="009A1D74"/>
    <w:rsid w:val="009B3887"/>
    <w:rsid w:val="009B4D4C"/>
    <w:rsid w:val="009B4FA9"/>
    <w:rsid w:val="009D22A9"/>
    <w:rsid w:val="009E37F8"/>
    <w:rsid w:val="009E7060"/>
    <w:rsid w:val="009E71AC"/>
    <w:rsid w:val="009E7E59"/>
    <w:rsid w:val="009F0DA8"/>
    <w:rsid w:val="00A0753D"/>
    <w:rsid w:val="00A10B41"/>
    <w:rsid w:val="00A135B2"/>
    <w:rsid w:val="00A1749A"/>
    <w:rsid w:val="00A34DB6"/>
    <w:rsid w:val="00A42139"/>
    <w:rsid w:val="00A67324"/>
    <w:rsid w:val="00A76926"/>
    <w:rsid w:val="00A84114"/>
    <w:rsid w:val="00A94766"/>
    <w:rsid w:val="00AA2506"/>
    <w:rsid w:val="00AA2D1E"/>
    <w:rsid w:val="00AB20EE"/>
    <w:rsid w:val="00AC4E1D"/>
    <w:rsid w:val="00AD6843"/>
    <w:rsid w:val="00AD7E5D"/>
    <w:rsid w:val="00AE01B8"/>
    <w:rsid w:val="00AE1191"/>
    <w:rsid w:val="00AE1D5B"/>
    <w:rsid w:val="00AE696B"/>
    <w:rsid w:val="00AE70C4"/>
    <w:rsid w:val="00AF4400"/>
    <w:rsid w:val="00AF49D9"/>
    <w:rsid w:val="00B02BEA"/>
    <w:rsid w:val="00B079CF"/>
    <w:rsid w:val="00B106E6"/>
    <w:rsid w:val="00B10820"/>
    <w:rsid w:val="00B12B92"/>
    <w:rsid w:val="00B14B95"/>
    <w:rsid w:val="00B263B5"/>
    <w:rsid w:val="00B27371"/>
    <w:rsid w:val="00B27CEF"/>
    <w:rsid w:val="00B35A93"/>
    <w:rsid w:val="00B37BD1"/>
    <w:rsid w:val="00B43E37"/>
    <w:rsid w:val="00B516F5"/>
    <w:rsid w:val="00B51F59"/>
    <w:rsid w:val="00B534F7"/>
    <w:rsid w:val="00B56168"/>
    <w:rsid w:val="00B573AF"/>
    <w:rsid w:val="00B76464"/>
    <w:rsid w:val="00B76FA6"/>
    <w:rsid w:val="00B80636"/>
    <w:rsid w:val="00B83692"/>
    <w:rsid w:val="00B84C68"/>
    <w:rsid w:val="00B92DAC"/>
    <w:rsid w:val="00B939FB"/>
    <w:rsid w:val="00B958A2"/>
    <w:rsid w:val="00BA4ADC"/>
    <w:rsid w:val="00BA7137"/>
    <w:rsid w:val="00BB2309"/>
    <w:rsid w:val="00BB2E0E"/>
    <w:rsid w:val="00BB362A"/>
    <w:rsid w:val="00BB43C0"/>
    <w:rsid w:val="00BB61C9"/>
    <w:rsid w:val="00BC211E"/>
    <w:rsid w:val="00BC603C"/>
    <w:rsid w:val="00BC7AAB"/>
    <w:rsid w:val="00BD135E"/>
    <w:rsid w:val="00BD13F1"/>
    <w:rsid w:val="00BF00C6"/>
    <w:rsid w:val="00BF26F8"/>
    <w:rsid w:val="00BF7163"/>
    <w:rsid w:val="00C038FF"/>
    <w:rsid w:val="00C12B49"/>
    <w:rsid w:val="00C2132E"/>
    <w:rsid w:val="00C22334"/>
    <w:rsid w:val="00C23D3A"/>
    <w:rsid w:val="00C24509"/>
    <w:rsid w:val="00C4050F"/>
    <w:rsid w:val="00C51BD2"/>
    <w:rsid w:val="00C55A04"/>
    <w:rsid w:val="00C6319F"/>
    <w:rsid w:val="00C66A8F"/>
    <w:rsid w:val="00C71E34"/>
    <w:rsid w:val="00C80E5A"/>
    <w:rsid w:val="00C81AEA"/>
    <w:rsid w:val="00C93776"/>
    <w:rsid w:val="00C9447C"/>
    <w:rsid w:val="00C96340"/>
    <w:rsid w:val="00C97770"/>
    <w:rsid w:val="00CA0019"/>
    <w:rsid w:val="00CA4EE2"/>
    <w:rsid w:val="00CC3D02"/>
    <w:rsid w:val="00CC7C60"/>
    <w:rsid w:val="00CD25A1"/>
    <w:rsid w:val="00CD30AB"/>
    <w:rsid w:val="00CD39E4"/>
    <w:rsid w:val="00CE0C50"/>
    <w:rsid w:val="00CE2D37"/>
    <w:rsid w:val="00CE5EE6"/>
    <w:rsid w:val="00CE6A9D"/>
    <w:rsid w:val="00CF1651"/>
    <w:rsid w:val="00CF2A21"/>
    <w:rsid w:val="00CF5AA1"/>
    <w:rsid w:val="00CF5D3A"/>
    <w:rsid w:val="00D03867"/>
    <w:rsid w:val="00D06DB7"/>
    <w:rsid w:val="00D15721"/>
    <w:rsid w:val="00D163AD"/>
    <w:rsid w:val="00D26A71"/>
    <w:rsid w:val="00D27D41"/>
    <w:rsid w:val="00D329FC"/>
    <w:rsid w:val="00D43278"/>
    <w:rsid w:val="00D43B59"/>
    <w:rsid w:val="00D52EB7"/>
    <w:rsid w:val="00D55359"/>
    <w:rsid w:val="00D60140"/>
    <w:rsid w:val="00D619AB"/>
    <w:rsid w:val="00D6545C"/>
    <w:rsid w:val="00D656D2"/>
    <w:rsid w:val="00D76FF7"/>
    <w:rsid w:val="00D81658"/>
    <w:rsid w:val="00D82472"/>
    <w:rsid w:val="00D83866"/>
    <w:rsid w:val="00DA0609"/>
    <w:rsid w:val="00DA34FC"/>
    <w:rsid w:val="00DA4C82"/>
    <w:rsid w:val="00DA5620"/>
    <w:rsid w:val="00DB02A1"/>
    <w:rsid w:val="00DB1659"/>
    <w:rsid w:val="00DB4307"/>
    <w:rsid w:val="00DB64DF"/>
    <w:rsid w:val="00DC5391"/>
    <w:rsid w:val="00DC66F4"/>
    <w:rsid w:val="00DC7857"/>
    <w:rsid w:val="00DD5CD0"/>
    <w:rsid w:val="00DE6E78"/>
    <w:rsid w:val="00DE7AC3"/>
    <w:rsid w:val="00E01B3C"/>
    <w:rsid w:val="00E03C29"/>
    <w:rsid w:val="00E04379"/>
    <w:rsid w:val="00E16A8E"/>
    <w:rsid w:val="00E21C50"/>
    <w:rsid w:val="00E25EA4"/>
    <w:rsid w:val="00E6146A"/>
    <w:rsid w:val="00E64DCA"/>
    <w:rsid w:val="00E65A95"/>
    <w:rsid w:val="00E84942"/>
    <w:rsid w:val="00E930DD"/>
    <w:rsid w:val="00EA5AEA"/>
    <w:rsid w:val="00EB433E"/>
    <w:rsid w:val="00EB5808"/>
    <w:rsid w:val="00EC28F5"/>
    <w:rsid w:val="00EC629A"/>
    <w:rsid w:val="00ED0CBA"/>
    <w:rsid w:val="00ED390A"/>
    <w:rsid w:val="00ED4851"/>
    <w:rsid w:val="00ED48AF"/>
    <w:rsid w:val="00EF1370"/>
    <w:rsid w:val="00EF4649"/>
    <w:rsid w:val="00F03DD7"/>
    <w:rsid w:val="00F04FB3"/>
    <w:rsid w:val="00F057F5"/>
    <w:rsid w:val="00F1317A"/>
    <w:rsid w:val="00F17E04"/>
    <w:rsid w:val="00F21337"/>
    <w:rsid w:val="00F23508"/>
    <w:rsid w:val="00F252F9"/>
    <w:rsid w:val="00F314B3"/>
    <w:rsid w:val="00F318CC"/>
    <w:rsid w:val="00F33D05"/>
    <w:rsid w:val="00F34C56"/>
    <w:rsid w:val="00F4003C"/>
    <w:rsid w:val="00F417D5"/>
    <w:rsid w:val="00F41B89"/>
    <w:rsid w:val="00F62436"/>
    <w:rsid w:val="00F65220"/>
    <w:rsid w:val="00F730A9"/>
    <w:rsid w:val="00F872C2"/>
    <w:rsid w:val="00F94EEC"/>
    <w:rsid w:val="00F96EB8"/>
    <w:rsid w:val="00FA14FD"/>
    <w:rsid w:val="00FA6652"/>
    <w:rsid w:val="00FB42AD"/>
    <w:rsid w:val="00FB4FAF"/>
    <w:rsid w:val="00FB677C"/>
    <w:rsid w:val="00FC02C4"/>
    <w:rsid w:val="00FC100E"/>
    <w:rsid w:val="00FC370D"/>
    <w:rsid w:val="00FD1A78"/>
    <w:rsid w:val="00FD61ED"/>
    <w:rsid w:val="00FE03F2"/>
    <w:rsid w:val="00FE2BFE"/>
    <w:rsid w:val="00FE3B5F"/>
    <w:rsid w:val="00FE7180"/>
    <w:rsid w:val="00FF1AE5"/>
    <w:rsid w:val="00FF4484"/>
    <w:rsid w:val="00FF63E6"/>
    <w:rsid w:val="036B3A94"/>
    <w:rsid w:val="0705EC3C"/>
    <w:rsid w:val="0A799A48"/>
    <w:rsid w:val="0EBE265A"/>
    <w:rsid w:val="12C02893"/>
    <w:rsid w:val="145BF8F4"/>
    <w:rsid w:val="1A8112F1"/>
    <w:rsid w:val="1B838105"/>
    <w:rsid w:val="22DE39E3"/>
    <w:rsid w:val="23E95837"/>
    <w:rsid w:val="2BD52135"/>
    <w:rsid w:val="2C851C29"/>
    <w:rsid w:val="2D09C761"/>
    <w:rsid w:val="2E20EC8A"/>
    <w:rsid w:val="2FBCBCEB"/>
    <w:rsid w:val="34902E0E"/>
    <w:rsid w:val="3563D838"/>
    <w:rsid w:val="362BFE6F"/>
    <w:rsid w:val="3675E6F8"/>
    <w:rsid w:val="39639F31"/>
    <w:rsid w:val="44951701"/>
    <w:rsid w:val="477FCDB5"/>
    <w:rsid w:val="50C39F15"/>
    <w:rsid w:val="510D879E"/>
    <w:rsid w:val="577CC922"/>
    <w:rsid w:val="5A0C5C76"/>
    <w:rsid w:val="640028CA"/>
    <w:rsid w:val="6936AAD3"/>
    <w:rsid w:val="6DF0F399"/>
    <w:rsid w:val="6FA5EC57"/>
    <w:rsid w:val="7016859B"/>
    <w:rsid w:val="782887EC"/>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B6C096"/>
  <w15:chartTrackingRefBased/>
  <w15:docId w15:val="{060BC18F-779A-4F21-A372-C4AEFD6BCF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65FB"/>
    <w:pPr>
      <w:jc w:val="both"/>
    </w:pPr>
    <w:rPr>
      <w:rFonts w:ascii="Times New Roman" w:hAnsi="Times New Roman"/>
      <w:sz w:val="24"/>
    </w:rPr>
  </w:style>
  <w:style w:type="paragraph" w:styleId="Titre1">
    <w:name w:val="heading 1"/>
    <w:basedOn w:val="Normal"/>
    <w:next w:val="Corpsdetexte"/>
    <w:link w:val="Titre1Car"/>
    <w:qFormat/>
    <w:rsid w:val="004C352A"/>
    <w:pPr>
      <w:keepNext/>
      <w:keepLines/>
      <w:numPr>
        <w:numId w:val="1"/>
      </w:numPr>
      <w:spacing w:before="480" w:after="240"/>
      <w:contextualSpacing/>
      <w:outlineLvl w:val="0"/>
    </w:pPr>
    <w:rPr>
      <w:rFonts w:eastAsia="Calibri" w:cs="Calibri"/>
      <w:b/>
      <w:iCs/>
      <w:sz w:val="28"/>
      <w:szCs w:val="28"/>
      <w:lang w:val="fr-FR"/>
    </w:rPr>
  </w:style>
  <w:style w:type="paragraph" w:styleId="Titre2">
    <w:name w:val="heading 2"/>
    <w:basedOn w:val="Paragraphedeliste"/>
    <w:next w:val="Normal"/>
    <w:link w:val="Titre2Car"/>
    <w:uiPriority w:val="9"/>
    <w:unhideWhenUsed/>
    <w:qFormat/>
    <w:rsid w:val="004C352A"/>
    <w:pPr>
      <w:keepNext/>
      <w:keepLines/>
      <w:numPr>
        <w:numId w:val="2"/>
      </w:numPr>
      <w:spacing w:before="240" w:after="120"/>
      <w:outlineLvl w:val="1"/>
    </w:pPr>
    <w:rPr>
      <w:rFonts w:eastAsia="Calibri" w:cs="Times New Roman"/>
      <w:b/>
      <w:bCs/>
      <w:i/>
      <w:iCs/>
      <w:sz w:val="26"/>
      <w:szCs w:val="26"/>
      <w:lang w:val="fr-FR"/>
    </w:rPr>
  </w:style>
  <w:style w:type="paragraph" w:styleId="Titre3">
    <w:name w:val="heading 3"/>
    <w:basedOn w:val="Paragraphedeliste"/>
    <w:next w:val="Normal"/>
    <w:link w:val="Titre3Car"/>
    <w:uiPriority w:val="9"/>
    <w:unhideWhenUsed/>
    <w:qFormat/>
    <w:rsid w:val="004C352A"/>
    <w:pPr>
      <w:widowControl w:val="0"/>
      <w:numPr>
        <w:numId w:val="3"/>
      </w:numPr>
      <w:suppressAutoHyphens/>
      <w:spacing w:after="200" w:line="276" w:lineRule="auto"/>
      <w:outlineLvl w:val="2"/>
    </w:pPr>
    <w:rPr>
      <w:rFonts w:ascii="Calibri" w:eastAsia="SimSun" w:hAnsi="Calibri" w:cs="font476"/>
      <w:i/>
      <w:sz w:val="22"/>
      <w:u w:val="single"/>
    </w:rPr>
  </w:style>
  <w:style w:type="paragraph" w:styleId="Titre4">
    <w:name w:val="heading 4"/>
    <w:basedOn w:val="Normal"/>
    <w:next w:val="Normal"/>
    <w:link w:val="Titre4Car"/>
    <w:uiPriority w:val="9"/>
    <w:semiHidden/>
    <w:unhideWhenUsed/>
    <w:qFormat/>
    <w:rsid w:val="001C6790"/>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4C352A"/>
    <w:rPr>
      <w:rFonts w:ascii="Times New Roman" w:eastAsia="Calibri" w:hAnsi="Times New Roman" w:cs="Calibri"/>
      <w:b/>
      <w:iCs/>
      <w:sz w:val="28"/>
      <w:szCs w:val="28"/>
      <w:lang w:val="fr-FR"/>
    </w:rPr>
  </w:style>
  <w:style w:type="paragraph" w:styleId="Corpsdetexte">
    <w:name w:val="Body Text"/>
    <w:basedOn w:val="Normal"/>
    <w:link w:val="CorpsdetexteCar"/>
    <w:uiPriority w:val="99"/>
    <w:unhideWhenUsed/>
    <w:rsid w:val="004C352A"/>
    <w:pPr>
      <w:spacing w:after="120"/>
    </w:pPr>
  </w:style>
  <w:style w:type="character" w:customStyle="1" w:styleId="CorpsdetexteCar">
    <w:name w:val="Corps de texte Car"/>
    <w:basedOn w:val="Policepardfaut"/>
    <w:link w:val="Corpsdetexte"/>
    <w:uiPriority w:val="99"/>
    <w:rsid w:val="004C352A"/>
    <w:rPr>
      <w:rFonts w:ascii="Times New Roman" w:hAnsi="Times New Roman"/>
      <w:sz w:val="24"/>
    </w:rPr>
  </w:style>
  <w:style w:type="character" w:customStyle="1" w:styleId="Titre2Car">
    <w:name w:val="Titre 2 Car"/>
    <w:basedOn w:val="Policepardfaut"/>
    <w:link w:val="Titre2"/>
    <w:uiPriority w:val="9"/>
    <w:rsid w:val="004C352A"/>
    <w:rPr>
      <w:rFonts w:ascii="Times New Roman" w:eastAsia="Calibri" w:hAnsi="Times New Roman" w:cs="Times New Roman"/>
      <w:b/>
      <w:bCs/>
      <w:i/>
      <w:iCs/>
      <w:sz w:val="26"/>
      <w:szCs w:val="26"/>
      <w:lang w:val="fr-FR"/>
    </w:rPr>
  </w:style>
  <w:style w:type="paragraph" w:styleId="Paragraphedeliste">
    <w:name w:val="List Paragraph"/>
    <w:basedOn w:val="Normal"/>
    <w:uiPriority w:val="34"/>
    <w:qFormat/>
    <w:rsid w:val="004C352A"/>
    <w:pPr>
      <w:ind w:left="720"/>
      <w:contextualSpacing/>
    </w:pPr>
  </w:style>
  <w:style w:type="character" w:customStyle="1" w:styleId="Titre3Car">
    <w:name w:val="Titre 3 Car"/>
    <w:basedOn w:val="Policepardfaut"/>
    <w:link w:val="Titre3"/>
    <w:uiPriority w:val="9"/>
    <w:rsid w:val="004C352A"/>
    <w:rPr>
      <w:rFonts w:ascii="Calibri" w:eastAsia="SimSun" w:hAnsi="Calibri" w:cs="font476"/>
      <w:i/>
      <w:u w:val="single"/>
    </w:rPr>
  </w:style>
  <w:style w:type="paragraph" w:styleId="Listepuces">
    <w:name w:val="List Bullet"/>
    <w:basedOn w:val="Normal"/>
    <w:uiPriority w:val="99"/>
    <w:unhideWhenUsed/>
    <w:rsid w:val="00136056"/>
    <w:pPr>
      <w:numPr>
        <w:numId w:val="4"/>
      </w:numPr>
      <w:contextualSpacing/>
    </w:pPr>
  </w:style>
  <w:style w:type="character" w:styleId="Marquedecommentaire">
    <w:name w:val="annotation reference"/>
    <w:basedOn w:val="Policepardfaut"/>
    <w:uiPriority w:val="99"/>
    <w:semiHidden/>
    <w:unhideWhenUsed/>
    <w:rsid w:val="00136056"/>
    <w:rPr>
      <w:sz w:val="16"/>
      <w:szCs w:val="16"/>
    </w:rPr>
  </w:style>
  <w:style w:type="paragraph" w:styleId="Commentaire">
    <w:name w:val="annotation text"/>
    <w:basedOn w:val="Normal"/>
    <w:link w:val="CommentaireCar"/>
    <w:uiPriority w:val="99"/>
    <w:semiHidden/>
    <w:unhideWhenUsed/>
    <w:rsid w:val="00136056"/>
    <w:pPr>
      <w:spacing w:line="240" w:lineRule="auto"/>
    </w:pPr>
    <w:rPr>
      <w:sz w:val="20"/>
      <w:szCs w:val="20"/>
    </w:rPr>
  </w:style>
  <w:style w:type="character" w:customStyle="1" w:styleId="CommentaireCar">
    <w:name w:val="Commentaire Car"/>
    <w:basedOn w:val="Policepardfaut"/>
    <w:link w:val="Commentaire"/>
    <w:uiPriority w:val="99"/>
    <w:semiHidden/>
    <w:rsid w:val="00136056"/>
    <w:rPr>
      <w:rFonts w:ascii="Times New Roman" w:hAnsi="Times New Roman"/>
      <w:sz w:val="20"/>
      <w:szCs w:val="20"/>
    </w:rPr>
  </w:style>
  <w:style w:type="paragraph" w:styleId="Objetducommentaire">
    <w:name w:val="annotation subject"/>
    <w:basedOn w:val="Commentaire"/>
    <w:next w:val="Commentaire"/>
    <w:link w:val="ObjetducommentaireCar"/>
    <w:uiPriority w:val="99"/>
    <w:semiHidden/>
    <w:unhideWhenUsed/>
    <w:rsid w:val="00136056"/>
    <w:rPr>
      <w:b/>
      <w:bCs/>
    </w:rPr>
  </w:style>
  <w:style w:type="character" w:customStyle="1" w:styleId="ObjetducommentaireCar">
    <w:name w:val="Objet du commentaire Car"/>
    <w:basedOn w:val="CommentaireCar"/>
    <w:link w:val="Objetducommentaire"/>
    <w:uiPriority w:val="99"/>
    <w:semiHidden/>
    <w:rsid w:val="00136056"/>
    <w:rPr>
      <w:rFonts w:ascii="Times New Roman" w:hAnsi="Times New Roman"/>
      <w:b/>
      <w:bCs/>
      <w:sz w:val="20"/>
      <w:szCs w:val="20"/>
    </w:rPr>
  </w:style>
  <w:style w:type="paragraph" w:styleId="Textedebulles">
    <w:name w:val="Balloon Text"/>
    <w:basedOn w:val="Normal"/>
    <w:link w:val="TextedebullesCar"/>
    <w:uiPriority w:val="99"/>
    <w:semiHidden/>
    <w:unhideWhenUsed/>
    <w:rsid w:val="00136056"/>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136056"/>
    <w:rPr>
      <w:rFonts w:ascii="Segoe UI" w:hAnsi="Segoe UI" w:cs="Segoe UI"/>
      <w:sz w:val="18"/>
      <w:szCs w:val="18"/>
    </w:rPr>
  </w:style>
  <w:style w:type="character" w:styleId="Appelnotedebasdep">
    <w:name w:val="footnote reference"/>
    <w:basedOn w:val="Policepardfaut"/>
    <w:uiPriority w:val="99"/>
    <w:unhideWhenUsed/>
    <w:rPr>
      <w:vertAlign w:val="superscript"/>
    </w:rPr>
  </w:style>
  <w:style w:type="character" w:styleId="Lienhypertexte">
    <w:name w:val="Hyperlink"/>
    <w:basedOn w:val="Policepardfaut"/>
    <w:uiPriority w:val="99"/>
    <w:unhideWhenUsed/>
    <w:rPr>
      <w:color w:val="0563C1" w:themeColor="hyperlink"/>
      <w:u w:val="single"/>
    </w:rPr>
  </w:style>
  <w:style w:type="character" w:customStyle="1" w:styleId="NotedebasdepageCar">
    <w:name w:val="Note de bas de page Car"/>
    <w:basedOn w:val="Policepardfaut"/>
    <w:link w:val="Notedebasdepage"/>
    <w:uiPriority w:val="99"/>
    <w:rPr>
      <w:sz w:val="20"/>
      <w:szCs w:val="20"/>
    </w:rPr>
  </w:style>
  <w:style w:type="paragraph" w:styleId="Notedebasdepage">
    <w:name w:val="footnote text"/>
    <w:basedOn w:val="Normal"/>
    <w:link w:val="NotedebasdepageCar"/>
    <w:uiPriority w:val="99"/>
    <w:unhideWhenUsed/>
    <w:pPr>
      <w:spacing w:after="0" w:line="240" w:lineRule="auto"/>
    </w:pPr>
    <w:rPr>
      <w:sz w:val="20"/>
      <w:szCs w:val="20"/>
    </w:rPr>
  </w:style>
  <w:style w:type="paragraph" w:styleId="En-tte">
    <w:name w:val="header"/>
    <w:basedOn w:val="Normal"/>
    <w:link w:val="En-tteCar"/>
    <w:uiPriority w:val="99"/>
    <w:unhideWhenUsed/>
    <w:rsid w:val="00E65A95"/>
    <w:pPr>
      <w:tabs>
        <w:tab w:val="center" w:pos="4536"/>
        <w:tab w:val="right" w:pos="9072"/>
      </w:tabs>
      <w:spacing w:after="0" w:line="240" w:lineRule="auto"/>
    </w:pPr>
  </w:style>
  <w:style w:type="character" w:customStyle="1" w:styleId="En-tteCar">
    <w:name w:val="En-tête Car"/>
    <w:basedOn w:val="Policepardfaut"/>
    <w:link w:val="En-tte"/>
    <w:uiPriority w:val="99"/>
    <w:rsid w:val="00E65A95"/>
    <w:rPr>
      <w:rFonts w:ascii="Times New Roman" w:hAnsi="Times New Roman"/>
      <w:sz w:val="24"/>
    </w:rPr>
  </w:style>
  <w:style w:type="paragraph" w:styleId="Pieddepage">
    <w:name w:val="footer"/>
    <w:basedOn w:val="Normal"/>
    <w:link w:val="PieddepageCar"/>
    <w:uiPriority w:val="99"/>
    <w:unhideWhenUsed/>
    <w:rsid w:val="00E65A9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65A95"/>
    <w:rPr>
      <w:rFonts w:ascii="Times New Roman" w:hAnsi="Times New Roman"/>
      <w:sz w:val="24"/>
    </w:rPr>
  </w:style>
  <w:style w:type="character" w:customStyle="1" w:styleId="Titre4Car">
    <w:name w:val="Titre 4 Car"/>
    <w:basedOn w:val="Policepardfaut"/>
    <w:link w:val="Titre4"/>
    <w:uiPriority w:val="9"/>
    <w:semiHidden/>
    <w:rsid w:val="001C6790"/>
    <w:rPr>
      <w:rFonts w:asciiTheme="majorHAnsi" w:eastAsiaTheme="majorEastAsia" w:hAnsiTheme="majorHAnsi" w:cstheme="majorBidi"/>
      <w:i/>
      <w:iCs/>
      <w:color w:val="2F5496" w:themeColor="accent1" w:themeShade="BF"/>
      <w:sz w:val="24"/>
    </w:rPr>
  </w:style>
  <w:style w:type="character" w:styleId="Mentionnonrsolue">
    <w:name w:val="Unresolved Mention"/>
    <w:basedOn w:val="Policepardfaut"/>
    <w:uiPriority w:val="99"/>
    <w:semiHidden/>
    <w:unhideWhenUsed/>
    <w:rsid w:val="001C67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0749688">
      <w:bodyDiv w:val="1"/>
      <w:marLeft w:val="0"/>
      <w:marRight w:val="0"/>
      <w:marTop w:val="0"/>
      <w:marBottom w:val="0"/>
      <w:divBdr>
        <w:top w:val="none" w:sz="0" w:space="0" w:color="auto"/>
        <w:left w:val="none" w:sz="0" w:space="0" w:color="auto"/>
        <w:bottom w:val="none" w:sz="0" w:space="0" w:color="auto"/>
        <w:right w:val="none" w:sz="0" w:space="0" w:color="auto"/>
      </w:divBdr>
    </w:div>
    <w:div w:id="298875296">
      <w:bodyDiv w:val="1"/>
      <w:marLeft w:val="0"/>
      <w:marRight w:val="0"/>
      <w:marTop w:val="0"/>
      <w:marBottom w:val="0"/>
      <w:divBdr>
        <w:top w:val="none" w:sz="0" w:space="0" w:color="auto"/>
        <w:left w:val="none" w:sz="0" w:space="0" w:color="auto"/>
        <w:bottom w:val="none" w:sz="0" w:space="0" w:color="auto"/>
        <w:right w:val="none" w:sz="0" w:space="0" w:color="auto"/>
      </w:divBdr>
    </w:div>
    <w:div w:id="492454028">
      <w:bodyDiv w:val="1"/>
      <w:marLeft w:val="0"/>
      <w:marRight w:val="0"/>
      <w:marTop w:val="0"/>
      <w:marBottom w:val="0"/>
      <w:divBdr>
        <w:top w:val="none" w:sz="0" w:space="0" w:color="auto"/>
        <w:left w:val="none" w:sz="0" w:space="0" w:color="auto"/>
        <w:bottom w:val="none" w:sz="0" w:space="0" w:color="auto"/>
        <w:right w:val="none" w:sz="0" w:space="0" w:color="auto"/>
      </w:divBdr>
    </w:div>
    <w:div w:id="699624861">
      <w:bodyDiv w:val="1"/>
      <w:marLeft w:val="0"/>
      <w:marRight w:val="0"/>
      <w:marTop w:val="0"/>
      <w:marBottom w:val="0"/>
      <w:divBdr>
        <w:top w:val="none" w:sz="0" w:space="0" w:color="auto"/>
        <w:left w:val="none" w:sz="0" w:space="0" w:color="auto"/>
        <w:bottom w:val="none" w:sz="0" w:space="0" w:color="auto"/>
        <w:right w:val="none" w:sz="0" w:space="0" w:color="auto"/>
      </w:divBdr>
    </w:div>
    <w:div w:id="712653077">
      <w:bodyDiv w:val="1"/>
      <w:marLeft w:val="0"/>
      <w:marRight w:val="0"/>
      <w:marTop w:val="0"/>
      <w:marBottom w:val="0"/>
      <w:divBdr>
        <w:top w:val="none" w:sz="0" w:space="0" w:color="auto"/>
        <w:left w:val="none" w:sz="0" w:space="0" w:color="auto"/>
        <w:bottom w:val="none" w:sz="0" w:space="0" w:color="auto"/>
        <w:right w:val="none" w:sz="0" w:space="0" w:color="auto"/>
      </w:divBdr>
      <w:divsChild>
        <w:div w:id="316615868">
          <w:marLeft w:val="0"/>
          <w:marRight w:val="0"/>
          <w:marTop w:val="0"/>
          <w:marBottom w:val="0"/>
          <w:divBdr>
            <w:top w:val="none" w:sz="0" w:space="0" w:color="auto"/>
            <w:left w:val="none" w:sz="0" w:space="0" w:color="auto"/>
            <w:bottom w:val="none" w:sz="0" w:space="0" w:color="auto"/>
            <w:right w:val="none" w:sz="0" w:space="0" w:color="auto"/>
          </w:divBdr>
        </w:div>
      </w:divsChild>
    </w:div>
    <w:div w:id="839350247">
      <w:bodyDiv w:val="1"/>
      <w:marLeft w:val="0"/>
      <w:marRight w:val="0"/>
      <w:marTop w:val="0"/>
      <w:marBottom w:val="0"/>
      <w:divBdr>
        <w:top w:val="none" w:sz="0" w:space="0" w:color="auto"/>
        <w:left w:val="none" w:sz="0" w:space="0" w:color="auto"/>
        <w:bottom w:val="none" w:sz="0" w:space="0" w:color="auto"/>
        <w:right w:val="none" w:sz="0" w:space="0" w:color="auto"/>
      </w:divBdr>
    </w:div>
    <w:div w:id="1254054027">
      <w:bodyDiv w:val="1"/>
      <w:marLeft w:val="0"/>
      <w:marRight w:val="0"/>
      <w:marTop w:val="0"/>
      <w:marBottom w:val="0"/>
      <w:divBdr>
        <w:top w:val="none" w:sz="0" w:space="0" w:color="auto"/>
        <w:left w:val="none" w:sz="0" w:space="0" w:color="auto"/>
        <w:bottom w:val="none" w:sz="0" w:space="0" w:color="auto"/>
        <w:right w:val="none" w:sz="0" w:space="0" w:color="auto"/>
      </w:divBdr>
    </w:div>
    <w:div w:id="1274479332">
      <w:bodyDiv w:val="1"/>
      <w:marLeft w:val="0"/>
      <w:marRight w:val="0"/>
      <w:marTop w:val="0"/>
      <w:marBottom w:val="0"/>
      <w:divBdr>
        <w:top w:val="none" w:sz="0" w:space="0" w:color="auto"/>
        <w:left w:val="none" w:sz="0" w:space="0" w:color="auto"/>
        <w:bottom w:val="none" w:sz="0" w:space="0" w:color="auto"/>
        <w:right w:val="none" w:sz="0" w:space="0" w:color="auto"/>
      </w:divBdr>
    </w:div>
    <w:div w:id="1612349361">
      <w:bodyDiv w:val="1"/>
      <w:marLeft w:val="0"/>
      <w:marRight w:val="0"/>
      <w:marTop w:val="0"/>
      <w:marBottom w:val="0"/>
      <w:divBdr>
        <w:top w:val="none" w:sz="0" w:space="0" w:color="auto"/>
        <w:left w:val="none" w:sz="0" w:space="0" w:color="auto"/>
        <w:bottom w:val="none" w:sz="0" w:space="0" w:color="auto"/>
        <w:right w:val="none" w:sz="0" w:space="0" w:color="auto"/>
      </w:divBdr>
      <w:divsChild>
        <w:div w:id="226913622">
          <w:marLeft w:val="0"/>
          <w:marRight w:val="0"/>
          <w:marTop w:val="0"/>
          <w:marBottom w:val="375"/>
          <w:divBdr>
            <w:top w:val="none" w:sz="0" w:space="0" w:color="auto"/>
            <w:left w:val="none" w:sz="0" w:space="0" w:color="auto"/>
            <w:bottom w:val="none" w:sz="0" w:space="0" w:color="auto"/>
            <w:right w:val="none" w:sz="0" w:space="0" w:color="auto"/>
          </w:divBdr>
        </w:div>
      </w:divsChild>
    </w:div>
    <w:div w:id="1945190233">
      <w:bodyDiv w:val="1"/>
      <w:marLeft w:val="0"/>
      <w:marRight w:val="0"/>
      <w:marTop w:val="0"/>
      <w:marBottom w:val="0"/>
      <w:divBdr>
        <w:top w:val="none" w:sz="0" w:space="0" w:color="auto"/>
        <w:left w:val="none" w:sz="0" w:space="0" w:color="auto"/>
        <w:bottom w:val="none" w:sz="0" w:space="0" w:color="auto"/>
        <w:right w:val="none" w:sz="0" w:space="0" w:color="auto"/>
      </w:divBdr>
    </w:div>
    <w:div w:id="211671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5fea5af9-9d3f-44a0-a8ea-330d5d84deba"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09E0888091330449F5EC2600B2C98D5" ma:contentTypeVersion="15" ma:contentTypeDescription="Crée un document." ma:contentTypeScope="" ma:versionID="2a2166bc2e8ee575d8a71fa4901b2682">
  <xsd:schema xmlns:xsd="http://www.w3.org/2001/XMLSchema" xmlns:xs="http://www.w3.org/2001/XMLSchema" xmlns:p="http://schemas.microsoft.com/office/2006/metadata/properties" xmlns:ns3="039d926d-a992-4e9f-9ca6-7f1f6ab80cd2" xmlns:ns4="5fea5af9-9d3f-44a0-a8ea-330d5d84deba" targetNamespace="http://schemas.microsoft.com/office/2006/metadata/properties" ma:root="true" ma:fieldsID="5e8f1de484e317f91d70f6a96f3fd413" ns3:_="" ns4:_="">
    <xsd:import namespace="039d926d-a992-4e9f-9ca6-7f1f6ab80cd2"/>
    <xsd:import namespace="5fea5af9-9d3f-44a0-a8ea-330d5d84deba"/>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DateTaken" minOccurs="0"/>
                <xsd:element ref="ns4:MediaServiceLocation" minOccurs="0"/>
                <xsd:element ref="ns4:MediaServiceAutoKeyPoints" minOccurs="0"/>
                <xsd:element ref="ns4:MediaServiceKeyPoints" minOccurs="0"/>
                <xsd:element ref="ns4:MediaLengthInSeconds" minOccurs="0"/>
                <xsd:element ref="ns4:MediaServiceGenerationTime" minOccurs="0"/>
                <xsd:element ref="ns4:MediaServiceEventHashCode"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9d926d-a992-4e9f-9ca6-7f1f6ab80cd2" elementFormDefault="qualified">
    <xsd:import namespace="http://schemas.microsoft.com/office/2006/documentManagement/types"/>
    <xsd:import namespace="http://schemas.microsoft.com/office/infopath/2007/PartnerControls"/>
    <xsd:element name="SharedWithUsers" ma:index="8"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Partagé avec détails" ma:description="" ma:internalName="SharedWithDetails" ma:readOnly="true">
      <xsd:simpleType>
        <xsd:restriction base="dms:Note">
          <xsd:maxLength value="255"/>
        </xsd:restriction>
      </xsd:simpleType>
    </xsd:element>
    <xsd:element name="SharingHintHash" ma:index="10" nillable="true" ma:displayName="Partage du hachage d’indicateur"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ea5af9-9d3f-44a0-a8ea-330d5d84deb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EFFE9DF-E61B-4A11-ADC5-F9EF9C1027D0}">
  <ds:schemaRefs>
    <ds:schemaRef ds:uri="http://schemas.openxmlformats.org/officeDocument/2006/bibliography"/>
  </ds:schemaRefs>
</ds:datastoreItem>
</file>

<file path=customXml/itemProps2.xml><?xml version="1.0" encoding="utf-8"?>
<ds:datastoreItem xmlns:ds="http://schemas.openxmlformats.org/officeDocument/2006/customXml" ds:itemID="{DF1AC145-62DF-488E-8674-1B4BA83C957C}">
  <ds:schemaRefs>
    <ds:schemaRef ds:uri="http://schemas.microsoft.com/sharepoint/v3/contenttype/forms"/>
  </ds:schemaRefs>
</ds:datastoreItem>
</file>

<file path=customXml/itemProps3.xml><?xml version="1.0" encoding="utf-8"?>
<ds:datastoreItem xmlns:ds="http://schemas.openxmlformats.org/officeDocument/2006/customXml" ds:itemID="{591BE832-EB26-426F-A19F-44A0469BF914}">
  <ds:schemaRefs>
    <ds:schemaRef ds:uri="http://schemas.microsoft.com/office/2006/metadata/properties"/>
    <ds:schemaRef ds:uri="http://schemas.microsoft.com/office/infopath/2007/PartnerControls"/>
    <ds:schemaRef ds:uri="5fea5af9-9d3f-44a0-a8ea-330d5d84deba"/>
  </ds:schemaRefs>
</ds:datastoreItem>
</file>

<file path=customXml/itemProps4.xml><?xml version="1.0" encoding="utf-8"?>
<ds:datastoreItem xmlns:ds="http://schemas.openxmlformats.org/officeDocument/2006/customXml" ds:itemID="{7DCEA39D-8974-4FA9-B1F0-0627A8402C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9d926d-a992-4e9f-9ca6-7f1f6ab80cd2"/>
    <ds:schemaRef ds:uri="5fea5af9-9d3f-44a0-a8ea-330d5d84de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6</Pages>
  <Words>2590</Words>
  <Characters>13963</Characters>
  <Application>Microsoft Office Word</Application>
  <DocSecurity>0</DocSecurity>
  <Lines>193</Lines>
  <Paragraphs>43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Léopold Vanbellingen</dc:creator>
  <cp:keywords/>
  <dc:description/>
  <cp:lastModifiedBy>Léopold Vanbellingen</cp:lastModifiedBy>
  <cp:revision>15</cp:revision>
  <dcterms:created xsi:type="dcterms:W3CDTF">2023-03-08T23:19:00Z</dcterms:created>
  <dcterms:modified xsi:type="dcterms:W3CDTF">2023-03-08T23:43:00Z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0x010100409E0888091330449F5EC2600B2C98D5</vt:lpwstr>
  </property>
  <property fmtid="{D5CDD505-2E9C-101B-9397-08002B2CF9AE}" pid="3" name="ZOTERO_PREF_1">
    <vt:lpwstr>&lt;data data-version="3" zotero-version="6.0.18"&gt;&lt;session id="D7IGCPIm"/&gt;&lt;style id="http://www.zotero.org/styles/universite-de-liege-droit" hasBibliography="1" bibliographyStyleHasBeenSet="0"/&gt;&lt;prefs&gt;&lt;pref name="fieldType" value="Field"/&gt;&lt;pref name="noteTyp</vt:lpwstr>
  </property>
  <property fmtid="{D5CDD505-2E9C-101B-9397-08002B2CF9AE}" pid="4" name="ZOTERO_PREF_2">
    <vt:lpwstr>e" value="1"/&gt;&lt;/prefs&gt;&lt;/data&gt;</vt:lpwstr>
  </property>
</Properties>
</file>