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480" w:rsidRPr="003C3B5F" w:rsidRDefault="00DB1480" w:rsidP="003C3B5F">
      <w:pPr>
        <w:jc w:val="both"/>
        <w:rPr>
          <w:rFonts w:ascii="Times New Roman" w:hAnsi="Times New Roman" w:cs="Times New Roman"/>
          <w:b/>
          <w:sz w:val="24"/>
          <w:szCs w:val="24"/>
        </w:rPr>
      </w:pPr>
      <w:r w:rsidRPr="003C3B5F">
        <w:rPr>
          <w:rFonts w:ascii="Times New Roman" w:hAnsi="Times New Roman" w:cs="Times New Roman"/>
          <w:b/>
          <w:sz w:val="24"/>
          <w:szCs w:val="24"/>
        </w:rPr>
        <w:t xml:space="preserve">Pour une critique constructive de la critique d’un discours européen : </w:t>
      </w:r>
      <w:r w:rsidR="003C3B5F" w:rsidRPr="003C3B5F">
        <w:rPr>
          <w:rFonts w:ascii="Times New Roman" w:hAnsi="Times New Roman" w:cs="Times New Roman"/>
          <w:b/>
          <w:sz w:val="24"/>
          <w:szCs w:val="24"/>
        </w:rPr>
        <w:t>un regard sociologique</w:t>
      </w:r>
    </w:p>
    <w:p w:rsidR="003C3B5F" w:rsidRDefault="003C3B5F" w:rsidP="003C3B5F">
      <w:pPr>
        <w:jc w:val="both"/>
        <w:rPr>
          <w:rFonts w:ascii="Times New Roman" w:hAnsi="Times New Roman" w:cs="Times New Roman"/>
          <w:sz w:val="24"/>
          <w:szCs w:val="24"/>
        </w:rPr>
      </w:pPr>
    </w:p>
    <w:p w:rsidR="000F2571" w:rsidRPr="003C3B5F" w:rsidRDefault="00DB1480" w:rsidP="003C3B5F">
      <w:pPr>
        <w:jc w:val="both"/>
        <w:rPr>
          <w:rFonts w:ascii="Times New Roman" w:hAnsi="Times New Roman" w:cs="Times New Roman"/>
          <w:sz w:val="24"/>
          <w:szCs w:val="24"/>
        </w:rPr>
      </w:pPr>
      <w:r w:rsidRPr="003C3B5F">
        <w:rPr>
          <w:rFonts w:ascii="Times New Roman" w:hAnsi="Times New Roman" w:cs="Times New Roman"/>
          <w:sz w:val="24"/>
          <w:szCs w:val="24"/>
        </w:rPr>
        <w:t xml:space="preserve">Thibauld Moulaert, Chargé de recherches du FRS-FNRS, chercheur à </w:t>
      </w:r>
      <w:r w:rsidR="002C54F1" w:rsidRPr="003C3B5F">
        <w:rPr>
          <w:rFonts w:ascii="Times New Roman" w:hAnsi="Times New Roman" w:cs="Times New Roman"/>
          <w:sz w:val="24"/>
          <w:szCs w:val="24"/>
        </w:rPr>
        <w:t>l’</w:t>
      </w:r>
      <w:r w:rsidR="000F2571" w:rsidRPr="003C3B5F">
        <w:rPr>
          <w:rFonts w:ascii="Times New Roman" w:hAnsi="Times New Roman" w:cs="Times New Roman"/>
          <w:sz w:val="24"/>
          <w:szCs w:val="24"/>
        </w:rPr>
        <w:t>Institute of Analysis of Change in Contemporary and Historical Societies (IACCHOS)</w:t>
      </w:r>
      <w:r w:rsidR="002C54F1" w:rsidRPr="003C3B5F">
        <w:rPr>
          <w:rFonts w:ascii="Times New Roman" w:hAnsi="Times New Roman" w:cs="Times New Roman"/>
          <w:sz w:val="24"/>
          <w:szCs w:val="24"/>
        </w:rPr>
        <w:t>, Université Catholique de Louvain (UCL), Louvain-la-Neuve, Belgique</w:t>
      </w:r>
    </w:p>
    <w:p w:rsidR="00DB1480" w:rsidRPr="003C3B5F" w:rsidRDefault="00DB1480" w:rsidP="003C3B5F">
      <w:pPr>
        <w:jc w:val="both"/>
        <w:rPr>
          <w:rFonts w:ascii="Times New Roman" w:hAnsi="Times New Roman" w:cs="Times New Roman"/>
          <w:sz w:val="24"/>
          <w:szCs w:val="24"/>
        </w:rPr>
      </w:pPr>
    </w:p>
    <w:p w:rsidR="007622B4" w:rsidRPr="003C3B5F" w:rsidRDefault="00B3393E" w:rsidP="003C3B5F">
      <w:pPr>
        <w:jc w:val="both"/>
        <w:rPr>
          <w:rFonts w:ascii="Times New Roman" w:hAnsi="Times New Roman" w:cs="Times New Roman"/>
          <w:sz w:val="24"/>
          <w:szCs w:val="24"/>
        </w:rPr>
      </w:pPr>
      <w:r w:rsidRPr="003C3B5F">
        <w:rPr>
          <w:rFonts w:ascii="Times New Roman" w:hAnsi="Times New Roman" w:cs="Times New Roman"/>
          <w:sz w:val="24"/>
          <w:szCs w:val="24"/>
        </w:rPr>
        <w:t>Conformément à la demande des coordinateurs de cet ouvrage, notre article pose un regard critique sur le texte</w:t>
      </w:r>
      <w:r w:rsidRPr="003C3B5F">
        <w:rPr>
          <w:rStyle w:val="Appelnotedebasdep"/>
          <w:rFonts w:ascii="Times New Roman" w:hAnsi="Times New Roman" w:cs="Times New Roman"/>
          <w:sz w:val="24"/>
          <w:szCs w:val="24"/>
        </w:rPr>
        <w:footnoteReference w:id="1"/>
      </w:r>
      <w:r w:rsidRPr="003C3B5F">
        <w:rPr>
          <w:rFonts w:ascii="Times New Roman" w:hAnsi="Times New Roman" w:cs="Times New Roman"/>
          <w:sz w:val="24"/>
          <w:szCs w:val="24"/>
        </w:rPr>
        <w:t xml:space="preserve"> d’Albert Evrard traitant de la notion de « maltraitance chez les seniors » dans le cadre de la décision 940/2011 du Parlement et du Conseil européen qui met en place l’</w:t>
      </w:r>
      <w:r w:rsidRPr="003C3B5F">
        <w:rPr>
          <w:rFonts w:ascii="Times New Roman" w:hAnsi="Times New Roman" w:cs="Times New Roman"/>
          <w:i/>
          <w:sz w:val="24"/>
          <w:szCs w:val="24"/>
        </w:rPr>
        <w:t>Année européenne 2012 du vieillissement actif et de la so</w:t>
      </w:r>
      <w:r w:rsidR="002C54F1" w:rsidRPr="003C3B5F">
        <w:rPr>
          <w:rFonts w:ascii="Times New Roman" w:hAnsi="Times New Roman" w:cs="Times New Roman"/>
          <w:i/>
          <w:sz w:val="24"/>
          <w:szCs w:val="24"/>
        </w:rPr>
        <w:t>lidarité entre les générations</w:t>
      </w:r>
      <w:r w:rsidR="002C54F1" w:rsidRPr="003C3B5F">
        <w:rPr>
          <w:rFonts w:ascii="Times New Roman" w:hAnsi="Times New Roman" w:cs="Times New Roman"/>
          <w:sz w:val="24"/>
          <w:szCs w:val="24"/>
        </w:rPr>
        <w:t xml:space="preserve">. Notre argument consiste à proposer une critique constructive de ce travail qui </w:t>
      </w:r>
      <w:r w:rsidR="007B7091" w:rsidRPr="003C3B5F">
        <w:rPr>
          <w:rFonts w:ascii="Times New Roman" w:hAnsi="Times New Roman" w:cs="Times New Roman"/>
          <w:sz w:val="24"/>
          <w:szCs w:val="24"/>
        </w:rPr>
        <w:t>propose</w:t>
      </w:r>
      <w:r w:rsidR="002C54F1" w:rsidRPr="003C3B5F">
        <w:rPr>
          <w:rFonts w:ascii="Times New Roman" w:hAnsi="Times New Roman" w:cs="Times New Roman"/>
          <w:sz w:val="24"/>
          <w:szCs w:val="24"/>
        </w:rPr>
        <w:t>, en substance, une critique ju</w:t>
      </w:r>
      <w:r w:rsidR="007622B4" w:rsidRPr="003C3B5F">
        <w:rPr>
          <w:rFonts w:ascii="Times New Roman" w:hAnsi="Times New Roman" w:cs="Times New Roman"/>
          <w:sz w:val="24"/>
          <w:szCs w:val="24"/>
        </w:rPr>
        <w:t>ridique d’un discours européen.</w:t>
      </w:r>
    </w:p>
    <w:p w:rsidR="002C54F1" w:rsidRPr="003C3B5F" w:rsidRDefault="002C54F1" w:rsidP="003C3B5F">
      <w:pPr>
        <w:jc w:val="both"/>
        <w:rPr>
          <w:rFonts w:ascii="Times New Roman" w:hAnsi="Times New Roman" w:cs="Times New Roman"/>
          <w:sz w:val="24"/>
          <w:szCs w:val="24"/>
        </w:rPr>
      </w:pPr>
      <w:r w:rsidRPr="003C3B5F">
        <w:rPr>
          <w:rFonts w:ascii="Times New Roman" w:hAnsi="Times New Roman" w:cs="Times New Roman"/>
          <w:sz w:val="24"/>
          <w:szCs w:val="24"/>
        </w:rPr>
        <w:t xml:space="preserve">Parce que l’ambition </w:t>
      </w:r>
      <w:r w:rsidR="0015698A" w:rsidRPr="003C3B5F">
        <w:rPr>
          <w:rFonts w:ascii="Times New Roman" w:hAnsi="Times New Roman" w:cs="Times New Roman"/>
          <w:sz w:val="24"/>
          <w:szCs w:val="24"/>
        </w:rPr>
        <w:t>du présent o</w:t>
      </w:r>
      <w:r w:rsidRPr="003C3B5F">
        <w:rPr>
          <w:rFonts w:ascii="Times New Roman" w:hAnsi="Times New Roman" w:cs="Times New Roman"/>
          <w:sz w:val="24"/>
          <w:szCs w:val="24"/>
        </w:rPr>
        <w:t>uvrage est de soutenir une démarche i</w:t>
      </w:r>
      <w:r w:rsidR="007B7091" w:rsidRPr="003C3B5F">
        <w:rPr>
          <w:rFonts w:ascii="Times New Roman" w:hAnsi="Times New Roman" w:cs="Times New Roman"/>
          <w:sz w:val="24"/>
          <w:szCs w:val="24"/>
        </w:rPr>
        <w:t>nterdisciplinaire, nous commençons</w:t>
      </w:r>
      <w:r w:rsidRPr="003C3B5F">
        <w:rPr>
          <w:rFonts w:ascii="Times New Roman" w:hAnsi="Times New Roman" w:cs="Times New Roman"/>
          <w:sz w:val="24"/>
          <w:szCs w:val="24"/>
        </w:rPr>
        <w:t xml:space="preserve"> par poser quelques balises pour assurer à celle-ci un début de cohérence. En particulier, nous explicitons </w:t>
      </w:r>
      <w:r w:rsidR="007B7091" w:rsidRPr="003C3B5F">
        <w:rPr>
          <w:rFonts w:ascii="Times New Roman" w:hAnsi="Times New Roman" w:cs="Times New Roman"/>
          <w:sz w:val="24"/>
          <w:szCs w:val="24"/>
        </w:rPr>
        <w:t xml:space="preserve">brièvement </w:t>
      </w:r>
      <w:r w:rsidRPr="003C3B5F">
        <w:rPr>
          <w:rFonts w:ascii="Times New Roman" w:hAnsi="Times New Roman" w:cs="Times New Roman"/>
          <w:sz w:val="24"/>
          <w:szCs w:val="24"/>
        </w:rPr>
        <w:t xml:space="preserve">le point de vue </w:t>
      </w:r>
      <w:r w:rsidR="0015698A" w:rsidRPr="003C3B5F">
        <w:rPr>
          <w:rFonts w:ascii="Times New Roman" w:hAnsi="Times New Roman" w:cs="Times New Roman"/>
          <w:sz w:val="24"/>
          <w:szCs w:val="24"/>
        </w:rPr>
        <w:t>à partir duquel</w:t>
      </w:r>
      <w:r w:rsidRPr="003C3B5F">
        <w:rPr>
          <w:rFonts w:ascii="Times New Roman" w:hAnsi="Times New Roman" w:cs="Times New Roman"/>
          <w:sz w:val="24"/>
          <w:szCs w:val="24"/>
        </w:rPr>
        <w:t xml:space="preserve"> nous parlons – sociologie de l’action publique en matière de vieillissement actif – afin de bien faire prendre conscience au lecteur que nous ne sommes en aucun cas un expert en matière </w:t>
      </w:r>
      <w:r w:rsidR="007622B4" w:rsidRPr="003C3B5F">
        <w:rPr>
          <w:rFonts w:ascii="Times New Roman" w:hAnsi="Times New Roman" w:cs="Times New Roman"/>
          <w:sz w:val="24"/>
          <w:szCs w:val="24"/>
        </w:rPr>
        <w:t>de « maltraitance des seniors » et qu’en conséquence, c’est bel et bien un regard de traverse que nous proposons ici.</w:t>
      </w:r>
    </w:p>
    <w:p w:rsidR="002C54F1" w:rsidRPr="003C3B5F" w:rsidRDefault="007B7091" w:rsidP="003C3B5F">
      <w:pPr>
        <w:jc w:val="both"/>
        <w:rPr>
          <w:rFonts w:ascii="Times New Roman" w:hAnsi="Times New Roman" w:cs="Times New Roman"/>
          <w:sz w:val="24"/>
          <w:szCs w:val="24"/>
        </w:rPr>
      </w:pPr>
      <w:r w:rsidRPr="003C3B5F">
        <w:rPr>
          <w:rFonts w:ascii="Times New Roman" w:hAnsi="Times New Roman" w:cs="Times New Roman"/>
          <w:sz w:val="24"/>
          <w:szCs w:val="24"/>
        </w:rPr>
        <w:t>Ensuite, nous résum</w:t>
      </w:r>
      <w:r w:rsidR="002C54F1" w:rsidRPr="003C3B5F">
        <w:rPr>
          <w:rFonts w:ascii="Times New Roman" w:hAnsi="Times New Roman" w:cs="Times New Roman"/>
          <w:sz w:val="24"/>
          <w:szCs w:val="24"/>
        </w:rPr>
        <w:t>ons notre lecture d</w:t>
      </w:r>
      <w:r w:rsidR="007622B4" w:rsidRPr="003C3B5F">
        <w:rPr>
          <w:rFonts w:ascii="Times New Roman" w:hAnsi="Times New Roman" w:cs="Times New Roman"/>
          <w:sz w:val="24"/>
          <w:szCs w:val="24"/>
        </w:rPr>
        <w:t xml:space="preserve">u texte d’Albert Evrard afin d’exposer </w:t>
      </w:r>
      <w:r w:rsidR="002C54F1" w:rsidRPr="003C3B5F">
        <w:rPr>
          <w:rFonts w:ascii="Times New Roman" w:hAnsi="Times New Roman" w:cs="Times New Roman"/>
          <w:sz w:val="24"/>
          <w:szCs w:val="24"/>
        </w:rPr>
        <w:t>les points qui nous paraissent saillants d’une part et afin de les mettre en rapport avec la littérature existan</w:t>
      </w:r>
      <w:r w:rsidR="0015698A" w:rsidRPr="003C3B5F">
        <w:rPr>
          <w:rFonts w:ascii="Times New Roman" w:hAnsi="Times New Roman" w:cs="Times New Roman"/>
          <w:sz w:val="24"/>
          <w:szCs w:val="24"/>
        </w:rPr>
        <w:t>te sur le vieillissement actif d’autre part.</w:t>
      </w:r>
    </w:p>
    <w:p w:rsidR="0015698A" w:rsidRPr="003C3B5F" w:rsidRDefault="0015698A" w:rsidP="003C3B5F">
      <w:pPr>
        <w:jc w:val="both"/>
        <w:rPr>
          <w:rFonts w:ascii="Times New Roman" w:hAnsi="Times New Roman" w:cs="Times New Roman"/>
          <w:sz w:val="24"/>
          <w:szCs w:val="24"/>
        </w:rPr>
      </w:pPr>
      <w:r w:rsidRPr="003C3B5F">
        <w:rPr>
          <w:rFonts w:ascii="Times New Roman" w:hAnsi="Times New Roman" w:cs="Times New Roman"/>
          <w:sz w:val="24"/>
          <w:szCs w:val="24"/>
        </w:rPr>
        <w:t xml:space="preserve">Dans </w:t>
      </w:r>
      <w:r w:rsidR="007B7091" w:rsidRPr="003C3B5F">
        <w:rPr>
          <w:rFonts w:ascii="Times New Roman" w:hAnsi="Times New Roman" w:cs="Times New Roman"/>
          <w:sz w:val="24"/>
          <w:szCs w:val="24"/>
        </w:rPr>
        <w:t>un troisième temps, nous point</w:t>
      </w:r>
      <w:r w:rsidRPr="003C3B5F">
        <w:rPr>
          <w:rFonts w:ascii="Times New Roman" w:hAnsi="Times New Roman" w:cs="Times New Roman"/>
          <w:sz w:val="24"/>
          <w:szCs w:val="24"/>
        </w:rPr>
        <w:t xml:space="preserve">ons certaines questions et limites que soulève le texte d’Albert Evrard. Néanmoins, disons-le dès </w:t>
      </w:r>
      <w:r w:rsidR="007622B4" w:rsidRPr="003C3B5F">
        <w:rPr>
          <w:rFonts w:ascii="Times New Roman" w:hAnsi="Times New Roman" w:cs="Times New Roman"/>
          <w:sz w:val="24"/>
          <w:szCs w:val="24"/>
        </w:rPr>
        <w:t>à présent</w:t>
      </w:r>
      <w:r w:rsidRPr="003C3B5F">
        <w:rPr>
          <w:rFonts w:ascii="Times New Roman" w:hAnsi="Times New Roman" w:cs="Times New Roman"/>
          <w:sz w:val="24"/>
          <w:szCs w:val="24"/>
        </w:rPr>
        <w:t> : nous sommes bien conscient que l’exercice auquel s’est livré Albert n’est en réalité qu’une ébauche, qu’un regard particulier et que celui-</w:t>
      </w:r>
      <w:r w:rsidR="007B7091" w:rsidRPr="003C3B5F">
        <w:rPr>
          <w:rFonts w:ascii="Times New Roman" w:hAnsi="Times New Roman" w:cs="Times New Roman"/>
          <w:sz w:val="24"/>
          <w:szCs w:val="24"/>
        </w:rPr>
        <w:t>ci, des vœux mêmes de l’auteur comme il le rappelle dans son</w:t>
      </w:r>
      <w:r w:rsidRPr="003C3B5F">
        <w:rPr>
          <w:rFonts w:ascii="Times New Roman" w:hAnsi="Times New Roman" w:cs="Times New Roman"/>
          <w:sz w:val="24"/>
          <w:szCs w:val="24"/>
        </w:rPr>
        <w:t xml:space="preserve"> introduction</w:t>
      </w:r>
      <w:r w:rsidR="007622B4" w:rsidRPr="003C3B5F">
        <w:rPr>
          <w:rFonts w:ascii="Times New Roman" w:hAnsi="Times New Roman" w:cs="Times New Roman"/>
          <w:sz w:val="24"/>
          <w:szCs w:val="24"/>
        </w:rPr>
        <w:t>,</w:t>
      </w:r>
      <w:r w:rsidRPr="003C3B5F">
        <w:rPr>
          <w:rFonts w:ascii="Times New Roman" w:hAnsi="Times New Roman" w:cs="Times New Roman"/>
          <w:sz w:val="24"/>
          <w:szCs w:val="24"/>
        </w:rPr>
        <w:t xml:space="preserve"> </w:t>
      </w:r>
      <w:r w:rsidR="0083397F" w:rsidRPr="003C3B5F">
        <w:rPr>
          <w:rFonts w:ascii="Times New Roman" w:hAnsi="Times New Roman" w:cs="Times New Roman"/>
          <w:sz w:val="24"/>
          <w:szCs w:val="24"/>
        </w:rPr>
        <w:t>est</w:t>
      </w:r>
      <w:r w:rsidRPr="003C3B5F">
        <w:rPr>
          <w:rFonts w:ascii="Times New Roman" w:hAnsi="Times New Roman" w:cs="Times New Roman"/>
          <w:sz w:val="24"/>
          <w:szCs w:val="24"/>
        </w:rPr>
        <w:t xml:space="preserve"> éminemment</w:t>
      </w:r>
      <w:r w:rsidR="0083397F" w:rsidRPr="003C3B5F">
        <w:rPr>
          <w:rFonts w:ascii="Times New Roman" w:hAnsi="Times New Roman" w:cs="Times New Roman"/>
          <w:sz w:val="24"/>
          <w:szCs w:val="24"/>
        </w:rPr>
        <w:t xml:space="preserve"> limité</w:t>
      </w:r>
      <w:r w:rsidRPr="003C3B5F">
        <w:rPr>
          <w:rFonts w:ascii="Times New Roman" w:hAnsi="Times New Roman" w:cs="Times New Roman"/>
          <w:sz w:val="24"/>
          <w:szCs w:val="24"/>
        </w:rPr>
        <w:t xml:space="preserve"> et mériterait de plus amples développements. C’est bien </w:t>
      </w:r>
      <w:r w:rsidR="007B7091" w:rsidRPr="003C3B5F">
        <w:rPr>
          <w:rFonts w:ascii="Times New Roman" w:hAnsi="Times New Roman" w:cs="Times New Roman"/>
          <w:sz w:val="24"/>
          <w:szCs w:val="24"/>
        </w:rPr>
        <w:t>dans cette perspective</w:t>
      </w:r>
      <w:r w:rsidRPr="003C3B5F">
        <w:rPr>
          <w:rFonts w:ascii="Times New Roman" w:hAnsi="Times New Roman" w:cs="Times New Roman"/>
          <w:sz w:val="24"/>
          <w:szCs w:val="24"/>
        </w:rPr>
        <w:t xml:space="preserve"> que nous formulons nos remarques.</w:t>
      </w:r>
    </w:p>
    <w:p w:rsidR="0015698A" w:rsidRPr="003C3B5F" w:rsidRDefault="0015698A" w:rsidP="003C3B5F">
      <w:pPr>
        <w:jc w:val="both"/>
        <w:rPr>
          <w:rFonts w:ascii="Times New Roman" w:hAnsi="Times New Roman" w:cs="Times New Roman"/>
          <w:sz w:val="24"/>
          <w:szCs w:val="24"/>
        </w:rPr>
      </w:pPr>
      <w:r w:rsidRPr="003C3B5F">
        <w:rPr>
          <w:rFonts w:ascii="Times New Roman" w:hAnsi="Times New Roman" w:cs="Times New Roman"/>
          <w:sz w:val="24"/>
          <w:szCs w:val="24"/>
        </w:rPr>
        <w:lastRenderedPageBreak/>
        <w:t xml:space="preserve">Enfin, </w:t>
      </w:r>
      <w:r w:rsidR="0059486D" w:rsidRPr="003C3B5F">
        <w:rPr>
          <w:rFonts w:ascii="Times New Roman" w:hAnsi="Times New Roman" w:cs="Times New Roman"/>
          <w:sz w:val="24"/>
          <w:szCs w:val="24"/>
        </w:rPr>
        <w:t>n</w:t>
      </w:r>
      <w:r w:rsidRPr="003C3B5F">
        <w:rPr>
          <w:rFonts w:ascii="Times New Roman" w:hAnsi="Times New Roman" w:cs="Times New Roman"/>
          <w:sz w:val="24"/>
          <w:szCs w:val="24"/>
        </w:rPr>
        <w:t xml:space="preserve">ous </w:t>
      </w:r>
      <w:r w:rsidR="006C741E" w:rsidRPr="003C3B5F">
        <w:rPr>
          <w:rFonts w:ascii="Times New Roman" w:hAnsi="Times New Roman" w:cs="Times New Roman"/>
          <w:sz w:val="24"/>
          <w:szCs w:val="24"/>
        </w:rPr>
        <w:t xml:space="preserve">proposons une piste qui appuie </w:t>
      </w:r>
      <w:r w:rsidRPr="003C3B5F">
        <w:rPr>
          <w:rFonts w:ascii="Times New Roman" w:hAnsi="Times New Roman" w:cs="Times New Roman"/>
          <w:sz w:val="24"/>
          <w:szCs w:val="24"/>
        </w:rPr>
        <w:t>certes l’évidence plus générale de l’article (le discours européen en matière de vieillissement actif risque de se rabattre sur le domaine du « vieillissement actif en emploi » M</w:t>
      </w:r>
      <w:r w:rsidR="006C741E" w:rsidRPr="003C3B5F">
        <w:rPr>
          <w:rFonts w:ascii="Times New Roman" w:hAnsi="Times New Roman" w:cs="Times New Roman"/>
          <w:sz w:val="24"/>
          <w:szCs w:val="24"/>
        </w:rPr>
        <w:t>oulaert, 2012) mais qui montre</w:t>
      </w:r>
      <w:r w:rsidR="007622B4" w:rsidRPr="003C3B5F">
        <w:rPr>
          <w:rFonts w:ascii="Times New Roman" w:hAnsi="Times New Roman" w:cs="Times New Roman"/>
          <w:sz w:val="24"/>
          <w:szCs w:val="24"/>
        </w:rPr>
        <w:t xml:space="preserve"> aussi</w:t>
      </w:r>
      <w:r w:rsidRPr="003C3B5F">
        <w:rPr>
          <w:rFonts w:ascii="Times New Roman" w:hAnsi="Times New Roman" w:cs="Times New Roman"/>
          <w:sz w:val="24"/>
          <w:szCs w:val="24"/>
        </w:rPr>
        <w:t xml:space="preserve"> que celle-ci doit se lire dans une perspective diachronique afin de voir que cette </w:t>
      </w:r>
      <w:r w:rsidR="0059486D" w:rsidRPr="003C3B5F">
        <w:rPr>
          <w:rFonts w:ascii="Times New Roman" w:hAnsi="Times New Roman" w:cs="Times New Roman"/>
          <w:sz w:val="24"/>
          <w:szCs w:val="24"/>
        </w:rPr>
        <w:t>approche</w:t>
      </w:r>
      <w:r w:rsidRPr="003C3B5F">
        <w:rPr>
          <w:rFonts w:ascii="Times New Roman" w:hAnsi="Times New Roman" w:cs="Times New Roman"/>
          <w:sz w:val="24"/>
          <w:szCs w:val="24"/>
        </w:rPr>
        <w:t xml:space="preserve"> n’est en réalité qu’un </w:t>
      </w:r>
      <w:r w:rsidR="006C741E" w:rsidRPr="003C3B5F">
        <w:rPr>
          <w:rFonts w:ascii="Times New Roman" w:hAnsi="Times New Roman" w:cs="Times New Roman"/>
          <w:sz w:val="24"/>
          <w:szCs w:val="24"/>
        </w:rPr>
        <w:t>somme</w:t>
      </w:r>
      <w:r w:rsidR="007622B4" w:rsidRPr="003C3B5F">
        <w:rPr>
          <w:rFonts w:ascii="Times New Roman" w:hAnsi="Times New Roman" w:cs="Times New Roman"/>
          <w:sz w:val="24"/>
          <w:szCs w:val="24"/>
        </w:rPr>
        <w:t>t</w:t>
      </w:r>
      <w:r w:rsidRPr="003C3B5F">
        <w:rPr>
          <w:rFonts w:ascii="Times New Roman" w:hAnsi="Times New Roman" w:cs="Times New Roman"/>
          <w:sz w:val="24"/>
          <w:szCs w:val="24"/>
        </w:rPr>
        <w:t xml:space="preserve"> d’un triangle </w:t>
      </w:r>
      <w:r w:rsidR="0059486D" w:rsidRPr="003C3B5F">
        <w:rPr>
          <w:rFonts w:ascii="Times New Roman" w:hAnsi="Times New Roman" w:cs="Times New Roman"/>
          <w:sz w:val="24"/>
          <w:szCs w:val="24"/>
        </w:rPr>
        <w:t xml:space="preserve">définitionnel </w:t>
      </w:r>
      <w:r w:rsidRPr="003C3B5F">
        <w:rPr>
          <w:rFonts w:ascii="Times New Roman" w:hAnsi="Times New Roman" w:cs="Times New Roman"/>
          <w:sz w:val="24"/>
          <w:szCs w:val="24"/>
        </w:rPr>
        <w:t>que représente, en 2012, le vieillissement actif au niveau européen</w:t>
      </w:r>
      <w:r w:rsidRPr="003C3B5F">
        <w:rPr>
          <w:rStyle w:val="Appelnotedebasdep"/>
          <w:rFonts w:ascii="Times New Roman" w:hAnsi="Times New Roman" w:cs="Times New Roman"/>
          <w:sz w:val="24"/>
          <w:szCs w:val="24"/>
        </w:rPr>
        <w:footnoteReference w:id="2"/>
      </w:r>
      <w:r w:rsidRPr="003C3B5F">
        <w:rPr>
          <w:rFonts w:ascii="Times New Roman" w:hAnsi="Times New Roman" w:cs="Times New Roman"/>
          <w:sz w:val="24"/>
          <w:szCs w:val="24"/>
        </w:rPr>
        <w:t xml:space="preserve">. </w:t>
      </w:r>
    </w:p>
    <w:p w:rsidR="002C54F1" w:rsidRPr="003C3B5F" w:rsidRDefault="004F39E7" w:rsidP="003C3B5F">
      <w:pPr>
        <w:jc w:val="both"/>
        <w:rPr>
          <w:rFonts w:ascii="Times New Roman" w:hAnsi="Times New Roman" w:cs="Times New Roman"/>
          <w:b/>
          <w:sz w:val="24"/>
          <w:szCs w:val="24"/>
        </w:rPr>
      </w:pPr>
      <w:r w:rsidRPr="003C3B5F">
        <w:rPr>
          <w:rFonts w:ascii="Times New Roman" w:hAnsi="Times New Roman" w:cs="Times New Roman"/>
          <w:b/>
          <w:sz w:val="24"/>
          <w:szCs w:val="24"/>
        </w:rPr>
        <w:t>1. « Ici Paris » ou la position de l’auteur face à l’objet</w:t>
      </w:r>
    </w:p>
    <w:p w:rsidR="004B16E1" w:rsidRPr="003C3B5F" w:rsidRDefault="007B7091" w:rsidP="003C3B5F">
      <w:pPr>
        <w:jc w:val="both"/>
        <w:rPr>
          <w:rFonts w:ascii="Times New Roman" w:hAnsi="Times New Roman" w:cs="Times New Roman"/>
          <w:sz w:val="24"/>
          <w:szCs w:val="24"/>
        </w:rPr>
      </w:pPr>
      <w:r w:rsidRPr="003C3B5F">
        <w:rPr>
          <w:rFonts w:ascii="Times New Roman" w:hAnsi="Times New Roman" w:cs="Times New Roman"/>
          <w:sz w:val="24"/>
          <w:szCs w:val="24"/>
        </w:rPr>
        <w:t xml:space="preserve">Une règle de base de la démarche scientifique en sciences humaines est de préciser le rapport </w:t>
      </w:r>
      <w:r w:rsidR="0026735E" w:rsidRPr="003C3B5F">
        <w:rPr>
          <w:rFonts w:ascii="Times New Roman" w:hAnsi="Times New Roman" w:cs="Times New Roman"/>
          <w:sz w:val="24"/>
          <w:szCs w:val="24"/>
        </w:rPr>
        <w:t>que le</w:t>
      </w:r>
      <w:r w:rsidRPr="003C3B5F">
        <w:rPr>
          <w:rFonts w:ascii="Times New Roman" w:hAnsi="Times New Roman" w:cs="Times New Roman"/>
          <w:sz w:val="24"/>
          <w:szCs w:val="24"/>
        </w:rPr>
        <w:t xml:space="preserve"> chercheur entretient avec le terrain </w:t>
      </w:r>
      <w:r w:rsidR="004B16E1" w:rsidRPr="003C3B5F">
        <w:rPr>
          <w:rFonts w:ascii="Times New Roman" w:hAnsi="Times New Roman" w:cs="Times New Roman"/>
          <w:sz w:val="24"/>
          <w:szCs w:val="24"/>
        </w:rPr>
        <w:t xml:space="preserve">ou l’objet </w:t>
      </w:r>
      <w:r w:rsidRPr="003C3B5F">
        <w:rPr>
          <w:rFonts w:ascii="Times New Roman" w:hAnsi="Times New Roman" w:cs="Times New Roman"/>
          <w:sz w:val="24"/>
          <w:szCs w:val="24"/>
        </w:rPr>
        <w:t>qu’il étudie.</w:t>
      </w:r>
      <w:r w:rsidR="0026735E" w:rsidRPr="003C3B5F">
        <w:rPr>
          <w:rFonts w:ascii="Times New Roman" w:hAnsi="Times New Roman" w:cs="Times New Roman"/>
          <w:sz w:val="24"/>
          <w:szCs w:val="24"/>
        </w:rPr>
        <w:t xml:space="preserve"> Personnellement, nous abordons la réflexion d’Albert Evrard – notre </w:t>
      </w:r>
      <w:r w:rsidR="004B16E1" w:rsidRPr="003C3B5F">
        <w:rPr>
          <w:rFonts w:ascii="Times New Roman" w:hAnsi="Times New Roman" w:cs="Times New Roman"/>
          <w:sz w:val="24"/>
          <w:szCs w:val="24"/>
        </w:rPr>
        <w:t>objet</w:t>
      </w:r>
      <w:r w:rsidR="0026735E" w:rsidRPr="003C3B5F">
        <w:rPr>
          <w:rFonts w:ascii="Times New Roman" w:hAnsi="Times New Roman" w:cs="Times New Roman"/>
          <w:sz w:val="24"/>
          <w:szCs w:val="24"/>
        </w:rPr>
        <w:t xml:space="preserve"> – en tant que chercheur ayant travaillé depuis un peu plus de 7 ans (Moulaert, 2005</w:t>
      </w:r>
      <w:r w:rsidR="004B16E1" w:rsidRPr="003C3B5F">
        <w:rPr>
          <w:rFonts w:ascii="Times New Roman" w:hAnsi="Times New Roman" w:cs="Times New Roman"/>
          <w:sz w:val="24"/>
          <w:szCs w:val="24"/>
        </w:rPr>
        <w:t> ; 2012</w:t>
      </w:r>
      <w:r w:rsidR="0026735E" w:rsidRPr="003C3B5F">
        <w:rPr>
          <w:rFonts w:ascii="Times New Roman" w:hAnsi="Times New Roman" w:cs="Times New Roman"/>
          <w:sz w:val="24"/>
          <w:szCs w:val="24"/>
        </w:rPr>
        <w:t>) sur l’influence, dans les politiques publiques, de la notion de vieillissement actif.</w:t>
      </w:r>
      <w:r w:rsidR="004B16E1" w:rsidRPr="003C3B5F">
        <w:rPr>
          <w:rFonts w:ascii="Times New Roman" w:hAnsi="Times New Roman" w:cs="Times New Roman"/>
          <w:sz w:val="24"/>
          <w:szCs w:val="24"/>
        </w:rPr>
        <w:t xml:space="preserve"> Au cours de cette période, notre positionnement a évolué. </w:t>
      </w:r>
    </w:p>
    <w:p w:rsidR="007B7091" w:rsidRPr="003C3B5F" w:rsidRDefault="0026735E" w:rsidP="003C3B5F">
      <w:pPr>
        <w:jc w:val="both"/>
        <w:rPr>
          <w:rFonts w:ascii="Times New Roman" w:hAnsi="Times New Roman" w:cs="Times New Roman"/>
          <w:sz w:val="24"/>
          <w:szCs w:val="24"/>
        </w:rPr>
      </w:pPr>
      <w:r w:rsidRPr="003C3B5F">
        <w:rPr>
          <w:rFonts w:ascii="Times New Roman" w:hAnsi="Times New Roman" w:cs="Times New Roman"/>
          <w:sz w:val="24"/>
          <w:szCs w:val="24"/>
        </w:rPr>
        <w:t xml:space="preserve">Comme ailleurs en Europe (Ney, 2005), </w:t>
      </w:r>
      <w:r w:rsidR="004B16E1" w:rsidRPr="003C3B5F">
        <w:rPr>
          <w:rFonts w:ascii="Times New Roman" w:hAnsi="Times New Roman" w:cs="Times New Roman"/>
          <w:sz w:val="24"/>
          <w:szCs w:val="24"/>
        </w:rPr>
        <w:t>le vieillissement actif</w:t>
      </w:r>
      <w:r w:rsidRPr="003C3B5F">
        <w:rPr>
          <w:rFonts w:ascii="Times New Roman" w:hAnsi="Times New Roman" w:cs="Times New Roman"/>
          <w:sz w:val="24"/>
          <w:szCs w:val="24"/>
        </w:rPr>
        <w:t xml:space="preserve"> a été essentiellement </w:t>
      </w:r>
      <w:r w:rsidR="004B16E1" w:rsidRPr="003C3B5F">
        <w:rPr>
          <w:rFonts w:ascii="Times New Roman" w:hAnsi="Times New Roman" w:cs="Times New Roman"/>
          <w:sz w:val="24"/>
          <w:szCs w:val="24"/>
        </w:rPr>
        <w:t>traduit</w:t>
      </w:r>
      <w:r w:rsidRPr="003C3B5F">
        <w:rPr>
          <w:rFonts w:ascii="Times New Roman" w:hAnsi="Times New Roman" w:cs="Times New Roman"/>
          <w:sz w:val="24"/>
          <w:szCs w:val="24"/>
        </w:rPr>
        <w:t xml:space="preserve"> au niveau des politiques nationales </w:t>
      </w:r>
      <w:r w:rsidR="004B16E1" w:rsidRPr="003C3B5F">
        <w:rPr>
          <w:rFonts w:ascii="Times New Roman" w:hAnsi="Times New Roman" w:cs="Times New Roman"/>
          <w:sz w:val="24"/>
          <w:szCs w:val="24"/>
        </w:rPr>
        <w:t xml:space="preserve">belges </w:t>
      </w:r>
      <w:r w:rsidRPr="003C3B5F">
        <w:rPr>
          <w:rFonts w:ascii="Times New Roman" w:hAnsi="Times New Roman" w:cs="Times New Roman"/>
          <w:sz w:val="24"/>
          <w:szCs w:val="24"/>
        </w:rPr>
        <w:t>à travers l’incitation à la prolongation des carrières et à la suppression des systèmes de retraite anticipée</w:t>
      </w:r>
      <w:r w:rsidR="004B16E1" w:rsidRPr="003C3B5F">
        <w:rPr>
          <w:rFonts w:ascii="Times New Roman" w:hAnsi="Times New Roman" w:cs="Times New Roman"/>
          <w:sz w:val="24"/>
          <w:szCs w:val="24"/>
        </w:rPr>
        <w:t xml:space="preserve"> durant les années 2000</w:t>
      </w:r>
      <w:r w:rsidRPr="003C3B5F">
        <w:rPr>
          <w:rFonts w:ascii="Times New Roman" w:hAnsi="Times New Roman" w:cs="Times New Roman"/>
          <w:sz w:val="24"/>
          <w:szCs w:val="24"/>
        </w:rPr>
        <w:t xml:space="preserve"> ; c’est pourquoi, nous avons résumé cette approche en termes de « vieillissement actif en emploi » (Moulaert, 2012). Nous verrons plus loin qu’il est possible d’observer d’autres traductions de ce mot, tant au niveau des politiques publiques </w:t>
      </w:r>
      <w:r w:rsidR="004B16E1" w:rsidRPr="003C3B5F">
        <w:rPr>
          <w:rFonts w:ascii="Times New Roman" w:hAnsi="Times New Roman" w:cs="Times New Roman"/>
          <w:sz w:val="24"/>
          <w:szCs w:val="24"/>
        </w:rPr>
        <w:t xml:space="preserve">qu’au </w:t>
      </w:r>
      <w:r w:rsidR="004B16E1" w:rsidRPr="003C3B5F">
        <w:rPr>
          <w:rFonts w:ascii="Times New Roman" w:hAnsi="Times New Roman" w:cs="Times New Roman"/>
          <w:sz w:val="24"/>
          <w:szCs w:val="24"/>
        </w:rPr>
        <w:t>niveau scientifique</w:t>
      </w:r>
      <w:r w:rsidR="004B16E1" w:rsidRPr="003C3B5F">
        <w:rPr>
          <w:rFonts w:ascii="Times New Roman" w:hAnsi="Times New Roman" w:cs="Times New Roman"/>
          <w:sz w:val="24"/>
          <w:szCs w:val="24"/>
        </w:rPr>
        <w:t>,</w:t>
      </w:r>
      <w:r w:rsidR="004B16E1" w:rsidRPr="003C3B5F">
        <w:rPr>
          <w:rFonts w:ascii="Times New Roman" w:hAnsi="Times New Roman" w:cs="Times New Roman"/>
          <w:sz w:val="24"/>
          <w:szCs w:val="24"/>
        </w:rPr>
        <w:t xml:space="preserve"> </w:t>
      </w:r>
      <w:r w:rsidRPr="003C3B5F">
        <w:rPr>
          <w:rFonts w:ascii="Times New Roman" w:hAnsi="Times New Roman" w:cs="Times New Roman"/>
          <w:sz w:val="24"/>
          <w:szCs w:val="24"/>
        </w:rPr>
        <w:t>et qu’il s’agit là d’un véritable défi pour l’espace francophone (Moulaert, Léonard, 2012).</w:t>
      </w:r>
    </w:p>
    <w:p w:rsidR="005579D8" w:rsidRPr="003C3B5F" w:rsidRDefault="00032747" w:rsidP="003C3B5F">
      <w:pPr>
        <w:jc w:val="both"/>
        <w:rPr>
          <w:rFonts w:ascii="Times New Roman" w:hAnsi="Times New Roman" w:cs="Times New Roman"/>
          <w:sz w:val="24"/>
          <w:szCs w:val="24"/>
        </w:rPr>
      </w:pPr>
      <w:r w:rsidRPr="003C3B5F">
        <w:rPr>
          <w:rFonts w:ascii="Times New Roman" w:hAnsi="Times New Roman" w:cs="Times New Roman"/>
          <w:sz w:val="24"/>
          <w:szCs w:val="24"/>
        </w:rPr>
        <w:t>D</w:t>
      </w:r>
      <w:r w:rsidR="0026735E" w:rsidRPr="003C3B5F">
        <w:rPr>
          <w:rFonts w:ascii="Times New Roman" w:hAnsi="Times New Roman" w:cs="Times New Roman"/>
          <w:sz w:val="24"/>
          <w:szCs w:val="24"/>
        </w:rPr>
        <w:t>ans notre travail de thèse, nous avons observé la traduction empirique belge de ce que pouvait donner ce vieillissement actif en matière d’emploi (Moulaert, 2012)</w:t>
      </w:r>
      <w:r w:rsidRPr="003C3B5F">
        <w:rPr>
          <w:rFonts w:ascii="Times New Roman" w:hAnsi="Times New Roman" w:cs="Times New Roman"/>
          <w:sz w:val="24"/>
          <w:szCs w:val="24"/>
        </w:rPr>
        <w:t xml:space="preserve"> et nous avons développé une perspective critique foucaldienne mise à l’épreuve de l’observation pragmatique de l’action publique « en train de se faire » (Jobert, Muller, 1987). Par la suite, nous avons voulu remonter vers les sources de création du terme même de vieillissement actif ou, plus exactement en ce qu’il fut d’</w:t>
      </w:r>
      <w:r w:rsidR="004B16E1" w:rsidRPr="003C3B5F">
        <w:rPr>
          <w:rFonts w:ascii="Times New Roman" w:hAnsi="Times New Roman" w:cs="Times New Roman"/>
          <w:sz w:val="24"/>
          <w:szCs w:val="24"/>
        </w:rPr>
        <w:t xml:space="preserve">abord construit hors du monde </w:t>
      </w:r>
      <w:r w:rsidRPr="003C3B5F">
        <w:rPr>
          <w:rFonts w:ascii="Times New Roman" w:hAnsi="Times New Roman" w:cs="Times New Roman"/>
          <w:sz w:val="24"/>
          <w:szCs w:val="24"/>
        </w:rPr>
        <w:t>francophone, d’« </w:t>
      </w:r>
      <w:r w:rsidRPr="003C3B5F">
        <w:rPr>
          <w:rFonts w:ascii="Times New Roman" w:hAnsi="Times New Roman" w:cs="Times New Roman"/>
          <w:i/>
          <w:sz w:val="24"/>
          <w:szCs w:val="24"/>
        </w:rPr>
        <w:t>active ageing</w:t>
      </w:r>
      <w:r w:rsidRPr="003C3B5F">
        <w:rPr>
          <w:rFonts w:ascii="Times New Roman" w:hAnsi="Times New Roman" w:cs="Times New Roman"/>
          <w:sz w:val="24"/>
          <w:szCs w:val="24"/>
        </w:rPr>
        <w:t> ».</w:t>
      </w:r>
      <w:r w:rsidR="005579D8" w:rsidRPr="003C3B5F">
        <w:rPr>
          <w:rFonts w:ascii="Times New Roman" w:hAnsi="Times New Roman" w:cs="Times New Roman"/>
          <w:sz w:val="24"/>
          <w:szCs w:val="24"/>
        </w:rPr>
        <w:t xml:space="preserve"> Nous avons ainsi mis en avant que si le niveau européen, durant les années 2000, avait incontestablement été un foyer de construction et de circulation du mot associé aux réformes en matière de prolongation des carrières, il existait également d’autres foyers de production qu’ils s’inscrivent dans une perspective similaire comme </w:t>
      </w:r>
      <w:r w:rsidR="00320F99" w:rsidRPr="003C3B5F">
        <w:rPr>
          <w:rFonts w:ascii="Times New Roman" w:hAnsi="Times New Roman" w:cs="Times New Roman"/>
          <w:sz w:val="24"/>
          <w:szCs w:val="24"/>
        </w:rPr>
        <w:t>l’Organisation de Coopération et de Développement Économiques (OCDE)</w:t>
      </w:r>
      <w:r w:rsidR="00320F99" w:rsidRPr="003C3B5F">
        <w:rPr>
          <w:rFonts w:ascii="Times New Roman" w:hAnsi="Times New Roman" w:cs="Times New Roman"/>
          <w:sz w:val="24"/>
          <w:szCs w:val="24"/>
        </w:rPr>
        <w:t xml:space="preserve"> </w:t>
      </w:r>
      <w:r w:rsidR="005579D8" w:rsidRPr="003C3B5F">
        <w:rPr>
          <w:rFonts w:ascii="Times New Roman" w:hAnsi="Times New Roman" w:cs="Times New Roman"/>
          <w:sz w:val="24"/>
          <w:szCs w:val="24"/>
        </w:rPr>
        <w:t>ou dans une approche radicalement différente comme celle de l’Organisation Mondiale de la Santé</w:t>
      </w:r>
      <w:r w:rsidR="00320F99" w:rsidRPr="003C3B5F">
        <w:rPr>
          <w:rFonts w:ascii="Times New Roman" w:hAnsi="Times New Roman" w:cs="Times New Roman"/>
          <w:sz w:val="24"/>
          <w:szCs w:val="24"/>
        </w:rPr>
        <w:t xml:space="preserve"> (OMS)</w:t>
      </w:r>
      <w:r w:rsidR="005579D8" w:rsidRPr="003C3B5F">
        <w:rPr>
          <w:rFonts w:ascii="Times New Roman" w:hAnsi="Times New Roman" w:cs="Times New Roman"/>
          <w:sz w:val="24"/>
          <w:szCs w:val="24"/>
        </w:rPr>
        <w:t xml:space="preserve"> (Moulaert, Biggs, 2012). Là encore, nous avons adopté une position critique face au vieillissement actif en soulignant qu’il encourageait trop fortement la reproduction des priorités de l’âge adulte (« </w:t>
      </w:r>
      <w:r w:rsidR="005579D8" w:rsidRPr="003C3B5F">
        <w:rPr>
          <w:rFonts w:ascii="Times New Roman" w:hAnsi="Times New Roman" w:cs="Times New Roman"/>
          <w:i/>
          <w:sz w:val="24"/>
          <w:szCs w:val="24"/>
        </w:rPr>
        <w:t>the more of the same</w:t>
      </w:r>
      <w:r w:rsidR="005579D8" w:rsidRPr="003C3B5F">
        <w:rPr>
          <w:rFonts w:ascii="Times New Roman" w:hAnsi="Times New Roman" w:cs="Times New Roman"/>
          <w:sz w:val="24"/>
          <w:szCs w:val="24"/>
        </w:rPr>
        <w:t> ») et qu’il n’envisageait pas suffisamment une pensée du vieillissement en propre. Depuis lors,</w:t>
      </w:r>
      <w:r w:rsidR="0055036F" w:rsidRPr="003C3B5F">
        <w:rPr>
          <w:rFonts w:ascii="Times New Roman" w:hAnsi="Times New Roman" w:cs="Times New Roman"/>
          <w:sz w:val="24"/>
          <w:szCs w:val="24"/>
        </w:rPr>
        <w:t xml:space="preserve"> à partir d’une méthodologie d’analyse de textes internationaux</w:t>
      </w:r>
      <w:r w:rsidR="0055036F" w:rsidRPr="003C3B5F">
        <w:rPr>
          <w:rStyle w:val="Appelnotedebasdep"/>
          <w:rFonts w:ascii="Times New Roman" w:hAnsi="Times New Roman" w:cs="Times New Roman"/>
          <w:sz w:val="24"/>
          <w:szCs w:val="24"/>
        </w:rPr>
        <w:footnoteReference w:id="3"/>
      </w:r>
      <w:r w:rsidR="0055036F" w:rsidRPr="003C3B5F">
        <w:rPr>
          <w:rFonts w:ascii="Times New Roman" w:hAnsi="Times New Roman" w:cs="Times New Roman"/>
          <w:sz w:val="24"/>
          <w:szCs w:val="24"/>
        </w:rPr>
        <w:t xml:space="preserve"> (Moulaert, Viriot Durandal, 2012)</w:t>
      </w:r>
      <w:r w:rsidR="005579D8" w:rsidRPr="003C3B5F">
        <w:rPr>
          <w:rFonts w:ascii="Times New Roman" w:hAnsi="Times New Roman" w:cs="Times New Roman"/>
          <w:sz w:val="24"/>
          <w:szCs w:val="24"/>
        </w:rPr>
        <w:t xml:space="preserve"> notre rapport au vieillissement </w:t>
      </w:r>
      <w:r w:rsidR="00FE02B5" w:rsidRPr="003C3B5F">
        <w:rPr>
          <w:rFonts w:ascii="Times New Roman" w:hAnsi="Times New Roman" w:cs="Times New Roman"/>
          <w:sz w:val="24"/>
          <w:szCs w:val="24"/>
        </w:rPr>
        <w:t xml:space="preserve">actif </w:t>
      </w:r>
      <w:r w:rsidR="005579D8" w:rsidRPr="003C3B5F">
        <w:rPr>
          <w:rFonts w:ascii="Times New Roman" w:hAnsi="Times New Roman" w:cs="Times New Roman"/>
          <w:sz w:val="24"/>
          <w:szCs w:val="24"/>
        </w:rPr>
        <w:t xml:space="preserve">a encore évolué puisque nous avons montré </w:t>
      </w:r>
      <w:r w:rsidR="005724A0" w:rsidRPr="003C3B5F">
        <w:rPr>
          <w:rFonts w:ascii="Times New Roman" w:hAnsi="Times New Roman" w:cs="Times New Roman"/>
          <w:sz w:val="24"/>
          <w:szCs w:val="24"/>
        </w:rPr>
        <w:t xml:space="preserve">que son sens avait pu évoluer non seulement entre grandes organisations internationales mais également au sein de celles-ci, </w:t>
      </w:r>
      <w:r w:rsidR="0055036F" w:rsidRPr="003C3B5F">
        <w:rPr>
          <w:rFonts w:ascii="Times New Roman" w:hAnsi="Times New Roman" w:cs="Times New Roman"/>
          <w:sz w:val="24"/>
          <w:szCs w:val="24"/>
        </w:rPr>
        <w:t>et</w:t>
      </w:r>
      <w:r w:rsidR="005724A0" w:rsidRPr="003C3B5F">
        <w:rPr>
          <w:rFonts w:ascii="Times New Roman" w:hAnsi="Times New Roman" w:cs="Times New Roman"/>
          <w:sz w:val="24"/>
          <w:szCs w:val="24"/>
        </w:rPr>
        <w:t xml:space="preserve"> que les littératures francophone et anglophone avaient des perspectives radicalement opposées à son égard </w:t>
      </w:r>
      <w:r w:rsidR="005579D8" w:rsidRPr="003C3B5F">
        <w:rPr>
          <w:rFonts w:ascii="Times New Roman" w:hAnsi="Times New Roman" w:cs="Times New Roman"/>
          <w:sz w:val="24"/>
          <w:szCs w:val="24"/>
        </w:rPr>
        <w:t>(</w:t>
      </w:r>
      <w:r w:rsidR="005724A0" w:rsidRPr="003C3B5F">
        <w:rPr>
          <w:rFonts w:ascii="Times New Roman" w:hAnsi="Times New Roman" w:cs="Times New Roman"/>
          <w:sz w:val="24"/>
          <w:szCs w:val="24"/>
        </w:rPr>
        <w:t>Viriot Durandal, Moulaert, 2011</w:t>
      </w:r>
      <w:r w:rsidR="005579D8" w:rsidRPr="003C3B5F">
        <w:rPr>
          <w:rFonts w:ascii="Times New Roman" w:hAnsi="Times New Roman" w:cs="Times New Roman"/>
          <w:sz w:val="24"/>
          <w:szCs w:val="24"/>
        </w:rPr>
        <w:t>)</w:t>
      </w:r>
      <w:r w:rsidR="005724A0" w:rsidRPr="003C3B5F">
        <w:rPr>
          <w:rFonts w:ascii="Times New Roman" w:hAnsi="Times New Roman" w:cs="Times New Roman"/>
          <w:sz w:val="24"/>
          <w:szCs w:val="24"/>
        </w:rPr>
        <w:t> : dans l’espace francophone, nous le comprenons essentiellement en lien avec le marché de l’emploi alors que dans l’espace anglophone, il renvoie à une variété de domaines beaucoup plus éclatée.</w:t>
      </w:r>
    </w:p>
    <w:p w:rsidR="005724A0" w:rsidRPr="003C3B5F" w:rsidRDefault="005724A0" w:rsidP="003C3B5F">
      <w:pPr>
        <w:jc w:val="both"/>
        <w:rPr>
          <w:rFonts w:ascii="Times New Roman" w:hAnsi="Times New Roman" w:cs="Times New Roman"/>
          <w:sz w:val="24"/>
          <w:szCs w:val="24"/>
        </w:rPr>
      </w:pPr>
      <w:r w:rsidRPr="003C3B5F">
        <w:rPr>
          <w:rFonts w:ascii="Times New Roman" w:hAnsi="Times New Roman" w:cs="Times New Roman"/>
          <w:sz w:val="24"/>
          <w:szCs w:val="24"/>
        </w:rPr>
        <w:t>Ayant pris peu à peu conscience de cette variabilité de la notion au cours du temps, selon les espace</w:t>
      </w:r>
      <w:r w:rsidR="00FE02B5" w:rsidRPr="003C3B5F">
        <w:rPr>
          <w:rFonts w:ascii="Times New Roman" w:hAnsi="Times New Roman" w:cs="Times New Roman"/>
          <w:sz w:val="24"/>
          <w:szCs w:val="24"/>
        </w:rPr>
        <w:t>s culturels et en fonction des g</w:t>
      </w:r>
      <w:r w:rsidRPr="003C3B5F">
        <w:rPr>
          <w:rFonts w:ascii="Times New Roman" w:hAnsi="Times New Roman" w:cs="Times New Roman"/>
          <w:sz w:val="24"/>
          <w:szCs w:val="24"/>
        </w:rPr>
        <w:t xml:space="preserve">randes organisations </w:t>
      </w:r>
      <w:r w:rsidR="00FE02B5" w:rsidRPr="003C3B5F">
        <w:rPr>
          <w:rFonts w:ascii="Times New Roman" w:hAnsi="Times New Roman" w:cs="Times New Roman"/>
          <w:sz w:val="24"/>
          <w:szCs w:val="24"/>
        </w:rPr>
        <w:t xml:space="preserve">internationales </w:t>
      </w:r>
      <w:r w:rsidRPr="003C3B5F">
        <w:rPr>
          <w:rFonts w:ascii="Times New Roman" w:hAnsi="Times New Roman" w:cs="Times New Roman"/>
          <w:sz w:val="24"/>
          <w:szCs w:val="24"/>
        </w:rPr>
        <w:t xml:space="preserve">qui le mobilisent, nous devons également signaler que nous avons eu un poste d’observation de premier rang au cours de l’année 2012, sacrée </w:t>
      </w:r>
      <w:r w:rsidRPr="003C3B5F">
        <w:rPr>
          <w:rFonts w:ascii="Times New Roman" w:hAnsi="Times New Roman" w:cs="Times New Roman"/>
          <w:i/>
          <w:sz w:val="24"/>
          <w:szCs w:val="24"/>
        </w:rPr>
        <w:t xml:space="preserve">Année européenne du vieillissement actif et de la solidarité entre </w:t>
      </w:r>
      <w:r w:rsidR="00FE02B5" w:rsidRPr="003C3B5F">
        <w:rPr>
          <w:rFonts w:ascii="Times New Roman" w:hAnsi="Times New Roman" w:cs="Times New Roman"/>
          <w:i/>
          <w:sz w:val="24"/>
          <w:szCs w:val="24"/>
        </w:rPr>
        <w:t xml:space="preserve">les </w:t>
      </w:r>
      <w:r w:rsidRPr="003C3B5F">
        <w:rPr>
          <w:rFonts w:ascii="Times New Roman" w:hAnsi="Times New Roman" w:cs="Times New Roman"/>
          <w:i/>
          <w:sz w:val="24"/>
          <w:szCs w:val="24"/>
        </w:rPr>
        <w:t>générations</w:t>
      </w:r>
      <w:r w:rsidRPr="003C3B5F">
        <w:rPr>
          <w:rFonts w:ascii="Times New Roman" w:hAnsi="Times New Roman" w:cs="Times New Roman"/>
          <w:sz w:val="24"/>
          <w:szCs w:val="24"/>
        </w:rPr>
        <w:t>. En effet, nous avons eu l’opportunité de faire partie de l’équipe de recherche qui a été chargée de soutenir l’équipe responsable de la traduction de cette année dans notre pays (Burnay et al., 2012). En tant que chercheur confronté au politique, cette position nous a permis de mieux comprendre les stratégies et les rapports de force qui pouvaient se nouer au nom du vieillissement actif ; surtout,</w:t>
      </w:r>
      <w:r w:rsidR="004B16E1" w:rsidRPr="003C3B5F">
        <w:rPr>
          <w:rFonts w:ascii="Times New Roman" w:hAnsi="Times New Roman" w:cs="Times New Roman"/>
          <w:sz w:val="24"/>
          <w:szCs w:val="24"/>
        </w:rPr>
        <w:t xml:space="preserve"> cette expérience nous permettra d’alimenter la dernière partie de ce texte en montrant que si dans une première lecture, on ne peut qu’être d’accord avec l’argument et la critique d’Albert Evrard</w:t>
      </w:r>
      <w:r w:rsidRPr="003C3B5F">
        <w:rPr>
          <w:rFonts w:ascii="Times New Roman" w:hAnsi="Times New Roman" w:cs="Times New Roman"/>
          <w:sz w:val="24"/>
          <w:szCs w:val="24"/>
        </w:rPr>
        <w:t xml:space="preserve"> </w:t>
      </w:r>
      <w:r w:rsidR="004B16E1" w:rsidRPr="003C3B5F">
        <w:rPr>
          <w:rFonts w:ascii="Times New Roman" w:hAnsi="Times New Roman" w:cs="Times New Roman"/>
          <w:sz w:val="24"/>
          <w:szCs w:val="24"/>
        </w:rPr>
        <w:t>– le texte européen est porteur d’un réductionnisme de la notion de vieillissement actif au domaine des fins de carrière et ceci est porteur d’une forme de « maltraitance des seniors » – en seconde lecture, on ne peut que s’interroger sur les explications de cette situation.</w:t>
      </w:r>
    </w:p>
    <w:p w:rsidR="00FE02B5" w:rsidRPr="003C3B5F" w:rsidRDefault="00FE02B5" w:rsidP="003C3B5F">
      <w:pPr>
        <w:jc w:val="both"/>
        <w:rPr>
          <w:rFonts w:ascii="Times New Roman" w:hAnsi="Times New Roman" w:cs="Times New Roman"/>
          <w:sz w:val="24"/>
          <w:szCs w:val="24"/>
        </w:rPr>
      </w:pPr>
      <w:r w:rsidRPr="003C3B5F">
        <w:rPr>
          <w:rFonts w:ascii="Times New Roman" w:hAnsi="Times New Roman" w:cs="Times New Roman"/>
          <w:sz w:val="24"/>
          <w:szCs w:val="24"/>
        </w:rPr>
        <w:t>En conséquence, on aura compris que nous ne sommes aucunement expert dans le domaine de la « maltraitance des seniors ».</w:t>
      </w:r>
    </w:p>
    <w:p w:rsidR="004F39E7" w:rsidRPr="003C3B5F" w:rsidRDefault="007B7091" w:rsidP="003C3B5F">
      <w:pPr>
        <w:jc w:val="both"/>
        <w:rPr>
          <w:rFonts w:ascii="Times New Roman" w:hAnsi="Times New Roman" w:cs="Times New Roman"/>
          <w:sz w:val="24"/>
          <w:szCs w:val="24"/>
        </w:rPr>
      </w:pPr>
      <w:r w:rsidRPr="003C3B5F">
        <w:rPr>
          <w:rFonts w:ascii="Times New Roman" w:hAnsi="Times New Roman" w:cs="Times New Roman"/>
          <w:sz w:val="24"/>
          <w:szCs w:val="24"/>
        </w:rPr>
        <w:t>Si telle est notre position, il nous a semblé que celle d’Albert</w:t>
      </w:r>
      <w:r w:rsidR="004F39E7" w:rsidRPr="003C3B5F">
        <w:rPr>
          <w:rFonts w:ascii="Times New Roman" w:hAnsi="Times New Roman" w:cs="Times New Roman"/>
          <w:sz w:val="24"/>
          <w:szCs w:val="24"/>
        </w:rPr>
        <w:t xml:space="preserve"> Evrard</w:t>
      </w:r>
      <w:r w:rsidRPr="003C3B5F">
        <w:rPr>
          <w:rFonts w:ascii="Times New Roman" w:hAnsi="Times New Roman" w:cs="Times New Roman"/>
          <w:sz w:val="24"/>
          <w:szCs w:val="24"/>
        </w:rPr>
        <w:t xml:space="preserve"> n’avait pas été assez explicitée</w:t>
      </w:r>
      <w:r w:rsidR="004F39E7" w:rsidRPr="003C3B5F">
        <w:rPr>
          <w:rFonts w:ascii="Times New Roman" w:hAnsi="Times New Roman" w:cs="Times New Roman"/>
          <w:sz w:val="24"/>
          <w:szCs w:val="24"/>
        </w:rPr>
        <w:t>.</w:t>
      </w:r>
      <w:r w:rsidRPr="003C3B5F">
        <w:rPr>
          <w:rFonts w:ascii="Times New Roman" w:hAnsi="Times New Roman" w:cs="Times New Roman"/>
          <w:sz w:val="24"/>
          <w:szCs w:val="24"/>
        </w:rPr>
        <w:t xml:space="preserve"> En effet, si</w:t>
      </w:r>
      <w:r w:rsidR="004F39E7" w:rsidRPr="003C3B5F">
        <w:rPr>
          <w:rFonts w:ascii="Times New Roman" w:hAnsi="Times New Roman" w:cs="Times New Roman"/>
          <w:sz w:val="24"/>
          <w:szCs w:val="24"/>
        </w:rPr>
        <w:t xml:space="preserve"> sa proposition d’introduire le triptyque « joie, espérance et </w:t>
      </w:r>
      <w:r w:rsidR="004F39E7" w:rsidRPr="003C3B5F">
        <w:rPr>
          <w:rFonts w:ascii="Times New Roman" w:hAnsi="Times New Roman" w:cs="Times New Roman"/>
          <w:i/>
          <w:sz w:val="24"/>
          <w:szCs w:val="24"/>
        </w:rPr>
        <w:t>caritas</w:t>
      </w:r>
      <w:r w:rsidR="004F39E7" w:rsidRPr="003C3B5F">
        <w:rPr>
          <w:rFonts w:ascii="Times New Roman" w:hAnsi="Times New Roman" w:cs="Times New Roman"/>
          <w:sz w:val="24"/>
          <w:szCs w:val="24"/>
        </w:rPr>
        <w:t> »</w:t>
      </w:r>
      <w:r w:rsidR="0083397F" w:rsidRPr="003C3B5F">
        <w:rPr>
          <w:rFonts w:ascii="Times New Roman" w:hAnsi="Times New Roman" w:cs="Times New Roman"/>
          <w:sz w:val="24"/>
          <w:szCs w:val="24"/>
        </w:rPr>
        <w:t xml:space="preserve"> est originale et implique, comme l’admet l’auteur, </w:t>
      </w:r>
      <w:r w:rsidRPr="003C3B5F">
        <w:rPr>
          <w:rFonts w:ascii="Times New Roman" w:hAnsi="Times New Roman" w:cs="Times New Roman"/>
          <w:sz w:val="24"/>
          <w:szCs w:val="24"/>
        </w:rPr>
        <w:t>qu’</w:t>
      </w:r>
      <w:r w:rsidR="0083397F" w:rsidRPr="003C3B5F">
        <w:rPr>
          <w:rFonts w:ascii="Times New Roman" w:hAnsi="Times New Roman" w:cs="Times New Roman"/>
          <w:sz w:val="24"/>
          <w:szCs w:val="24"/>
        </w:rPr>
        <w:t>« un examen plus approfondi serait indispensable pour le vérifier », elle nécessite surtout une clarification des justifications de cette piste du point de vue de l’auteur.</w:t>
      </w:r>
      <w:r w:rsidR="004F39E7" w:rsidRPr="003C3B5F">
        <w:rPr>
          <w:rFonts w:ascii="Times New Roman" w:hAnsi="Times New Roman" w:cs="Times New Roman"/>
          <w:sz w:val="24"/>
          <w:szCs w:val="24"/>
        </w:rPr>
        <w:t xml:space="preserve"> </w:t>
      </w:r>
      <w:r w:rsidRPr="003C3B5F">
        <w:rPr>
          <w:rFonts w:ascii="Times New Roman" w:hAnsi="Times New Roman" w:cs="Times New Roman"/>
          <w:sz w:val="24"/>
          <w:szCs w:val="24"/>
        </w:rPr>
        <w:t xml:space="preserve">En effet, comme nous le verrons dans la troisième section, cette analyse doit être rapprochée de la position personnelle d’Albert Evrard au sein de l’Église catholique. </w:t>
      </w:r>
    </w:p>
    <w:p w:rsidR="004F39E7" w:rsidRPr="003C3B5F" w:rsidRDefault="004F39E7" w:rsidP="003C3B5F">
      <w:pPr>
        <w:jc w:val="both"/>
        <w:rPr>
          <w:rFonts w:ascii="Times New Roman" w:hAnsi="Times New Roman" w:cs="Times New Roman"/>
          <w:b/>
          <w:sz w:val="24"/>
          <w:szCs w:val="24"/>
        </w:rPr>
      </w:pPr>
      <w:r w:rsidRPr="003C3B5F">
        <w:rPr>
          <w:rFonts w:ascii="Times New Roman" w:hAnsi="Times New Roman" w:cs="Times New Roman"/>
          <w:b/>
          <w:sz w:val="24"/>
          <w:szCs w:val="24"/>
        </w:rPr>
        <w:t>2.</w:t>
      </w:r>
      <w:r w:rsidR="00602C08" w:rsidRPr="003C3B5F">
        <w:rPr>
          <w:rFonts w:ascii="Times New Roman" w:hAnsi="Times New Roman" w:cs="Times New Roman"/>
          <w:b/>
          <w:sz w:val="24"/>
          <w:szCs w:val="24"/>
        </w:rPr>
        <w:t xml:space="preserve"> « Les Français parlent aux Français » ou ce que l’auteur entend dans ce qui est écrit</w:t>
      </w:r>
    </w:p>
    <w:p w:rsidR="004F39E7" w:rsidRPr="003C3B5F" w:rsidRDefault="00FB5A2C" w:rsidP="003C3B5F">
      <w:pPr>
        <w:jc w:val="both"/>
        <w:rPr>
          <w:rFonts w:ascii="Times New Roman" w:hAnsi="Times New Roman" w:cs="Times New Roman"/>
          <w:sz w:val="24"/>
          <w:szCs w:val="24"/>
        </w:rPr>
      </w:pPr>
      <w:r w:rsidRPr="003C3B5F">
        <w:rPr>
          <w:rFonts w:ascii="Times New Roman" w:hAnsi="Times New Roman" w:cs="Times New Roman"/>
          <w:sz w:val="24"/>
          <w:szCs w:val="24"/>
        </w:rPr>
        <w:t>La réflexion d’Albert Evrard offre une approche juridique stimulante d’un texte européen particulier, texte qui lance officiellement l’</w:t>
      </w:r>
      <w:r w:rsidRPr="003C3B5F">
        <w:rPr>
          <w:rFonts w:ascii="Times New Roman" w:hAnsi="Times New Roman" w:cs="Times New Roman"/>
          <w:i/>
          <w:sz w:val="24"/>
          <w:szCs w:val="24"/>
        </w:rPr>
        <w:t>Année européenne du vieillissement actif et de la solidarité entre les générations</w:t>
      </w:r>
      <w:r w:rsidRPr="003C3B5F">
        <w:rPr>
          <w:rFonts w:ascii="Times New Roman" w:hAnsi="Times New Roman" w:cs="Times New Roman"/>
          <w:sz w:val="24"/>
          <w:szCs w:val="24"/>
        </w:rPr>
        <w:t>. L’analyse juridique de l’ensemble des « considérants » est très instructive et la finesse de l’auteur pointe certaines contradictions</w:t>
      </w:r>
      <w:r w:rsidR="00FE02B5" w:rsidRPr="003C3B5F">
        <w:rPr>
          <w:rFonts w:ascii="Times New Roman" w:hAnsi="Times New Roman" w:cs="Times New Roman"/>
          <w:sz w:val="24"/>
          <w:szCs w:val="24"/>
        </w:rPr>
        <w:t>. Par</w:t>
      </w:r>
      <w:r w:rsidRPr="003C3B5F">
        <w:rPr>
          <w:rFonts w:ascii="Times New Roman" w:hAnsi="Times New Roman" w:cs="Times New Roman"/>
          <w:sz w:val="24"/>
          <w:szCs w:val="24"/>
        </w:rPr>
        <w:t xml:space="preserve"> exemple</w:t>
      </w:r>
      <w:r w:rsidR="00FE02B5" w:rsidRPr="003C3B5F">
        <w:rPr>
          <w:rFonts w:ascii="Times New Roman" w:hAnsi="Times New Roman" w:cs="Times New Roman"/>
          <w:sz w:val="24"/>
          <w:szCs w:val="24"/>
        </w:rPr>
        <w:t>, on s’étonne que si la teneur des arguments se veut porteuse d’une perspective positive du vieillissement, le considérant 7 mentionne</w:t>
      </w:r>
      <w:r w:rsidRPr="003C3B5F">
        <w:rPr>
          <w:rFonts w:ascii="Times New Roman" w:hAnsi="Times New Roman" w:cs="Times New Roman"/>
          <w:sz w:val="24"/>
          <w:szCs w:val="24"/>
        </w:rPr>
        <w:t xml:space="preserve"> que « les traités indiquent que certaines régions souffrent de handicaps démographiques graves et permanents</w:t>
      </w:r>
      <w:r w:rsidR="00FE02B5" w:rsidRPr="003C3B5F">
        <w:rPr>
          <w:rFonts w:ascii="Times New Roman" w:hAnsi="Times New Roman" w:cs="Times New Roman"/>
          <w:sz w:val="24"/>
          <w:szCs w:val="24"/>
        </w:rPr>
        <w:t> »… Difficile de faire plus contradictoire !</w:t>
      </w:r>
      <w:r w:rsidR="00A13053" w:rsidRPr="003C3B5F">
        <w:rPr>
          <w:rFonts w:ascii="Times New Roman" w:hAnsi="Times New Roman" w:cs="Times New Roman"/>
          <w:sz w:val="24"/>
          <w:szCs w:val="24"/>
        </w:rPr>
        <w:t xml:space="preserve"> </w:t>
      </w:r>
    </w:p>
    <w:p w:rsidR="00B52196" w:rsidRPr="003C3B5F" w:rsidRDefault="00B52196" w:rsidP="003C3B5F">
      <w:pPr>
        <w:jc w:val="both"/>
        <w:rPr>
          <w:rFonts w:ascii="Times New Roman" w:hAnsi="Times New Roman" w:cs="Times New Roman"/>
          <w:sz w:val="24"/>
          <w:szCs w:val="24"/>
        </w:rPr>
      </w:pPr>
      <w:r w:rsidRPr="003C3B5F">
        <w:rPr>
          <w:rFonts w:ascii="Times New Roman" w:hAnsi="Times New Roman" w:cs="Times New Roman"/>
          <w:sz w:val="24"/>
          <w:szCs w:val="24"/>
        </w:rPr>
        <w:t xml:space="preserve">Malgré le fait que nous ne suivons pas toujours la logique de sélection des « considérants » et « articles » pris en compte pour l’argumentation, il est indéniable que l’article pointe dans la bonne direction : primo, il souligne combien la priorité donnée à l’employabilité au sein de l’Europe reste importante. Secundo et de manière plus originale, il avance l’hypothèse que, </w:t>
      </w:r>
      <w:r w:rsidRPr="003C3B5F">
        <w:rPr>
          <w:rFonts w:ascii="Times New Roman" w:hAnsi="Times New Roman" w:cs="Times New Roman"/>
          <w:i/>
          <w:sz w:val="24"/>
          <w:szCs w:val="24"/>
        </w:rPr>
        <w:t>in fine</w:t>
      </w:r>
      <w:r w:rsidRPr="003C3B5F">
        <w:rPr>
          <w:rFonts w:ascii="Times New Roman" w:hAnsi="Times New Roman" w:cs="Times New Roman"/>
          <w:sz w:val="24"/>
          <w:szCs w:val="24"/>
        </w:rPr>
        <w:t>, ce pourrait être le cadre fixé par un tel texte qui deviendrait, bien malgré lui, maltraitant à l’égard des personnes plus âgées en insistant trop exclusivement sur cette centralité du marché du travail.</w:t>
      </w:r>
    </w:p>
    <w:p w:rsidR="00A347CD" w:rsidRPr="003C3B5F" w:rsidRDefault="00A347CD" w:rsidP="003C3B5F">
      <w:pPr>
        <w:jc w:val="both"/>
        <w:rPr>
          <w:rFonts w:ascii="Times New Roman" w:hAnsi="Times New Roman" w:cs="Times New Roman"/>
          <w:sz w:val="24"/>
          <w:szCs w:val="24"/>
        </w:rPr>
      </w:pPr>
      <w:r w:rsidRPr="003C3B5F">
        <w:rPr>
          <w:rFonts w:ascii="Times New Roman" w:hAnsi="Times New Roman" w:cs="Times New Roman"/>
          <w:sz w:val="24"/>
          <w:szCs w:val="24"/>
        </w:rPr>
        <w:t>Il s’agit ensuite pour l’auteur de clarifier ce à quoi pourraient renvoyer les notions de « senior » et de «  maltraitance » dans le document européen.  Si l’on ne peut qu’être d’accord avec l’idée d’Alber</w:t>
      </w:r>
      <w:r w:rsidR="003F2919" w:rsidRPr="003C3B5F">
        <w:rPr>
          <w:rFonts w:ascii="Times New Roman" w:hAnsi="Times New Roman" w:cs="Times New Roman"/>
          <w:sz w:val="24"/>
          <w:szCs w:val="24"/>
        </w:rPr>
        <w:t>t</w:t>
      </w:r>
      <w:r w:rsidRPr="003C3B5F">
        <w:rPr>
          <w:rFonts w:ascii="Times New Roman" w:hAnsi="Times New Roman" w:cs="Times New Roman"/>
          <w:sz w:val="24"/>
          <w:szCs w:val="24"/>
        </w:rPr>
        <w:t xml:space="preserve"> Evrard selon laquelle « Savoir qui est un senior et ce qu'est la maltraitance, ainsi que les mots pour en parler, varie généralement selon les contextes, les moments, les domaines d’inscription ou de l'agir humain », on aurait pu s’attendre à ce qu’il balise ces deux termes d’après la littérature pour ensuite</w:t>
      </w:r>
      <w:r w:rsidR="00397845" w:rsidRPr="003C3B5F">
        <w:rPr>
          <w:rFonts w:ascii="Times New Roman" w:hAnsi="Times New Roman" w:cs="Times New Roman"/>
          <w:sz w:val="24"/>
          <w:szCs w:val="24"/>
        </w:rPr>
        <w:t xml:space="preserve"> montrer le rapport, plus ou moins grand, entre ces définitions et celles que contiendraient (ou pas) le document analysé.</w:t>
      </w:r>
      <w:r w:rsidR="003F2919" w:rsidRPr="003C3B5F">
        <w:rPr>
          <w:rFonts w:ascii="Times New Roman" w:hAnsi="Times New Roman" w:cs="Times New Roman"/>
          <w:sz w:val="24"/>
          <w:szCs w:val="24"/>
        </w:rPr>
        <w:t xml:space="preserve"> Il préfère souligner la rareté du mot « senior »</w:t>
      </w:r>
      <w:r w:rsidR="003F2919" w:rsidRPr="003C3B5F">
        <w:rPr>
          <w:rStyle w:val="Appelnotedebasdep"/>
          <w:rFonts w:ascii="Times New Roman" w:hAnsi="Times New Roman" w:cs="Times New Roman"/>
          <w:sz w:val="24"/>
          <w:szCs w:val="24"/>
        </w:rPr>
        <w:footnoteReference w:id="4"/>
      </w:r>
      <w:r w:rsidR="00B661DB" w:rsidRPr="003C3B5F">
        <w:rPr>
          <w:rFonts w:ascii="Times New Roman" w:hAnsi="Times New Roman" w:cs="Times New Roman"/>
          <w:sz w:val="24"/>
          <w:szCs w:val="24"/>
        </w:rPr>
        <w:t xml:space="preserve"> et le flou qui entoure les notions, bien davantage utilisées, de « personnes âgées » (</w:t>
      </w:r>
      <w:r w:rsidR="00B661DB" w:rsidRPr="003C3B5F">
        <w:rPr>
          <w:rFonts w:ascii="Times New Roman" w:hAnsi="Times New Roman" w:cs="Times New Roman"/>
          <w:i/>
          <w:sz w:val="24"/>
          <w:szCs w:val="24"/>
        </w:rPr>
        <w:t>older people/older persons</w:t>
      </w:r>
      <w:r w:rsidR="00B661DB" w:rsidRPr="003C3B5F">
        <w:rPr>
          <w:rFonts w:ascii="Times New Roman" w:hAnsi="Times New Roman" w:cs="Times New Roman"/>
          <w:sz w:val="24"/>
          <w:szCs w:val="24"/>
        </w:rPr>
        <w:t>). Si l’on s’accorde avec Albert Evrard sur le fait que la catégorie « senior » constituait à l’origine une cible marketing, on gagne</w:t>
      </w:r>
      <w:r w:rsidR="000D7AB4" w:rsidRPr="003C3B5F">
        <w:rPr>
          <w:rFonts w:ascii="Times New Roman" w:hAnsi="Times New Roman" w:cs="Times New Roman"/>
          <w:sz w:val="24"/>
          <w:szCs w:val="24"/>
        </w:rPr>
        <w:t>rait</w:t>
      </w:r>
      <w:r w:rsidR="00B661DB" w:rsidRPr="003C3B5F">
        <w:rPr>
          <w:rFonts w:ascii="Times New Roman" w:hAnsi="Times New Roman" w:cs="Times New Roman"/>
          <w:sz w:val="24"/>
          <w:szCs w:val="24"/>
        </w:rPr>
        <w:t xml:space="preserve"> à observer qu’elle « recouvre l’ensemble des personnes de plus de 50 ans – ce qui constitue un marché énorme – tout en se focalisant sur la partie la plus jeune et la plus aisée de cette population » (Caradec, 2001, 27). Si Albert Evrard met bien en avant que la référence aux « personnes âgées » réfère en réalité, dans le document français, aux « personnes qui approchent de la soixantaine ou qui l’ont dépassée », le passage à la version anglaise aurait permis de faire </w:t>
      </w:r>
      <w:r w:rsidR="006C741E" w:rsidRPr="003C3B5F">
        <w:rPr>
          <w:rFonts w:ascii="Times New Roman" w:hAnsi="Times New Roman" w:cs="Times New Roman"/>
          <w:sz w:val="24"/>
          <w:szCs w:val="24"/>
        </w:rPr>
        <w:t xml:space="preserve">plus clairement </w:t>
      </w:r>
      <w:r w:rsidR="00B661DB" w:rsidRPr="003C3B5F">
        <w:rPr>
          <w:rFonts w:ascii="Times New Roman" w:hAnsi="Times New Roman" w:cs="Times New Roman"/>
          <w:sz w:val="24"/>
          <w:szCs w:val="24"/>
        </w:rPr>
        <w:t>le lien</w:t>
      </w:r>
      <w:r w:rsidR="000D7AB4" w:rsidRPr="003C3B5F">
        <w:rPr>
          <w:rFonts w:ascii="Times New Roman" w:hAnsi="Times New Roman" w:cs="Times New Roman"/>
          <w:sz w:val="24"/>
          <w:szCs w:val="24"/>
        </w:rPr>
        <w:t xml:space="preserve"> avec cette définition</w:t>
      </w:r>
      <w:r w:rsidR="00B661DB" w:rsidRPr="003C3B5F">
        <w:rPr>
          <w:rFonts w:ascii="Times New Roman" w:hAnsi="Times New Roman" w:cs="Times New Roman"/>
          <w:sz w:val="24"/>
          <w:szCs w:val="24"/>
        </w:rPr>
        <w:t> : en effet, il y est alors question des « </w:t>
      </w:r>
      <w:r w:rsidR="00B661DB" w:rsidRPr="003C3B5F">
        <w:rPr>
          <w:rFonts w:ascii="Times New Roman" w:hAnsi="Times New Roman" w:cs="Times New Roman"/>
          <w:i/>
          <w:sz w:val="24"/>
          <w:szCs w:val="24"/>
        </w:rPr>
        <w:t>people in their late 50s and over</w:t>
      </w:r>
      <w:r w:rsidR="00B661DB" w:rsidRPr="003C3B5F">
        <w:rPr>
          <w:rFonts w:ascii="Times New Roman" w:hAnsi="Times New Roman" w:cs="Times New Roman"/>
          <w:sz w:val="24"/>
          <w:szCs w:val="24"/>
        </w:rPr>
        <w:t> »</w:t>
      </w:r>
      <w:r w:rsidR="000D7AB4" w:rsidRPr="003C3B5F">
        <w:rPr>
          <w:rFonts w:ascii="Times New Roman" w:hAnsi="Times New Roman" w:cs="Times New Roman"/>
          <w:sz w:val="24"/>
          <w:szCs w:val="24"/>
        </w:rPr>
        <w:t>, c’est-à-</w:t>
      </w:r>
      <w:r w:rsidR="002D1FB7" w:rsidRPr="003C3B5F">
        <w:rPr>
          <w:rFonts w:ascii="Times New Roman" w:hAnsi="Times New Roman" w:cs="Times New Roman"/>
          <w:sz w:val="24"/>
          <w:szCs w:val="24"/>
        </w:rPr>
        <w:t>dire des personnes</w:t>
      </w:r>
      <w:r w:rsidR="000D7AB4" w:rsidRPr="003C3B5F">
        <w:rPr>
          <w:rFonts w:ascii="Times New Roman" w:hAnsi="Times New Roman" w:cs="Times New Roman"/>
          <w:sz w:val="24"/>
          <w:szCs w:val="24"/>
        </w:rPr>
        <w:t xml:space="preserve"> qui recouvrent</w:t>
      </w:r>
      <w:r w:rsidR="00D635A8" w:rsidRPr="003C3B5F">
        <w:rPr>
          <w:rFonts w:ascii="Times New Roman" w:hAnsi="Times New Roman" w:cs="Times New Roman"/>
          <w:sz w:val="24"/>
          <w:szCs w:val="24"/>
        </w:rPr>
        <w:t xml:space="preserve"> la catégorie de « senior » selon Caradec.</w:t>
      </w:r>
    </w:p>
    <w:p w:rsidR="006C741E" w:rsidRPr="003C3B5F" w:rsidRDefault="006C741E" w:rsidP="003C3B5F">
      <w:pPr>
        <w:jc w:val="both"/>
        <w:rPr>
          <w:rFonts w:ascii="Times New Roman" w:hAnsi="Times New Roman" w:cs="Times New Roman"/>
          <w:sz w:val="24"/>
          <w:szCs w:val="24"/>
        </w:rPr>
      </w:pPr>
      <w:r w:rsidRPr="003C3B5F">
        <w:rPr>
          <w:rFonts w:ascii="Times New Roman" w:hAnsi="Times New Roman" w:cs="Times New Roman"/>
          <w:sz w:val="24"/>
          <w:szCs w:val="24"/>
        </w:rPr>
        <w:t>Quant à la définition de la « maltraitance » des plus âgés, l’auteur apporte quelques précisions bien utiles en note de bas de page</w:t>
      </w:r>
      <w:r w:rsidRPr="003C3B5F">
        <w:rPr>
          <w:rStyle w:val="Appelnotedebasdep"/>
          <w:rFonts w:ascii="Times New Roman" w:hAnsi="Times New Roman" w:cs="Times New Roman"/>
          <w:sz w:val="24"/>
          <w:szCs w:val="24"/>
        </w:rPr>
        <w:footnoteReference w:id="5"/>
      </w:r>
      <w:r w:rsidRPr="003C3B5F">
        <w:rPr>
          <w:rFonts w:ascii="Times New Roman" w:hAnsi="Times New Roman" w:cs="Times New Roman"/>
          <w:sz w:val="24"/>
          <w:szCs w:val="24"/>
        </w:rPr>
        <w:t xml:space="preserve">. Néanmoins, il ne cherche pas à comprendre pourquoi le texte européen n’est pas plus explicite à cet égard. </w:t>
      </w:r>
      <w:r w:rsidR="00CB6DE5" w:rsidRPr="003C3B5F">
        <w:rPr>
          <w:rFonts w:ascii="Times New Roman" w:hAnsi="Times New Roman" w:cs="Times New Roman"/>
          <w:sz w:val="24"/>
          <w:szCs w:val="24"/>
        </w:rPr>
        <w:t>C’est, nous semble-t-il, une limite de son article.</w:t>
      </w:r>
    </w:p>
    <w:p w:rsidR="004F39E7" w:rsidRPr="003C3B5F" w:rsidRDefault="004F39E7" w:rsidP="003C3B5F">
      <w:pPr>
        <w:jc w:val="both"/>
        <w:rPr>
          <w:rFonts w:ascii="Times New Roman" w:hAnsi="Times New Roman" w:cs="Times New Roman"/>
          <w:b/>
          <w:sz w:val="24"/>
          <w:szCs w:val="24"/>
        </w:rPr>
      </w:pPr>
      <w:r w:rsidRPr="003C3B5F">
        <w:rPr>
          <w:rFonts w:ascii="Times New Roman" w:hAnsi="Times New Roman" w:cs="Times New Roman"/>
          <w:b/>
          <w:sz w:val="24"/>
          <w:szCs w:val="24"/>
        </w:rPr>
        <w:t>3.</w:t>
      </w:r>
      <w:r w:rsidR="00602C08" w:rsidRPr="003C3B5F">
        <w:rPr>
          <w:rFonts w:ascii="Times New Roman" w:hAnsi="Times New Roman" w:cs="Times New Roman"/>
          <w:b/>
          <w:sz w:val="24"/>
          <w:szCs w:val="24"/>
        </w:rPr>
        <w:t xml:space="preserve"> </w:t>
      </w:r>
      <w:r w:rsidR="00361815" w:rsidRPr="003C3B5F">
        <w:rPr>
          <w:rFonts w:ascii="Times New Roman" w:hAnsi="Times New Roman" w:cs="Times New Roman"/>
          <w:b/>
          <w:sz w:val="24"/>
          <w:szCs w:val="24"/>
        </w:rPr>
        <w:t xml:space="preserve">Quelques problèmes de réception </w:t>
      </w:r>
      <w:r w:rsidR="003C3B5F">
        <w:rPr>
          <w:rFonts w:ascii="Times New Roman" w:hAnsi="Times New Roman" w:cs="Times New Roman"/>
          <w:b/>
          <w:sz w:val="24"/>
          <w:szCs w:val="24"/>
        </w:rPr>
        <w:t>du message</w:t>
      </w:r>
    </w:p>
    <w:p w:rsidR="007F4B35" w:rsidRPr="003C3B5F" w:rsidRDefault="007F4B35" w:rsidP="003C3B5F">
      <w:pPr>
        <w:jc w:val="both"/>
        <w:rPr>
          <w:rFonts w:ascii="Times New Roman" w:hAnsi="Times New Roman" w:cs="Times New Roman"/>
          <w:sz w:val="24"/>
          <w:szCs w:val="24"/>
        </w:rPr>
      </w:pPr>
      <w:r w:rsidRPr="003C3B5F">
        <w:rPr>
          <w:rFonts w:ascii="Times New Roman" w:hAnsi="Times New Roman" w:cs="Times New Roman"/>
          <w:sz w:val="24"/>
          <w:szCs w:val="24"/>
        </w:rPr>
        <w:t>Si l’intérêt du texte d’Albert est indéniable dans sa capacité à suivre un fil interprétatif original (le texte européen serait porteur, en lui-même, de maltraitance), il faut cependant en souligner certaines ambiguïtés.</w:t>
      </w:r>
    </w:p>
    <w:p w:rsidR="007F4B35" w:rsidRPr="003C3B5F" w:rsidRDefault="007F4B35" w:rsidP="003C3B5F">
      <w:pPr>
        <w:jc w:val="both"/>
        <w:rPr>
          <w:rFonts w:ascii="Times New Roman" w:hAnsi="Times New Roman" w:cs="Times New Roman"/>
          <w:sz w:val="24"/>
          <w:szCs w:val="24"/>
        </w:rPr>
      </w:pPr>
      <w:r w:rsidRPr="003C3B5F">
        <w:rPr>
          <w:rFonts w:ascii="Times New Roman" w:hAnsi="Times New Roman" w:cs="Times New Roman"/>
          <w:sz w:val="24"/>
          <w:szCs w:val="24"/>
        </w:rPr>
        <w:t xml:space="preserve">Tout d’abord, comme nous l’avons suggéré précédemment,  il n’est pas toujours évident de suivre la logique qui a présidé aux choix de l’auteur. Certes, on peut faire confiance à son intuition et ses capacités d’interprétation juridique d’un texte européen. Néanmoins, nous nous demandons parfois sur quelles bases se font les interprétations. S’il pointe par exemple « des personnes dites </w:t>
      </w:r>
      <w:r w:rsidRPr="003C3B5F">
        <w:rPr>
          <w:rFonts w:ascii="Times New Roman" w:hAnsi="Times New Roman" w:cs="Times New Roman"/>
          <w:i/>
          <w:sz w:val="24"/>
          <w:szCs w:val="24"/>
        </w:rPr>
        <w:t>actives</w:t>
      </w:r>
      <w:r w:rsidRPr="003C3B5F">
        <w:rPr>
          <w:rFonts w:ascii="Times New Roman" w:hAnsi="Times New Roman" w:cs="Times New Roman"/>
          <w:sz w:val="24"/>
          <w:szCs w:val="24"/>
        </w:rPr>
        <w:t xml:space="preserve">  à l’aune d’une valeur d’utilité et d’autres devenues du même coup </w:t>
      </w:r>
      <w:r w:rsidRPr="003C3B5F">
        <w:rPr>
          <w:rFonts w:ascii="Times New Roman" w:hAnsi="Times New Roman" w:cs="Times New Roman"/>
          <w:i/>
          <w:sz w:val="24"/>
          <w:szCs w:val="24"/>
        </w:rPr>
        <w:t>passives</w:t>
      </w:r>
      <w:r w:rsidRPr="003C3B5F">
        <w:rPr>
          <w:rFonts w:ascii="Times New Roman" w:hAnsi="Times New Roman" w:cs="Times New Roman"/>
          <w:sz w:val="24"/>
          <w:szCs w:val="24"/>
        </w:rPr>
        <w:t>, bonnes candidates à la maltraitance », nous ne comprenons pas le lien qui est fait avec les considérants 14 (pour la notion de « personnes dites actives ») et 24 (pour celles dites « passives »), l’opposition « passif/actif » n’apparaissant pas dans le texte.</w:t>
      </w:r>
    </w:p>
    <w:p w:rsidR="00CB6DE5" w:rsidRPr="003C3B5F" w:rsidRDefault="00CB6DE5" w:rsidP="003C3B5F">
      <w:pPr>
        <w:jc w:val="both"/>
        <w:rPr>
          <w:rFonts w:ascii="Times New Roman" w:hAnsi="Times New Roman" w:cs="Times New Roman"/>
          <w:sz w:val="24"/>
          <w:szCs w:val="24"/>
        </w:rPr>
      </w:pPr>
      <w:r w:rsidRPr="003C3B5F">
        <w:rPr>
          <w:rFonts w:ascii="Times New Roman" w:hAnsi="Times New Roman" w:cs="Times New Roman"/>
          <w:sz w:val="24"/>
          <w:szCs w:val="24"/>
        </w:rPr>
        <w:t>Ensuite, pourquoi l’auteur ne cherche-t-il pas à comprendre l’absence de définition de la maltraitance dans ce texte ? Cela ne serait-il pas plus « logique » que de vouloir</w:t>
      </w:r>
      <w:r w:rsidR="00361815" w:rsidRPr="003C3B5F">
        <w:rPr>
          <w:rFonts w:ascii="Times New Roman" w:hAnsi="Times New Roman" w:cs="Times New Roman"/>
          <w:sz w:val="24"/>
          <w:szCs w:val="24"/>
        </w:rPr>
        <w:t xml:space="preserve"> trop vite interpréter ce texte en relations à des sources extérieures</w:t>
      </w:r>
      <w:r w:rsidRPr="003C3B5F">
        <w:rPr>
          <w:rFonts w:ascii="Times New Roman" w:hAnsi="Times New Roman" w:cs="Times New Roman"/>
          <w:sz w:val="24"/>
          <w:szCs w:val="24"/>
        </w:rPr>
        <w:t xml:space="preserve"> (c’est-à-dire en mobilisant par exemple des arrêts de la CEDH sans que l’on sache comment ces arrêts ont été sélectionnés ou s’il n’en existe pas d’autres qui apporteraient une interprétation différente, etc.)</w:t>
      </w:r>
      <w:r w:rsidR="00361815" w:rsidRPr="003C3B5F">
        <w:rPr>
          <w:rFonts w:ascii="Times New Roman" w:hAnsi="Times New Roman" w:cs="Times New Roman"/>
          <w:sz w:val="24"/>
          <w:szCs w:val="24"/>
        </w:rPr>
        <w:t> ? Ne faut-il pas au contraire replacer son texte dans son contexte socio-historique de production ?</w:t>
      </w:r>
    </w:p>
    <w:p w:rsidR="004F39E7" w:rsidRPr="003C3B5F" w:rsidRDefault="007F4B35" w:rsidP="003C3B5F">
      <w:pPr>
        <w:jc w:val="both"/>
        <w:rPr>
          <w:rFonts w:ascii="Times New Roman" w:hAnsi="Times New Roman" w:cs="Times New Roman"/>
          <w:sz w:val="24"/>
          <w:szCs w:val="24"/>
        </w:rPr>
      </w:pPr>
      <w:r w:rsidRPr="003C3B5F">
        <w:rPr>
          <w:rFonts w:ascii="Times New Roman" w:hAnsi="Times New Roman" w:cs="Times New Roman"/>
          <w:sz w:val="24"/>
          <w:szCs w:val="24"/>
        </w:rPr>
        <w:t>Enfin, l</w:t>
      </w:r>
      <w:r w:rsidR="0083397F" w:rsidRPr="003C3B5F">
        <w:rPr>
          <w:rFonts w:ascii="Times New Roman" w:hAnsi="Times New Roman" w:cs="Times New Roman"/>
          <w:sz w:val="24"/>
          <w:szCs w:val="24"/>
        </w:rPr>
        <w:t xml:space="preserve">a position d’Albert Evrard ne nous semble pas assez explicitée. En effet, pour le lecteur connaissant l’auteur ou au fait des usages de l’orthographe ecclésiastique,  on note qu’il est « sj », c’est-à-dire membre de la Société de Jésus. Dès lors, on ne peut que s’interroger sur la portée réelle de ses propositions finales en faveur d’une relecture du texte européen à partir de la « joie, espérance et </w:t>
      </w:r>
      <w:r w:rsidR="0083397F" w:rsidRPr="003C3B5F">
        <w:rPr>
          <w:rFonts w:ascii="Times New Roman" w:hAnsi="Times New Roman" w:cs="Times New Roman"/>
          <w:i/>
          <w:sz w:val="24"/>
          <w:szCs w:val="24"/>
        </w:rPr>
        <w:t>caritas</w:t>
      </w:r>
      <w:r w:rsidR="0083397F" w:rsidRPr="003C3B5F">
        <w:rPr>
          <w:rFonts w:ascii="Times New Roman" w:hAnsi="Times New Roman" w:cs="Times New Roman"/>
          <w:sz w:val="24"/>
          <w:szCs w:val="24"/>
        </w:rPr>
        <w:t> ». L’</w:t>
      </w:r>
      <w:r w:rsidR="005E074B" w:rsidRPr="003C3B5F">
        <w:rPr>
          <w:rFonts w:ascii="Times New Roman" w:hAnsi="Times New Roman" w:cs="Times New Roman"/>
          <w:sz w:val="24"/>
          <w:szCs w:val="24"/>
        </w:rPr>
        <w:t>auteur a beau signaler</w:t>
      </w:r>
      <w:r w:rsidR="0083397F" w:rsidRPr="003C3B5F">
        <w:rPr>
          <w:rFonts w:ascii="Times New Roman" w:hAnsi="Times New Roman" w:cs="Times New Roman"/>
          <w:sz w:val="24"/>
          <w:szCs w:val="24"/>
        </w:rPr>
        <w:t xml:space="preserve"> qu’il se base sur</w:t>
      </w:r>
      <w:r w:rsidR="005E074B" w:rsidRPr="003C3B5F">
        <w:rPr>
          <w:rFonts w:ascii="Times New Roman" w:hAnsi="Times New Roman" w:cs="Times New Roman"/>
          <w:sz w:val="24"/>
          <w:szCs w:val="24"/>
        </w:rPr>
        <w:t xml:space="preserve"> un « fond culturel européen lié à une anthropologie judéo-chrétienne sans pour autant s’y réduire », sur</w:t>
      </w:r>
      <w:r w:rsidR="0083397F" w:rsidRPr="003C3B5F">
        <w:rPr>
          <w:rFonts w:ascii="Times New Roman" w:hAnsi="Times New Roman" w:cs="Times New Roman"/>
          <w:sz w:val="24"/>
          <w:szCs w:val="24"/>
        </w:rPr>
        <w:t xml:space="preserve"> les définitions </w:t>
      </w:r>
      <w:r w:rsidR="005E074B" w:rsidRPr="003C3B5F">
        <w:rPr>
          <w:rFonts w:ascii="Times New Roman" w:hAnsi="Times New Roman" w:cs="Times New Roman"/>
          <w:sz w:val="24"/>
          <w:szCs w:val="24"/>
        </w:rPr>
        <w:t>tirées du</w:t>
      </w:r>
      <w:r w:rsidR="0083397F" w:rsidRPr="003C3B5F">
        <w:rPr>
          <w:rFonts w:ascii="Times New Roman" w:hAnsi="Times New Roman" w:cs="Times New Roman"/>
          <w:sz w:val="24"/>
          <w:szCs w:val="24"/>
        </w:rPr>
        <w:t xml:space="preserve"> dictionnaire </w:t>
      </w:r>
      <w:r w:rsidR="0083397F" w:rsidRPr="003C3B5F">
        <w:rPr>
          <w:rFonts w:ascii="Times New Roman" w:hAnsi="Times New Roman" w:cs="Times New Roman"/>
          <w:i/>
          <w:sz w:val="24"/>
          <w:szCs w:val="24"/>
        </w:rPr>
        <w:t xml:space="preserve">Le </w:t>
      </w:r>
      <w:r w:rsidR="005E074B" w:rsidRPr="003C3B5F">
        <w:rPr>
          <w:rFonts w:ascii="Times New Roman" w:hAnsi="Times New Roman" w:cs="Times New Roman"/>
          <w:i/>
          <w:sz w:val="24"/>
          <w:szCs w:val="24"/>
        </w:rPr>
        <w:t xml:space="preserve">Grand </w:t>
      </w:r>
      <w:r w:rsidR="0083397F" w:rsidRPr="003C3B5F">
        <w:rPr>
          <w:rFonts w:ascii="Times New Roman" w:hAnsi="Times New Roman" w:cs="Times New Roman"/>
          <w:i/>
          <w:sz w:val="24"/>
          <w:szCs w:val="24"/>
        </w:rPr>
        <w:t>Robert</w:t>
      </w:r>
      <w:r w:rsidR="005E074B" w:rsidRPr="003C3B5F">
        <w:rPr>
          <w:rFonts w:ascii="Times New Roman" w:hAnsi="Times New Roman" w:cs="Times New Roman"/>
          <w:i/>
          <w:sz w:val="24"/>
          <w:szCs w:val="24"/>
        </w:rPr>
        <w:t xml:space="preserve"> de la langue française</w:t>
      </w:r>
      <w:r w:rsidR="005E074B" w:rsidRPr="003C3B5F">
        <w:rPr>
          <w:rFonts w:ascii="Times New Roman" w:hAnsi="Times New Roman" w:cs="Times New Roman"/>
          <w:sz w:val="24"/>
          <w:szCs w:val="24"/>
        </w:rPr>
        <w:t xml:space="preserve"> et reconnaitre, dans l’ultime note de bas de page, que ces trois notions sont proches des vertus morales et théologales que sont la « foi, l’espérance et la charité », il n’empêche que sa position de chercheur jésuite d’une part et ses sources d’autre part</w:t>
      </w:r>
      <w:r w:rsidR="005E074B" w:rsidRPr="003C3B5F">
        <w:rPr>
          <w:rStyle w:val="Appelnotedebasdep"/>
          <w:rFonts w:ascii="Times New Roman" w:hAnsi="Times New Roman" w:cs="Times New Roman"/>
          <w:sz w:val="24"/>
          <w:szCs w:val="24"/>
        </w:rPr>
        <w:footnoteReference w:id="6"/>
      </w:r>
      <w:r w:rsidR="005E074B" w:rsidRPr="003C3B5F">
        <w:rPr>
          <w:rFonts w:ascii="Times New Roman" w:hAnsi="Times New Roman" w:cs="Times New Roman"/>
          <w:sz w:val="24"/>
          <w:szCs w:val="24"/>
        </w:rPr>
        <w:t xml:space="preserve"> font penser</w:t>
      </w:r>
      <w:r w:rsidR="00602C08" w:rsidRPr="003C3B5F">
        <w:rPr>
          <w:rFonts w:ascii="Times New Roman" w:hAnsi="Times New Roman" w:cs="Times New Roman"/>
          <w:sz w:val="24"/>
          <w:szCs w:val="24"/>
        </w:rPr>
        <w:t xml:space="preserve"> à une approche normative non assumée. Or, si l’auteur pouvait se situer par rapport aux travaux </w:t>
      </w:r>
      <w:r w:rsidR="00361815" w:rsidRPr="003C3B5F">
        <w:rPr>
          <w:rFonts w:ascii="Times New Roman" w:hAnsi="Times New Roman" w:cs="Times New Roman"/>
          <w:sz w:val="24"/>
          <w:szCs w:val="24"/>
        </w:rPr>
        <w:t>croisant</w:t>
      </w:r>
      <w:r w:rsidR="00602C08" w:rsidRPr="003C3B5F">
        <w:rPr>
          <w:rFonts w:ascii="Times New Roman" w:hAnsi="Times New Roman" w:cs="Times New Roman"/>
          <w:sz w:val="24"/>
          <w:szCs w:val="24"/>
        </w:rPr>
        <w:t xml:space="preserve"> vieillissement et spiritualité </w:t>
      </w:r>
      <w:r w:rsidR="00361815" w:rsidRPr="003C3B5F">
        <w:rPr>
          <w:rFonts w:ascii="Times New Roman" w:hAnsi="Times New Roman" w:cs="Times New Roman"/>
          <w:sz w:val="24"/>
          <w:szCs w:val="24"/>
        </w:rPr>
        <w:t xml:space="preserve"> (voir par exemple ceux de Tornstam, </w:t>
      </w:r>
      <w:r w:rsidR="00602C08" w:rsidRPr="003C3B5F">
        <w:rPr>
          <w:rFonts w:ascii="Times New Roman" w:hAnsi="Times New Roman" w:cs="Times New Roman"/>
          <w:sz w:val="24"/>
          <w:szCs w:val="24"/>
        </w:rPr>
        <w:t>2005</w:t>
      </w:r>
      <w:r w:rsidR="00361815" w:rsidRPr="003C3B5F">
        <w:rPr>
          <w:rFonts w:ascii="Times New Roman" w:hAnsi="Times New Roman" w:cs="Times New Roman"/>
          <w:sz w:val="24"/>
          <w:szCs w:val="24"/>
        </w:rPr>
        <w:t xml:space="preserve"> ; Sadler et al., </w:t>
      </w:r>
      <w:r w:rsidR="00602C08" w:rsidRPr="003C3B5F">
        <w:rPr>
          <w:rFonts w:ascii="Times New Roman" w:hAnsi="Times New Roman" w:cs="Times New Roman"/>
          <w:sz w:val="24"/>
          <w:szCs w:val="24"/>
        </w:rPr>
        <w:t xml:space="preserve">2012), son </w:t>
      </w:r>
      <w:r w:rsidR="00361815" w:rsidRPr="003C3B5F">
        <w:rPr>
          <w:rFonts w:ascii="Times New Roman" w:hAnsi="Times New Roman" w:cs="Times New Roman"/>
          <w:sz w:val="24"/>
          <w:szCs w:val="24"/>
        </w:rPr>
        <w:t>chapitre</w:t>
      </w:r>
      <w:r w:rsidR="00602C08" w:rsidRPr="003C3B5F">
        <w:rPr>
          <w:rFonts w:ascii="Times New Roman" w:hAnsi="Times New Roman" w:cs="Times New Roman"/>
          <w:sz w:val="24"/>
          <w:szCs w:val="24"/>
        </w:rPr>
        <w:t xml:space="preserve"> gagnerait en </w:t>
      </w:r>
      <w:r w:rsidR="00361815" w:rsidRPr="003C3B5F">
        <w:rPr>
          <w:rFonts w:ascii="Times New Roman" w:hAnsi="Times New Roman" w:cs="Times New Roman"/>
          <w:sz w:val="24"/>
          <w:szCs w:val="24"/>
        </w:rPr>
        <w:t>profondeur.</w:t>
      </w:r>
    </w:p>
    <w:p w:rsidR="00361815" w:rsidRPr="003C3B5F" w:rsidRDefault="00361815" w:rsidP="003C3B5F">
      <w:pPr>
        <w:jc w:val="both"/>
        <w:rPr>
          <w:rFonts w:ascii="Times New Roman" w:hAnsi="Times New Roman" w:cs="Times New Roman"/>
          <w:sz w:val="24"/>
          <w:szCs w:val="24"/>
        </w:rPr>
      </w:pPr>
      <w:r w:rsidRPr="003C3B5F">
        <w:rPr>
          <w:rFonts w:ascii="Times New Roman" w:hAnsi="Times New Roman" w:cs="Times New Roman"/>
          <w:sz w:val="24"/>
          <w:szCs w:val="24"/>
        </w:rPr>
        <w:t>Ces critiques posées, il est temps de suggérer une piste de recherche qui permettrait non seulement de comprendre l’absence de définition du terme de « maltraitance » mais surtout de mieux situer la structuration générale du texte et, notamment, sa priorisation implicite à l’employabilité des plus âgés. Cela permettra de conclure ce chapitre en faisant écho à notre position de départ.</w:t>
      </w:r>
    </w:p>
    <w:p w:rsidR="004F39E7" w:rsidRPr="003C3B5F" w:rsidRDefault="004F39E7" w:rsidP="003C3B5F">
      <w:pPr>
        <w:jc w:val="both"/>
        <w:rPr>
          <w:rFonts w:ascii="Times New Roman" w:hAnsi="Times New Roman" w:cs="Times New Roman"/>
          <w:b/>
          <w:sz w:val="24"/>
          <w:szCs w:val="24"/>
        </w:rPr>
      </w:pPr>
      <w:r w:rsidRPr="003C3B5F">
        <w:rPr>
          <w:rFonts w:ascii="Times New Roman" w:hAnsi="Times New Roman" w:cs="Times New Roman"/>
          <w:b/>
          <w:sz w:val="24"/>
          <w:szCs w:val="24"/>
        </w:rPr>
        <w:t>4.</w:t>
      </w:r>
      <w:r w:rsidR="00602C08" w:rsidRPr="003C3B5F">
        <w:rPr>
          <w:rFonts w:ascii="Times New Roman" w:hAnsi="Times New Roman" w:cs="Times New Roman"/>
          <w:b/>
          <w:sz w:val="24"/>
          <w:szCs w:val="24"/>
        </w:rPr>
        <w:t xml:space="preserve"> </w:t>
      </w:r>
      <w:r w:rsidR="00361815" w:rsidRPr="003C3B5F">
        <w:rPr>
          <w:rFonts w:ascii="Times New Roman" w:hAnsi="Times New Roman" w:cs="Times New Roman"/>
          <w:b/>
          <w:sz w:val="24"/>
          <w:szCs w:val="24"/>
        </w:rPr>
        <w:t>Proposition pour une critique constructive</w:t>
      </w:r>
    </w:p>
    <w:p w:rsidR="00A40E7D" w:rsidRPr="003C3B5F" w:rsidRDefault="000D7AB4" w:rsidP="003C3B5F">
      <w:pPr>
        <w:jc w:val="both"/>
        <w:rPr>
          <w:rFonts w:ascii="Times New Roman" w:hAnsi="Times New Roman" w:cs="Times New Roman"/>
          <w:sz w:val="24"/>
          <w:szCs w:val="24"/>
        </w:rPr>
      </w:pPr>
      <w:r w:rsidRPr="003C3B5F">
        <w:rPr>
          <w:rFonts w:ascii="Times New Roman" w:hAnsi="Times New Roman" w:cs="Times New Roman"/>
          <w:sz w:val="24"/>
          <w:szCs w:val="24"/>
        </w:rPr>
        <w:t>Dans son article, Albert Evrard s’étonne  du fait que</w:t>
      </w:r>
      <w:r w:rsidRPr="003C3B5F">
        <w:rPr>
          <w:rFonts w:ascii="Times New Roman" w:hAnsi="Times New Roman" w:cs="Times New Roman"/>
          <w:sz w:val="24"/>
          <w:szCs w:val="24"/>
        </w:rPr>
        <w:t xml:space="preserve"> la </w:t>
      </w:r>
      <w:r w:rsidRPr="003C3B5F">
        <w:rPr>
          <w:rFonts w:ascii="Times New Roman" w:hAnsi="Times New Roman" w:cs="Times New Roman"/>
          <w:sz w:val="24"/>
          <w:szCs w:val="24"/>
        </w:rPr>
        <w:t>Décision ne mentionne pas la maltraitance</w:t>
      </w:r>
      <w:r w:rsidR="006C741E" w:rsidRPr="003C3B5F">
        <w:rPr>
          <w:rFonts w:ascii="Times New Roman" w:hAnsi="Times New Roman" w:cs="Times New Roman"/>
          <w:sz w:val="24"/>
          <w:szCs w:val="24"/>
        </w:rPr>
        <w:t xml:space="preserve"> </w:t>
      </w:r>
      <w:r w:rsidR="00F62089" w:rsidRPr="003C3B5F">
        <w:rPr>
          <w:rFonts w:ascii="Times New Roman" w:hAnsi="Times New Roman" w:cs="Times New Roman"/>
          <w:sz w:val="24"/>
          <w:szCs w:val="24"/>
        </w:rPr>
        <w:t>et estime, en note de bas de page, « qu’il y aurait lieu, naturellement, de s’interroger sur les raisons de cette absence »</w:t>
      </w:r>
      <w:r w:rsidR="00361815" w:rsidRPr="003C3B5F">
        <w:rPr>
          <w:rFonts w:ascii="Times New Roman" w:hAnsi="Times New Roman" w:cs="Times New Roman"/>
          <w:sz w:val="24"/>
          <w:szCs w:val="24"/>
        </w:rPr>
        <w:t xml:space="preserve">. </w:t>
      </w:r>
      <w:r w:rsidR="00361815" w:rsidRPr="003C3B5F">
        <w:rPr>
          <w:rFonts w:ascii="Times New Roman" w:hAnsi="Times New Roman" w:cs="Times New Roman"/>
          <w:sz w:val="24"/>
          <w:szCs w:val="24"/>
        </w:rPr>
        <w:t xml:space="preserve">À </w:t>
      </w:r>
      <w:r w:rsidR="00361815" w:rsidRPr="003C3B5F">
        <w:rPr>
          <w:rFonts w:ascii="Times New Roman" w:hAnsi="Times New Roman" w:cs="Times New Roman"/>
          <w:sz w:val="24"/>
          <w:szCs w:val="24"/>
        </w:rPr>
        <w:t>titre d’hypothèse, nourrie néanmoins par notre position</w:t>
      </w:r>
      <w:r w:rsidR="00F12F3B" w:rsidRPr="003C3B5F">
        <w:rPr>
          <w:rFonts w:ascii="Times New Roman" w:hAnsi="Times New Roman" w:cs="Times New Roman"/>
          <w:sz w:val="24"/>
          <w:szCs w:val="24"/>
        </w:rPr>
        <w:t xml:space="preserve"> face au vieillissement actif mentionnée plus haut, nous proposons de répondre à cette question</w:t>
      </w:r>
      <w:r w:rsidR="00E62D7C" w:rsidRPr="003C3B5F">
        <w:rPr>
          <w:rFonts w:ascii="Times New Roman" w:hAnsi="Times New Roman" w:cs="Times New Roman"/>
          <w:sz w:val="24"/>
          <w:szCs w:val="24"/>
        </w:rPr>
        <w:t xml:space="preserve">. En effet, nous faisons l’hypothèse que cette absence témoigne de </w:t>
      </w:r>
      <w:r w:rsidR="007B7091" w:rsidRPr="003C3B5F">
        <w:rPr>
          <w:rFonts w:ascii="Times New Roman" w:hAnsi="Times New Roman" w:cs="Times New Roman"/>
          <w:sz w:val="24"/>
          <w:szCs w:val="24"/>
        </w:rPr>
        <w:t xml:space="preserve">la </w:t>
      </w:r>
      <w:r w:rsidR="00E62D7C" w:rsidRPr="003C3B5F">
        <w:rPr>
          <w:rFonts w:ascii="Times New Roman" w:hAnsi="Times New Roman" w:cs="Times New Roman"/>
          <w:sz w:val="24"/>
          <w:szCs w:val="24"/>
        </w:rPr>
        <w:t xml:space="preserve">non prise en compte de cet objet </w:t>
      </w:r>
      <w:r w:rsidR="00F12F3B" w:rsidRPr="003C3B5F">
        <w:rPr>
          <w:rFonts w:ascii="Times New Roman" w:hAnsi="Times New Roman" w:cs="Times New Roman"/>
          <w:sz w:val="24"/>
          <w:szCs w:val="24"/>
        </w:rPr>
        <w:t xml:space="preserve">politique que représente la « maltraitance des ainés » </w:t>
      </w:r>
      <w:r w:rsidR="00E62D7C" w:rsidRPr="003C3B5F">
        <w:rPr>
          <w:rFonts w:ascii="Times New Roman" w:hAnsi="Times New Roman" w:cs="Times New Roman"/>
          <w:sz w:val="24"/>
          <w:szCs w:val="24"/>
        </w:rPr>
        <w:t>par les instances européennes parce que les acteurs qui le soutiennent sur la sphère</w:t>
      </w:r>
      <w:r w:rsidR="00602C08" w:rsidRPr="003C3B5F">
        <w:rPr>
          <w:rFonts w:ascii="Times New Roman" w:hAnsi="Times New Roman" w:cs="Times New Roman"/>
          <w:sz w:val="24"/>
          <w:szCs w:val="24"/>
        </w:rPr>
        <w:t> </w:t>
      </w:r>
      <w:r w:rsidR="00E62D7C" w:rsidRPr="003C3B5F">
        <w:rPr>
          <w:rFonts w:ascii="Times New Roman" w:hAnsi="Times New Roman" w:cs="Times New Roman"/>
          <w:sz w:val="24"/>
          <w:szCs w:val="24"/>
        </w:rPr>
        <w:t xml:space="preserve">internationale </w:t>
      </w:r>
      <w:r w:rsidR="00F12F3B" w:rsidRPr="003C3B5F">
        <w:rPr>
          <w:rFonts w:ascii="Times New Roman" w:hAnsi="Times New Roman" w:cs="Times New Roman"/>
          <w:sz w:val="24"/>
          <w:szCs w:val="24"/>
        </w:rPr>
        <w:t xml:space="preserve">(on pense en particulier à </w:t>
      </w:r>
      <w:r w:rsidR="00E62D7C" w:rsidRPr="003C3B5F">
        <w:rPr>
          <w:rFonts w:ascii="Times New Roman" w:hAnsi="Times New Roman" w:cs="Times New Roman"/>
          <w:sz w:val="24"/>
          <w:szCs w:val="24"/>
        </w:rPr>
        <w:t>l’</w:t>
      </w:r>
      <w:r w:rsidR="00E62D7C" w:rsidRPr="003C3B5F">
        <w:rPr>
          <w:rFonts w:ascii="Times New Roman" w:hAnsi="Times New Roman" w:cs="Times New Roman"/>
          <w:i/>
          <w:sz w:val="24"/>
          <w:szCs w:val="24"/>
        </w:rPr>
        <w:t>International Network for the Prevention of Elder Abuse</w:t>
      </w:r>
      <w:r w:rsidR="00E62D7C" w:rsidRPr="003C3B5F">
        <w:rPr>
          <w:rFonts w:ascii="Times New Roman" w:hAnsi="Times New Roman" w:cs="Times New Roman"/>
          <w:sz w:val="24"/>
          <w:szCs w:val="24"/>
        </w:rPr>
        <w:t xml:space="preserve"> </w:t>
      </w:r>
      <w:r w:rsidR="00F12F3B" w:rsidRPr="003C3B5F">
        <w:rPr>
          <w:rFonts w:ascii="Times New Roman" w:hAnsi="Times New Roman" w:cs="Times New Roman"/>
          <w:sz w:val="24"/>
          <w:szCs w:val="24"/>
        </w:rPr>
        <w:t xml:space="preserve">ou </w:t>
      </w:r>
      <w:r w:rsidR="00E62D7C" w:rsidRPr="003C3B5F">
        <w:rPr>
          <w:rFonts w:ascii="Times New Roman" w:hAnsi="Times New Roman" w:cs="Times New Roman"/>
          <w:sz w:val="24"/>
          <w:szCs w:val="24"/>
        </w:rPr>
        <w:t>INPEA)</w:t>
      </w:r>
      <w:r w:rsidR="00A40E7D" w:rsidRPr="003C3B5F">
        <w:rPr>
          <w:rFonts w:ascii="Times New Roman" w:hAnsi="Times New Roman" w:cs="Times New Roman"/>
          <w:sz w:val="24"/>
          <w:szCs w:val="24"/>
        </w:rPr>
        <w:t xml:space="preserve"> n’ont pas réussi, </w:t>
      </w:r>
      <w:r w:rsidR="00F12F3B" w:rsidRPr="003C3B5F">
        <w:rPr>
          <w:rFonts w:ascii="Times New Roman" w:hAnsi="Times New Roman" w:cs="Times New Roman"/>
          <w:sz w:val="24"/>
          <w:szCs w:val="24"/>
        </w:rPr>
        <w:t>jusqu’à présent</w:t>
      </w:r>
      <w:r w:rsidR="00A40E7D" w:rsidRPr="003C3B5F">
        <w:rPr>
          <w:rFonts w:ascii="Times New Roman" w:hAnsi="Times New Roman" w:cs="Times New Roman"/>
          <w:sz w:val="24"/>
          <w:szCs w:val="24"/>
        </w:rPr>
        <w:t xml:space="preserve">, à faire pression en </w:t>
      </w:r>
      <w:r w:rsidR="00F12F3B" w:rsidRPr="003C3B5F">
        <w:rPr>
          <w:rFonts w:ascii="Times New Roman" w:hAnsi="Times New Roman" w:cs="Times New Roman"/>
          <w:sz w:val="24"/>
          <w:szCs w:val="24"/>
        </w:rPr>
        <w:t>ce sens. À l’inverse, l’INPEA semble avoir convaincu</w:t>
      </w:r>
      <w:r w:rsidR="00A40E7D" w:rsidRPr="003C3B5F">
        <w:rPr>
          <w:rFonts w:ascii="Times New Roman" w:hAnsi="Times New Roman" w:cs="Times New Roman"/>
          <w:sz w:val="24"/>
          <w:szCs w:val="24"/>
        </w:rPr>
        <w:t xml:space="preserve"> </w:t>
      </w:r>
      <w:r w:rsidR="00320F99" w:rsidRPr="003C3B5F">
        <w:rPr>
          <w:rFonts w:ascii="Times New Roman" w:hAnsi="Times New Roman" w:cs="Times New Roman"/>
          <w:sz w:val="24"/>
          <w:szCs w:val="24"/>
        </w:rPr>
        <w:t xml:space="preserve">l’OMS </w:t>
      </w:r>
      <w:r w:rsidR="00F12F3B" w:rsidRPr="003C3B5F">
        <w:rPr>
          <w:rFonts w:ascii="Times New Roman" w:hAnsi="Times New Roman" w:cs="Times New Roman"/>
          <w:sz w:val="24"/>
          <w:szCs w:val="24"/>
        </w:rPr>
        <w:t>qui mobilise la notion d’</w:t>
      </w:r>
      <w:r w:rsidR="00F12F3B" w:rsidRPr="003C3B5F">
        <w:rPr>
          <w:rFonts w:ascii="Times New Roman" w:hAnsi="Times New Roman" w:cs="Times New Roman"/>
          <w:i/>
          <w:sz w:val="24"/>
          <w:szCs w:val="24"/>
        </w:rPr>
        <w:t>elder abuse</w:t>
      </w:r>
      <w:r w:rsidR="00F12F3B" w:rsidRPr="003C3B5F">
        <w:rPr>
          <w:rFonts w:ascii="Times New Roman" w:hAnsi="Times New Roman" w:cs="Times New Roman"/>
          <w:sz w:val="24"/>
          <w:szCs w:val="24"/>
        </w:rPr>
        <w:t>.</w:t>
      </w:r>
    </w:p>
    <w:p w:rsidR="00F12F3B" w:rsidRPr="003C3B5F" w:rsidRDefault="00F12F3B" w:rsidP="003C3B5F">
      <w:pPr>
        <w:jc w:val="both"/>
        <w:rPr>
          <w:rFonts w:ascii="Times New Roman" w:hAnsi="Times New Roman" w:cs="Times New Roman"/>
          <w:sz w:val="24"/>
          <w:szCs w:val="24"/>
        </w:rPr>
      </w:pPr>
      <w:r w:rsidRPr="003C3B5F">
        <w:rPr>
          <w:rFonts w:ascii="Times New Roman" w:hAnsi="Times New Roman" w:cs="Times New Roman"/>
          <w:sz w:val="24"/>
          <w:szCs w:val="24"/>
        </w:rPr>
        <w:t xml:space="preserve">Pour poursuivre cette idée, on dira que </w:t>
      </w:r>
      <w:r w:rsidR="00A40E7D" w:rsidRPr="003C3B5F">
        <w:rPr>
          <w:rFonts w:ascii="Times New Roman" w:hAnsi="Times New Roman" w:cs="Times New Roman"/>
          <w:sz w:val="24"/>
          <w:szCs w:val="24"/>
        </w:rPr>
        <w:t>le document européen analysé gagne à être lu comme un compromis entre une variété d’acteurs au sein des instances européennes</w:t>
      </w:r>
      <w:r w:rsidRPr="003C3B5F">
        <w:rPr>
          <w:rFonts w:ascii="Times New Roman" w:hAnsi="Times New Roman" w:cs="Times New Roman"/>
          <w:sz w:val="24"/>
          <w:szCs w:val="24"/>
        </w:rPr>
        <w:t>, notamment différentes Directions Générales (DG)</w:t>
      </w:r>
      <w:r w:rsidR="00A40E7D" w:rsidRPr="003C3B5F">
        <w:rPr>
          <w:rFonts w:ascii="Times New Roman" w:hAnsi="Times New Roman" w:cs="Times New Roman"/>
          <w:sz w:val="24"/>
          <w:szCs w:val="24"/>
        </w:rPr>
        <w:t>. Ceci expliquerait certaines ambiguïtés soulevées à juste titre par le texte d’Albert Evrard d’une part, et permettrait d’autre part de mieux situer ce texte</w:t>
      </w:r>
      <w:r w:rsidRPr="003C3B5F">
        <w:rPr>
          <w:rFonts w:ascii="Times New Roman" w:hAnsi="Times New Roman" w:cs="Times New Roman"/>
          <w:sz w:val="24"/>
          <w:szCs w:val="24"/>
        </w:rPr>
        <w:t xml:space="preserve"> d’un point de vue socio-historique</w:t>
      </w:r>
      <w:r w:rsidR="00A40E7D" w:rsidRPr="003C3B5F">
        <w:rPr>
          <w:rFonts w:ascii="Times New Roman" w:hAnsi="Times New Roman" w:cs="Times New Roman"/>
          <w:sz w:val="24"/>
          <w:szCs w:val="24"/>
        </w:rPr>
        <w:t xml:space="preserve">. </w:t>
      </w:r>
    </w:p>
    <w:p w:rsidR="00E202D1" w:rsidRPr="003C3B5F" w:rsidRDefault="00F12F3B" w:rsidP="003C3B5F">
      <w:pPr>
        <w:jc w:val="both"/>
        <w:rPr>
          <w:rFonts w:ascii="Times New Roman" w:hAnsi="Times New Roman" w:cs="Times New Roman"/>
          <w:sz w:val="24"/>
          <w:szCs w:val="24"/>
        </w:rPr>
      </w:pPr>
      <w:r w:rsidRPr="003C3B5F">
        <w:rPr>
          <w:rFonts w:ascii="Times New Roman" w:hAnsi="Times New Roman" w:cs="Times New Roman"/>
          <w:sz w:val="24"/>
          <w:szCs w:val="24"/>
        </w:rPr>
        <w:t>Retournons tout d’abord en 1999 ; à l’époque, la Commission européenne travaille déjà sur le vieillissement actif</w:t>
      </w:r>
      <w:r w:rsidR="00967453" w:rsidRPr="003C3B5F">
        <w:rPr>
          <w:rFonts w:ascii="Times New Roman" w:hAnsi="Times New Roman" w:cs="Times New Roman"/>
          <w:sz w:val="24"/>
          <w:szCs w:val="24"/>
        </w:rPr>
        <w:t xml:space="preserve"> (EC</w:t>
      </w:r>
      <w:r w:rsidRPr="003C3B5F">
        <w:rPr>
          <w:rFonts w:ascii="Times New Roman" w:hAnsi="Times New Roman" w:cs="Times New Roman"/>
          <w:sz w:val="24"/>
          <w:szCs w:val="24"/>
        </w:rPr>
        <w:t xml:space="preserve">, 1999). </w:t>
      </w:r>
      <w:r w:rsidR="00967453" w:rsidRPr="003C3B5F">
        <w:rPr>
          <w:rFonts w:ascii="Times New Roman" w:hAnsi="Times New Roman" w:cs="Times New Roman"/>
          <w:sz w:val="24"/>
          <w:szCs w:val="24"/>
        </w:rPr>
        <w:t>On peut comparer la perspective de ce texte avec celui qu’Albert Evrard décortique ; dans chaque cas, le vieillissement actif n’est pas réduit à l’emploi. Pourtant</w:t>
      </w:r>
      <w:r w:rsidR="00E202D1" w:rsidRPr="003C3B5F">
        <w:rPr>
          <w:rFonts w:ascii="Times New Roman" w:hAnsi="Times New Roman" w:cs="Times New Roman"/>
          <w:sz w:val="24"/>
          <w:szCs w:val="24"/>
        </w:rPr>
        <w:t xml:space="preserve">, la traduction </w:t>
      </w:r>
      <w:r w:rsidR="009F6719" w:rsidRPr="003C3B5F">
        <w:rPr>
          <w:rFonts w:ascii="Times New Roman" w:hAnsi="Times New Roman" w:cs="Times New Roman"/>
          <w:sz w:val="24"/>
          <w:szCs w:val="24"/>
        </w:rPr>
        <w:t xml:space="preserve">que l’Europe fera du </w:t>
      </w:r>
      <w:r w:rsidR="00E202D1" w:rsidRPr="003C3B5F">
        <w:rPr>
          <w:rFonts w:ascii="Times New Roman" w:hAnsi="Times New Roman" w:cs="Times New Roman"/>
          <w:sz w:val="24"/>
          <w:szCs w:val="24"/>
        </w:rPr>
        <w:t xml:space="preserve">texte de 1999 </w:t>
      </w:r>
      <w:r w:rsidR="009F6719" w:rsidRPr="003C3B5F">
        <w:rPr>
          <w:rFonts w:ascii="Times New Roman" w:hAnsi="Times New Roman" w:cs="Times New Roman"/>
          <w:sz w:val="24"/>
          <w:szCs w:val="24"/>
        </w:rPr>
        <w:t xml:space="preserve">le limitera à l’emploi. En 2012, si l’emploi a continué d’occuper le haut du pavé comme l’a bien perçu Albert Evrard à partir des origines, il ne faut pourtant pas négliger les autres domaines de la participation sociale et de l’autonomie qui ont notamment été exploré en Belgique (Burnay et al., 2012). </w:t>
      </w:r>
      <w:r w:rsidR="0055036F" w:rsidRPr="003C3B5F">
        <w:rPr>
          <w:rFonts w:ascii="Times New Roman" w:hAnsi="Times New Roman" w:cs="Times New Roman"/>
          <w:sz w:val="24"/>
          <w:szCs w:val="24"/>
        </w:rPr>
        <w:t>Or, l’intérêt de cette comparaison est de constater qu’en 1999, c’est essentiellement la DG Emploi qui se trouve derrière le document phare de la Commission, ceci expliquant aisément pourquoi même si sa version originale est transversale (EC, 1999), sa traduction dans la Stratégie Européenne pour l’Emploi se jouera autour du taux d’emploi des seniors (Jolivet, 2002). En 2012, si la DG Emploi joue toujours un rôle important, elle a néanmoins dû négocier avec d’autres DG (DG Sanco notamment) ainsi qu’avec la société civile</w:t>
      </w:r>
      <w:r w:rsidR="00320F99" w:rsidRPr="003C3B5F">
        <w:rPr>
          <w:rFonts w:ascii="Times New Roman" w:hAnsi="Times New Roman" w:cs="Times New Roman"/>
          <w:sz w:val="24"/>
          <w:szCs w:val="24"/>
        </w:rPr>
        <w:t xml:space="preserve"> défendue par l’association européenne Age Plateform. C’est ainsi que l’on peut comprendre l’inspiration consensuelle en faveur d’une définition du vieillissement actif issu de l’OMS (2002) et, paradoxalement, l’absence de référence aux réflexions produites 10 ans plus tôt au sein même de la Commission européenne.</w:t>
      </w:r>
    </w:p>
    <w:p w:rsidR="00320F99" w:rsidRPr="003C3B5F" w:rsidRDefault="00320F99" w:rsidP="003C3B5F">
      <w:pPr>
        <w:jc w:val="both"/>
        <w:rPr>
          <w:rFonts w:ascii="Times New Roman" w:hAnsi="Times New Roman" w:cs="Times New Roman"/>
          <w:sz w:val="24"/>
          <w:szCs w:val="24"/>
        </w:rPr>
      </w:pPr>
      <w:r w:rsidRPr="003C3B5F">
        <w:rPr>
          <w:rFonts w:ascii="Times New Roman" w:hAnsi="Times New Roman" w:cs="Times New Roman"/>
          <w:sz w:val="24"/>
          <w:szCs w:val="24"/>
        </w:rPr>
        <w:t xml:space="preserve">Bref, plutôt que de </w:t>
      </w:r>
      <w:r w:rsidRPr="003C3B5F">
        <w:rPr>
          <w:rFonts w:ascii="Times New Roman" w:hAnsi="Times New Roman" w:cs="Times New Roman"/>
          <w:i/>
          <w:sz w:val="24"/>
          <w:szCs w:val="24"/>
        </w:rPr>
        <w:t>simplement</w:t>
      </w:r>
      <w:r w:rsidRPr="003C3B5F">
        <w:rPr>
          <w:rFonts w:ascii="Times New Roman" w:hAnsi="Times New Roman" w:cs="Times New Roman"/>
          <w:sz w:val="24"/>
          <w:szCs w:val="24"/>
        </w:rPr>
        <w:t xml:space="preserve"> lire </w:t>
      </w:r>
      <w:r w:rsidRPr="003C3B5F">
        <w:rPr>
          <w:rFonts w:ascii="Times New Roman" w:hAnsi="Times New Roman" w:cs="Times New Roman"/>
          <w:sz w:val="24"/>
          <w:szCs w:val="24"/>
        </w:rPr>
        <w:t>la décision 940/2011 du Parlement et du Conseil européen qui met en place l’</w:t>
      </w:r>
      <w:r w:rsidRPr="003C3B5F">
        <w:rPr>
          <w:rFonts w:ascii="Times New Roman" w:hAnsi="Times New Roman" w:cs="Times New Roman"/>
          <w:i/>
          <w:sz w:val="24"/>
          <w:szCs w:val="24"/>
        </w:rPr>
        <w:t>Année européenne 2012 du vieillissement actif et de la solidarité entre les générations</w:t>
      </w:r>
      <w:r w:rsidRPr="003C3B5F">
        <w:rPr>
          <w:rFonts w:ascii="Times New Roman" w:hAnsi="Times New Roman" w:cs="Times New Roman"/>
          <w:sz w:val="24"/>
          <w:szCs w:val="24"/>
        </w:rPr>
        <w:t xml:space="preserve"> comme un commencement, il faut être conscient qu’il se déroule dans une histoire longue, celle du rapport des grandes instances internationales face au vieillissement des populations (Moulaert, Biggs, 2012). </w:t>
      </w:r>
      <w:r w:rsidR="00796FC3" w:rsidRPr="003C3B5F">
        <w:rPr>
          <w:rFonts w:ascii="Times New Roman" w:hAnsi="Times New Roman" w:cs="Times New Roman"/>
          <w:sz w:val="24"/>
          <w:szCs w:val="24"/>
        </w:rPr>
        <w:t>C’est donc bien ainsi qu’il faut interpréter les trois axes qu’ont privilégié les instances européennes – emploi, participation sociale et vie autonome : ils représentent un consensus inspiré par l’OMS (notamment à travers l’importance de la participation sociale), médié par une diversité d’acteurs (dont la société civile européenne). Sans tomber automatiquement dans une version étroite du terme – vieillissement actif en emploi, cette définition cherche également à ne pas tomber dans une perspective trop large du vieillissement actif. Si cette perspective peut avoir un sens pour les chercheurs (Walker, 2002), elle avait en effet été rejetée par l’OCDE dès 2000 (OCDE, 2000).</w:t>
      </w:r>
    </w:p>
    <w:p w:rsidR="0026735E" w:rsidRPr="003C3B5F" w:rsidRDefault="0026735E" w:rsidP="003C3B5F">
      <w:pPr>
        <w:jc w:val="both"/>
        <w:rPr>
          <w:rFonts w:ascii="Times New Roman" w:hAnsi="Times New Roman" w:cs="Times New Roman"/>
          <w:sz w:val="24"/>
          <w:szCs w:val="24"/>
        </w:rPr>
      </w:pPr>
    </w:p>
    <w:p w:rsidR="003C3B5F" w:rsidRDefault="003C3B5F" w:rsidP="003C3B5F">
      <w:pPr>
        <w:jc w:val="both"/>
        <w:rPr>
          <w:rFonts w:ascii="Times New Roman" w:hAnsi="Times New Roman" w:cs="Times New Roman"/>
          <w:b/>
          <w:sz w:val="24"/>
          <w:szCs w:val="24"/>
        </w:rPr>
      </w:pPr>
      <w:bookmarkStart w:id="0" w:name="_GoBack"/>
      <w:bookmarkEnd w:id="0"/>
    </w:p>
    <w:p w:rsidR="003C3B5F" w:rsidRDefault="003C3B5F" w:rsidP="003C3B5F">
      <w:pPr>
        <w:jc w:val="both"/>
        <w:rPr>
          <w:rFonts w:ascii="Times New Roman" w:hAnsi="Times New Roman" w:cs="Times New Roman"/>
          <w:b/>
          <w:sz w:val="24"/>
          <w:szCs w:val="24"/>
        </w:rPr>
      </w:pPr>
    </w:p>
    <w:p w:rsidR="003C3B5F" w:rsidRDefault="0026735E" w:rsidP="003C3B5F">
      <w:pPr>
        <w:jc w:val="both"/>
        <w:rPr>
          <w:rFonts w:ascii="Times New Roman" w:hAnsi="Times New Roman" w:cs="Times New Roman"/>
          <w:b/>
          <w:sz w:val="24"/>
          <w:szCs w:val="24"/>
        </w:rPr>
      </w:pPr>
      <w:r w:rsidRPr="003C3B5F">
        <w:rPr>
          <w:rFonts w:ascii="Times New Roman" w:hAnsi="Times New Roman" w:cs="Times New Roman"/>
          <w:b/>
          <w:sz w:val="24"/>
          <w:szCs w:val="24"/>
        </w:rPr>
        <w:t>Bibliographie</w:t>
      </w:r>
    </w:p>
    <w:p w:rsidR="006C741E" w:rsidRPr="003C3B5F" w:rsidRDefault="006C741E" w:rsidP="003C3B5F">
      <w:pPr>
        <w:jc w:val="both"/>
        <w:rPr>
          <w:rFonts w:ascii="Times New Roman" w:hAnsi="Times New Roman" w:cs="Times New Roman"/>
          <w:b/>
          <w:sz w:val="24"/>
          <w:szCs w:val="24"/>
        </w:rPr>
      </w:pPr>
      <w:r w:rsidRPr="003C3B5F">
        <w:rPr>
          <w:rFonts w:ascii="Times New Roman" w:hAnsi="Times New Roman" w:cs="Times New Roman"/>
          <w:sz w:val="24"/>
          <w:szCs w:val="24"/>
        </w:rPr>
        <w:t xml:space="preserve">Biggs S. et Lowenstein A., 2011, </w:t>
      </w:r>
      <w:r w:rsidRPr="003C3B5F">
        <w:rPr>
          <w:rFonts w:ascii="Times New Roman" w:hAnsi="Times New Roman" w:cs="Times New Roman"/>
          <w:i/>
          <w:iCs/>
          <w:sz w:val="24"/>
          <w:szCs w:val="24"/>
        </w:rPr>
        <w:t xml:space="preserve">Generational Intelligence. </w:t>
      </w:r>
      <w:r w:rsidRPr="003C3B5F">
        <w:rPr>
          <w:rFonts w:ascii="Times New Roman" w:hAnsi="Times New Roman" w:cs="Times New Roman"/>
          <w:i/>
          <w:iCs/>
          <w:sz w:val="24"/>
          <w:szCs w:val="24"/>
          <w:lang w:val="en-US"/>
        </w:rPr>
        <w:t>A critical approach to age relations</w:t>
      </w:r>
      <w:r w:rsidRPr="003C3B5F">
        <w:rPr>
          <w:rFonts w:ascii="Times New Roman" w:hAnsi="Times New Roman" w:cs="Times New Roman"/>
          <w:sz w:val="24"/>
          <w:szCs w:val="24"/>
          <w:lang w:val="en-US"/>
        </w:rPr>
        <w:t>, Oxon, Routledge.</w:t>
      </w:r>
    </w:p>
    <w:p w:rsidR="005724A0" w:rsidRPr="003C3B5F" w:rsidRDefault="005724A0" w:rsidP="003C3B5F">
      <w:pPr>
        <w:autoSpaceDE w:val="0"/>
        <w:autoSpaceDN w:val="0"/>
        <w:adjustRightInd w:val="0"/>
        <w:spacing w:after="0" w:line="360" w:lineRule="auto"/>
        <w:jc w:val="both"/>
        <w:rPr>
          <w:rFonts w:ascii="Times New Roman" w:hAnsi="Times New Roman" w:cs="Times New Roman"/>
          <w:sz w:val="24"/>
          <w:szCs w:val="24"/>
        </w:rPr>
      </w:pPr>
      <w:r w:rsidRPr="003C3B5F">
        <w:rPr>
          <w:rFonts w:ascii="Times New Roman" w:hAnsi="Times New Roman" w:cs="Times New Roman"/>
          <w:sz w:val="24"/>
          <w:szCs w:val="24"/>
        </w:rPr>
        <w:t xml:space="preserve">Burnay N., Moulaert T., Declercq A. et Lurkin F., 2012, </w:t>
      </w:r>
      <w:r w:rsidRPr="003C3B5F">
        <w:rPr>
          <w:rFonts w:ascii="Times New Roman" w:hAnsi="Times New Roman" w:cs="Times New Roman"/>
          <w:i/>
          <w:iCs/>
          <w:sz w:val="24"/>
          <w:szCs w:val="24"/>
        </w:rPr>
        <w:t>Belgian active ageing 2012 : Le vieillissement actif au pluriel. Final report for EY 2012</w:t>
      </w:r>
      <w:r w:rsidRPr="003C3B5F">
        <w:rPr>
          <w:rFonts w:ascii="Times New Roman" w:hAnsi="Times New Roman" w:cs="Times New Roman"/>
          <w:sz w:val="24"/>
          <w:szCs w:val="24"/>
        </w:rPr>
        <w:t>, Bruxelles, Service public Sécurité sociale, DG Appui stratégique.</w:t>
      </w:r>
    </w:p>
    <w:p w:rsidR="006C741E" w:rsidRPr="003C3B5F" w:rsidRDefault="006C741E" w:rsidP="003C3B5F">
      <w:pPr>
        <w:autoSpaceDE w:val="0"/>
        <w:autoSpaceDN w:val="0"/>
        <w:adjustRightInd w:val="0"/>
        <w:spacing w:after="0" w:line="360" w:lineRule="auto"/>
        <w:jc w:val="both"/>
        <w:rPr>
          <w:rFonts w:ascii="Times New Roman" w:hAnsi="Times New Roman" w:cs="Times New Roman"/>
          <w:sz w:val="24"/>
          <w:szCs w:val="24"/>
        </w:rPr>
      </w:pPr>
      <w:r w:rsidRPr="003C3B5F">
        <w:rPr>
          <w:rFonts w:ascii="Times New Roman" w:hAnsi="Times New Roman" w:cs="Times New Roman"/>
          <w:sz w:val="24"/>
          <w:szCs w:val="24"/>
        </w:rPr>
        <w:t xml:space="preserve">Caradec V., 2001, </w:t>
      </w:r>
      <w:r w:rsidRPr="003C3B5F">
        <w:rPr>
          <w:rFonts w:ascii="Times New Roman" w:hAnsi="Times New Roman" w:cs="Times New Roman"/>
          <w:i/>
          <w:iCs/>
          <w:sz w:val="24"/>
          <w:szCs w:val="24"/>
        </w:rPr>
        <w:t>Sociologie de la vieillesse et du vieillissement</w:t>
      </w:r>
      <w:r w:rsidRPr="003C3B5F">
        <w:rPr>
          <w:rFonts w:ascii="Times New Roman" w:hAnsi="Times New Roman" w:cs="Times New Roman"/>
          <w:sz w:val="24"/>
          <w:szCs w:val="24"/>
        </w:rPr>
        <w:t>, Paris, Nathan, coll. 128.</w:t>
      </w:r>
    </w:p>
    <w:p w:rsidR="0055036F" w:rsidRPr="003C3B5F" w:rsidRDefault="0055036F" w:rsidP="003C3B5F">
      <w:pPr>
        <w:autoSpaceDE w:val="0"/>
        <w:autoSpaceDN w:val="0"/>
        <w:adjustRightInd w:val="0"/>
        <w:spacing w:after="0" w:line="360" w:lineRule="auto"/>
        <w:jc w:val="both"/>
        <w:rPr>
          <w:rFonts w:ascii="Times New Roman" w:hAnsi="Times New Roman" w:cs="Times New Roman"/>
          <w:sz w:val="24"/>
          <w:szCs w:val="24"/>
          <w:lang w:val="en-US"/>
        </w:rPr>
      </w:pPr>
      <w:r w:rsidRPr="003C3B5F">
        <w:rPr>
          <w:rFonts w:ascii="Times New Roman" w:hAnsi="Times New Roman" w:cs="Times New Roman"/>
          <w:sz w:val="24"/>
          <w:szCs w:val="24"/>
          <w:lang w:val="en-US"/>
        </w:rPr>
        <w:t xml:space="preserve">European Commission (EC), 1999, </w:t>
      </w:r>
      <w:r w:rsidRPr="003C3B5F">
        <w:rPr>
          <w:rFonts w:ascii="Times New Roman" w:hAnsi="Times New Roman" w:cs="Times New Roman"/>
          <w:i/>
          <w:iCs/>
          <w:sz w:val="24"/>
          <w:szCs w:val="24"/>
          <w:lang w:val="en-US"/>
        </w:rPr>
        <w:t>Towards a Europe for all ages. Promoting prosperity and intergenerational solidarity</w:t>
      </w:r>
      <w:r w:rsidRPr="003C3B5F">
        <w:rPr>
          <w:rFonts w:ascii="Times New Roman" w:hAnsi="Times New Roman" w:cs="Times New Roman"/>
          <w:sz w:val="24"/>
          <w:szCs w:val="24"/>
          <w:lang w:val="en-US"/>
        </w:rPr>
        <w:t>, Brussels, European Commission.</w:t>
      </w:r>
    </w:p>
    <w:p w:rsidR="006C741E" w:rsidRPr="003C3B5F" w:rsidRDefault="006C741E" w:rsidP="003C3B5F">
      <w:pPr>
        <w:autoSpaceDE w:val="0"/>
        <w:autoSpaceDN w:val="0"/>
        <w:adjustRightInd w:val="0"/>
        <w:spacing w:after="0" w:line="360" w:lineRule="auto"/>
        <w:jc w:val="both"/>
        <w:rPr>
          <w:rFonts w:ascii="Times New Roman" w:hAnsi="Times New Roman" w:cs="Times New Roman"/>
          <w:sz w:val="24"/>
          <w:szCs w:val="24"/>
        </w:rPr>
      </w:pPr>
      <w:r w:rsidRPr="003C3B5F">
        <w:rPr>
          <w:rFonts w:ascii="Times New Roman" w:hAnsi="Times New Roman" w:cs="Times New Roman"/>
          <w:sz w:val="24"/>
          <w:szCs w:val="24"/>
        </w:rPr>
        <w:t xml:space="preserve">Guillemard A.-M. et Jolivet A., 2006, </w:t>
      </w:r>
      <w:r w:rsidRPr="003C3B5F">
        <w:rPr>
          <w:rFonts w:ascii="Times New Roman" w:hAnsi="Times New Roman" w:cs="Times New Roman"/>
          <w:i/>
          <w:iCs/>
          <w:sz w:val="24"/>
          <w:szCs w:val="24"/>
        </w:rPr>
        <w:t>De l’emploi des seniors à la gestion des âges</w:t>
      </w:r>
      <w:r w:rsidRPr="003C3B5F">
        <w:rPr>
          <w:rFonts w:ascii="Times New Roman" w:hAnsi="Times New Roman" w:cs="Times New Roman"/>
          <w:sz w:val="24"/>
          <w:szCs w:val="24"/>
        </w:rPr>
        <w:t>, Paris, La Documentation française, Problèmes politiques et sociaux, 924.</w:t>
      </w:r>
    </w:p>
    <w:p w:rsidR="00032747" w:rsidRPr="003C3B5F" w:rsidRDefault="00032747" w:rsidP="003C3B5F">
      <w:pPr>
        <w:autoSpaceDE w:val="0"/>
        <w:autoSpaceDN w:val="0"/>
        <w:adjustRightInd w:val="0"/>
        <w:spacing w:after="0" w:line="360" w:lineRule="auto"/>
        <w:jc w:val="both"/>
        <w:rPr>
          <w:rFonts w:ascii="Times New Roman" w:hAnsi="Times New Roman" w:cs="Times New Roman"/>
          <w:sz w:val="24"/>
          <w:szCs w:val="24"/>
        </w:rPr>
      </w:pPr>
      <w:r w:rsidRPr="003C3B5F">
        <w:rPr>
          <w:rFonts w:ascii="Times New Roman" w:hAnsi="Times New Roman" w:cs="Times New Roman"/>
          <w:sz w:val="24"/>
          <w:szCs w:val="24"/>
        </w:rPr>
        <w:t xml:space="preserve">Jobert B. et Muller P., 1987, </w:t>
      </w:r>
      <w:r w:rsidRPr="003C3B5F">
        <w:rPr>
          <w:rFonts w:ascii="Times New Roman" w:hAnsi="Times New Roman" w:cs="Times New Roman"/>
          <w:i/>
          <w:iCs/>
          <w:sz w:val="24"/>
          <w:szCs w:val="24"/>
        </w:rPr>
        <w:t>L’État en action : politiques publiques et corporatismes</w:t>
      </w:r>
      <w:r w:rsidRPr="003C3B5F">
        <w:rPr>
          <w:rFonts w:ascii="Times New Roman" w:hAnsi="Times New Roman" w:cs="Times New Roman"/>
          <w:sz w:val="24"/>
          <w:szCs w:val="24"/>
        </w:rPr>
        <w:t>, Paris, PUF.</w:t>
      </w:r>
    </w:p>
    <w:p w:rsidR="0055036F" w:rsidRPr="003C3B5F" w:rsidRDefault="0055036F" w:rsidP="003C3B5F">
      <w:pPr>
        <w:autoSpaceDE w:val="0"/>
        <w:autoSpaceDN w:val="0"/>
        <w:adjustRightInd w:val="0"/>
        <w:spacing w:after="0" w:line="360" w:lineRule="auto"/>
        <w:jc w:val="both"/>
        <w:rPr>
          <w:rFonts w:ascii="Times New Roman" w:hAnsi="Times New Roman" w:cs="Times New Roman"/>
          <w:sz w:val="24"/>
          <w:szCs w:val="24"/>
        </w:rPr>
      </w:pPr>
      <w:r w:rsidRPr="003C3B5F">
        <w:rPr>
          <w:rFonts w:ascii="Times New Roman" w:hAnsi="Times New Roman" w:cs="Times New Roman"/>
          <w:sz w:val="24"/>
          <w:szCs w:val="24"/>
        </w:rPr>
        <w:t xml:space="preserve">Jolivet A., 2002, « La politique européenne en faveur du vieillissement actif », </w:t>
      </w:r>
      <w:r w:rsidRPr="003C3B5F">
        <w:rPr>
          <w:rFonts w:ascii="Times New Roman" w:hAnsi="Times New Roman" w:cs="Times New Roman"/>
          <w:i/>
          <w:iCs/>
          <w:sz w:val="24"/>
          <w:szCs w:val="24"/>
        </w:rPr>
        <w:t>Retraite et société</w:t>
      </w:r>
      <w:r w:rsidRPr="003C3B5F">
        <w:rPr>
          <w:rFonts w:ascii="Times New Roman" w:hAnsi="Times New Roman" w:cs="Times New Roman"/>
          <w:sz w:val="24"/>
          <w:szCs w:val="24"/>
        </w:rPr>
        <w:t>,</w:t>
      </w:r>
      <w:r w:rsidRPr="003C3B5F">
        <w:rPr>
          <w:rFonts w:ascii="Times New Roman" w:hAnsi="Times New Roman" w:cs="Times New Roman"/>
          <w:i/>
          <w:iCs/>
          <w:sz w:val="24"/>
          <w:szCs w:val="24"/>
        </w:rPr>
        <w:t xml:space="preserve"> </w:t>
      </w:r>
      <w:r w:rsidRPr="003C3B5F">
        <w:rPr>
          <w:rFonts w:ascii="Times New Roman" w:hAnsi="Times New Roman" w:cs="Times New Roman"/>
          <w:sz w:val="24"/>
          <w:szCs w:val="24"/>
        </w:rPr>
        <w:t>36, pp. 140-157.</w:t>
      </w:r>
    </w:p>
    <w:p w:rsidR="005579D8" w:rsidRPr="003C3B5F" w:rsidRDefault="0055036F" w:rsidP="003C3B5F">
      <w:pPr>
        <w:spacing w:after="0" w:line="360" w:lineRule="auto"/>
        <w:jc w:val="both"/>
        <w:rPr>
          <w:rFonts w:ascii="Times New Roman" w:hAnsi="Times New Roman" w:cs="Times New Roman"/>
          <w:sz w:val="24"/>
          <w:szCs w:val="24"/>
        </w:rPr>
      </w:pPr>
      <w:r w:rsidRPr="003C3B5F">
        <w:rPr>
          <w:rFonts w:ascii="Times New Roman" w:hAnsi="Times New Roman" w:cs="Times New Roman"/>
          <w:sz w:val="24"/>
          <w:szCs w:val="24"/>
        </w:rPr>
        <w:t xml:space="preserve"> </w:t>
      </w:r>
      <w:r w:rsidR="0026735E" w:rsidRPr="003C3B5F">
        <w:rPr>
          <w:rFonts w:ascii="Times New Roman" w:hAnsi="Times New Roman" w:cs="Times New Roman"/>
          <w:sz w:val="24"/>
          <w:szCs w:val="24"/>
        </w:rPr>
        <w:t xml:space="preserve">Moulaert T., 2005, « La fin de carrière. Des politiques en débat », </w:t>
      </w:r>
      <w:r w:rsidR="0026735E" w:rsidRPr="003C3B5F">
        <w:rPr>
          <w:rFonts w:ascii="Times New Roman" w:hAnsi="Times New Roman" w:cs="Times New Roman"/>
          <w:i/>
          <w:iCs/>
          <w:sz w:val="24"/>
          <w:szCs w:val="24"/>
        </w:rPr>
        <w:t>Courrier hebdomadaire du CRISP</w:t>
      </w:r>
      <w:r w:rsidR="0026735E" w:rsidRPr="003C3B5F">
        <w:rPr>
          <w:rFonts w:ascii="Times New Roman" w:hAnsi="Times New Roman" w:cs="Times New Roman"/>
          <w:sz w:val="24"/>
          <w:szCs w:val="24"/>
        </w:rPr>
        <w:t>, 1882.</w:t>
      </w:r>
    </w:p>
    <w:p w:rsidR="0026735E" w:rsidRPr="003C3B5F" w:rsidRDefault="0026735E" w:rsidP="003C3B5F">
      <w:pPr>
        <w:spacing w:after="0" w:line="360" w:lineRule="auto"/>
        <w:jc w:val="both"/>
        <w:rPr>
          <w:rFonts w:ascii="Times New Roman" w:hAnsi="Times New Roman" w:cs="Times New Roman"/>
          <w:sz w:val="24"/>
          <w:szCs w:val="24"/>
        </w:rPr>
      </w:pPr>
      <w:r w:rsidRPr="003C3B5F">
        <w:rPr>
          <w:rFonts w:ascii="Times New Roman" w:hAnsi="Times New Roman" w:cs="Times New Roman"/>
          <w:sz w:val="24"/>
          <w:szCs w:val="24"/>
        </w:rPr>
        <w:t xml:space="preserve">Moulaert T., 2012, </w:t>
      </w:r>
      <w:r w:rsidRPr="003C3B5F">
        <w:rPr>
          <w:rFonts w:ascii="Times New Roman" w:hAnsi="Times New Roman" w:cs="Times New Roman"/>
          <w:i/>
          <w:iCs/>
          <w:sz w:val="24"/>
          <w:szCs w:val="24"/>
        </w:rPr>
        <w:t>Gouverner les fins de carrière à distance. Outplacement et vieillissement actif en emploi</w:t>
      </w:r>
      <w:r w:rsidRPr="003C3B5F">
        <w:rPr>
          <w:rFonts w:ascii="Times New Roman" w:hAnsi="Times New Roman" w:cs="Times New Roman"/>
          <w:sz w:val="24"/>
          <w:szCs w:val="24"/>
        </w:rPr>
        <w:t>, Bruxelles, PIE Peter Lang.</w:t>
      </w:r>
    </w:p>
    <w:p w:rsidR="005579D8" w:rsidRPr="003C3B5F" w:rsidRDefault="005579D8" w:rsidP="003C3B5F">
      <w:pPr>
        <w:autoSpaceDE w:val="0"/>
        <w:autoSpaceDN w:val="0"/>
        <w:adjustRightInd w:val="0"/>
        <w:spacing w:after="0" w:line="360" w:lineRule="auto"/>
        <w:jc w:val="both"/>
        <w:rPr>
          <w:rFonts w:ascii="Times New Roman" w:hAnsi="Times New Roman" w:cs="Times New Roman"/>
          <w:sz w:val="24"/>
          <w:szCs w:val="24"/>
          <w:lang w:val="en-US"/>
        </w:rPr>
      </w:pPr>
      <w:r w:rsidRPr="003C3B5F">
        <w:rPr>
          <w:rFonts w:ascii="Times New Roman" w:hAnsi="Times New Roman" w:cs="Times New Roman"/>
          <w:sz w:val="24"/>
          <w:szCs w:val="24"/>
          <w:lang w:val="en-US"/>
        </w:rPr>
        <w:t xml:space="preserve">Moulaert T. et Biggs S., 2012, « International and European policy on work and retirement: Reinventing critical perspectives on active ageing and mature subjectivity », </w:t>
      </w:r>
      <w:r w:rsidRPr="003C3B5F">
        <w:rPr>
          <w:rFonts w:ascii="Times New Roman" w:hAnsi="Times New Roman" w:cs="Times New Roman"/>
          <w:i/>
          <w:iCs/>
          <w:sz w:val="24"/>
          <w:szCs w:val="24"/>
          <w:lang w:val="en-US"/>
        </w:rPr>
        <w:t>Human relations</w:t>
      </w:r>
      <w:r w:rsidRPr="003C3B5F">
        <w:rPr>
          <w:rFonts w:ascii="Times New Roman" w:hAnsi="Times New Roman" w:cs="Times New Roman"/>
          <w:sz w:val="24"/>
          <w:szCs w:val="24"/>
          <w:lang w:val="en-US"/>
        </w:rPr>
        <w:t xml:space="preserve">, Online First, </w:t>
      </w:r>
      <w:hyperlink r:id="rId7" w:history="1">
        <w:r w:rsidRPr="003C3B5F">
          <w:rPr>
            <w:rStyle w:val="Lienhypertexte"/>
            <w:rFonts w:ascii="Times New Roman" w:hAnsi="Times New Roman" w:cs="Times New Roman"/>
            <w:sz w:val="24"/>
            <w:szCs w:val="24"/>
            <w:lang w:val="en-US"/>
          </w:rPr>
          <w:t>http://hdl.handle.net/2078.1/102596</w:t>
        </w:r>
      </w:hyperlink>
      <w:r w:rsidRPr="003C3B5F">
        <w:rPr>
          <w:rFonts w:ascii="Times New Roman" w:hAnsi="Times New Roman" w:cs="Times New Roman"/>
          <w:sz w:val="24"/>
          <w:szCs w:val="24"/>
          <w:lang w:val="en-US"/>
        </w:rPr>
        <w:t xml:space="preserve">. </w:t>
      </w:r>
    </w:p>
    <w:p w:rsidR="0026735E" w:rsidRPr="003C3B5F" w:rsidRDefault="0026735E" w:rsidP="003C3B5F">
      <w:pPr>
        <w:autoSpaceDE w:val="0"/>
        <w:autoSpaceDN w:val="0"/>
        <w:adjustRightInd w:val="0"/>
        <w:spacing w:after="0" w:line="360" w:lineRule="auto"/>
        <w:jc w:val="both"/>
        <w:rPr>
          <w:rFonts w:ascii="Times New Roman" w:hAnsi="Times New Roman" w:cs="Times New Roman"/>
          <w:sz w:val="24"/>
          <w:szCs w:val="24"/>
        </w:rPr>
      </w:pPr>
      <w:r w:rsidRPr="003C3B5F">
        <w:rPr>
          <w:rFonts w:ascii="Times New Roman" w:hAnsi="Times New Roman" w:cs="Times New Roman"/>
          <w:sz w:val="24"/>
          <w:szCs w:val="24"/>
        </w:rPr>
        <w:t xml:space="preserve">Moulaert T. et Leonard D., 2012, « Le vieillissement actif : Regards pluriels. Introduction du dossier », </w:t>
      </w:r>
      <w:r w:rsidRPr="003C3B5F">
        <w:rPr>
          <w:rFonts w:ascii="Times New Roman" w:hAnsi="Times New Roman" w:cs="Times New Roman"/>
          <w:i/>
          <w:iCs/>
          <w:sz w:val="24"/>
          <w:szCs w:val="24"/>
        </w:rPr>
        <w:t>Les politiques sociales</w:t>
      </w:r>
      <w:r w:rsidRPr="003C3B5F">
        <w:rPr>
          <w:rFonts w:ascii="Times New Roman" w:hAnsi="Times New Roman" w:cs="Times New Roman"/>
          <w:sz w:val="24"/>
          <w:szCs w:val="24"/>
        </w:rPr>
        <w:t>,</w:t>
      </w:r>
      <w:r w:rsidRPr="003C3B5F">
        <w:rPr>
          <w:rFonts w:ascii="Times New Roman" w:hAnsi="Times New Roman" w:cs="Times New Roman"/>
          <w:i/>
          <w:iCs/>
          <w:sz w:val="24"/>
          <w:szCs w:val="24"/>
        </w:rPr>
        <w:t xml:space="preserve"> </w:t>
      </w:r>
      <w:r w:rsidRPr="003C3B5F">
        <w:rPr>
          <w:rFonts w:ascii="Times New Roman" w:hAnsi="Times New Roman" w:cs="Times New Roman"/>
          <w:sz w:val="24"/>
          <w:szCs w:val="24"/>
        </w:rPr>
        <w:t>1-2, 72, pp. 4-9.</w:t>
      </w:r>
    </w:p>
    <w:p w:rsidR="0055036F" w:rsidRPr="003C3B5F" w:rsidRDefault="0055036F" w:rsidP="003C3B5F">
      <w:pPr>
        <w:autoSpaceDE w:val="0"/>
        <w:autoSpaceDN w:val="0"/>
        <w:adjustRightInd w:val="0"/>
        <w:spacing w:after="0" w:line="360" w:lineRule="auto"/>
        <w:jc w:val="both"/>
        <w:rPr>
          <w:rFonts w:ascii="Times New Roman" w:hAnsi="Times New Roman" w:cs="Times New Roman"/>
          <w:sz w:val="24"/>
          <w:szCs w:val="24"/>
        </w:rPr>
      </w:pPr>
      <w:r w:rsidRPr="003C3B5F">
        <w:rPr>
          <w:rFonts w:ascii="Times New Roman" w:hAnsi="Times New Roman" w:cs="Times New Roman"/>
          <w:sz w:val="24"/>
          <w:szCs w:val="24"/>
        </w:rPr>
        <w:t xml:space="preserve">Moulaert T. et Viriot Durandal J.-P., 2012, « Le ‘vieillissement actif’ sur la scène internationale : perspectives méthodologiques pour l’étude d’un référentiel polymorphe », </w:t>
      </w:r>
      <w:r w:rsidRPr="003C3B5F">
        <w:rPr>
          <w:rFonts w:ascii="Times New Roman" w:hAnsi="Times New Roman" w:cs="Times New Roman"/>
          <w:i/>
          <w:iCs/>
          <w:sz w:val="24"/>
          <w:szCs w:val="24"/>
        </w:rPr>
        <w:t>Les politiques sociales</w:t>
      </w:r>
      <w:r w:rsidRPr="003C3B5F">
        <w:rPr>
          <w:rFonts w:ascii="Times New Roman" w:hAnsi="Times New Roman" w:cs="Times New Roman"/>
          <w:sz w:val="24"/>
          <w:szCs w:val="24"/>
        </w:rPr>
        <w:t>,</w:t>
      </w:r>
      <w:r w:rsidRPr="003C3B5F">
        <w:rPr>
          <w:rFonts w:ascii="Times New Roman" w:hAnsi="Times New Roman" w:cs="Times New Roman"/>
          <w:i/>
          <w:iCs/>
          <w:sz w:val="24"/>
          <w:szCs w:val="24"/>
        </w:rPr>
        <w:t xml:space="preserve"> </w:t>
      </w:r>
      <w:r w:rsidRPr="003C3B5F">
        <w:rPr>
          <w:rFonts w:ascii="Times New Roman" w:hAnsi="Times New Roman" w:cs="Times New Roman"/>
          <w:sz w:val="24"/>
          <w:szCs w:val="24"/>
        </w:rPr>
        <w:t>72, 1-2, pp. 10-21.</w:t>
      </w:r>
    </w:p>
    <w:p w:rsidR="0026735E" w:rsidRPr="003C3B5F" w:rsidRDefault="0026735E" w:rsidP="003C3B5F">
      <w:pPr>
        <w:autoSpaceDE w:val="0"/>
        <w:autoSpaceDN w:val="0"/>
        <w:adjustRightInd w:val="0"/>
        <w:spacing w:after="0" w:line="360" w:lineRule="auto"/>
        <w:jc w:val="both"/>
        <w:rPr>
          <w:rFonts w:ascii="Times New Roman" w:hAnsi="Times New Roman" w:cs="Times New Roman"/>
          <w:sz w:val="24"/>
          <w:szCs w:val="24"/>
          <w:lang w:val="en-US"/>
        </w:rPr>
      </w:pPr>
      <w:r w:rsidRPr="003C3B5F">
        <w:rPr>
          <w:rFonts w:ascii="Times New Roman" w:hAnsi="Times New Roman" w:cs="Times New Roman"/>
          <w:sz w:val="24"/>
          <w:szCs w:val="24"/>
          <w:lang w:val="en-US"/>
        </w:rPr>
        <w:t xml:space="preserve">Ney S., 2005, « Active aging policy in Europe: between path dependency and path departure », </w:t>
      </w:r>
      <w:r w:rsidRPr="003C3B5F">
        <w:rPr>
          <w:rFonts w:ascii="Times New Roman" w:hAnsi="Times New Roman" w:cs="Times New Roman"/>
          <w:i/>
          <w:iCs/>
          <w:sz w:val="24"/>
          <w:szCs w:val="24"/>
          <w:lang w:val="en-US"/>
        </w:rPr>
        <w:t>Ageing International</w:t>
      </w:r>
      <w:r w:rsidRPr="003C3B5F">
        <w:rPr>
          <w:rFonts w:ascii="Times New Roman" w:hAnsi="Times New Roman" w:cs="Times New Roman"/>
          <w:sz w:val="24"/>
          <w:szCs w:val="24"/>
          <w:lang w:val="en-US"/>
        </w:rPr>
        <w:t>,</w:t>
      </w:r>
      <w:r w:rsidRPr="003C3B5F">
        <w:rPr>
          <w:rFonts w:ascii="Times New Roman" w:hAnsi="Times New Roman" w:cs="Times New Roman"/>
          <w:i/>
          <w:iCs/>
          <w:sz w:val="24"/>
          <w:szCs w:val="24"/>
          <w:lang w:val="en-US"/>
        </w:rPr>
        <w:t xml:space="preserve"> </w:t>
      </w:r>
      <w:r w:rsidRPr="003C3B5F">
        <w:rPr>
          <w:rFonts w:ascii="Times New Roman" w:hAnsi="Times New Roman" w:cs="Times New Roman"/>
          <w:sz w:val="24"/>
          <w:szCs w:val="24"/>
          <w:lang w:val="en-US"/>
        </w:rPr>
        <w:t>30, 4, pp. 325-342.</w:t>
      </w:r>
    </w:p>
    <w:p w:rsidR="00796FC3" w:rsidRPr="003C3B5F" w:rsidRDefault="00796FC3" w:rsidP="003C3B5F">
      <w:pPr>
        <w:autoSpaceDE w:val="0"/>
        <w:autoSpaceDN w:val="0"/>
        <w:adjustRightInd w:val="0"/>
        <w:spacing w:after="0" w:line="360" w:lineRule="auto"/>
        <w:jc w:val="both"/>
        <w:rPr>
          <w:rFonts w:ascii="Times New Roman" w:hAnsi="Times New Roman" w:cs="Times New Roman"/>
          <w:sz w:val="24"/>
          <w:szCs w:val="24"/>
          <w:lang w:val="en-US"/>
        </w:rPr>
      </w:pPr>
      <w:r w:rsidRPr="003C3B5F">
        <w:rPr>
          <w:rFonts w:ascii="Times New Roman" w:hAnsi="Times New Roman" w:cs="Times New Roman"/>
          <w:sz w:val="24"/>
          <w:szCs w:val="24"/>
          <w:lang w:val="en-US"/>
        </w:rPr>
        <w:t>Organisation for Economic Cooperation and Development</w:t>
      </w:r>
      <w:r w:rsidRPr="003C3B5F">
        <w:rPr>
          <w:rFonts w:ascii="Times New Roman" w:hAnsi="Times New Roman" w:cs="Times New Roman"/>
          <w:sz w:val="24"/>
          <w:szCs w:val="24"/>
          <w:lang w:val="en-US"/>
        </w:rPr>
        <w:t xml:space="preserve"> (OCDE)</w:t>
      </w:r>
      <w:r w:rsidRPr="003C3B5F">
        <w:rPr>
          <w:rFonts w:ascii="Times New Roman" w:hAnsi="Times New Roman" w:cs="Times New Roman"/>
          <w:sz w:val="24"/>
          <w:szCs w:val="24"/>
          <w:lang w:val="en-US"/>
        </w:rPr>
        <w:t xml:space="preserve">, 2000, </w:t>
      </w:r>
      <w:r w:rsidRPr="003C3B5F">
        <w:rPr>
          <w:rFonts w:ascii="Times New Roman" w:hAnsi="Times New Roman" w:cs="Times New Roman"/>
          <w:i/>
          <w:iCs/>
          <w:sz w:val="24"/>
          <w:szCs w:val="24"/>
          <w:lang w:val="en-US"/>
        </w:rPr>
        <w:t>Reforms for an Ageing Society</w:t>
      </w:r>
      <w:r w:rsidRPr="003C3B5F">
        <w:rPr>
          <w:rFonts w:ascii="Times New Roman" w:hAnsi="Times New Roman" w:cs="Times New Roman"/>
          <w:sz w:val="24"/>
          <w:szCs w:val="24"/>
          <w:lang w:val="en-US"/>
        </w:rPr>
        <w:t>, Paris, Les éditions de l’OCDE.</w:t>
      </w:r>
    </w:p>
    <w:p w:rsidR="00320F99" w:rsidRPr="003C3B5F" w:rsidRDefault="00796FC3" w:rsidP="003C3B5F">
      <w:pPr>
        <w:autoSpaceDE w:val="0"/>
        <w:autoSpaceDN w:val="0"/>
        <w:adjustRightInd w:val="0"/>
        <w:spacing w:after="0" w:line="360" w:lineRule="auto"/>
        <w:jc w:val="both"/>
        <w:rPr>
          <w:rFonts w:ascii="Times New Roman" w:hAnsi="Times New Roman" w:cs="Times New Roman"/>
          <w:sz w:val="24"/>
          <w:szCs w:val="24"/>
        </w:rPr>
      </w:pPr>
      <w:r w:rsidRPr="003C3B5F">
        <w:rPr>
          <w:rFonts w:ascii="Times New Roman" w:hAnsi="Times New Roman" w:cs="Times New Roman"/>
          <w:sz w:val="24"/>
          <w:szCs w:val="24"/>
          <w:lang w:val="en-US"/>
        </w:rPr>
        <w:t xml:space="preserve"> </w:t>
      </w:r>
      <w:r w:rsidR="00320F99" w:rsidRPr="003C3B5F">
        <w:rPr>
          <w:rFonts w:ascii="Times New Roman" w:hAnsi="Times New Roman" w:cs="Times New Roman"/>
          <w:sz w:val="24"/>
          <w:szCs w:val="24"/>
        </w:rPr>
        <w:t>Organisation Mondiale de la Santé</w:t>
      </w:r>
      <w:r w:rsidR="00320F99" w:rsidRPr="003C3B5F">
        <w:rPr>
          <w:rFonts w:ascii="Times New Roman" w:hAnsi="Times New Roman" w:cs="Times New Roman"/>
          <w:sz w:val="24"/>
          <w:szCs w:val="24"/>
        </w:rPr>
        <w:t xml:space="preserve"> (OMS)</w:t>
      </w:r>
      <w:r w:rsidR="00320F99" w:rsidRPr="003C3B5F">
        <w:rPr>
          <w:rFonts w:ascii="Times New Roman" w:hAnsi="Times New Roman" w:cs="Times New Roman"/>
          <w:sz w:val="24"/>
          <w:szCs w:val="24"/>
        </w:rPr>
        <w:t xml:space="preserve">, 2002, </w:t>
      </w:r>
      <w:r w:rsidR="00320F99" w:rsidRPr="003C3B5F">
        <w:rPr>
          <w:rFonts w:ascii="Times New Roman" w:hAnsi="Times New Roman" w:cs="Times New Roman"/>
          <w:i/>
          <w:iCs/>
          <w:sz w:val="24"/>
          <w:szCs w:val="24"/>
        </w:rPr>
        <w:t>Vieillir en restant actif. Cadre d’orientation : contribution de l’OMS à la 2</w:t>
      </w:r>
      <w:r w:rsidR="00320F99" w:rsidRPr="003C3B5F">
        <w:rPr>
          <w:rFonts w:ascii="Times New Roman" w:hAnsi="Times New Roman" w:cs="Times New Roman"/>
          <w:i/>
          <w:iCs/>
          <w:sz w:val="24"/>
          <w:szCs w:val="24"/>
          <w:vertAlign w:val="superscript"/>
        </w:rPr>
        <w:t xml:space="preserve">e </w:t>
      </w:r>
      <w:r w:rsidR="00320F99" w:rsidRPr="003C3B5F">
        <w:rPr>
          <w:rFonts w:ascii="Times New Roman" w:hAnsi="Times New Roman" w:cs="Times New Roman"/>
          <w:i/>
          <w:iCs/>
          <w:sz w:val="24"/>
          <w:szCs w:val="24"/>
        </w:rPr>
        <w:t>Assemblée mondiale des Nations Unies sur le vieillissement</w:t>
      </w:r>
      <w:r w:rsidR="00320F99" w:rsidRPr="003C3B5F">
        <w:rPr>
          <w:rFonts w:ascii="Times New Roman" w:hAnsi="Times New Roman" w:cs="Times New Roman"/>
          <w:sz w:val="24"/>
          <w:szCs w:val="24"/>
        </w:rPr>
        <w:t>, Madrid.</w:t>
      </w:r>
    </w:p>
    <w:p w:rsidR="00361815" w:rsidRPr="003C3B5F" w:rsidRDefault="00361815" w:rsidP="003C3B5F">
      <w:pPr>
        <w:autoSpaceDE w:val="0"/>
        <w:autoSpaceDN w:val="0"/>
        <w:adjustRightInd w:val="0"/>
        <w:spacing w:after="0" w:line="360" w:lineRule="auto"/>
        <w:jc w:val="both"/>
        <w:rPr>
          <w:rFonts w:ascii="Times New Roman" w:hAnsi="Times New Roman" w:cs="Times New Roman"/>
          <w:sz w:val="24"/>
          <w:szCs w:val="24"/>
          <w:lang w:val="en-US"/>
        </w:rPr>
      </w:pPr>
      <w:r w:rsidRPr="003C3B5F">
        <w:rPr>
          <w:rFonts w:ascii="Times New Roman" w:hAnsi="Times New Roman" w:cs="Times New Roman"/>
          <w:sz w:val="24"/>
          <w:szCs w:val="24"/>
          <w:lang w:val="en-US"/>
        </w:rPr>
        <w:t xml:space="preserve">Sadler E., Biggs S. et Glaser K., 2012, « Spiritual perspectives of Black Caribbean and White British older adults: development of a spiritual typology in later life », </w:t>
      </w:r>
      <w:r w:rsidRPr="003C3B5F">
        <w:rPr>
          <w:rFonts w:ascii="Times New Roman" w:hAnsi="Times New Roman" w:cs="Times New Roman"/>
          <w:i/>
          <w:iCs/>
          <w:sz w:val="24"/>
          <w:szCs w:val="24"/>
          <w:lang w:val="en-US"/>
        </w:rPr>
        <w:t>Ageing &amp; Society</w:t>
      </w:r>
      <w:r w:rsidRPr="003C3B5F">
        <w:rPr>
          <w:rFonts w:ascii="Times New Roman" w:hAnsi="Times New Roman" w:cs="Times New Roman"/>
          <w:sz w:val="24"/>
          <w:szCs w:val="24"/>
          <w:lang w:val="en-US"/>
        </w:rPr>
        <w:t>, pp. 28p.</w:t>
      </w:r>
    </w:p>
    <w:p w:rsidR="00361815" w:rsidRPr="003C3B5F" w:rsidRDefault="00361815" w:rsidP="003C3B5F">
      <w:pPr>
        <w:autoSpaceDE w:val="0"/>
        <w:autoSpaceDN w:val="0"/>
        <w:adjustRightInd w:val="0"/>
        <w:spacing w:after="0" w:line="360" w:lineRule="auto"/>
        <w:jc w:val="both"/>
        <w:rPr>
          <w:rFonts w:ascii="Times New Roman" w:hAnsi="Times New Roman" w:cs="Times New Roman"/>
          <w:sz w:val="24"/>
          <w:szCs w:val="24"/>
          <w:lang w:val="en-US"/>
        </w:rPr>
      </w:pPr>
      <w:r w:rsidRPr="003C3B5F">
        <w:rPr>
          <w:rFonts w:ascii="Times New Roman" w:hAnsi="Times New Roman" w:cs="Times New Roman"/>
          <w:sz w:val="24"/>
          <w:szCs w:val="24"/>
          <w:lang w:val="en-US"/>
        </w:rPr>
        <w:t xml:space="preserve">Tornstam L., 2005, </w:t>
      </w:r>
      <w:r w:rsidRPr="003C3B5F">
        <w:rPr>
          <w:rFonts w:ascii="Times New Roman" w:hAnsi="Times New Roman" w:cs="Times New Roman"/>
          <w:i/>
          <w:iCs/>
          <w:sz w:val="24"/>
          <w:szCs w:val="24"/>
          <w:lang w:val="en-US"/>
        </w:rPr>
        <w:t>Gerotranscendence: A Developmental Theory of Positive Aging</w:t>
      </w:r>
      <w:r w:rsidRPr="003C3B5F">
        <w:rPr>
          <w:rFonts w:ascii="Times New Roman" w:hAnsi="Times New Roman" w:cs="Times New Roman"/>
          <w:sz w:val="24"/>
          <w:szCs w:val="24"/>
          <w:lang w:val="en-US"/>
        </w:rPr>
        <w:t>, New York, Springer Publishing Company.</w:t>
      </w:r>
    </w:p>
    <w:p w:rsidR="003C3B5F" w:rsidRPr="003C3B5F" w:rsidRDefault="003C3B5F" w:rsidP="003C3B5F">
      <w:pPr>
        <w:autoSpaceDE w:val="0"/>
        <w:autoSpaceDN w:val="0"/>
        <w:adjustRightInd w:val="0"/>
        <w:spacing w:after="0" w:line="360" w:lineRule="auto"/>
        <w:jc w:val="both"/>
        <w:rPr>
          <w:rFonts w:ascii="Times New Roman" w:hAnsi="Times New Roman" w:cs="Times New Roman"/>
          <w:sz w:val="24"/>
          <w:szCs w:val="24"/>
          <w:lang w:val="en-US"/>
        </w:rPr>
      </w:pPr>
      <w:r w:rsidRPr="003C3B5F">
        <w:rPr>
          <w:rFonts w:ascii="Times New Roman" w:hAnsi="Times New Roman" w:cs="Times New Roman"/>
          <w:sz w:val="24"/>
          <w:szCs w:val="24"/>
          <w:lang w:val="en-US"/>
        </w:rPr>
        <w:t xml:space="preserve">Walker A., 2002, « A strategy for active ageing », </w:t>
      </w:r>
      <w:r w:rsidRPr="003C3B5F">
        <w:rPr>
          <w:rFonts w:ascii="Times New Roman" w:hAnsi="Times New Roman" w:cs="Times New Roman"/>
          <w:i/>
          <w:iCs/>
          <w:sz w:val="24"/>
          <w:szCs w:val="24"/>
          <w:lang w:val="en-US"/>
        </w:rPr>
        <w:t>International social security Review</w:t>
      </w:r>
      <w:r w:rsidRPr="003C3B5F">
        <w:rPr>
          <w:rFonts w:ascii="Times New Roman" w:hAnsi="Times New Roman" w:cs="Times New Roman"/>
          <w:sz w:val="24"/>
          <w:szCs w:val="24"/>
          <w:lang w:val="en-US"/>
        </w:rPr>
        <w:t>,</w:t>
      </w:r>
      <w:r w:rsidRPr="003C3B5F">
        <w:rPr>
          <w:rFonts w:ascii="Times New Roman" w:hAnsi="Times New Roman" w:cs="Times New Roman"/>
          <w:i/>
          <w:iCs/>
          <w:sz w:val="24"/>
          <w:szCs w:val="24"/>
          <w:lang w:val="en-US"/>
        </w:rPr>
        <w:t xml:space="preserve"> </w:t>
      </w:r>
      <w:r w:rsidRPr="003C3B5F">
        <w:rPr>
          <w:rFonts w:ascii="Times New Roman" w:hAnsi="Times New Roman" w:cs="Times New Roman"/>
          <w:sz w:val="24"/>
          <w:szCs w:val="24"/>
          <w:lang w:val="en-US"/>
        </w:rPr>
        <w:t>55, 1, pp. 121-139.</w:t>
      </w:r>
    </w:p>
    <w:p w:rsidR="0026735E" w:rsidRPr="003C3B5F" w:rsidRDefault="0026735E" w:rsidP="003C3B5F">
      <w:pPr>
        <w:spacing w:after="0" w:line="360" w:lineRule="auto"/>
        <w:jc w:val="both"/>
        <w:rPr>
          <w:rFonts w:ascii="Times New Roman" w:hAnsi="Times New Roman" w:cs="Times New Roman"/>
          <w:sz w:val="24"/>
          <w:szCs w:val="24"/>
          <w:lang w:val="en-US"/>
        </w:rPr>
      </w:pPr>
    </w:p>
    <w:sectPr w:rsidR="0026735E" w:rsidRPr="003C3B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27C" w:rsidRDefault="0029727C" w:rsidP="00B3393E">
      <w:pPr>
        <w:spacing w:after="0" w:line="240" w:lineRule="auto"/>
      </w:pPr>
      <w:r>
        <w:separator/>
      </w:r>
    </w:p>
  </w:endnote>
  <w:endnote w:type="continuationSeparator" w:id="0">
    <w:p w:rsidR="0029727C" w:rsidRDefault="0029727C" w:rsidP="00B33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27C" w:rsidRDefault="0029727C" w:rsidP="00B3393E">
      <w:pPr>
        <w:spacing w:after="0" w:line="240" w:lineRule="auto"/>
      </w:pPr>
      <w:r>
        <w:separator/>
      </w:r>
    </w:p>
  </w:footnote>
  <w:footnote w:type="continuationSeparator" w:id="0">
    <w:p w:rsidR="0029727C" w:rsidRDefault="0029727C" w:rsidP="00B3393E">
      <w:pPr>
        <w:spacing w:after="0" w:line="240" w:lineRule="auto"/>
      </w:pPr>
      <w:r>
        <w:continuationSeparator/>
      </w:r>
    </w:p>
  </w:footnote>
  <w:footnote w:id="1">
    <w:p w:rsidR="00B3393E" w:rsidRPr="003C3B5F" w:rsidRDefault="00B3393E" w:rsidP="003C3B5F">
      <w:pPr>
        <w:pStyle w:val="Notedebasdepage"/>
        <w:jc w:val="both"/>
        <w:rPr>
          <w:rFonts w:ascii="Times New Roman" w:hAnsi="Times New Roman" w:cs="Times New Roman"/>
        </w:rPr>
      </w:pPr>
      <w:r w:rsidRPr="003C3B5F">
        <w:rPr>
          <w:rStyle w:val="Appelnotedebasdep"/>
          <w:rFonts w:ascii="Times New Roman" w:hAnsi="Times New Roman" w:cs="Times New Roman"/>
        </w:rPr>
        <w:footnoteRef/>
      </w:r>
      <w:r w:rsidRPr="003C3B5F">
        <w:rPr>
          <w:rFonts w:ascii="Times New Roman" w:hAnsi="Times New Roman" w:cs="Times New Roman"/>
        </w:rPr>
        <w:t xml:space="preserve"> Ce texte a été présenté et discuté lors d’un colloque traitant du vieillissement actif aux Facultés Universitaires Notre Dame de la Paix à Namur les 12 et 13 novembre 2012. Les échanges avec la salle ont confirmé l’intuition d’Albert Evrard, à savoir que la communication 940/2011 </w:t>
      </w:r>
      <w:r w:rsidR="007622B4" w:rsidRPr="003C3B5F">
        <w:rPr>
          <w:rFonts w:ascii="Times New Roman" w:hAnsi="Times New Roman" w:cs="Times New Roman"/>
        </w:rPr>
        <w:t>des instances</w:t>
      </w:r>
      <w:r w:rsidRPr="003C3B5F">
        <w:rPr>
          <w:rFonts w:ascii="Times New Roman" w:hAnsi="Times New Roman" w:cs="Times New Roman"/>
        </w:rPr>
        <w:t xml:space="preserve"> européen</w:t>
      </w:r>
      <w:r w:rsidR="007622B4" w:rsidRPr="003C3B5F">
        <w:rPr>
          <w:rFonts w:ascii="Times New Roman" w:hAnsi="Times New Roman" w:cs="Times New Roman"/>
        </w:rPr>
        <w:t>nes</w:t>
      </w:r>
      <w:r w:rsidRPr="003C3B5F">
        <w:rPr>
          <w:rFonts w:ascii="Times New Roman" w:hAnsi="Times New Roman" w:cs="Times New Roman"/>
        </w:rPr>
        <w:t xml:space="preserve"> risquait de survaloriser la dimension « emploi » dans la perspective européenne du vieillissement actif, </w:t>
      </w:r>
      <w:r w:rsidR="007622B4" w:rsidRPr="003C3B5F">
        <w:rPr>
          <w:rFonts w:ascii="Times New Roman" w:hAnsi="Times New Roman" w:cs="Times New Roman"/>
        </w:rPr>
        <w:t>et que, de ce fait</w:t>
      </w:r>
      <w:r w:rsidRPr="003C3B5F">
        <w:rPr>
          <w:rFonts w:ascii="Times New Roman" w:hAnsi="Times New Roman" w:cs="Times New Roman"/>
        </w:rPr>
        <w:t xml:space="preserve">, </w:t>
      </w:r>
      <w:r w:rsidR="007622B4" w:rsidRPr="003C3B5F">
        <w:rPr>
          <w:rFonts w:ascii="Times New Roman" w:hAnsi="Times New Roman" w:cs="Times New Roman"/>
        </w:rPr>
        <w:t xml:space="preserve">cela </w:t>
      </w:r>
      <w:r w:rsidRPr="003C3B5F">
        <w:rPr>
          <w:rFonts w:ascii="Times New Roman" w:hAnsi="Times New Roman" w:cs="Times New Roman"/>
        </w:rPr>
        <w:t>pou</w:t>
      </w:r>
      <w:r w:rsidR="007622B4" w:rsidRPr="003C3B5F">
        <w:rPr>
          <w:rFonts w:ascii="Times New Roman" w:hAnsi="Times New Roman" w:cs="Times New Roman"/>
        </w:rPr>
        <w:t>v</w:t>
      </w:r>
      <w:r w:rsidRPr="003C3B5F">
        <w:rPr>
          <w:rFonts w:ascii="Times New Roman" w:hAnsi="Times New Roman" w:cs="Times New Roman"/>
        </w:rPr>
        <w:t>ait être source d’une forme de « maltraitance des seniors ».</w:t>
      </w:r>
      <w:r w:rsidR="007622B4" w:rsidRPr="003C3B5F">
        <w:rPr>
          <w:rFonts w:ascii="Times New Roman" w:hAnsi="Times New Roman" w:cs="Times New Roman"/>
        </w:rPr>
        <w:t xml:space="preserve"> Les échanges </w:t>
      </w:r>
      <w:r w:rsidR="00DB1480" w:rsidRPr="003C3B5F">
        <w:rPr>
          <w:rFonts w:ascii="Times New Roman" w:hAnsi="Times New Roman" w:cs="Times New Roman"/>
        </w:rPr>
        <w:t>ont également soulevé la question de la définition de la « maltraitance », assez peu explicité dans l’intervention orale d’Albert Evrard</w:t>
      </w:r>
      <w:r w:rsidR="007622B4" w:rsidRPr="003C3B5F">
        <w:rPr>
          <w:rFonts w:ascii="Times New Roman" w:hAnsi="Times New Roman" w:cs="Times New Roman"/>
        </w:rPr>
        <w:t xml:space="preserve"> et plus explicite dans l’article qu’il nous livre ici ; reprenant l’argument d’Albert</w:t>
      </w:r>
      <w:r w:rsidR="00DB1480" w:rsidRPr="003C3B5F">
        <w:rPr>
          <w:rFonts w:ascii="Times New Roman" w:hAnsi="Times New Roman" w:cs="Times New Roman"/>
        </w:rPr>
        <w:t xml:space="preserve">, certains voyaient ainsi la maltraitance « partout ». De notre point de vue, il s’agissait là d’un excès de langage et d’une surinterprétation de la portée du texte européen qui témoignaient de la nécessité, particulièrement lors d’échanges se voulant interdisciplinaires comme dans ce colloque, de s’entendre sur une définition précise des termes que nous mobilisons ou, </w:t>
      </w:r>
      <w:r w:rsidR="00DB1480" w:rsidRPr="003C3B5F">
        <w:rPr>
          <w:rFonts w:ascii="Times New Roman" w:hAnsi="Times New Roman" w:cs="Times New Roman"/>
          <w:i/>
        </w:rPr>
        <w:t>a minima</w:t>
      </w:r>
      <w:r w:rsidR="00DB1480" w:rsidRPr="003C3B5F">
        <w:rPr>
          <w:rFonts w:ascii="Times New Roman" w:hAnsi="Times New Roman" w:cs="Times New Roman"/>
        </w:rPr>
        <w:t xml:space="preserve">, sur les désaccords que suscitent </w:t>
      </w:r>
      <w:r w:rsidR="007622B4" w:rsidRPr="003C3B5F">
        <w:rPr>
          <w:rFonts w:ascii="Times New Roman" w:hAnsi="Times New Roman" w:cs="Times New Roman"/>
        </w:rPr>
        <w:t>la définition que l’on adopte.</w:t>
      </w:r>
    </w:p>
  </w:footnote>
  <w:footnote w:id="2">
    <w:p w:rsidR="0015698A" w:rsidRPr="003C3B5F" w:rsidRDefault="0015698A" w:rsidP="003C3B5F">
      <w:pPr>
        <w:pStyle w:val="Notedebasdepage"/>
        <w:jc w:val="both"/>
        <w:rPr>
          <w:rFonts w:ascii="Times New Roman" w:hAnsi="Times New Roman" w:cs="Times New Roman"/>
        </w:rPr>
      </w:pPr>
      <w:r w:rsidRPr="003C3B5F">
        <w:rPr>
          <w:rStyle w:val="Appelnotedebasdep"/>
          <w:rFonts w:ascii="Times New Roman" w:hAnsi="Times New Roman" w:cs="Times New Roman"/>
        </w:rPr>
        <w:footnoteRef/>
      </w:r>
      <w:r w:rsidRPr="003C3B5F">
        <w:rPr>
          <w:rFonts w:ascii="Times New Roman" w:hAnsi="Times New Roman" w:cs="Times New Roman"/>
        </w:rPr>
        <w:t xml:space="preserve"> On pourrait poursuivre la métaphore du triangle en </w:t>
      </w:r>
      <w:r w:rsidR="00AD2D73" w:rsidRPr="003C3B5F">
        <w:rPr>
          <w:rFonts w:ascii="Times New Roman" w:hAnsi="Times New Roman" w:cs="Times New Roman"/>
        </w:rPr>
        <w:t>disant</w:t>
      </w:r>
      <w:r w:rsidRPr="003C3B5F">
        <w:rPr>
          <w:rFonts w:ascii="Times New Roman" w:hAnsi="Times New Roman" w:cs="Times New Roman"/>
        </w:rPr>
        <w:t xml:space="preserve"> que si la question de « l’emploi des seniors » (Guillemard, Jolivet, 2006) </w:t>
      </w:r>
      <w:r w:rsidR="00AD2D73" w:rsidRPr="003C3B5F">
        <w:rPr>
          <w:rFonts w:ascii="Times New Roman" w:hAnsi="Times New Roman" w:cs="Times New Roman"/>
        </w:rPr>
        <w:t xml:space="preserve">reste malgré tout </w:t>
      </w:r>
      <w:r w:rsidRPr="003C3B5F">
        <w:rPr>
          <w:rFonts w:ascii="Times New Roman" w:hAnsi="Times New Roman" w:cs="Times New Roman"/>
        </w:rPr>
        <w:t>prépondérante au cœur de la position européenne</w:t>
      </w:r>
      <w:r w:rsidR="00AD2D73" w:rsidRPr="003C3B5F">
        <w:rPr>
          <w:rFonts w:ascii="Times New Roman" w:hAnsi="Times New Roman" w:cs="Times New Roman"/>
        </w:rPr>
        <w:t xml:space="preserve">, dans ce cas le triangle serait </w:t>
      </w:r>
      <w:r w:rsidR="004F39E7" w:rsidRPr="003C3B5F">
        <w:rPr>
          <w:rFonts w:ascii="Times New Roman" w:hAnsi="Times New Roman" w:cs="Times New Roman"/>
        </w:rPr>
        <w:t>obtus</w:t>
      </w:r>
      <w:r w:rsidR="007622B4" w:rsidRPr="003C3B5F">
        <w:rPr>
          <w:rFonts w:ascii="Times New Roman" w:hAnsi="Times New Roman" w:cs="Times New Roman"/>
        </w:rPr>
        <w:t xml:space="preserve"> puisqu’il possède un</w:t>
      </w:r>
      <w:r w:rsidR="00AD2D73" w:rsidRPr="003C3B5F">
        <w:rPr>
          <w:rFonts w:ascii="Times New Roman" w:hAnsi="Times New Roman" w:cs="Times New Roman"/>
        </w:rPr>
        <w:t xml:space="preserve"> </w:t>
      </w:r>
      <w:r w:rsidR="007622B4" w:rsidRPr="003C3B5F">
        <w:rPr>
          <w:rFonts w:ascii="Times New Roman" w:hAnsi="Times New Roman" w:cs="Times New Roman"/>
        </w:rPr>
        <w:t>sommet dont l’</w:t>
      </w:r>
      <w:r w:rsidR="00AD2D73" w:rsidRPr="003C3B5F">
        <w:rPr>
          <w:rFonts w:ascii="Times New Roman" w:hAnsi="Times New Roman" w:cs="Times New Roman"/>
        </w:rPr>
        <w:t xml:space="preserve">angle </w:t>
      </w:r>
      <w:r w:rsidR="007622B4" w:rsidRPr="003C3B5F">
        <w:rPr>
          <w:rFonts w:ascii="Times New Roman" w:hAnsi="Times New Roman" w:cs="Times New Roman"/>
        </w:rPr>
        <w:t xml:space="preserve">est </w:t>
      </w:r>
      <w:r w:rsidR="00AD2D73" w:rsidRPr="003C3B5F">
        <w:rPr>
          <w:rFonts w:ascii="Times New Roman" w:hAnsi="Times New Roman" w:cs="Times New Roman"/>
        </w:rPr>
        <w:t>supérieur aux deux autres.</w:t>
      </w:r>
    </w:p>
  </w:footnote>
  <w:footnote w:id="3">
    <w:p w:rsidR="0055036F" w:rsidRPr="003C3B5F" w:rsidRDefault="0055036F" w:rsidP="003C3B5F">
      <w:pPr>
        <w:pStyle w:val="Notedebasdepage"/>
        <w:jc w:val="both"/>
        <w:rPr>
          <w:rFonts w:ascii="Times New Roman" w:hAnsi="Times New Roman" w:cs="Times New Roman"/>
        </w:rPr>
      </w:pPr>
      <w:r w:rsidRPr="003C3B5F">
        <w:rPr>
          <w:rStyle w:val="Appelnotedebasdep"/>
          <w:rFonts w:ascii="Times New Roman" w:hAnsi="Times New Roman" w:cs="Times New Roman"/>
        </w:rPr>
        <w:footnoteRef/>
      </w:r>
      <w:r w:rsidRPr="003C3B5F">
        <w:rPr>
          <w:rFonts w:ascii="Times New Roman" w:hAnsi="Times New Roman" w:cs="Times New Roman"/>
        </w:rPr>
        <w:t xml:space="preserve"> Ces analyses ont été depuis lors complétées par 11 entretiens d’experts internationaux qui alimentent notre argumentation dans la dernière section de ce chapitre.</w:t>
      </w:r>
    </w:p>
  </w:footnote>
  <w:footnote w:id="4">
    <w:p w:rsidR="003F2919" w:rsidRPr="003C3B5F" w:rsidRDefault="003F2919" w:rsidP="003C3B5F">
      <w:pPr>
        <w:pStyle w:val="Notedebasdepage"/>
        <w:jc w:val="both"/>
        <w:rPr>
          <w:rFonts w:ascii="Times New Roman" w:hAnsi="Times New Roman" w:cs="Times New Roman"/>
        </w:rPr>
      </w:pPr>
      <w:r w:rsidRPr="003C3B5F">
        <w:rPr>
          <w:rStyle w:val="Appelnotedebasdep"/>
          <w:rFonts w:ascii="Times New Roman" w:hAnsi="Times New Roman" w:cs="Times New Roman"/>
        </w:rPr>
        <w:footnoteRef/>
      </w:r>
      <w:r w:rsidRPr="003C3B5F">
        <w:rPr>
          <w:rFonts w:ascii="Times New Roman" w:hAnsi="Times New Roman" w:cs="Times New Roman"/>
        </w:rPr>
        <w:t xml:space="preserve"> Cependant, il se trompe en affirmant que le mot n’apparaît qu’une fois puisqu’il apparait deux fois. La mise en parallèle des textes français/anglais, affirmée par l’auteur, aurait été intéressante à solliciter ici. En effet, « l’économie des seniors » </w:t>
      </w:r>
      <w:r w:rsidR="00B661DB" w:rsidRPr="003C3B5F">
        <w:rPr>
          <w:rFonts w:ascii="Times New Roman" w:hAnsi="Times New Roman" w:cs="Times New Roman"/>
        </w:rPr>
        <w:t xml:space="preserve">(considérant 14) </w:t>
      </w:r>
      <w:r w:rsidRPr="003C3B5F">
        <w:rPr>
          <w:rFonts w:ascii="Times New Roman" w:hAnsi="Times New Roman" w:cs="Times New Roman"/>
        </w:rPr>
        <w:t>devient la « </w:t>
      </w:r>
      <w:r w:rsidRPr="003C3B5F">
        <w:rPr>
          <w:rFonts w:ascii="Times New Roman" w:hAnsi="Times New Roman" w:cs="Times New Roman"/>
          <w:i/>
        </w:rPr>
        <w:t>silver economy</w:t>
      </w:r>
      <w:r w:rsidRPr="003C3B5F">
        <w:rPr>
          <w:rFonts w:ascii="Times New Roman" w:hAnsi="Times New Roman" w:cs="Times New Roman"/>
        </w:rPr>
        <w:t> » et les « seniors, femmes et hommes » (article 2)</w:t>
      </w:r>
      <w:r w:rsidR="00B661DB" w:rsidRPr="003C3B5F">
        <w:rPr>
          <w:rFonts w:ascii="Times New Roman" w:hAnsi="Times New Roman" w:cs="Times New Roman"/>
        </w:rPr>
        <w:t xml:space="preserve"> deviennent « </w:t>
      </w:r>
      <w:r w:rsidR="00B661DB" w:rsidRPr="003C3B5F">
        <w:rPr>
          <w:rFonts w:ascii="Times New Roman" w:hAnsi="Times New Roman" w:cs="Times New Roman"/>
          <w:i/>
        </w:rPr>
        <w:t>older women and men</w:t>
      </w:r>
      <w:r w:rsidR="00B661DB" w:rsidRPr="003C3B5F">
        <w:rPr>
          <w:rFonts w:ascii="Times New Roman" w:hAnsi="Times New Roman" w:cs="Times New Roman"/>
        </w:rPr>
        <w:t> ».</w:t>
      </w:r>
    </w:p>
  </w:footnote>
  <w:footnote w:id="5">
    <w:p w:rsidR="006C741E" w:rsidRPr="003C3B5F" w:rsidRDefault="006C741E" w:rsidP="003C3B5F">
      <w:pPr>
        <w:pStyle w:val="Notedebasdepage"/>
        <w:jc w:val="both"/>
        <w:rPr>
          <w:rFonts w:ascii="Times New Roman" w:hAnsi="Times New Roman" w:cs="Times New Roman"/>
        </w:rPr>
      </w:pPr>
      <w:r w:rsidRPr="003C3B5F">
        <w:rPr>
          <w:rStyle w:val="Appelnotedebasdep"/>
          <w:rFonts w:ascii="Times New Roman" w:hAnsi="Times New Roman" w:cs="Times New Roman"/>
        </w:rPr>
        <w:footnoteRef/>
      </w:r>
      <w:r w:rsidRPr="003C3B5F">
        <w:rPr>
          <w:rFonts w:ascii="Times New Roman" w:hAnsi="Times New Roman" w:cs="Times New Roman"/>
        </w:rPr>
        <w:t xml:space="preserve"> Il </w:t>
      </w:r>
      <w:r w:rsidRPr="003C3B5F">
        <w:rPr>
          <w:rFonts w:ascii="Times New Roman" w:hAnsi="Times New Roman" w:cs="Times New Roman"/>
        </w:rPr>
        <w:t xml:space="preserve">y présente </w:t>
      </w:r>
      <w:r w:rsidRPr="003C3B5F">
        <w:rPr>
          <w:rFonts w:ascii="Times New Roman" w:hAnsi="Times New Roman" w:cs="Times New Roman"/>
        </w:rPr>
        <w:t>quelques pistes de définitions</w:t>
      </w:r>
      <w:r w:rsidRPr="003C3B5F">
        <w:rPr>
          <w:rFonts w:ascii="Times New Roman" w:hAnsi="Times New Roman" w:cs="Times New Roman"/>
        </w:rPr>
        <w:t xml:space="preserve"> </w:t>
      </w:r>
      <w:r w:rsidRPr="003C3B5F">
        <w:rPr>
          <w:rFonts w:ascii="Times New Roman" w:hAnsi="Times New Roman" w:cs="Times New Roman"/>
        </w:rPr>
        <w:t>en se référant à l’Organisation Mondiale de la Santé</w:t>
      </w:r>
      <w:r w:rsidRPr="003C3B5F">
        <w:rPr>
          <w:rFonts w:ascii="Times New Roman" w:hAnsi="Times New Roman" w:cs="Times New Roman"/>
        </w:rPr>
        <w:t xml:space="preserve"> ou à </w:t>
      </w:r>
      <w:r w:rsidRPr="003C3B5F">
        <w:rPr>
          <w:rFonts w:ascii="Times New Roman" w:hAnsi="Times New Roman" w:cs="Times New Roman"/>
        </w:rPr>
        <w:t>Infor-Homes. On voudrait attirer l’attention sur le fait qu’il s’agit là de définitions issues d’acteurs de la santé et qu’en soit, elles ne permettent pas de problématiser réellement la maltraitance, par exemple en s’interrogeant sur les raisons de l’émergence actuelle de cette thématique. Pour une perspective critique et réflexive sur la maltraitance des ainés, voir par exemple le chapitre 8 de l’ouvrage de Simon Biggs et Ariela Lowenstein (2011).</w:t>
      </w:r>
    </w:p>
  </w:footnote>
  <w:footnote w:id="6">
    <w:p w:rsidR="005E074B" w:rsidRPr="003C3B5F" w:rsidRDefault="005E074B" w:rsidP="003C3B5F">
      <w:pPr>
        <w:pStyle w:val="Notedebasdepage"/>
        <w:jc w:val="both"/>
        <w:rPr>
          <w:rFonts w:ascii="Times New Roman" w:hAnsi="Times New Roman" w:cs="Times New Roman"/>
        </w:rPr>
      </w:pPr>
      <w:r w:rsidRPr="003C3B5F">
        <w:rPr>
          <w:rStyle w:val="Appelnotedebasdep"/>
          <w:rFonts w:ascii="Times New Roman" w:hAnsi="Times New Roman" w:cs="Times New Roman"/>
        </w:rPr>
        <w:footnoteRef/>
      </w:r>
      <w:r w:rsidRPr="003C3B5F">
        <w:rPr>
          <w:rFonts w:ascii="Times New Roman" w:hAnsi="Times New Roman" w:cs="Times New Roman"/>
        </w:rPr>
        <w:t xml:space="preserve"> La question du « fond culturel européen lié à une anthropologie judéo-chrétienne » provient de l’ouvrage de Daniel Faivre intitulé </w:t>
      </w:r>
      <w:r w:rsidRPr="003C3B5F">
        <w:rPr>
          <w:rFonts w:ascii="Times New Roman" w:hAnsi="Times New Roman" w:cs="Times New Roman"/>
          <w:i/>
        </w:rPr>
        <w:t>Précis d’anthropologie biblique</w:t>
      </w:r>
      <w:r w:rsidRPr="003C3B5F">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93E"/>
    <w:rsid w:val="000056D8"/>
    <w:rsid w:val="00032747"/>
    <w:rsid w:val="000D7AB4"/>
    <w:rsid w:val="000F2571"/>
    <w:rsid w:val="0015698A"/>
    <w:rsid w:val="00182462"/>
    <w:rsid w:val="0026735E"/>
    <w:rsid w:val="0029727C"/>
    <w:rsid w:val="002C54F1"/>
    <w:rsid w:val="002D1FB7"/>
    <w:rsid w:val="00320F99"/>
    <w:rsid w:val="00361815"/>
    <w:rsid w:val="00397845"/>
    <w:rsid w:val="003C3B5F"/>
    <w:rsid w:val="003F2919"/>
    <w:rsid w:val="004659DD"/>
    <w:rsid w:val="004B16E1"/>
    <w:rsid w:val="004F39E7"/>
    <w:rsid w:val="0055036F"/>
    <w:rsid w:val="005579D8"/>
    <w:rsid w:val="005724A0"/>
    <w:rsid w:val="0059486D"/>
    <w:rsid w:val="005E074B"/>
    <w:rsid w:val="00602C08"/>
    <w:rsid w:val="006C741E"/>
    <w:rsid w:val="007365BD"/>
    <w:rsid w:val="007622B4"/>
    <w:rsid w:val="00796FC3"/>
    <w:rsid w:val="007B7091"/>
    <w:rsid w:val="007F4B35"/>
    <w:rsid w:val="00803183"/>
    <w:rsid w:val="0083397F"/>
    <w:rsid w:val="00967453"/>
    <w:rsid w:val="009B7BBA"/>
    <w:rsid w:val="009F6719"/>
    <w:rsid w:val="00A13053"/>
    <w:rsid w:val="00A347CD"/>
    <w:rsid w:val="00A40E7D"/>
    <w:rsid w:val="00A653B3"/>
    <w:rsid w:val="00AD2D73"/>
    <w:rsid w:val="00B3393E"/>
    <w:rsid w:val="00B52196"/>
    <w:rsid w:val="00B661DB"/>
    <w:rsid w:val="00C12C47"/>
    <w:rsid w:val="00CB6DE5"/>
    <w:rsid w:val="00D635A8"/>
    <w:rsid w:val="00DB1480"/>
    <w:rsid w:val="00E202D1"/>
    <w:rsid w:val="00E62D7C"/>
    <w:rsid w:val="00F12F3B"/>
    <w:rsid w:val="00F62089"/>
    <w:rsid w:val="00FB5A2C"/>
    <w:rsid w:val="00FE02B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unhideWhenUsed/>
    <w:rsid w:val="00B3393E"/>
    <w:pPr>
      <w:spacing w:after="0" w:line="240" w:lineRule="auto"/>
    </w:pPr>
    <w:rPr>
      <w:sz w:val="20"/>
      <w:szCs w:val="20"/>
    </w:rPr>
  </w:style>
  <w:style w:type="character" w:customStyle="1" w:styleId="NotedebasdepageCar">
    <w:name w:val="Note de bas de page Car"/>
    <w:basedOn w:val="Policepardfaut"/>
    <w:link w:val="Notedebasdepage"/>
    <w:semiHidden/>
    <w:rsid w:val="00B3393E"/>
    <w:rPr>
      <w:sz w:val="20"/>
      <w:szCs w:val="20"/>
    </w:rPr>
  </w:style>
  <w:style w:type="character" w:styleId="Appelnotedebasdep">
    <w:name w:val="footnote reference"/>
    <w:aliases w:val="Appel note de bas de p.La Charte"/>
    <w:basedOn w:val="Policepardfaut"/>
    <w:semiHidden/>
    <w:unhideWhenUsed/>
    <w:rsid w:val="00B3393E"/>
    <w:rPr>
      <w:vertAlign w:val="superscript"/>
    </w:rPr>
  </w:style>
  <w:style w:type="paragraph" w:styleId="PrformatHTML">
    <w:name w:val="HTML Preformatted"/>
    <w:basedOn w:val="Normal"/>
    <w:link w:val="PrformatHTMLCar"/>
    <w:uiPriority w:val="99"/>
    <w:semiHidden/>
    <w:unhideWhenUsed/>
    <w:rsid w:val="000F2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BE"/>
    </w:rPr>
  </w:style>
  <w:style w:type="character" w:customStyle="1" w:styleId="PrformatHTMLCar">
    <w:name w:val="Préformaté HTML Car"/>
    <w:basedOn w:val="Policepardfaut"/>
    <w:link w:val="PrformatHTML"/>
    <w:uiPriority w:val="99"/>
    <w:semiHidden/>
    <w:rsid w:val="000F2571"/>
    <w:rPr>
      <w:rFonts w:ascii="Courier New" w:eastAsia="Times New Roman" w:hAnsi="Courier New" w:cs="Courier New"/>
      <w:sz w:val="20"/>
      <w:szCs w:val="20"/>
      <w:lang w:eastAsia="fr-BE"/>
    </w:rPr>
  </w:style>
  <w:style w:type="character" w:styleId="Lienhypertexte">
    <w:name w:val="Hyperlink"/>
    <w:basedOn w:val="Policepardfaut"/>
    <w:uiPriority w:val="99"/>
    <w:unhideWhenUsed/>
    <w:rsid w:val="005579D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unhideWhenUsed/>
    <w:rsid w:val="00B3393E"/>
    <w:pPr>
      <w:spacing w:after="0" w:line="240" w:lineRule="auto"/>
    </w:pPr>
    <w:rPr>
      <w:sz w:val="20"/>
      <w:szCs w:val="20"/>
    </w:rPr>
  </w:style>
  <w:style w:type="character" w:customStyle="1" w:styleId="NotedebasdepageCar">
    <w:name w:val="Note de bas de page Car"/>
    <w:basedOn w:val="Policepardfaut"/>
    <w:link w:val="Notedebasdepage"/>
    <w:semiHidden/>
    <w:rsid w:val="00B3393E"/>
    <w:rPr>
      <w:sz w:val="20"/>
      <w:szCs w:val="20"/>
    </w:rPr>
  </w:style>
  <w:style w:type="character" w:styleId="Appelnotedebasdep">
    <w:name w:val="footnote reference"/>
    <w:aliases w:val="Appel note de bas de p.La Charte"/>
    <w:basedOn w:val="Policepardfaut"/>
    <w:semiHidden/>
    <w:unhideWhenUsed/>
    <w:rsid w:val="00B3393E"/>
    <w:rPr>
      <w:vertAlign w:val="superscript"/>
    </w:rPr>
  </w:style>
  <w:style w:type="paragraph" w:styleId="PrformatHTML">
    <w:name w:val="HTML Preformatted"/>
    <w:basedOn w:val="Normal"/>
    <w:link w:val="PrformatHTMLCar"/>
    <w:uiPriority w:val="99"/>
    <w:semiHidden/>
    <w:unhideWhenUsed/>
    <w:rsid w:val="000F2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BE"/>
    </w:rPr>
  </w:style>
  <w:style w:type="character" w:customStyle="1" w:styleId="PrformatHTMLCar">
    <w:name w:val="Préformaté HTML Car"/>
    <w:basedOn w:val="Policepardfaut"/>
    <w:link w:val="PrformatHTML"/>
    <w:uiPriority w:val="99"/>
    <w:semiHidden/>
    <w:rsid w:val="000F2571"/>
    <w:rPr>
      <w:rFonts w:ascii="Courier New" w:eastAsia="Times New Roman" w:hAnsi="Courier New" w:cs="Courier New"/>
      <w:sz w:val="20"/>
      <w:szCs w:val="20"/>
      <w:lang w:eastAsia="fr-BE"/>
    </w:rPr>
  </w:style>
  <w:style w:type="character" w:styleId="Lienhypertexte">
    <w:name w:val="Hyperlink"/>
    <w:basedOn w:val="Policepardfaut"/>
    <w:uiPriority w:val="99"/>
    <w:unhideWhenUsed/>
    <w:rsid w:val="005579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3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dl.handle.net/2078.1/10259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8</Pages>
  <Words>3249</Words>
  <Characters>17517</Characters>
  <Application>Microsoft Office Word</Application>
  <DocSecurity>0</DocSecurity>
  <Lines>261</Lines>
  <Paragraphs>58</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20708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thibauld moulaert</dc:creator>
  <cp:lastModifiedBy>thibauld moulaert</cp:lastModifiedBy>
  <cp:revision>19</cp:revision>
  <dcterms:created xsi:type="dcterms:W3CDTF">2012-12-05T07:16:00Z</dcterms:created>
  <dcterms:modified xsi:type="dcterms:W3CDTF">2012-12-19T22:55:00Z</dcterms:modified>
</cp:coreProperties>
</file>