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6B17F9" w14:textId="084178C4" w:rsidR="00506346" w:rsidRPr="00D022E4" w:rsidRDefault="00506346" w:rsidP="005C3CB0">
      <w:pPr>
        <w:spacing w:after="0" w:line="360" w:lineRule="auto"/>
        <w:jc w:val="both"/>
        <w:rPr>
          <w:b/>
          <w:sz w:val="30"/>
          <w:szCs w:val="30"/>
        </w:rPr>
      </w:pPr>
      <w:bookmarkStart w:id="0" w:name="_GoBack"/>
      <w:bookmarkEnd w:id="0"/>
      <w:r w:rsidRPr="00D022E4">
        <w:rPr>
          <w:b/>
          <w:sz w:val="30"/>
          <w:szCs w:val="30"/>
        </w:rPr>
        <w:t>Sources et méthodes d’un antiquaire du XVII</w:t>
      </w:r>
      <w:r w:rsidRPr="00D022E4">
        <w:rPr>
          <w:b/>
          <w:sz w:val="30"/>
          <w:szCs w:val="30"/>
          <w:vertAlign w:val="superscript"/>
        </w:rPr>
        <w:t>e</w:t>
      </w:r>
      <w:r w:rsidRPr="00D022E4">
        <w:rPr>
          <w:b/>
          <w:sz w:val="30"/>
          <w:szCs w:val="30"/>
        </w:rPr>
        <w:t xml:space="preserve"> siècle : le jésuite Alexandre Wiltheim (16</w:t>
      </w:r>
      <w:r w:rsidR="005C3CB0" w:rsidRPr="00D022E4">
        <w:rPr>
          <w:b/>
          <w:sz w:val="30"/>
          <w:szCs w:val="30"/>
        </w:rPr>
        <w:t>0</w:t>
      </w:r>
      <w:r w:rsidRPr="00D022E4">
        <w:rPr>
          <w:b/>
          <w:sz w:val="30"/>
          <w:szCs w:val="30"/>
        </w:rPr>
        <w:t>4-1684), « père de l’archéologie luxembourgeoise »</w:t>
      </w:r>
    </w:p>
    <w:p w14:paraId="0C244BC6" w14:textId="09F59525" w:rsidR="00CC2BAA" w:rsidRDefault="005C3CB0" w:rsidP="005C3CB0">
      <w:pPr>
        <w:spacing w:after="0" w:line="360" w:lineRule="auto"/>
        <w:jc w:val="both"/>
        <w:rPr>
          <w:sz w:val="24"/>
          <w:szCs w:val="24"/>
        </w:rPr>
      </w:pPr>
      <w:r>
        <w:rPr>
          <w:sz w:val="24"/>
          <w:szCs w:val="24"/>
        </w:rPr>
        <w:tab/>
      </w:r>
    </w:p>
    <w:p w14:paraId="43AA65ED" w14:textId="622A48D0" w:rsidR="009B2C69" w:rsidRDefault="005C3CB0" w:rsidP="00602F89">
      <w:pPr>
        <w:spacing w:after="0" w:line="360" w:lineRule="auto"/>
        <w:ind w:firstLine="708"/>
        <w:jc w:val="both"/>
        <w:rPr>
          <w:sz w:val="24"/>
          <w:szCs w:val="24"/>
        </w:rPr>
      </w:pPr>
      <w:r>
        <w:rPr>
          <w:sz w:val="24"/>
          <w:szCs w:val="24"/>
        </w:rPr>
        <w:t>Aujourd’hui encore, l’antiquaire est sans conteste une figure</w:t>
      </w:r>
      <w:r w:rsidR="004F1638">
        <w:rPr>
          <w:sz w:val="24"/>
          <w:szCs w:val="24"/>
        </w:rPr>
        <w:t xml:space="preserve"> </w:t>
      </w:r>
      <w:r w:rsidR="00456E65">
        <w:rPr>
          <w:sz w:val="24"/>
          <w:szCs w:val="24"/>
        </w:rPr>
        <w:t>souvent</w:t>
      </w:r>
      <w:r>
        <w:rPr>
          <w:sz w:val="24"/>
          <w:szCs w:val="24"/>
        </w:rPr>
        <w:t xml:space="preserve"> incomprise et méconnue de la vie intellectuelle de la période moderne</w:t>
      </w:r>
      <w:r w:rsidR="00480077">
        <w:rPr>
          <w:sz w:val="24"/>
          <w:szCs w:val="24"/>
        </w:rPr>
        <w:t>. L’antiquaire</w:t>
      </w:r>
      <w:r w:rsidR="00456E65">
        <w:rPr>
          <w:sz w:val="24"/>
          <w:szCs w:val="24"/>
        </w:rPr>
        <w:t xml:space="preserve"> </w:t>
      </w:r>
      <w:r w:rsidR="00480077">
        <w:rPr>
          <w:sz w:val="24"/>
          <w:szCs w:val="24"/>
        </w:rPr>
        <w:t xml:space="preserve">est avant tout </w:t>
      </w:r>
      <w:r w:rsidR="00456E65">
        <w:rPr>
          <w:sz w:val="24"/>
          <w:szCs w:val="24"/>
        </w:rPr>
        <w:t>une personne curieuse du passé et qui</w:t>
      </w:r>
      <w:r w:rsidR="00480077">
        <w:rPr>
          <w:sz w:val="24"/>
          <w:szCs w:val="24"/>
        </w:rPr>
        <w:t xml:space="preserve"> a choisi de</w:t>
      </w:r>
      <w:r w:rsidR="00456E65">
        <w:rPr>
          <w:sz w:val="24"/>
          <w:szCs w:val="24"/>
        </w:rPr>
        <w:t xml:space="preserve"> l’étudie</w:t>
      </w:r>
      <w:r w:rsidR="00480077">
        <w:rPr>
          <w:sz w:val="24"/>
          <w:szCs w:val="24"/>
        </w:rPr>
        <w:t>r principalement</w:t>
      </w:r>
      <w:r w:rsidR="00456E65">
        <w:rPr>
          <w:sz w:val="24"/>
          <w:szCs w:val="24"/>
        </w:rPr>
        <w:t xml:space="preserve"> par le biais de l’objet. </w:t>
      </w:r>
      <w:r w:rsidR="00480077">
        <w:rPr>
          <w:sz w:val="24"/>
          <w:szCs w:val="24"/>
        </w:rPr>
        <w:t>Celui-ci</w:t>
      </w:r>
      <w:r w:rsidR="00456E65">
        <w:rPr>
          <w:sz w:val="24"/>
          <w:szCs w:val="24"/>
        </w:rPr>
        <w:t xml:space="preserve"> est classé, organisé et confronté à d’autres objets similaires, parfois rassemblés sous la forme d’une collection</w:t>
      </w:r>
      <w:r w:rsidR="00456E65" w:rsidRPr="005C3CB0">
        <w:rPr>
          <w:sz w:val="24"/>
          <w:szCs w:val="24"/>
          <w:vertAlign w:val="superscript"/>
        </w:rPr>
        <w:footnoteReference w:id="1"/>
      </w:r>
      <w:r w:rsidR="00456E65" w:rsidRPr="005C3CB0">
        <w:rPr>
          <w:sz w:val="24"/>
          <w:szCs w:val="24"/>
        </w:rPr>
        <w:t>.</w:t>
      </w:r>
      <w:r w:rsidR="00456E65">
        <w:rPr>
          <w:sz w:val="24"/>
          <w:szCs w:val="24"/>
        </w:rPr>
        <w:t xml:space="preserve"> </w:t>
      </w:r>
      <w:r w:rsidR="00480077">
        <w:rPr>
          <w:sz w:val="24"/>
          <w:szCs w:val="24"/>
        </w:rPr>
        <w:t xml:space="preserve">Les travaux des antiquaires, </w:t>
      </w:r>
      <w:r w:rsidR="00482E13">
        <w:rPr>
          <w:sz w:val="24"/>
          <w:szCs w:val="24"/>
        </w:rPr>
        <w:t xml:space="preserve">trop </w:t>
      </w:r>
      <w:r w:rsidR="00480077">
        <w:rPr>
          <w:sz w:val="24"/>
          <w:szCs w:val="24"/>
        </w:rPr>
        <w:t xml:space="preserve">fréquemment considérés comme des sommes érudites indigestes, </w:t>
      </w:r>
      <w:r w:rsidR="00602F89">
        <w:rPr>
          <w:sz w:val="24"/>
          <w:szCs w:val="24"/>
        </w:rPr>
        <w:t xml:space="preserve">sans postérité, </w:t>
      </w:r>
      <w:r w:rsidR="00480077">
        <w:rPr>
          <w:sz w:val="24"/>
          <w:szCs w:val="24"/>
        </w:rPr>
        <w:t>sont restés longtemps « poussiéreux et négligés dans les rayonnages des bibliothèques », ainsi que l’affirmait non sans raison l’historien anglais Graham Parry</w:t>
      </w:r>
      <w:r w:rsidR="00480077">
        <w:rPr>
          <w:rStyle w:val="Appelnotedebasdep"/>
          <w:sz w:val="24"/>
          <w:szCs w:val="24"/>
        </w:rPr>
        <w:footnoteReference w:id="2"/>
      </w:r>
      <w:r w:rsidR="00480077">
        <w:rPr>
          <w:sz w:val="24"/>
          <w:szCs w:val="24"/>
        </w:rPr>
        <w:t xml:space="preserve">. </w:t>
      </w:r>
      <w:r w:rsidR="00EF251E">
        <w:rPr>
          <w:sz w:val="24"/>
          <w:szCs w:val="24"/>
        </w:rPr>
        <w:t>Les études menées au cours de ces trente dernières années, principalement en Grande-Bretagne et dans une moindre mesure en France, en Italie et aux États-Unis</w:t>
      </w:r>
      <w:r w:rsidR="00456E65">
        <w:rPr>
          <w:rStyle w:val="Appelnotedebasdep"/>
          <w:sz w:val="24"/>
          <w:szCs w:val="24"/>
        </w:rPr>
        <w:footnoteReference w:id="3"/>
      </w:r>
      <w:r w:rsidR="00EF251E">
        <w:rPr>
          <w:sz w:val="24"/>
          <w:szCs w:val="24"/>
        </w:rPr>
        <w:t xml:space="preserve">, ont permis de </w:t>
      </w:r>
      <w:r w:rsidR="00602F89">
        <w:rPr>
          <w:sz w:val="24"/>
          <w:szCs w:val="24"/>
        </w:rPr>
        <w:t xml:space="preserve">réévaluer l’importance du savoir antiquaire, de ses méthodes et ses apports pour la connaissance du passé historique. </w:t>
      </w:r>
      <w:r w:rsidR="00480077">
        <w:rPr>
          <w:sz w:val="24"/>
          <w:szCs w:val="24"/>
        </w:rPr>
        <w:t>L’histoire et</w:t>
      </w:r>
      <w:r w:rsidR="00456E65">
        <w:rPr>
          <w:sz w:val="24"/>
          <w:szCs w:val="24"/>
        </w:rPr>
        <w:t xml:space="preserve"> l’archéologie</w:t>
      </w:r>
      <w:r w:rsidR="00480077">
        <w:rPr>
          <w:sz w:val="24"/>
          <w:szCs w:val="24"/>
        </w:rPr>
        <w:t>,</w:t>
      </w:r>
      <w:r w:rsidR="00456E65">
        <w:rPr>
          <w:sz w:val="24"/>
          <w:szCs w:val="24"/>
        </w:rPr>
        <w:t xml:space="preserve"> telles qu’elles se sont établies en tant que disciplines scientifiques au </w:t>
      </w:r>
      <w:r w:rsidR="00383989">
        <w:rPr>
          <w:sz w:val="24"/>
          <w:szCs w:val="24"/>
        </w:rPr>
        <w:t>XIX</w:t>
      </w:r>
      <w:r w:rsidR="00456E65" w:rsidRPr="00456E65">
        <w:rPr>
          <w:sz w:val="24"/>
          <w:szCs w:val="24"/>
          <w:vertAlign w:val="superscript"/>
        </w:rPr>
        <w:t>e</w:t>
      </w:r>
      <w:r w:rsidR="00456E65">
        <w:rPr>
          <w:sz w:val="24"/>
          <w:szCs w:val="24"/>
        </w:rPr>
        <w:t xml:space="preserve"> siècle,</w:t>
      </w:r>
      <w:r w:rsidR="00426803">
        <w:rPr>
          <w:sz w:val="24"/>
          <w:szCs w:val="24"/>
        </w:rPr>
        <w:t xml:space="preserve"> s</w:t>
      </w:r>
      <w:r w:rsidR="00F9559F">
        <w:rPr>
          <w:sz w:val="24"/>
          <w:szCs w:val="24"/>
        </w:rPr>
        <w:t>ont</w:t>
      </w:r>
      <w:r w:rsidR="00426803">
        <w:rPr>
          <w:sz w:val="24"/>
          <w:szCs w:val="24"/>
        </w:rPr>
        <w:t xml:space="preserve"> </w:t>
      </w:r>
      <w:r w:rsidR="00602F89">
        <w:rPr>
          <w:sz w:val="24"/>
          <w:szCs w:val="24"/>
        </w:rPr>
        <w:t xml:space="preserve">en effet fortement débitrices de ce savoir. Archéologues et historiens ont adopté le principe d’empirisme qui guidait les antiquaires et qui les poussait </w:t>
      </w:r>
      <w:r w:rsidR="00426803">
        <w:rPr>
          <w:sz w:val="24"/>
          <w:szCs w:val="24"/>
        </w:rPr>
        <w:t>à étudier et à</w:t>
      </w:r>
      <w:r w:rsidR="0087345C">
        <w:rPr>
          <w:sz w:val="24"/>
          <w:szCs w:val="24"/>
        </w:rPr>
        <w:t xml:space="preserve"> mettre en série les objets afin de</w:t>
      </w:r>
      <w:r w:rsidR="00426803">
        <w:rPr>
          <w:sz w:val="24"/>
          <w:szCs w:val="24"/>
        </w:rPr>
        <w:t xml:space="preserve"> les comprendre pour eux-mêmes.</w:t>
      </w:r>
      <w:r w:rsidR="00602F89">
        <w:rPr>
          <w:sz w:val="24"/>
          <w:szCs w:val="24"/>
        </w:rPr>
        <w:t xml:space="preserve"> En outre, et contrairement aux historiens et chroniqueurs de l’époque moderne, les antiquaires se sont intéressés très tôt à des champs d’étude tels que </w:t>
      </w:r>
      <w:r w:rsidR="00426803">
        <w:rPr>
          <w:sz w:val="24"/>
          <w:szCs w:val="24"/>
        </w:rPr>
        <w:t xml:space="preserve">la vie matérielle, l’histoire des techniques ou </w:t>
      </w:r>
      <w:r w:rsidR="005A4721">
        <w:rPr>
          <w:sz w:val="24"/>
          <w:szCs w:val="24"/>
        </w:rPr>
        <w:t xml:space="preserve">de </w:t>
      </w:r>
      <w:r w:rsidR="00426803">
        <w:rPr>
          <w:sz w:val="24"/>
          <w:szCs w:val="24"/>
        </w:rPr>
        <w:t>l’architecture</w:t>
      </w:r>
      <w:r w:rsidR="00426803">
        <w:rPr>
          <w:rStyle w:val="Appelnotedebasdep"/>
          <w:sz w:val="24"/>
          <w:szCs w:val="24"/>
        </w:rPr>
        <w:footnoteReference w:id="4"/>
      </w:r>
      <w:r w:rsidR="00480077">
        <w:rPr>
          <w:sz w:val="24"/>
          <w:szCs w:val="24"/>
        </w:rPr>
        <w:t>.</w:t>
      </w:r>
      <w:r w:rsidR="00426803">
        <w:rPr>
          <w:sz w:val="24"/>
          <w:szCs w:val="24"/>
        </w:rPr>
        <w:t xml:space="preserve"> </w:t>
      </w:r>
      <w:r w:rsidR="00480077">
        <w:rPr>
          <w:sz w:val="24"/>
          <w:szCs w:val="24"/>
        </w:rPr>
        <w:t xml:space="preserve">Les sommes savantes qu’ils </w:t>
      </w:r>
      <w:r w:rsidR="00602F89">
        <w:rPr>
          <w:sz w:val="24"/>
          <w:szCs w:val="24"/>
        </w:rPr>
        <w:t xml:space="preserve">ont </w:t>
      </w:r>
      <w:r w:rsidR="00480077">
        <w:rPr>
          <w:sz w:val="24"/>
          <w:szCs w:val="24"/>
        </w:rPr>
        <w:t>produi</w:t>
      </w:r>
      <w:r w:rsidR="00602F89">
        <w:rPr>
          <w:sz w:val="24"/>
          <w:szCs w:val="24"/>
        </w:rPr>
        <w:t>tes</w:t>
      </w:r>
      <w:r w:rsidR="00480077">
        <w:rPr>
          <w:sz w:val="24"/>
          <w:szCs w:val="24"/>
        </w:rPr>
        <w:t xml:space="preserve"> reposent par ailleurs sur une grande variété de sources et de méthodes, croisées de </w:t>
      </w:r>
      <w:r w:rsidR="00480077">
        <w:rPr>
          <w:sz w:val="24"/>
          <w:szCs w:val="24"/>
        </w:rPr>
        <w:lastRenderedPageBreak/>
        <w:t>manière à comprendre l’objet et sa fon</w:t>
      </w:r>
      <w:r w:rsidR="009B2C69">
        <w:rPr>
          <w:sz w:val="24"/>
          <w:szCs w:val="24"/>
        </w:rPr>
        <w:t xml:space="preserve">ction dans toute </w:t>
      </w:r>
      <w:r w:rsidR="00844A10">
        <w:rPr>
          <w:sz w:val="24"/>
          <w:szCs w:val="24"/>
        </w:rPr>
        <w:t>leur</w:t>
      </w:r>
      <w:r w:rsidR="009B2C69">
        <w:rPr>
          <w:sz w:val="24"/>
          <w:szCs w:val="24"/>
        </w:rPr>
        <w:t xml:space="preserve"> complexité. </w:t>
      </w:r>
      <w:r w:rsidR="00480077">
        <w:rPr>
          <w:sz w:val="24"/>
          <w:szCs w:val="24"/>
        </w:rPr>
        <w:t>Les travaux des</w:t>
      </w:r>
      <w:r w:rsidR="009B2C69">
        <w:rPr>
          <w:sz w:val="24"/>
          <w:szCs w:val="24"/>
        </w:rPr>
        <w:t xml:space="preserve"> antiquaires</w:t>
      </w:r>
      <w:r w:rsidR="00480077">
        <w:rPr>
          <w:sz w:val="24"/>
          <w:szCs w:val="24"/>
        </w:rPr>
        <w:t xml:space="preserve"> constituent donc un cas d’étude </w:t>
      </w:r>
      <w:r w:rsidR="00602F89">
        <w:rPr>
          <w:sz w:val="24"/>
          <w:szCs w:val="24"/>
        </w:rPr>
        <w:t xml:space="preserve">qu’il convient de mettre en lumière </w:t>
      </w:r>
      <w:r w:rsidR="009B2C69">
        <w:rPr>
          <w:sz w:val="24"/>
          <w:szCs w:val="24"/>
        </w:rPr>
        <w:t>dans le cadre d</w:t>
      </w:r>
      <w:r w:rsidR="00602F89">
        <w:rPr>
          <w:sz w:val="24"/>
          <w:szCs w:val="24"/>
        </w:rPr>
        <w:t xml:space="preserve">’une </w:t>
      </w:r>
      <w:r w:rsidR="009B2C69">
        <w:rPr>
          <w:sz w:val="24"/>
          <w:szCs w:val="24"/>
        </w:rPr>
        <w:t xml:space="preserve">réflexion </w:t>
      </w:r>
      <w:r w:rsidR="00602F89">
        <w:rPr>
          <w:sz w:val="24"/>
          <w:szCs w:val="24"/>
        </w:rPr>
        <w:t>portant sur</w:t>
      </w:r>
      <w:r w:rsidR="009B2C69">
        <w:rPr>
          <w:sz w:val="24"/>
          <w:szCs w:val="24"/>
        </w:rPr>
        <w:t xml:space="preserve"> la question d</w:t>
      </w:r>
      <w:r w:rsidR="008F0A4D">
        <w:rPr>
          <w:sz w:val="24"/>
          <w:szCs w:val="24"/>
        </w:rPr>
        <w:t>es sources des</w:t>
      </w:r>
      <w:r w:rsidR="00480077">
        <w:rPr>
          <w:sz w:val="24"/>
          <w:szCs w:val="24"/>
        </w:rPr>
        <w:t xml:space="preserve"> savoir</w:t>
      </w:r>
      <w:r w:rsidR="008F0A4D">
        <w:rPr>
          <w:sz w:val="24"/>
          <w:szCs w:val="24"/>
        </w:rPr>
        <w:t>s</w:t>
      </w:r>
      <w:r w:rsidR="00480077">
        <w:rPr>
          <w:sz w:val="24"/>
          <w:szCs w:val="24"/>
        </w:rPr>
        <w:t xml:space="preserve"> à l’époque moderne</w:t>
      </w:r>
      <w:r w:rsidR="009B2C69">
        <w:rPr>
          <w:sz w:val="24"/>
          <w:szCs w:val="24"/>
        </w:rPr>
        <w:t xml:space="preserve">. </w:t>
      </w:r>
    </w:p>
    <w:p w14:paraId="09175449" w14:textId="657885AA" w:rsidR="003C6317" w:rsidRDefault="009B2C69" w:rsidP="00F9559F">
      <w:pPr>
        <w:spacing w:after="0" w:line="360" w:lineRule="auto"/>
        <w:ind w:firstLine="708"/>
        <w:jc w:val="both"/>
        <w:rPr>
          <w:sz w:val="24"/>
          <w:szCs w:val="24"/>
        </w:rPr>
      </w:pPr>
      <w:r>
        <w:rPr>
          <w:sz w:val="24"/>
          <w:szCs w:val="24"/>
        </w:rPr>
        <w:t xml:space="preserve">Cet </w:t>
      </w:r>
      <w:r w:rsidR="00AD2682">
        <w:rPr>
          <w:sz w:val="24"/>
          <w:szCs w:val="24"/>
        </w:rPr>
        <w:t>article</w:t>
      </w:r>
      <w:r>
        <w:rPr>
          <w:sz w:val="24"/>
          <w:szCs w:val="24"/>
        </w:rPr>
        <w:t xml:space="preserve"> </w:t>
      </w:r>
      <w:r w:rsidR="00602F89">
        <w:rPr>
          <w:sz w:val="24"/>
          <w:szCs w:val="24"/>
        </w:rPr>
        <w:t>s’intéresse à</w:t>
      </w:r>
      <w:r w:rsidR="005F31E4">
        <w:rPr>
          <w:sz w:val="24"/>
          <w:szCs w:val="24"/>
        </w:rPr>
        <w:t xml:space="preserve"> la démarche scientifique</w:t>
      </w:r>
      <w:r>
        <w:rPr>
          <w:sz w:val="24"/>
          <w:szCs w:val="24"/>
        </w:rPr>
        <w:t xml:space="preserve"> et la grande diversité de sources mises en œuvre par l’un de ces antiquaires, </w:t>
      </w:r>
      <w:r w:rsidR="005F31E4">
        <w:rPr>
          <w:sz w:val="24"/>
          <w:szCs w:val="24"/>
        </w:rPr>
        <w:t xml:space="preserve">le jésuite Alexandre Wiltheim (1604-1684). Issu d’une famille aisée installée dans la ville de Luxembourg, Alexandre Wiltheim intègre la Compagnie de Jésus en </w:t>
      </w:r>
      <w:r w:rsidR="00D75798">
        <w:rPr>
          <w:sz w:val="24"/>
          <w:szCs w:val="24"/>
        </w:rPr>
        <w:t>1625</w:t>
      </w:r>
      <w:r w:rsidR="00AA58B3">
        <w:rPr>
          <w:sz w:val="24"/>
          <w:szCs w:val="24"/>
        </w:rPr>
        <w:t xml:space="preserve"> et développe </w:t>
      </w:r>
      <w:r>
        <w:rPr>
          <w:sz w:val="24"/>
          <w:szCs w:val="24"/>
        </w:rPr>
        <w:t xml:space="preserve">très vite </w:t>
      </w:r>
      <w:r w:rsidR="00AA58B3">
        <w:rPr>
          <w:sz w:val="24"/>
          <w:szCs w:val="24"/>
        </w:rPr>
        <w:t>un intérêt marqué pour les « antiquités » romaines mises au jour dans</w:t>
      </w:r>
      <w:r>
        <w:rPr>
          <w:sz w:val="24"/>
          <w:szCs w:val="24"/>
        </w:rPr>
        <w:t xml:space="preserve"> </w:t>
      </w:r>
      <w:r w:rsidR="00AA58B3">
        <w:rPr>
          <w:sz w:val="24"/>
          <w:szCs w:val="24"/>
        </w:rPr>
        <w:t>le duché de Luxembourg</w:t>
      </w:r>
      <w:r>
        <w:rPr>
          <w:rStyle w:val="Appelnotedebasdep"/>
          <w:sz w:val="24"/>
          <w:szCs w:val="24"/>
        </w:rPr>
        <w:footnoteReference w:id="5"/>
      </w:r>
      <w:r w:rsidR="005F31E4">
        <w:rPr>
          <w:sz w:val="24"/>
          <w:szCs w:val="24"/>
        </w:rPr>
        <w:t xml:space="preserve">. </w:t>
      </w:r>
      <w:r w:rsidR="00602F89">
        <w:rPr>
          <w:sz w:val="24"/>
          <w:szCs w:val="24"/>
        </w:rPr>
        <w:t>Cette région</w:t>
      </w:r>
      <w:r>
        <w:rPr>
          <w:sz w:val="24"/>
          <w:szCs w:val="24"/>
        </w:rPr>
        <w:t>, faiblement urbanisé</w:t>
      </w:r>
      <w:r w:rsidR="00602F89">
        <w:rPr>
          <w:sz w:val="24"/>
          <w:szCs w:val="24"/>
        </w:rPr>
        <w:t>e</w:t>
      </w:r>
      <w:r>
        <w:rPr>
          <w:sz w:val="24"/>
          <w:szCs w:val="24"/>
        </w:rPr>
        <w:t xml:space="preserve"> et relativement isolé</w:t>
      </w:r>
      <w:r w:rsidR="00602F89">
        <w:rPr>
          <w:sz w:val="24"/>
          <w:szCs w:val="24"/>
        </w:rPr>
        <w:t>e</w:t>
      </w:r>
      <w:r>
        <w:rPr>
          <w:sz w:val="24"/>
          <w:szCs w:val="24"/>
        </w:rPr>
        <w:t xml:space="preserve"> du reste des Pays-Bas méridionaux durant l’époque moderne, était par contre</w:t>
      </w:r>
      <w:r w:rsidR="00602F89">
        <w:rPr>
          <w:sz w:val="24"/>
          <w:szCs w:val="24"/>
        </w:rPr>
        <w:t xml:space="preserve"> importante</w:t>
      </w:r>
      <w:r>
        <w:rPr>
          <w:sz w:val="24"/>
          <w:szCs w:val="24"/>
        </w:rPr>
        <w:t>, d</w:t>
      </w:r>
      <w:r w:rsidR="00602F89">
        <w:rPr>
          <w:sz w:val="24"/>
          <w:szCs w:val="24"/>
        </w:rPr>
        <w:t>urant</w:t>
      </w:r>
      <w:r>
        <w:rPr>
          <w:sz w:val="24"/>
          <w:szCs w:val="24"/>
        </w:rPr>
        <w:t xml:space="preserve"> l’antiquité, du fait de sa proximité avec les grandes cités </w:t>
      </w:r>
      <w:r w:rsidR="00F9559F">
        <w:rPr>
          <w:sz w:val="24"/>
          <w:szCs w:val="24"/>
        </w:rPr>
        <w:t>romaines</w:t>
      </w:r>
      <w:r>
        <w:rPr>
          <w:sz w:val="24"/>
          <w:szCs w:val="24"/>
        </w:rPr>
        <w:t xml:space="preserve"> de Trèves et de Cologne. </w:t>
      </w:r>
      <w:r w:rsidR="00F9559F">
        <w:rPr>
          <w:sz w:val="24"/>
          <w:szCs w:val="24"/>
        </w:rPr>
        <w:t>Les</w:t>
      </w:r>
      <w:r w:rsidR="00D75798">
        <w:rPr>
          <w:sz w:val="24"/>
          <w:szCs w:val="24"/>
        </w:rPr>
        <w:t xml:space="preserve"> vestiges </w:t>
      </w:r>
      <w:r w:rsidR="00F9559F">
        <w:rPr>
          <w:sz w:val="24"/>
          <w:szCs w:val="24"/>
        </w:rPr>
        <w:t>antiques</w:t>
      </w:r>
      <w:r w:rsidR="00D75798">
        <w:rPr>
          <w:sz w:val="24"/>
          <w:szCs w:val="24"/>
        </w:rPr>
        <w:t xml:space="preserve"> </w:t>
      </w:r>
      <w:r w:rsidR="00F9559F">
        <w:rPr>
          <w:sz w:val="24"/>
          <w:szCs w:val="24"/>
        </w:rPr>
        <w:t>du Luxembourg</w:t>
      </w:r>
      <w:r w:rsidR="00D75798">
        <w:rPr>
          <w:sz w:val="24"/>
          <w:szCs w:val="24"/>
        </w:rPr>
        <w:t xml:space="preserve"> n’avaient</w:t>
      </w:r>
      <w:r w:rsidR="00F9559F">
        <w:rPr>
          <w:sz w:val="24"/>
          <w:szCs w:val="24"/>
        </w:rPr>
        <w:t xml:space="preserve"> cependant</w:t>
      </w:r>
      <w:r w:rsidR="00D75798">
        <w:rPr>
          <w:sz w:val="24"/>
          <w:szCs w:val="24"/>
        </w:rPr>
        <w:t xml:space="preserve"> suscité </w:t>
      </w:r>
      <w:r w:rsidR="00C7565E">
        <w:rPr>
          <w:sz w:val="24"/>
          <w:szCs w:val="24"/>
        </w:rPr>
        <w:t xml:space="preserve">jusqu’alors </w:t>
      </w:r>
      <w:r w:rsidR="00D75798">
        <w:rPr>
          <w:sz w:val="24"/>
          <w:szCs w:val="24"/>
        </w:rPr>
        <w:t>qu’un intérêt très limité et, à l’entame de sa recherche, Alexandre Wiltheim ne pouvait se reposer que sur de rares études antérieures</w:t>
      </w:r>
      <w:r w:rsidR="00D75798">
        <w:rPr>
          <w:rStyle w:val="Appelnotedebasdep"/>
          <w:sz w:val="24"/>
          <w:szCs w:val="24"/>
        </w:rPr>
        <w:footnoteReference w:id="6"/>
      </w:r>
      <w:r w:rsidR="00F9559F">
        <w:rPr>
          <w:sz w:val="24"/>
          <w:szCs w:val="24"/>
        </w:rPr>
        <w:t>. P</w:t>
      </w:r>
      <w:r w:rsidR="00D75798">
        <w:rPr>
          <w:sz w:val="24"/>
          <w:szCs w:val="24"/>
        </w:rPr>
        <w:t xml:space="preserve">armi </w:t>
      </w:r>
      <w:r w:rsidR="00F9559F">
        <w:rPr>
          <w:sz w:val="24"/>
          <w:szCs w:val="24"/>
        </w:rPr>
        <w:t>celles-ci</w:t>
      </w:r>
      <w:r w:rsidR="00D75798">
        <w:rPr>
          <w:sz w:val="24"/>
          <w:szCs w:val="24"/>
        </w:rPr>
        <w:t xml:space="preserve"> figure</w:t>
      </w:r>
      <w:r w:rsidR="00F9559F">
        <w:rPr>
          <w:sz w:val="24"/>
          <w:szCs w:val="24"/>
        </w:rPr>
        <w:t xml:space="preserve"> le manuscrit</w:t>
      </w:r>
      <w:r w:rsidR="00F9559F">
        <w:rPr>
          <w:rStyle w:val="Appelnotedebasdep"/>
          <w:i/>
          <w:sz w:val="24"/>
          <w:szCs w:val="24"/>
        </w:rPr>
        <w:footnoteReference w:id="7"/>
      </w:r>
      <w:bookmarkStart w:id="4" w:name="_Hlk508701702"/>
      <w:r w:rsidR="00503BE8">
        <w:rPr>
          <w:sz w:val="24"/>
          <w:szCs w:val="24"/>
        </w:rPr>
        <w:t xml:space="preserve"> des </w:t>
      </w:r>
      <w:r w:rsidR="00DD7DDE">
        <w:rPr>
          <w:i/>
          <w:sz w:val="24"/>
          <w:szCs w:val="24"/>
        </w:rPr>
        <w:t>Historiae Luxemburgensis antiquariarum Disquistionum</w:t>
      </w:r>
      <w:bookmarkEnd w:id="4"/>
      <w:r w:rsidR="00DD7DDE">
        <w:rPr>
          <w:i/>
          <w:sz w:val="24"/>
          <w:szCs w:val="24"/>
        </w:rPr>
        <w:t xml:space="preserve"> libri tres </w:t>
      </w:r>
      <w:r w:rsidR="00F9559F" w:rsidRPr="00DD7DDE">
        <w:rPr>
          <w:sz w:val="24"/>
          <w:szCs w:val="24"/>
        </w:rPr>
        <w:t>rédigé</w:t>
      </w:r>
      <w:r w:rsidR="00F9559F">
        <w:rPr>
          <w:sz w:val="24"/>
          <w:szCs w:val="24"/>
        </w:rPr>
        <w:t xml:space="preserve"> par</w:t>
      </w:r>
      <w:r w:rsidR="00D75798">
        <w:rPr>
          <w:sz w:val="24"/>
          <w:szCs w:val="24"/>
        </w:rPr>
        <w:t xml:space="preserve"> son frère a</w:t>
      </w:r>
      <w:r w:rsidR="00C7565E">
        <w:rPr>
          <w:sz w:val="24"/>
          <w:szCs w:val="24"/>
        </w:rPr>
        <w:t>î</w:t>
      </w:r>
      <w:r w:rsidR="00D75798">
        <w:rPr>
          <w:sz w:val="24"/>
          <w:szCs w:val="24"/>
        </w:rPr>
        <w:t>né, Jean-Guillaume (</w:t>
      </w:r>
      <w:r w:rsidR="00262C10">
        <w:rPr>
          <w:sz w:val="24"/>
          <w:szCs w:val="24"/>
        </w:rPr>
        <w:t>1594</w:t>
      </w:r>
      <w:r w:rsidR="00D75798">
        <w:rPr>
          <w:sz w:val="24"/>
          <w:szCs w:val="24"/>
        </w:rPr>
        <w:t>-</w:t>
      </w:r>
      <w:r w:rsidR="00262C10">
        <w:rPr>
          <w:sz w:val="24"/>
          <w:szCs w:val="24"/>
        </w:rPr>
        <w:t>1636</w:t>
      </w:r>
      <w:r w:rsidR="00D75798">
        <w:rPr>
          <w:sz w:val="24"/>
          <w:szCs w:val="24"/>
        </w:rPr>
        <w:t>), également jésuite</w:t>
      </w:r>
      <w:r w:rsidR="00F9559F">
        <w:rPr>
          <w:sz w:val="24"/>
          <w:szCs w:val="24"/>
        </w:rPr>
        <w:t xml:space="preserve">, décédé précocement à l’âge de 42 ans. </w:t>
      </w:r>
      <w:r w:rsidR="00D75798">
        <w:rPr>
          <w:sz w:val="24"/>
          <w:szCs w:val="24"/>
        </w:rPr>
        <w:t>Ses notes furent consultées avec grand intérêt par Alexandre Wiltheim qui les cite</w:t>
      </w:r>
      <w:r w:rsidR="00C13E12">
        <w:rPr>
          <w:sz w:val="24"/>
          <w:szCs w:val="24"/>
        </w:rPr>
        <w:t xml:space="preserve"> et s’en inspire</w:t>
      </w:r>
      <w:r w:rsidR="00D75798">
        <w:rPr>
          <w:sz w:val="24"/>
          <w:szCs w:val="24"/>
        </w:rPr>
        <w:t xml:space="preserve"> tout en s’en détachant néanmoins pour mener une enquête nettement plus ambitieuse et </w:t>
      </w:r>
      <w:r w:rsidR="00CC6FF4">
        <w:rPr>
          <w:sz w:val="24"/>
          <w:szCs w:val="24"/>
        </w:rPr>
        <w:t>critique</w:t>
      </w:r>
      <w:r w:rsidR="00CC6FF4">
        <w:rPr>
          <w:rStyle w:val="Appelnotedebasdep"/>
          <w:sz w:val="24"/>
          <w:szCs w:val="24"/>
        </w:rPr>
        <w:footnoteReference w:id="8"/>
      </w:r>
      <w:r w:rsidR="00D007CA">
        <w:rPr>
          <w:sz w:val="24"/>
          <w:szCs w:val="24"/>
        </w:rPr>
        <w:t>. Celle-ci sera consignée dans son manuscrit intitulé</w:t>
      </w:r>
      <w:r w:rsidR="009468C8">
        <w:rPr>
          <w:sz w:val="24"/>
          <w:szCs w:val="24"/>
        </w:rPr>
        <w:t xml:space="preserve"> </w:t>
      </w:r>
      <w:r w:rsidR="00D007CA" w:rsidRPr="00D007CA">
        <w:rPr>
          <w:i/>
          <w:sz w:val="24"/>
          <w:szCs w:val="24"/>
        </w:rPr>
        <w:t>L</w:t>
      </w:r>
      <w:r w:rsidR="0059711C">
        <w:rPr>
          <w:i/>
          <w:sz w:val="24"/>
          <w:szCs w:val="24"/>
        </w:rPr>
        <w:t>uciliburgensia sive L</w:t>
      </w:r>
      <w:r w:rsidR="00D007CA" w:rsidRPr="00D007CA">
        <w:rPr>
          <w:i/>
          <w:sz w:val="24"/>
          <w:szCs w:val="24"/>
        </w:rPr>
        <w:t>uxemburgum romanum</w:t>
      </w:r>
      <w:r w:rsidR="003C6317">
        <w:rPr>
          <w:sz w:val="24"/>
          <w:szCs w:val="24"/>
        </w:rPr>
        <w:t xml:space="preserve">, </w:t>
      </w:r>
      <w:r w:rsidR="008076C1">
        <w:rPr>
          <w:sz w:val="24"/>
          <w:szCs w:val="24"/>
        </w:rPr>
        <w:t xml:space="preserve">une étude </w:t>
      </w:r>
      <w:r w:rsidR="003C6317">
        <w:rPr>
          <w:sz w:val="24"/>
          <w:szCs w:val="24"/>
        </w:rPr>
        <w:t>dans l</w:t>
      </w:r>
      <w:r w:rsidR="008076C1">
        <w:rPr>
          <w:sz w:val="24"/>
          <w:szCs w:val="24"/>
        </w:rPr>
        <w:t>a</w:t>
      </w:r>
      <w:r w:rsidR="003C6317">
        <w:rPr>
          <w:sz w:val="24"/>
          <w:szCs w:val="24"/>
        </w:rPr>
        <w:t>quel</w:t>
      </w:r>
      <w:r w:rsidR="008076C1">
        <w:rPr>
          <w:sz w:val="24"/>
          <w:szCs w:val="24"/>
        </w:rPr>
        <w:t>le</w:t>
      </w:r>
      <w:r w:rsidR="003C6317">
        <w:rPr>
          <w:sz w:val="24"/>
          <w:szCs w:val="24"/>
        </w:rPr>
        <w:t xml:space="preserve"> il </w:t>
      </w:r>
      <w:r w:rsidR="008076C1">
        <w:rPr>
          <w:sz w:val="24"/>
          <w:szCs w:val="24"/>
        </w:rPr>
        <w:t>tente</w:t>
      </w:r>
      <w:r w:rsidR="003C6317">
        <w:rPr>
          <w:sz w:val="24"/>
          <w:szCs w:val="24"/>
        </w:rPr>
        <w:t xml:space="preserve"> de reconstituer l’implantation romain</w:t>
      </w:r>
      <w:r w:rsidR="00654F16">
        <w:rPr>
          <w:sz w:val="24"/>
          <w:szCs w:val="24"/>
        </w:rPr>
        <w:t>e dans le duché de Luxembourg, tout en dénonçant</w:t>
      </w:r>
      <w:r w:rsidR="003C6317">
        <w:rPr>
          <w:sz w:val="24"/>
          <w:szCs w:val="24"/>
        </w:rPr>
        <w:t xml:space="preserve"> les fausses traditions circulant à ce sujet</w:t>
      </w:r>
      <w:r w:rsidR="006C2965">
        <w:rPr>
          <w:sz w:val="24"/>
          <w:szCs w:val="24"/>
        </w:rPr>
        <w:t xml:space="preserve"> </w:t>
      </w:r>
      <w:r w:rsidR="00CA1800">
        <w:rPr>
          <w:sz w:val="24"/>
          <w:szCs w:val="24"/>
        </w:rPr>
        <w:t xml:space="preserve">durant son époque </w:t>
      </w:r>
      <w:r w:rsidR="006C2965">
        <w:rPr>
          <w:sz w:val="24"/>
          <w:szCs w:val="24"/>
        </w:rPr>
        <w:t>(</w:t>
      </w:r>
      <w:r w:rsidR="006C2965" w:rsidRPr="006C2965">
        <w:rPr>
          <w:b/>
          <w:sz w:val="24"/>
          <w:szCs w:val="24"/>
        </w:rPr>
        <w:t>fig.</w:t>
      </w:r>
      <w:r w:rsidR="00CA1800">
        <w:rPr>
          <w:b/>
          <w:sz w:val="24"/>
          <w:szCs w:val="24"/>
        </w:rPr>
        <w:t> </w:t>
      </w:r>
      <w:r w:rsidR="006C2965" w:rsidRPr="006C2965">
        <w:rPr>
          <w:b/>
          <w:sz w:val="24"/>
          <w:szCs w:val="24"/>
        </w:rPr>
        <w:t>1</w:t>
      </w:r>
      <w:r w:rsidR="006C2965">
        <w:rPr>
          <w:sz w:val="24"/>
          <w:szCs w:val="24"/>
        </w:rPr>
        <w:t>)</w:t>
      </w:r>
      <w:r w:rsidR="003C6317">
        <w:rPr>
          <w:sz w:val="24"/>
          <w:szCs w:val="24"/>
        </w:rPr>
        <w:t>.</w:t>
      </w:r>
    </w:p>
    <w:p w14:paraId="3AF984C8" w14:textId="7D909DA4" w:rsidR="009468C8" w:rsidRDefault="009468C8" w:rsidP="00D007CA">
      <w:pPr>
        <w:spacing w:after="0" w:line="360" w:lineRule="auto"/>
        <w:ind w:firstLine="708"/>
        <w:jc w:val="both"/>
        <w:rPr>
          <w:sz w:val="24"/>
          <w:szCs w:val="24"/>
        </w:rPr>
      </w:pPr>
      <w:r>
        <w:rPr>
          <w:sz w:val="24"/>
          <w:szCs w:val="24"/>
        </w:rPr>
        <w:t>S’il est difficile de dater avec préci</w:t>
      </w:r>
      <w:r w:rsidR="00AA0C38">
        <w:rPr>
          <w:sz w:val="24"/>
          <w:szCs w:val="24"/>
        </w:rPr>
        <w:t>sion les premières recherches</w:t>
      </w:r>
      <w:r>
        <w:rPr>
          <w:sz w:val="24"/>
          <w:szCs w:val="24"/>
        </w:rPr>
        <w:t xml:space="preserve"> d’Alexandre Wiltheim, il a </w:t>
      </w:r>
      <w:r w:rsidR="00503BE8">
        <w:rPr>
          <w:sz w:val="24"/>
          <w:szCs w:val="24"/>
        </w:rPr>
        <w:t xml:space="preserve">assurément </w:t>
      </w:r>
      <w:r>
        <w:rPr>
          <w:sz w:val="24"/>
          <w:szCs w:val="24"/>
        </w:rPr>
        <w:t xml:space="preserve">entamé son entreprise au plus tard dans les années 1650 et qu’il la poursuivit inlassablement jusqu’en 1678. Frappé à cette date par la maladie et incapable de poursuivre ses </w:t>
      </w:r>
      <w:r>
        <w:rPr>
          <w:sz w:val="24"/>
          <w:szCs w:val="24"/>
        </w:rPr>
        <w:lastRenderedPageBreak/>
        <w:t>investigations, il fit relier ses notes en vue de préparer leur impression</w:t>
      </w:r>
      <w:r>
        <w:rPr>
          <w:rStyle w:val="Appelnotedebasdep"/>
          <w:sz w:val="24"/>
          <w:szCs w:val="24"/>
        </w:rPr>
        <w:footnoteReference w:id="9"/>
      </w:r>
      <w:r>
        <w:rPr>
          <w:sz w:val="24"/>
          <w:szCs w:val="24"/>
        </w:rPr>
        <w:t xml:space="preserve">. À son décès, quelques années plus tard, les </w:t>
      </w:r>
      <w:r w:rsidR="00A16F45">
        <w:rPr>
          <w:sz w:val="24"/>
          <w:szCs w:val="24"/>
        </w:rPr>
        <w:t>j</w:t>
      </w:r>
      <w:r>
        <w:rPr>
          <w:sz w:val="24"/>
          <w:szCs w:val="24"/>
        </w:rPr>
        <w:t xml:space="preserve">ésuites décidèrent cependant de ne pas accéder à son souhait et le texte resta à l’état de manuscrit jusqu’au </w:t>
      </w:r>
      <w:r w:rsidR="00CB01AA">
        <w:rPr>
          <w:sz w:val="24"/>
          <w:szCs w:val="24"/>
        </w:rPr>
        <w:t>XIX</w:t>
      </w:r>
      <w:r w:rsidRPr="009468C8">
        <w:rPr>
          <w:sz w:val="24"/>
          <w:szCs w:val="24"/>
          <w:vertAlign w:val="superscript"/>
        </w:rPr>
        <w:t>e</w:t>
      </w:r>
      <w:r>
        <w:rPr>
          <w:sz w:val="24"/>
          <w:szCs w:val="24"/>
        </w:rPr>
        <w:t xml:space="preserve"> siècle</w:t>
      </w:r>
      <w:r>
        <w:rPr>
          <w:rStyle w:val="Appelnotedebasdep"/>
          <w:sz w:val="24"/>
          <w:szCs w:val="24"/>
        </w:rPr>
        <w:footnoteReference w:id="10"/>
      </w:r>
      <w:r>
        <w:rPr>
          <w:sz w:val="24"/>
          <w:szCs w:val="24"/>
        </w:rPr>
        <w:t>.</w:t>
      </w:r>
      <w:r w:rsidR="003C6317">
        <w:rPr>
          <w:sz w:val="24"/>
          <w:szCs w:val="24"/>
        </w:rPr>
        <w:t xml:space="preserve"> </w:t>
      </w:r>
      <w:r w:rsidR="00654F16">
        <w:rPr>
          <w:sz w:val="24"/>
          <w:szCs w:val="24"/>
        </w:rPr>
        <w:t>Il</w:t>
      </w:r>
      <w:r w:rsidR="003C6317">
        <w:rPr>
          <w:sz w:val="24"/>
          <w:szCs w:val="24"/>
        </w:rPr>
        <w:t xml:space="preserve"> sera néanmoins copié à plusieurs reprises</w:t>
      </w:r>
      <w:r w:rsidR="003C6317">
        <w:rPr>
          <w:rStyle w:val="Appelnotedebasdep"/>
          <w:sz w:val="24"/>
          <w:szCs w:val="24"/>
        </w:rPr>
        <w:footnoteReference w:id="11"/>
      </w:r>
      <w:r w:rsidR="003C6317">
        <w:rPr>
          <w:sz w:val="24"/>
          <w:szCs w:val="24"/>
        </w:rPr>
        <w:t xml:space="preserve"> au cours des </w:t>
      </w:r>
      <w:r w:rsidR="00CB01AA">
        <w:rPr>
          <w:sz w:val="24"/>
          <w:szCs w:val="24"/>
        </w:rPr>
        <w:t>XVII</w:t>
      </w:r>
      <w:r w:rsidR="003C6317" w:rsidRPr="003C6317">
        <w:rPr>
          <w:sz w:val="24"/>
          <w:szCs w:val="24"/>
          <w:vertAlign w:val="superscript"/>
        </w:rPr>
        <w:t>e</w:t>
      </w:r>
      <w:r w:rsidR="003C6317">
        <w:rPr>
          <w:sz w:val="24"/>
          <w:szCs w:val="24"/>
        </w:rPr>
        <w:t xml:space="preserve"> et </w:t>
      </w:r>
      <w:r w:rsidR="00CB01AA">
        <w:rPr>
          <w:sz w:val="24"/>
          <w:szCs w:val="24"/>
        </w:rPr>
        <w:t>XVIII</w:t>
      </w:r>
      <w:r w:rsidR="003C6317" w:rsidRPr="003C6317">
        <w:rPr>
          <w:sz w:val="24"/>
          <w:szCs w:val="24"/>
          <w:vertAlign w:val="superscript"/>
        </w:rPr>
        <w:t>e</w:t>
      </w:r>
      <w:r w:rsidR="003C6317">
        <w:rPr>
          <w:sz w:val="24"/>
          <w:szCs w:val="24"/>
        </w:rPr>
        <w:t xml:space="preserve"> siècle</w:t>
      </w:r>
      <w:r w:rsidR="00844A10">
        <w:rPr>
          <w:sz w:val="24"/>
          <w:szCs w:val="24"/>
        </w:rPr>
        <w:t>s</w:t>
      </w:r>
      <w:r w:rsidR="003C6317">
        <w:rPr>
          <w:sz w:val="24"/>
          <w:szCs w:val="24"/>
        </w:rPr>
        <w:t xml:space="preserve"> et circulera parmi les érudits s’intéressant au passé de la région</w:t>
      </w:r>
      <w:r w:rsidR="008076C1">
        <w:rPr>
          <w:rStyle w:val="Appelnotedebasdep"/>
          <w:sz w:val="24"/>
          <w:szCs w:val="24"/>
        </w:rPr>
        <w:footnoteReference w:id="12"/>
      </w:r>
      <w:r w:rsidR="003C6317">
        <w:rPr>
          <w:sz w:val="24"/>
          <w:szCs w:val="24"/>
        </w:rPr>
        <w:t>.</w:t>
      </w:r>
    </w:p>
    <w:p w14:paraId="697BA417" w14:textId="16E0EEA1" w:rsidR="00CC2BAA" w:rsidRDefault="0021121F" w:rsidP="003C08FB">
      <w:pPr>
        <w:spacing w:after="0" w:line="360" w:lineRule="auto"/>
        <w:ind w:firstLine="708"/>
        <w:jc w:val="both"/>
        <w:rPr>
          <w:sz w:val="24"/>
          <w:szCs w:val="24"/>
        </w:rPr>
      </w:pPr>
      <w:r>
        <w:rPr>
          <w:sz w:val="24"/>
          <w:szCs w:val="24"/>
        </w:rPr>
        <w:t xml:space="preserve">Le </w:t>
      </w:r>
      <w:r w:rsidRPr="0021121F">
        <w:rPr>
          <w:i/>
          <w:sz w:val="24"/>
          <w:szCs w:val="24"/>
        </w:rPr>
        <w:t>Luxemburgum romanum</w:t>
      </w:r>
      <w:r>
        <w:rPr>
          <w:i/>
          <w:sz w:val="24"/>
          <w:szCs w:val="24"/>
        </w:rPr>
        <w:t xml:space="preserve"> </w:t>
      </w:r>
      <w:r>
        <w:rPr>
          <w:sz w:val="24"/>
          <w:szCs w:val="24"/>
        </w:rPr>
        <w:t>constitue à bien des égards une recherche novatrice, notamment en raison de son ampleur, des nombreux dessins qui accompagnent le texte ou encore de l’attention que porte son auteur à des vestiges dotés d’une faible valeur artistique (pot</w:t>
      </w:r>
      <w:r w:rsidR="008076C1">
        <w:rPr>
          <w:sz w:val="24"/>
          <w:szCs w:val="24"/>
        </w:rPr>
        <w:t>erie</w:t>
      </w:r>
      <w:r>
        <w:rPr>
          <w:sz w:val="24"/>
          <w:szCs w:val="24"/>
        </w:rPr>
        <w:t>s, tuiles, lampes…)</w:t>
      </w:r>
      <w:r w:rsidR="00CC2BAA">
        <w:rPr>
          <w:rStyle w:val="Appelnotedebasdep"/>
          <w:sz w:val="24"/>
          <w:szCs w:val="24"/>
        </w:rPr>
        <w:footnoteReference w:id="13"/>
      </w:r>
      <w:r w:rsidR="00CA1800">
        <w:rPr>
          <w:sz w:val="24"/>
          <w:szCs w:val="24"/>
        </w:rPr>
        <w:t>.</w:t>
      </w:r>
      <w:r>
        <w:rPr>
          <w:sz w:val="24"/>
          <w:szCs w:val="24"/>
        </w:rPr>
        <w:t xml:space="preserve"> </w:t>
      </w:r>
      <w:r w:rsidR="00CA1800">
        <w:rPr>
          <w:sz w:val="24"/>
          <w:szCs w:val="24"/>
        </w:rPr>
        <w:t>C</w:t>
      </w:r>
      <w:r>
        <w:rPr>
          <w:sz w:val="24"/>
          <w:szCs w:val="24"/>
        </w:rPr>
        <w:t>ette approche originale du passé romain vaut à l’érudit jésuite d’être co</w:t>
      </w:r>
      <w:r w:rsidR="00BB4497">
        <w:rPr>
          <w:sz w:val="24"/>
          <w:szCs w:val="24"/>
        </w:rPr>
        <w:t xml:space="preserve">mmunément considéré comme </w:t>
      </w:r>
      <w:r>
        <w:rPr>
          <w:sz w:val="24"/>
          <w:szCs w:val="24"/>
        </w:rPr>
        <w:t>le « père de l’archéologie luxembourgeoise »</w:t>
      </w:r>
      <w:r>
        <w:rPr>
          <w:rStyle w:val="Appelnotedebasdep"/>
          <w:sz w:val="24"/>
          <w:szCs w:val="24"/>
        </w:rPr>
        <w:footnoteReference w:id="14"/>
      </w:r>
      <w:r>
        <w:rPr>
          <w:sz w:val="24"/>
          <w:szCs w:val="24"/>
        </w:rPr>
        <w:t>.</w:t>
      </w:r>
      <w:r w:rsidRPr="0021121F">
        <w:rPr>
          <w:sz w:val="24"/>
          <w:szCs w:val="24"/>
        </w:rPr>
        <w:t xml:space="preserve"> </w:t>
      </w:r>
      <w:r>
        <w:rPr>
          <w:sz w:val="24"/>
          <w:szCs w:val="24"/>
        </w:rPr>
        <w:t xml:space="preserve">Assez paradoxalement, le </w:t>
      </w:r>
      <w:r w:rsidRPr="0021121F">
        <w:rPr>
          <w:i/>
          <w:sz w:val="24"/>
          <w:szCs w:val="24"/>
        </w:rPr>
        <w:t>Luxemburgum romanum</w:t>
      </w:r>
      <w:r>
        <w:rPr>
          <w:i/>
          <w:sz w:val="24"/>
          <w:szCs w:val="24"/>
        </w:rPr>
        <w:t xml:space="preserve"> </w:t>
      </w:r>
      <w:r>
        <w:rPr>
          <w:sz w:val="24"/>
          <w:szCs w:val="24"/>
        </w:rPr>
        <w:t xml:space="preserve">n’a </w:t>
      </w:r>
      <w:r w:rsidR="007C6B37">
        <w:rPr>
          <w:sz w:val="24"/>
          <w:szCs w:val="24"/>
        </w:rPr>
        <w:t xml:space="preserve">pourtant </w:t>
      </w:r>
      <w:r>
        <w:rPr>
          <w:sz w:val="24"/>
          <w:szCs w:val="24"/>
        </w:rPr>
        <w:t xml:space="preserve">fait l’objet d’aucune étude approfondie, contrairement </w:t>
      </w:r>
      <w:r w:rsidR="007C6B37">
        <w:rPr>
          <w:sz w:val="24"/>
          <w:szCs w:val="24"/>
        </w:rPr>
        <w:t>à celles menées sur la vie ou sur la correspondance de son auteur</w:t>
      </w:r>
      <w:r w:rsidR="007C6B37">
        <w:rPr>
          <w:rStyle w:val="Appelnotedebasdep"/>
          <w:sz w:val="24"/>
          <w:szCs w:val="24"/>
        </w:rPr>
        <w:footnoteReference w:id="15"/>
      </w:r>
      <w:r w:rsidR="007C6B37">
        <w:rPr>
          <w:sz w:val="24"/>
          <w:szCs w:val="24"/>
        </w:rPr>
        <w:t xml:space="preserve"> : le fait que le texte latin n’ait jamais </w:t>
      </w:r>
      <w:r w:rsidR="00F9559F">
        <w:rPr>
          <w:sz w:val="24"/>
          <w:szCs w:val="24"/>
        </w:rPr>
        <w:t>été intégralement traduit</w:t>
      </w:r>
      <w:r w:rsidR="007C6B37">
        <w:rPr>
          <w:rStyle w:val="Appelnotedebasdep"/>
          <w:sz w:val="24"/>
          <w:szCs w:val="24"/>
        </w:rPr>
        <w:footnoteReference w:id="16"/>
      </w:r>
      <w:r w:rsidR="007C6B37">
        <w:rPr>
          <w:sz w:val="24"/>
          <w:szCs w:val="24"/>
        </w:rPr>
        <w:t xml:space="preserve"> a probablement considérablement entravé les recherches sur les écrits de cette figure intellectuelle majeure des Pays-Bas méridionaux. Jusqu’à présent, les recherches d’Alexandre Wiltheim ont principalement été étudiées par des archéologues et historiens de l’antiquité en quête de vestiges aujourd’</w:t>
      </w:r>
      <w:r w:rsidR="00523028">
        <w:rPr>
          <w:sz w:val="24"/>
          <w:szCs w:val="24"/>
        </w:rPr>
        <w:t>hui disparus</w:t>
      </w:r>
      <w:r w:rsidR="008B0034">
        <w:rPr>
          <w:rStyle w:val="Appelnotedebasdep"/>
          <w:sz w:val="24"/>
          <w:szCs w:val="24"/>
        </w:rPr>
        <w:footnoteReference w:id="17"/>
      </w:r>
      <w:r w:rsidR="00523028">
        <w:rPr>
          <w:sz w:val="24"/>
          <w:szCs w:val="24"/>
        </w:rPr>
        <w:t>. C’est bien évidemment une approche possible du manuscrit</w:t>
      </w:r>
      <w:r w:rsidR="002F7AD2">
        <w:rPr>
          <w:sz w:val="24"/>
          <w:szCs w:val="24"/>
        </w:rPr>
        <w:t>,</w:t>
      </w:r>
      <w:r w:rsidR="00523028">
        <w:rPr>
          <w:sz w:val="24"/>
          <w:szCs w:val="24"/>
        </w:rPr>
        <w:t xml:space="preserve"> mais nous souhaitons aujourd’hui en présenter une autre : essayer de comprendre à partir de quelles sources et à l’aide de quelle méthode Alexandre Wiltheim a construit sa recherche, afin de le replacer plus largement dans la culture historique de son temps</w:t>
      </w:r>
      <w:r w:rsidR="00523028">
        <w:rPr>
          <w:rStyle w:val="Appelnotedebasdep"/>
          <w:sz w:val="24"/>
          <w:szCs w:val="24"/>
        </w:rPr>
        <w:footnoteReference w:id="18"/>
      </w:r>
      <w:r w:rsidR="00523028">
        <w:rPr>
          <w:sz w:val="24"/>
          <w:szCs w:val="24"/>
        </w:rPr>
        <w:t>. Nous nous proposons, pour ce faire, de procéder en trois temps : d’abord, le repérage des vestiges, ensuite, leur observation et leur description, et, enfin, leur analyse.</w:t>
      </w:r>
    </w:p>
    <w:p w14:paraId="1F632E11" w14:textId="4342EC7A" w:rsidR="003C08FB" w:rsidRPr="005C3CB0" w:rsidRDefault="003C08FB" w:rsidP="005C3CB0">
      <w:pPr>
        <w:spacing w:after="0" w:line="360" w:lineRule="auto"/>
        <w:jc w:val="both"/>
        <w:rPr>
          <w:sz w:val="24"/>
          <w:szCs w:val="24"/>
        </w:rPr>
      </w:pPr>
    </w:p>
    <w:p w14:paraId="4ADF383E" w14:textId="387EEFAA" w:rsidR="00506346" w:rsidRPr="00A50ADA" w:rsidRDefault="00506346" w:rsidP="005C3CB0">
      <w:pPr>
        <w:spacing w:after="0" w:line="360" w:lineRule="auto"/>
        <w:jc w:val="both"/>
        <w:rPr>
          <w:b/>
          <w:i/>
          <w:sz w:val="26"/>
          <w:szCs w:val="26"/>
        </w:rPr>
      </w:pPr>
      <w:r w:rsidRPr="00A50ADA">
        <w:rPr>
          <w:b/>
          <w:i/>
          <w:sz w:val="26"/>
          <w:szCs w:val="26"/>
        </w:rPr>
        <w:t xml:space="preserve">Repérer les vestiges antiques </w:t>
      </w:r>
    </w:p>
    <w:p w14:paraId="78BD27CB" w14:textId="5328708A" w:rsidR="00506346" w:rsidRDefault="00506346" w:rsidP="005C3CB0">
      <w:pPr>
        <w:spacing w:after="0" w:line="360" w:lineRule="auto"/>
        <w:jc w:val="both"/>
        <w:rPr>
          <w:sz w:val="24"/>
          <w:szCs w:val="24"/>
        </w:rPr>
      </w:pPr>
    </w:p>
    <w:p w14:paraId="0EA8FE6B" w14:textId="0A710983" w:rsidR="008A279F" w:rsidRPr="000F028A" w:rsidRDefault="008A279F" w:rsidP="005C3CB0">
      <w:pPr>
        <w:spacing w:after="0" w:line="360" w:lineRule="auto"/>
        <w:jc w:val="both"/>
        <w:rPr>
          <w:rFonts w:eastAsia="Calibri" w:cs="Calibri"/>
          <w:sz w:val="24"/>
          <w:szCs w:val="24"/>
          <w:lang w:eastAsia="ar-SA"/>
        </w:rPr>
      </w:pPr>
      <w:r>
        <w:rPr>
          <w:sz w:val="24"/>
          <w:szCs w:val="24"/>
        </w:rPr>
        <w:tab/>
        <w:t>Dès l’entame de son manuscrit, Alexandre Wiltheim annonce avoir mené ses recherches « </w:t>
      </w:r>
      <w:r>
        <w:rPr>
          <w:rFonts w:eastAsia="Calibri" w:cs="Calibri"/>
          <w:sz w:val="24"/>
          <w:szCs w:val="24"/>
          <w:lang w:eastAsia="ar-SA"/>
        </w:rPr>
        <w:t>avec la haine des fables, à l’aide desquelles les hommes incultes ont déshonoré [s]a patrie »</w:t>
      </w:r>
      <w:r>
        <w:rPr>
          <w:rStyle w:val="Appelnotedebasdep"/>
          <w:rFonts w:eastAsia="Calibri" w:cs="Calibri"/>
          <w:sz w:val="24"/>
          <w:szCs w:val="24"/>
          <w:lang w:eastAsia="ar-SA"/>
        </w:rPr>
        <w:footnoteReference w:id="19"/>
      </w:r>
      <w:r>
        <w:rPr>
          <w:rFonts w:eastAsia="Calibri" w:cs="Calibri"/>
          <w:sz w:val="24"/>
          <w:szCs w:val="24"/>
          <w:lang w:eastAsia="ar-SA"/>
        </w:rPr>
        <w:t>. Il mentionne ensuite des étymologies associant diverses localités du Luxembourg à des lieux de culte romains : Yvois serait lié à Jupiter</w:t>
      </w:r>
      <w:r w:rsidR="00C13E12">
        <w:rPr>
          <w:rFonts w:eastAsia="Calibri" w:cs="Calibri"/>
          <w:sz w:val="24"/>
          <w:szCs w:val="24"/>
          <w:lang w:eastAsia="ar-SA"/>
        </w:rPr>
        <w:t xml:space="preserve"> (</w:t>
      </w:r>
      <w:r w:rsidR="00C13E12" w:rsidRPr="00C13E12">
        <w:rPr>
          <w:rFonts w:eastAsia="Calibri" w:cs="Calibri"/>
          <w:i/>
          <w:sz w:val="24"/>
          <w:szCs w:val="24"/>
          <w:lang w:eastAsia="ar-SA"/>
        </w:rPr>
        <w:t>Iovis</w:t>
      </w:r>
      <w:r w:rsidR="00C13E12">
        <w:rPr>
          <w:rFonts w:eastAsia="Calibri" w:cs="Calibri"/>
          <w:sz w:val="24"/>
          <w:szCs w:val="24"/>
          <w:lang w:eastAsia="ar-SA"/>
        </w:rPr>
        <w:t>)</w:t>
      </w:r>
      <w:r>
        <w:rPr>
          <w:rFonts w:eastAsia="Calibri" w:cs="Calibri"/>
          <w:sz w:val="24"/>
          <w:szCs w:val="24"/>
          <w:lang w:eastAsia="ar-SA"/>
        </w:rPr>
        <w:t xml:space="preserve">, Bollendorf à </w:t>
      </w:r>
      <w:r w:rsidRPr="008A279F">
        <w:rPr>
          <w:rFonts w:eastAsia="Calibri" w:cs="Calibri"/>
          <w:sz w:val="24"/>
          <w:szCs w:val="24"/>
          <w:lang w:eastAsia="ar-SA"/>
        </w:rPr>
        <w:t>Apollon</w:t>
      </w:r>
      <w:r w:rsidR="00717581">
        <w:rPr>
          <w:rFonts w:eastAsia="Calibri" w:cs="Calibri"/>
          <w:sz w:val="24"/>
          <w:szCs w:val="24"/>
          <w:lang w:eastAsia="ar-SA"/>
        </w:rPr>
        <w:t xml:space="preserve"> (</w:t>
      </w:r>
      <w:r w:rsidR="00717581" w:rsidRPr="00717581">
        <w:rPr>
          <w:rFonts w:eastAsia="Calibri" w:cs="Calibri"/>
          <w:i/>
          <w:sz w:val="24"/>
          <w:szCs w:val="24"/>
          <w:lang w:eastAsia="ar-SA"/>
        </w:rPr>
        <w:t>Apollendorf</w:t>
      </w:r>
      <w:r w:rsidR="00717581">
        <w:rPr>
          <w:rFonts w:eastAsia="Calibri" w:cs="Calibri"/>
          <w:sz w:val="24"/>
          <w:szCs w:val="24"/>
          <w:lang w:eastAsia="ar-SA"/>
        </w:rPr>
        <w:t> )</w:t>
      </w:r>
      <w:r>
        <w:rPr>
          <w:rFonts w:eastAsia="Calibri" w:cs="Calibri"/>
          <w:sz w:val="24"/>
          <w:szCs w:val="24"/>
          <w:lang w:eastAsia="ar-SA"/>
        </w:rPr>
        <w:t>, Arlon à un autel à la Lune (</w:t>
      </w:r>
      <w:r w:rsidRPr="00676670">
        <w:rPr>
          <w:rFonts w:eastAsia="Calibri" w:cs="Calibri"/>
          <w:i/>
          <w:sz w:val="24"/>
          <w:szCs w:val="24"/>
          <w:lang w:eastAsia="ar-SA"/>
        </w:rPr>
        <w:t>Ara Lunae</w:t>
      </w:r>
      <w:r>
        <w:rPr>
          <w:rFonts w:eastAsia="Calibri" w:cs="Calibri"/>
          <w:sz w:val="24"/>
          <w:szCs w:val="24"/>
          <w:lang w:eastAsia="ar-SA"/>
        </w:rPr>
        <w:t>)</w:t>
      </w:r>
      <w:r w:rsidRPr="008A279F">
        <w:rPr>
          <w:rFonts w:eastAsia="Calibri" w:cs="Calibri"/>
          <w:sz w:val="24"/>
          <w:szCs w:val="24"/>
          <w:lang w:eastAsia="ar-SA"/>
        </w:rPr>
        <w:t>,</w:t>
      </w:r>
      <w:r>
        <w:rPr>
          <w:rFonts w:eastAsia="Calibri" w:cs="Calibri"/>
          <w:sz w:val="24"/>
          <w:szCs w:val="24"/>
          <w:lang w:eastAsia="ar-SA"/>
        </w:rPr>
        <w:t xml:space="preserve"> Luxembourg à la déesse Lucina, etc.</w:t>
      </w:r>
      <w:r w:rsidR="00037B2D">
        <w:rPr>
          <w:rStyle w:val="Appelnotedebasdep"/>
          <w:rFonts w:eastAsia="Calibri" w:cs="Calibri"/>
          <w:sz w:val="24"/>
          <w:szCs w:val="24"/>
          <w:lang w:eastAsia="ar-SA"/>
        </w:rPr>
        <w:footnoteReference w:id="20"/>
      </w:r>
    </w:p>
    <w:p w14:paraId="7EC8D2B2" w14:textId="65B41797" w:rsidR="000F028A" w:rsidRDefault="008A279F" w:rsidP="005C3CB0">
      <w:pPr>
        <w:spacing w:after="0" w:line="360" w:lineRule="auto"/>
        <w:jc w:val="both"/>
        <w:rPr>
          <w:sz w:val="24"/>
          <w:szCs w:val="24"/>
        </w:rPr>
      </w:pPr>
      <w:r>
        <w:rPr>
          <w:sz w:val="24"/>
          <w:szCs w:val="24"/>
        </w:rPr>
        <w:tab/>
        <w:t xml:space="preserve">D’emblée, il rejette </w:t>
      </w:r>
      <w:r w:rsidR="000F028A">
        <w:rPr>
          <w:sz w:val="24"/>
          <w:szCs w:val="24"/>
        </w:rPr>
        <w:t>ces traditions et estime devoir partir à la recherche des sites occupés par les Romains à l’aide d’autres sources. Wiltheim a abondamment recours aux itinéraires et documents cartograph</w:t>
      </w:r>
      <w:r w:rsidR="00C07209">
        <w:rPr>
          <w:sz w:val="24"/>
          <w:szCs w:val="24"/>
        </w:rPr>
        <w:t>iques antiques, en particulier</w:t>
      </w:r>
      <w:r w:rsidR="000F028A">
        <w:rPr>
          <w:sz w:val="24"/>
          <w:szCs w:val="24"/>
        </w:rPr>
        <w:t xml:space="preserve"> la Carte de Pe</w:t>
      </w:r>
      <w:r w:rsidR="00C07209">
        <w:rPr>
          <w:sz w:val="24"/>
          <w:szCs w:val="24"/>
        </w:rPr>
        <w:t xml:space="preserve">utinger et </w:t>
      </w:r>
      <w:r w:rsidR="000F028A">
        <w:rPr>
          <w:sz w:val="24"/>
          <w:szCs w:val="24"/>
        </w:rPr>
        <w:t>l’Itinéraire d’Antonin</w:t>
      </w:r>
      <w:r w:rsidR="00206CE9">
        <w:rPr>
          <w:rStyle w:val="Appelnotedebasdep"/>
          <w:sz w:val="24"/>
          <w:szCs w:val="24"/>
        </w:rPr>
        <w:footnoteReference w:id="21"/>
      </w:r>
      <w:r w:rsidR="000F028A">
        <w:rPr>
          <w:sz w:val="24"/>
          <w:szCs w:val="24"/>
        </w:rPr>
        <w:t>. Ces sources lui fournissent des indications essentielles sur le tracé des voies romain</w:t>
      </w:r>
      <w:r w:rsidR="00C07209">
        <w:rPr>
          <w:sz w:val="24"/>
          <w:szCs w:val="24"/>
        </w:rPr>
        <w:t>es traversant la région et sur l</w:t>
      </w:r>
      <w:r w:rsidR="000F028A">
        <w:rPr>
          <w:sz w:val="24"/>
          <w:szCs w:val="24"/>
        </w:rPr>
        <w:t xml:space="preserve">es localités se trouvant sur leur parcours. Si certaines de celles-ci sont bien connues (Trèves, Metz, Cologne…), l’identification de plusieurs stations reste problématique, de même que celle de certains tronçons de voies romaines. Pour tenter de résoudre ces problèmes, Wiltheim utilise les données </w:t>
      </w:r>
      <w:r w:rsidR="00206CE9">
        <w:rPr>
          <w:sz w:val="24"/>
          <w:szCs w:val="24"/>
        </w:rPr>
        <w:t xml:space="preserve">fournies par les sources elles-mêmes, à savoir les intervalles indiqués entre chacune des localités renseignées, des données qu’il confronte à des </w:t>
      </w:r>
      <w:r w:rsidR="00F07792">
        <w:rPr>
          <w:sz w:val="24"/>
          <w:szCs w:val="24"/>
        </w:rPr>
        <w:t>vérifications</w:t>
      </w:r>
      <w:r w:rsidR="00206CE9">
        <w:rPr>
          <w:sz w:val="24"/>
          <w:szCs w:val="24"/>
        </w:rPr>
        <w:t xml:space="preserve"> </w:t>
      </w:r>
      <w:r w:rsidR="00F07792">
        <w:rPr>
          <w:sz w:val="24"/>
          <w:szCs w:val="24"/>
        </w:rPr>
        <w:t>sur le</w:t>
      </w:r>
      <w:r w:rsidR="00206CE9">
        <w:rPr>
          <w:sz w:val="24"/>
          <w:szCs w:val="24"/>
        </w:rPr>
        <w:t xml:space="preserve"> terrain</w:t>
      </w:r>
      <w:r w:rsidR="00206CE9">
        <w:rPr>
          <w:rStyle w:val="Appelnotedebasdep"/>
          <w:sz w:val="24"/>
          <w:szCs w:val="24"/>
        </w:rPr>
        <w:footnoteReference w:id="22"/>
      </w:r>
      <w:r w:rsidR="00206CE9">
        <w:rPr>
          <w:sz w:val="24"/>
          <w:szCs w:val="24"/>
        </w:rPr>
        <w:t xml:space="preserve">. </w:t>
      </w:r>
    </w:p>
    <w:p w14:paraId="43973B62" w14:textId="365B1B9F" w:rsidR="00270FE1" w:rsidRDefault="00206CE9" w:rsidP="00270FE1">
      <w:pPr>
        <w:spacing w:after="0" w:line="360" w:lineRule="auto"/>
        <w:jc w:val="both"/>
        <w:rPr>
          <w:sz w:val="24"/>
          <w:szCs w:val="24"/>
        </w:rPr>
      </w:pPr>
      <w:r>
        <w:rPr>
          <w:sz w:val="24"/>
          <w:szCs w:val="24"/>
        </w:rPr>
        <w:tab/>
        <w:t>Mais il signale également bon nombre de vestiges ne figurant pas dans les sources antiques</w:t>
      </w:r>
      <w:r w:rsidR="0052223B">
        <w:rPr>
          <w:sz w:val="24"/>
          <w:szCs w:val="24"/>
        </w:rPr>
        <w:t xml:space="preserve">. </w:t>
      </w:r>
      <w:r>
        <w:rPr>
          <w:sz w:val="24"/>
          <w:szCs w:val="24"/>
        </w:rPr>
        <w:t>Certains d’entre eux</w:t>
      </w:r>
      <w:r w:rsidR="003A01E9">
        <w:rPr>
          <w:sz w:val="24"/>
          <w:szCs w:val="24"/>
        </w:rPr>
        <w:t xml:space="preserve"> étaient particulièrement remarquable</w:t>
      </w:r>
      <w:r w:rsidR="008076C1">
        <w:rPr>
          <w:sz w:val="24"/>
          <w:szCs w:val="24"/>
        </w:rPr>
        <w:t>s</w:t>
      </w:r>
      <w:r w:rsidR="00C867F6" w:rsidRPr="00C867F6">
        <w:rPr>
          <w:sz w:val="24"/>
          <w:szCs w:val="24"/>
        </w:rPr>
        <w:t xml:space="preserve"> </w:t>
      </w:r>
      <w:r w:rsidR="00C867F6">
        <w:rPr>
          <w:sz w:val="24"/>
          <w:szCs w:val="24"/>
        </w:rPr>
        <w:t>et étaient identifiés en tant que vestiges romains depuis longtemps, comme le monument funéraire d’Igel</w:t>
      </w:r>
      <w:r w:rsidR="00C867F6">
        <w:rPr>
          <w:rStyle w:val="Appelnotedebasdep"/>
          <w:sz w:val="24"/>
          <w:szCs w:val="24"/>
        </w:rPr>
        <w:footnoteReference w:id="23"/>
      </w:r>
      <w:r w:rsidR="00C867F6">
        <w:rPr>
          <w:sz w:val="24"/>
          <w:szCs w:val="24"/>
        </w:rPr>
        <w:t>, haut de 23 mètres (</w:t>
      </w:r>
      <w:r w:rsidR="00C867F6" w:rsidRPr="006C2965">
        <w:rPr>
          <w:b/>
          <w:sz w:val="24"/>
          <w:szCs w:val="24"/>
        </w:rPr>
        <w:t>fig. 2</w:t>
      </w:r>
      <w:r w:rsidR="00C867F6">
        <w:rPr>
          <w:sz w:val="24"/>
          <w:szCs w:val="24"/>
        </w:rPr>
        <w:t xml:space="preserve">). </w:t>
      </w:r>
      <w:r w:rsidR="003A01E9">
        <w:rPr>
          <w:sz w:val="24"/>
          <w:szCs w:val="24"/>
        </w:rPr>
        <w:t>Ces vestiges facilement identifiables</w:t>
      </w:r>
      <w:r w:rsidR="00F15C00">
        <w:rPr>
          <w:sz w:val="24"/>
          <w:szCs w:val="24"/>
        </w:rPr>
        <w:t xml:space="preserve"> figuraient parfois dans des documents administratifs ou judiciaires</w:t>
      </w:r>
      <w:r w:rsidR="008076C1">
        <w:rPr>
          <w:sz w:val="24"/>
          <w:szCs w:val="24"/>
        </w:rPr>
        <w:t xml:space="preserve"> locaux</w:t>
      </w:r>
      <w:r w:rsidR="00F15C00">
        <w:rPr>
          <w:sz w:val="24"/>
          <w:szCs w:val="24"/>
        </w:rPr>
        <w:t xml:space="preserve">, telle </w:t>
      </w:r>
      <w:r w:rsidR="008076C1">
        <w:rPr>
          <w:sz w:val="24"/>
          <w:szCs w:val="24"/>
        </w:rPr>
        <w:t>la mention d’une</w:t>
      </w:r>
      <w:r w:rsidR="00F15C00">
        <w:rPr>
          <w:sz w:val="24"/>
          <w:szCs w:val="24"/>
        </w:rPr>
        <w:t xml:space="preserve"> voie romaine</w:t>
      </w:r>
      <w:r w:rsidR="008076C1">
        <w:rPr>
          <w:sz w:val="24"/>
          <w:szCs w:val="24"/>
        </w:rPr>
        <w:t xml:space="preserve"> signalée pour avoir été</w:t>
      </w:r>
      <w:r w:rsidR="00F15C00">
        <w:rPr>
          <w:sz w:val="24"/>
          <w:szCs w:val="24"/>
        </w:rPr>
        <w:t xml:space="preserve"> endommagée par les habitants de la région de Bastogne</w:t>
      </w:r>
      <w:r w:rsidR="00F15C00">
        <w:rPr>
          <w:rStyle w:val="Appelnotedebasdep"/>
          <w:sz w:val="24"/>
          <w:szCs w:val="24"/>
        </w:rPr>
        <w:footnoteReference w:id="24"/>
      </w:r>
      <w:r w:rsidR="008076C1">
        <w:rPr>
          <w:sz w:val="24"/>
          <w:szCs w:val="24"/>
        </w:rPr>
        <w:t>. D’autres étaient</w:t>
      </w:r>
      <w:r w:rsidR="00155A77">
        <w:rPr>
          <w:sz w:val="24"/>
          <w:szCs w:val="24"/>
        </w:rPr>
        <w:t xml:space="preserve"> </w:t>
      </w:r>
      <w:r w:rsidR="008076C1">
        <w:rPr>
          <w:sz w:val="24"/>
          <w:szCs w:val="24"/>
        </w:rPr>
        <w:t xml:space="preserve">connus par le biais des traditions locales ou familiales </w:t>
      </w:r>
      <w:r w:rsidR="00155A77">
        <w:rPr>
          <w:sz w:val="24"/>
          <w:szCs w:val="24"/>
        </w:rPr>
        <w:t xml:space="preserve">que Wiltheim </w:t>
      </w:r>
      <w:r w:rsidR="008076C1">
        <w:rPr>
          <w:sz w:val="24"/>
          <w:szCs w:val="24"/>
        </w:rPr>
        <w:t>désigne sous le terme de</w:t>
      </w:r>
      <w:r w:rsidR="00155A77">
        <w:rPr>
          <w:sz w:val="24"/>
          <w:szCs w:val="24"/>
        </w:rPr>
        <w:t xml:space="preserve"> « mémoire de nos ancêtres » (</w:t>
      </w:r>
      <w:r w:rsidR="005C232A" w:rsidRPr="005C232A">
        <w:rPr>
          <w:i/>
          <w:sz w:val="24"/>
          <w:szCs w:val="24"/>
        </w:rPr>
        <w:t>patrum memoria</w:t>
      </w:r>
      <w:r w:rsidR="00155A77">
        <w:rPr>
          <w:sz w:val="24"/>
          <w:szCs w:val="24"/>
        </w:rPr>
        <w:t>)</w:t>
      </w:r>
      <w:r w:rsidR="00155A77">
        <w:rPr>
          <w:rStyle w:val="Appelnotedebasdep"/>
          <w:sz w:val="24"/>
          <w:szCs w:val="24"/>
        </w:rPr>
        <w:footnoteReference w:id="25"/>
      </w:r>
      <w:r w:rsidR="00155A77">
        <w:rPr>
          <w:sz w:val="24"/>
          <w:szCs w:val="24"/>
        </w:rPr>
        <w:t>. Quelques</w:t>
      </w:r>
      <w:r w:rsidR="00C35D73">
        <w:rPr>
          <w:sz w:val="24"/>
          <w:szCs w:val="24"/>
        </w:rPr>
        <w:t xml:space="preserve"> </w:t>
      </w:r>
      <w:r w:rsidR="008076C1">
        <w:rPr>
          <w:sz w:val="24"/>
          <w:szCs w:val="24"/>
        </w:rPr>
        <w:t>vestiges</w:t>
      </w:r>
      <w:r w:rsidR="00155A77">
        <w:rPr>
          <w:sz w:val="24"/>
          <w:szCs w:val="24"/>
        </w:rPr>
        <w:t xml:space="preserve"> </w:t>
      </w:r>
      <w:r w:rsidR="0052223B">
        <w:rPr>
          <w:sz w:val="24"/>
          <w:szCs w:val="24"/>
        </w:rPr>
        <w:t xml:space="preserve">avaient </w:t>
      </w:r>
      <w:r w:rsidR="008076C1">
        <w:rPr>
          <w:sz w:val="24"/>
          <w:szCs w:val="24"/>
        </w:rPr>
        <w:t>par ailleurs</w:t>
      </w:r>
      <w:r w:rsidR="005254F1">
        <w:rPr>
          <w:sz w:val="24"/>
          <w:szCs w:val="24"/>
        </w:rPr>
        <w:t xml:space="preserve"> déjà</w:t>
      </w:r>
      <w:r w:rsidR="00155A77">
        <w:rPr>
          <w:sz w:val="24"/>
          <w:szCs w:val="24"/>
        </w:rPr>
        <w:t xml:space="preserve"> </w:t>
      </w:r>
      <w:r w:rsidR="0052223B">
        <w:rPr>
          <w:sz w:val="24"/>
          <w:szCs w:val="24"/>
        </w:rPr>
        <w:t xml:space="preserve">attiré </w:t>
      </w:r>
      <w:r w:rsidR="005254F1">
        <w:rPr>
          <w:sz w:val="24"/>
          <w:szCs w:val="24"/>
        </w:rPr>
        <w:t xml:space="preserve">antérieurement </w:t>
      </w:r>
      <w:r w:rsidR="0052223B">
        <w:rPr>
          <w:sz w:val="24"/>
          <w:szCs w:val="24"/>
        </w:rPr>
        <w:t>l’attention d’érudits</w:t>
      </w:r>
      <w:r w:rsidR="005254F1">
        <w:rPr>
          <w:sz w:val="24"/>
          <w:szCs w:val="24"/>
        </w:rPr>
        <w:t xml:space="preserve"> locaux ou de passage dans la région, notamment</w:t>
      </w:r>
      <w:r w:rsidR="005254F1" w:rsidRPr="005254F1">
        <w:rPr>
          <w:sz w:val="24"/>
          <w:szCs w:val="24"/>
        </w:rPr>
        <w:t xml:space="preserve"> </w:t>
      </w:r>
      <w:r w:rsidR="005254F1">
        <w:rPr>
          <w:sz w:val="24"/>
          <w:szCs w:val="24"/>
        </w:rPr>
        <w:t xml:space="preserve">Abraham Ortelius (1527-1598) </w:t>
      </w:r>
      <w:r w:rsidR="00660082">
        <w:rPr>
          <w:sz w:val="24"/>
          <w:szCs w:val="24"/>
        </w:rPr>
        <w:t>et</w:t>
      </w:r>
      <w:r w:rsidR="005254F1">
        <w:rPr>
          <w:sz w:val="24"/>
          <w:szCs w:val="24"/>
        </w:rPr>
        <w:t xml:space="preserve"> Christophe Brouwer (1559-1617), tous deux</w:t>
      </w:r>
      <w:r w:rsidR="005254F1" w:rsidRPr="005254F1">
        <w:rPr>
          <w:sz w:val="24"/>
          <w:szCs w:val="24"/>
        </w:rPr>
        <w:t xml:space="preserve"> </w:t>
      </w:r>
      <w:r w:rsidR="005254F1">
        <w:rPr>
          <w:sz w:val="24"/>
          <w:szCs w:val="24"/>
        </w:rPr>
        <w:t>cités par le jésuite luxembourgeois</w:t>
      </w:r>
      <w:r w:rsidR="005254F1">
        <w:rPr>
          <w:rStyle w:val="Appelnotedebasdep"/>
          <w:sz w:val="24"/>
          <w:szCs w:val="24"/>
        </w:rPr>
        <w:footnoteReference w:id="26"/>
      </w:r>
      <w:r w:rsidR="005254F1">
        <w:rPr>
          <w:sz w:val="24"/>
          <w:szCs w:val="24"/>
        </w:rPr>
        <w:t xml:space="preserve">. C’est aussi le cas de </w:t>
      </w:r>
      <w:r w:rsidR="005A6871">
        <w:rPr>
          <w:sz w:val="24"/>
          <w:szCs w:val="24"/>
        </w:rPr>
        <w:t>son frère Jean-Guillaume</w:t>
      </w:r>
      <w:r w:rsidR="005254F1">
        <w:rPr>
          <w:sz w:val="24"/>
          <w:szCs w:val="24"/>
        </w:rPr>
        <w:t xml:space="preserve"> Wiltheim</w:t>
      </w:r>
      <w:r w:rsidR="000F2540">
        <w:rPr>
          <w:rStyle w:val="Appelnotedebasdep"/>
          <w:sz w:val="24"/>
          <w:szCs w:val="24"/>
        </w:rPr>
        <w:footnoteReference w:id="27"/>
      </w:r>
      <w:r w:rsidR="005254F1">
        <w:rPr>
          <w:sz w:val="24"/>
          <w:szCs w:val="24"/>
        </w:rPr>
        <w:t xml:space="preserve">. </w:t>
      </w:r>
      <w:r w:rsidR="003A01E9">
        <w:rPr>
          <w:sz w:val="24"/>
          <w:szCs w:val="24"/>
        </w:rPr>
        <w:t xml:space="preserve">Alexandre Wiltheim a bien évidemment répertorié avec soin les rares écrits de </w:t>
      </w:r>
      <w:r w:rsidR="00A37F4F">
        <w:rPr>
          <w:sz w:val="24"/>
          <w:szCs w:val="24"/>
        </w:rPr>
        <w:t xml:space="preserve">tous </w:t>
      </w:r>
      <w:r w:rsidR="003A01E9">
        <w:rPr>
          <w:sz w:val="24"/>
          <w:szCs w:val="24"/>
        </w:rPr>
        <w:t>ses prédécesseurs</w:t>
      </w:r>
      <w:r w:rsidR="00270FE1">
        <w:rPr>
          <w:sz w:val="24"/>
          <w:szCs w:val="24"/>
        </w:rPr>
        <w:t xml:space="preserve">. S’il ne peut disposer de certains livres à Luxembourg </w:t>
      </w:r>
      <w:r w:rsidR="00A37F4F">
        <w:rPr>
          <w:sz w:val="24"/>
          <w:szCs w:val="24"/>
        </w:rPr>
        <w:t>(</w:t>
      </w:r>
      <w:r w:rsidR="00270FE1">
        <w:rPr>
          <w:sz w:val="24"/>
          <w:szCs w:val="24"/>
        </w:rPr>
        <w:t xml:space="preserve">ou à Trèves où il se rend </w:t>
      </w:r>
      <w:r w:rsidR="00ED46E6">
        <w:rPr>
          <w:sz w:val="24"/>
          <w:szCs w:val="24"/>
        </w:rPr>
        <w:t>régulièrement</w:t>
      </w:r>
      <w:r w:rsidR="00A37F4F">
        <w:rPr>
          <w:sz w:val="24"/>
          <w:szCs w:val="24"/>
        </w:rPr>
        <w:t>)</w:t>
      </w:r>
      <w:r w:rsidR="00270FE1">
        <w:rPr>
          <w:sz w:val="24"/>
          <w:szCs w:val="24"/>
        </w:rPr>
        <w:t>, il essaie de se les procurer ou de se le</w:t>
      </w:r>
      <w:r w:rsidR="00A37F4F">
        <w:rPr>
          <w:sz w:val="24"/>
          <w:szCs w:val="24"/>
        </w:rPr>
        <w:t>s</w:t>
      </w:r>
      <w:r w:rsidR="00270FE1">
        <w:rPr>
          <w:sz w:val="24"/>
          <w:szCs w:val="24"/>
        </w:rPr>
        <w:t xml:space="preserve"> faire envoyer par ses correspondants</w:t>
      </w:r>
      <w:r w:rsidR="000F2540">
        <w:rPr>
          <w:sz w:val="24"/>
          <w:szCs w:val="24"/>
        </w:rPr>
        <w:t>,</w:t>
      </w:r>
      <w:r w:rsidR="00270FE1">
        <w:rPr>
          <w:sz w:val="24"/>
          <w:szCs w:val="24"/>
        </w:rPr>
        <w:t xml:space="preserve"> à l’instar de l’</w:t>
      </w:r>
      <w:r w:rsidR="00270FE1" w:rsidRPr="00270FE1">
        <w:rPr>
          <w:i/>
          <w:sz w:val="24"/>
          <w:szCs w:val="24"/>
        </w:rPr>
        <w:t xml:space="preserve">Historia Luxemburgensis </w:t>
      </w:r>
      <w:r w:rsidR="00270FE1">
        <w:rPr>
          <w:sz w:val="24"/>
          <w:szCs w:val="24"/>
        </w:rPr>
        <w:t>(1605) de Jean Bertels</w:t>
      </w:r>
      <w:r w:rsidR="00D0437F">
        <w:rPr>
          <w:sz w:val="24"/>
          <w:szCs w:val="24"/>
        </w:rPr>
        <w:t xml:space="preserve"> (</w:t>
      </w:r>
      <w:r w:rsidR="005C232A">
        <w:rPr>
          <w:sz w:val="24"/>
          <w:szCs w:val="24"/>
        </w:rPr>
        <w:t>1559</w:t>
      </w:r>
      <w:r w:rsidR="00D0437F">
        <w:rPr>
          <w:sz w:val="24"/>
          <w:szCs w:val="24"/>
        </w:rPr>
        <w:t>-</w:t>
      </w:r>
      <w:r w:rsidR="005C232A">
        <w:rPr>
          <w:sz w:val="24"/>
          <w:szCs w:val="24"/>
        </w:rPr>
        <w:t>1607</w:t>
      </w:r>
      <w:r w:rsidR="00D0437F">
        <w:rPr>
          <w:sz w:val="24"/>
          <w:szCs w:val="24"/>
        </w:rPr>
        <w:t>)</w:t>
      </w:r>
      <w:r w:rsidR="00270FE1">
        <w:rPr>
          <w:rStyle w:val="Appelnotedebasdep"/>
          <w:sz w:val="24"/>
          <w:szCs w:val="24"/>
        </w:rPr>
        <w:footnoteReference w:id="28"/>
      </w:r>
      <w:r w:rsidR="00270FE1">
        <w:rPr>
          <w:sz w:val="24"/>
          <w:szCs w:val="24"/>
        </w:rPr>
        <w:t xml:space="preserve">. </w:t>
      </w:r>
      <w:r w:rsidR="0037189D">
        <w:rPr>
          <w:sz w:val="24"/>
          <w:szCs w:val="24"/>
        </w:rPr>
        <w:t xml:space="preserve">Il indique également avoir bénéficié du concours de certains de ses contacts </w:t>
      </w:r>
      <w:r w:rsidR="00C07209">
        <w:rPr>
          <w:sz w:val="24"/>
          <w:szCs w:val="24"/>
        </w:rPr>
        <w:t>qui lui ont</w:t>
      </w:r>
      <w:r w:rsidR="0037189D">
        <w:rPr>
          <w:sz w:val="24"/>
          <w:szCs w:val="24"/>
        </w:rPr>
        <w:t xml:space="preserve"> renseigné des vestiges jusqu’alors peu connus : c’est notamment le cas de Louis </w:t>
      </w:r>
      <w:r w:rsidR="00F32867">
        <w:rPr>
          <w:sz w:val="24"/>
          <w:szCs w:val="24"/>
        </w:rPr>
        <w:t xml:space="preserve">de La </w:t>
      </w:r>
      <w:r w:rsidR="0037189D">
        <w:rPr>
          <w:sz w:val="24"/>
          <w:szCs w:val="24"/>
        </w:rPr>
        <w:t>Neuveforge</w:t>
      </w:r>
      <w:r w:rsidR="0037189D">
        <w:rPr>
          <w:rStyle w:val="Appelnotedebasdep"/>
          <w:sz w:val="24"/>
          <w:szCs w:val="24"/>
        </w:rPr>
        <w:footnoteReference w:id="29"/>
      </w:r>
      <w:r w:rsidR="0037189D">
        <w:rPr>
          <w:sz w:val="24"/>
          <w:szCs w:val="24"/>
        </w:rPr>
        <w:t>, collectionneur d’antiquités visiblement proche de Wiltheim, qui lui fit voir plusieurs pièces de ses collections et lui recommanda la visite d’un site intéressant</w:t>
      </w:r>
      <w:r w:rsidR="0037189D">
        <w:rPr>
          <w:rStyle w:val="Appelnotedebasdep"/>
          <w:sz w:val="24"/>
          <w:szCs w:val="24"/>
        </w:rPr>
        <w:footnoteReference w:id="30"/>
      </w:r>
      <w:r w:rsidR="0037189D">
        <w:rPr>
          <w:sz w:val="24"/>
          <w:szCs w:val="24"/>
        </w:rPr>
        <w:t>.</w:t>
      </w:r>
      <w:r w:rsidR="00A37F4F">
        <w:rPr>
          <w:sz w:val="24"/>
          <w:szCs w:val="24"/>
        </w:rPr>
        <w:t xml:space="preserve"> </w:t>
      </w:r>
      <w:r w:rsidR="00270FE1">
        <w:rPr>
          <w:sz w:val="24"/>
          <w:szCs w:val="24"/>
        </w:rPr>
        <w:t xml:space="preserve">Ces différentes manières de procéder, novatrices dans le duché de Luxembourg, </w:t>
      </w:r>
      <w:r w:rsidR="00A37F4F">
        <w:rPr>
          <w:sz w:val="24"/>
          <w:szCs w:val="24"/>
        </w:rPr>
        <w:t xml:space="preserve">étaient alors </w:t>
      </w:r>
      <w:r w:rsidR="00270FE1">
        <w:rPr>
          <w:sz w:val="24"/>
          <w:szCs w:val="24"/>
        </w:rPr>
        <w:t>largement pratiquées</w:t>
      </w:r>
      <w:r w:rsidR="00A37F4F">
        <w:rPr>
          <w:sz w:val="24"/>
          <w:szCs w:val="24"/>
        </w:rPr>
        <w:t>,</w:t>
      </w:r>
      <w:r w:rsidR="00270FE1">
        <w:rPr>
          <w:sz w:val="24"/>
          <w:szCs w:val="24"/>
        </w:rPr>
        <w:t xml:space="preserve"> depuis la seconde moitié du </w:t>
      </w:r>
      <w:r w:rsidR="00A16F45">
        <w:rPr>
          <w:sz w:val="24"/>
          <w:szCs w:val="24"/>
        </w:rPr>
        <w:t>XVI</w:t>
      </w:r>
      <w:r w:rsidR="00270FE1" w:rsidRPr="00206CE9">
        <w:rPr>
          <w:sz w:val="24"/>
          <w:szCs w:val="24"/>
          <w:vertAlign w:val="superscript"/>
        </w:rPr>
        <w:t>e</w:t>
      </w:r>
      <w:r w:rsidR="00270FE1">
        <w:rPr>
          <w:sz w:val="24"/>
          <w:szCs w:val="24"/>
        </w:rPr>
        <w:t xml:space="preserve"> siècle</w:t>
      </w:r>
      <w:r w:rsidR="00A37F4F">
        <w:rPr>
          <w:sz w:val="24"/>
          <w:szCs w:val="24"/>
        </w:rPr>
        <w:t>,</w:t>
      </w:r>
      <w:r w:rsidR="00270FE1">
        <w:rPr>
          <w:sz w:val="24"/>
          <w:szCs w:val="24"/>
        </w:rPr>
        <w:t xml:space="preserve"> par les antiquaires travaillant dans d’autres régions</w:t>
      </w:r>
      <w:r w:rsidR="00270FE1">
        <w:rPr>
          <w:rStyle w:val="Appelnotedebasdep"/>
          <w:sz w:val="24"/>
          <w:szCs w:val="24"/>
        </w:rPr>
        <w:footnoteReference w:id="31"/>
      </w:r>
      <w:r w:rsidR="00270FE1">
        <w:rPr>
          <w:sz w:val="24"/>
          <w:szCs w:val="24"/>
        </w:rPr>
        <w:t>.</w:t>
      </w:r>
    </w:p>
    <w:p w14:paraId="4352190B" w14:textId="6B7EF4A7" w:rsidR="009E16C7" w:rsidRPr="009A5113" w:rsidRDefault="00D0437F" w:rsidP="00FF49CC">
      <w:pPr>
        <w:spacing w:after="0" w:line="360" w:lineRule="auto"/>
        <w:jc w:val="both"/>
        <w:rPr>
          <w:sz w:val="24"/>
          <w:szCs w:val="24"/>
        </w:rPr>
      </w:pPr>
      <w:r>
        <w:rPr>
          <w:sz w:val="24"/>
          <w:szCs w:val="24"/>
        </w:rPr>
        <w:tab/>
        <w:t xml:space="preserve">Alexandre Wiltheim développe aussi une méthode d’investigation nettement moins classique, en travaillant </w:t>
      </w:r>
      <w:r w:rsidR="00247494">
        <w:rPr>
          <w:sz w:val="24"/>
          <w:szCs w:val="24"/>
        </w:rPr>
        <w:t xml:space="preserve">notamment </w:t>
      </w:r>
      <w:r>
        <w:rPr>
          <w:sz w:val="24"/>
          <w:szCs w:val="24"/>
        </w:rPr>
        <w:t>à partir d</w:t>
      </w:r>
      <w:r w:rsidR="009E16C7">
        <w:rPr>
          <w:sz w:val="24"/>
          <w:szCs w:val="24"/>
        </w:rPr>
        <w:t>e l’</w:t>
      </w:r>
      <w:r w:rsidR="00247494">
        <w:rPr>
          <w:sz w:val="24"/>
          <w:szCs w:val="24"/>
        </w:rPr>
        <w:t>étymologie</w:t>
      </w:r>
      <w:r w:rsidR="003C08FB">
        <w:rPr>
          <w:rStyle w:val="Appelnotedebasdep"/>
          <w:sz w:val="24"/>
          <w:szCs w:val="24"/>
        </w:rPr>
        <w:footnoteReference w:id="32"/>
      </w:r>
      <w:r w:rsidR="009E16C7">
        <w:rPr>
          <w:sz w:val="24"/>
          <w:szCs w:val="24"/>
        </w:rPr>
        <w:t>. Le rapport qu’entretient Alexandre Wiltheim avec les reche</w:t>
      </w:r>
      <w:r w:rsidR="00247494">
        <w:rPr>
          <w:sz w:val="24"/>
          <w:szCs w:val="24"/>
        </w:rPr>
        <w:t>rches étymologiques est</w:t>
      </w:r>
      <w:r w:rsidR="009E16C7">
        <w:rPr>
          <w:sz w:val="24"/>
          <w:szCs w:val="24"/>
        </w:rPr>
        <w:t xml:space="preserve"> </w:t>
      </w:r>
      <w:r w:rsidR="00247494">
        <w:rPr>
          <w:sz w:val="24"/>
          <w:szCs w:val="24"/>
        </w:rPr>
        <w:t>complexe</w:t>
      </w:r>
      <w:r w:rsidR="009E16C7">
        <w:rPr>
          <w:sz w:val="24"/>
          <w:szCs w:val="24"/>
        </w:rPr>
        <w:t>.</w:t>
      </w:r>
      <w:r w:rsidR="00247494">
        <w:rPr>
          <w:sz w:val="24"/>
          <w:szCs w:val="24"/>
        </w:rPr>
        <w:t xml:space="preserve"> En effet,</w:t>
      </w:r>
      <w:r w:rsidR="009E16C7">
        <w:rPr>
          <w:sz w:val="24"/>
          <w:szCs w:val="24"/>
        </w:rPr>
        <w:t xml:space="preserve"> </w:t>
      </w:r>
      <w:r w:rsidR="00247494">
        <w:rPr>
          <w:sz w:val="24"/>
          <w:szCs w:val="24"/>
        </w:rPr>
        <w:t>d</w:t>
      </w:r>
      <w:r w:rsidR="009E16C7">
        <w:rPr>
          <w:sz w:val="24"/>
          <w:szCs w:val="24"/>
        </w:rPr>
        <w:t>ès l’introduction de son manuscrit, comme nous l’avons vu, il dénonce</w:t>
      </w:r>
      <w:r w:rsidR="00247494">
        <w:rPr>
          <w:sz w:val="24"/>
          <w:szCs w:val="24"/>
        </w:rPr>
        <w:t xml:space="preserve"> virulemment</w:t>
      </w:r>
      <w:r w:rsidR="009E16C7">
        <w:rPr>
          <w:sz w:val="24"/>
          <w:szCs w:val="24"/>
        </w:rPr>
        <w:t xml:space="preserve"> </w:t>
      </w:r>
      <w:r w:rsidR="00247494">
        <w:rPr>
          <w:sz w:val="24"/>
          <w:szCs w:val="24"/>
        </w:rPr>
        <w:t>de nombreuses étymologies</w:t>
      </w:r>
      <w:r w:rsidR="009E16C7">
        <w:rPr>
          <w:sz w:val="24"/>
          <w:szCs w:val="24"/>
        </w:rPr>
        <w:t xml:space="preserve"> qu’il qualifie de « fables ». Cette prudence se répète par la suite dans de nombreux passages de son texte et il n’hésite pas à mettre en garde son lecteur vis-à-vis de ces auteurs « </w:t>
      </w:r>
      <w:r w:rsidR="009E16C7" w:rsidRPr="009E16C7">
        <w:rPr>
          <w:sz w:val="24"/>
          <w:szCs w:val="24"/>
        </w:rPr>
        <w:t>séduits par le chant des Sirènes</w:t>
      </w:r>
      <w:r w:rsidR="009E16C7">
        <w:rPr>
          <w:sz w:val="24"/>
          <w:szCs w:val="24"/>
        </w:rPr>
        <w:t> »</w:t>
      </w:r>
      <w:r w:rsidR="009E16C7" w:rsidRPr="009E16C7">
        <w:rPr>
          <w:sz w:val="24"/>
          <w:szCs w:val="24"/>
        </w:rPr>
        <w:t xml:space="preserve"> (</w:t>
      </w:r>
      <w:r w:rsidR="009E16C7" w:rsidRPr="009E16C7">
        <w:rPr>
          <w:i/>
          <w:sz w:val="24"/>
          <w:szCs w:val="24"/>
        </w:rPr>
        <w:t>Sirenarum illecti cantu</w:t>
      </w:r>
      <w:r w:rsidR="009E16C7" w:rsidRPr="009E16C7">
        <w:rPr>
          <w:sz w:val="24"/>
          <w:szCs w:val="24"/>
        </w:rPr>
        <w:t>)</w:t>
      </w:r>
      <w:r w:rsidR="00F15C00">
        <w:rPr>
          <w:rStyle w:val="Appelnotedebasdep"/>
          <w:sz w:val="24"/>
          <w:szCs w:val="24"/>
        </w:rPr>
        <w:footnoteReference w:id="33"/>
      </w:r>
      <w:r w:rsidR="009E16C7">
        <w:rPr>
          <w:sz w:val="24"/>
          <w:szCs w:val="24"/>
        </w:rPr>
        <w:t xml:space="preserve"> que constitue</w:t>
      </w:r>
      <w:r w:rsidR="009A5113">
        <w:rPr>
          <w:sz w:val="24"/>
          <w:szCs w:val="24"/>
        </w:rPr>
        <w:t xml:space="preserve">nt les recherches étymologiques. Son point de vue à ce propos </w:t>
      </w:r>
      <w:r w:rsidR="00407009">
        <w:rPr>
          <w:sz w:val="24"/>
          <w:szCs w:val="24"/>
        </w:rPr>
        <w:t xml:space="preserve">est </w:t>
      </w:r>
      <w:r w:rsidR="00CD3F25">
        <w:rPr>
          <w:sz w:val="24"/>
          <w:szCs w:val="24"/>
        </w:rPr>
        <w:t>résumé</w:t>
      </w:r>
      <w:r w:rsidR="00407009">
        <w:rPr>
          <w:sz w:val="24"/>
          <w:szCs w:val="24"/>
        </w:rPr>
        <w:t xml:space="preserve"> dans</w:t>
      </w:r>
      <w:r w:rsidR="009A5113">
        <w:rPr>
          <w:sz w:val="24"/>
          <w:szCs w:val="24"/>
        </w:rPr>
        <w:t xml:space="preserve"> cette affirmation : « p</w:t>
      </w:r>
      <w:r w:rsidR="009A5113" w:rsidRPr="009A5113">
        <w:rPr>
          <w:sz w:val="24"/>
          <w:szCs w:val="24"/>
        </w:rPr>
        <w:t xml:space="preserve">our moi, </w:t>
      </w:r>
      <w:r w:rsidR="009A5113">
        <w:rPr>
          <w:sz w:val="24"/>
          <w:szCs w:val="24"/>
        </w:rPr>
        <w:t>c’est une opinion</w:t>
      </w:r>
      <w:r w:rsidR="009A5113" w:rsidRPr="009A5113">
        <w:rPr>
          <w:sz w:val="24"/>
          <w:szCs w:val="24"/>
        </w:rPr>
        <w:t xml:space="preserve"> insidieuse, que de vouloir établir l’antiqu</w:t>
      </w:r>
      <w:r w:rsidR="009A5113">
        <w:rPr>
          <w:sz w:val="24"/>
          <w:szCs w:val="24"/>
        </w:rPr>
        <w:t>ité à partir d’une similitude entre des</w:t>
      </w:r>
      <w:r w:rsidR="009A5113" w:rsidRPr="009A5113">
        <w:rPr>
          <w:sz w:val="24"/>
          <w:szCs w:val="24"/>
        </w:rPr>
        <w:t xml:space="preserve"> mot</w:t>
      </w:r>
      <w:r w:rsidR="009A5113">
        <w:rPr>
          <w:sz w:val="24"/>
          <w:szCs w:val="24"/>
        </w:rPr>
        <w:t>s »</w:t>
      </w:r>
      <w:r w:rsidR="009A5113">
        <w:rPr>
          <w:rStyle w:val="Appelnotedebasdep"/>
          <w:sz w:val="24"/>
          <w:szCs w:val="24"/>
        </w:rPr>
        <w:footnoteReference w:id="34"/>
      </w:r>
      <w:r w:rsidR="009A5113" w:rsidRPr="009A5113">
        <w:rPr>
          <w:sz w:val="24"/>
          <w:szCs w:val="24"/>
        </w:rPr>
        <w:t>.</w:t>
      </w:r>
      <w:r w:rsidR="009A5113">
        <w:rPr>
          <w:sz w:val="24"/>
          <w:szCs w:val="24"/>
        </w:rPr>
        <w:t xml:space="preserve"> </w:t>
      </w:r>
      <w:r w:rsidR="00F15C00">
        <w:rPr>
          <w:sz w:val="24"/>
          <w:szCs w:val="24"/>
        </w:rPr>
        <w:t xml:space="preserve">Il ne rejette néanmoins pas complètement l’étude des noms anciens, à condition que celle-ci soit utilisée avec </w:t>
      </w:r>
      <w:r w:rsidR="00FF49CC">
        <w:rPr>
          <w:sz w:val="24"/>
          <w:szCs w:val="24"/>
        </w:rPr>
        <w:t>la prudence critique nécessaire</w:t>
      </w:r>
      <w:r w:rsidR="00F15C00">
        <w:rPr>
          <w:sz w:val="24"/>
          <w:szCs w:val="24"/>
        </w:rPr>
        <w:t>. En bon connaisseur des textes médiévaux de sa région</w:t>
      </w:r>
      <w:r w:rsidR="0029545C">
        <w:rPr>
          <w:rStyle w:val="Appelnotedebasdep"/>
          <w:sz w:val="24"/>
          <w:szCs w:val="24"/>
        </w:rPr>
        <w:footnoteReference w:id="35"/>
      </w:r>
      <w:r w:rsidR="00F15C00">
        <w:rPr>
          <w:sz w:val="24"/>
          <w:szCs w:val="24"/>
        </w:rPr>
        <w:t>, Wiltheim note</w:t>
      </w:r>
      <w:r w:rsidR="00155A77">
        <w:rPr>
          <w:sz w:val="24"/>
          <w:szCs w:val="24"/>
        </w:rPr>
        <w:t xml:space="preserve"> que les Francs ont continué à user du latin pour établir leurs actes officiels</w:t>
      </w:r>
      <w:r w:rsidR="00155A77">
        <w:rPr>
          <w:rStyle w:val="Appelnotedebasdep"/>
          <w:sz w:val="24"/>
          <w:szCs w:val="24"/>
        </w:rPr>
        <w:footnoteReference w:id="36"/>
      </w:r>
      <w:r w:rsidR="00155A77">
        <w:rPr>
          <w:sz w:val="24"/>
          <w:szCs w:val="24"/>
        </w:rPr>
        <w:t xml:space="preserve"> et que ceux-ci peuvent contenir des toponymes remontant à l’époque romaine. Il a</w:t>
      </w:r>
      <w:r w:rsidR="00C40DF4">
        <w:rPr>
          <w:sz w:val="24"/>
          <w:szCs w:val="24"/>
        </w:rPr>
        <w:t xml:space="preserve"> donc</w:t>
      </w:r>
      <w:r w:rsidR="00155A77">
        <w:rPr>
          <w:sz w:val="24"/>
          <w:szCs w:val="24"/>
        </w:rPr>
        <w:t xml:space="preserve"> abonda</w:t>
      </w:r>
      <w:r w:rsidR="00861077">
        <w:rPr>
          <w:sz w:val="24"/>
          <w:szCs w:val="24"/>
        </w:rPr>
        <w:t>mment recours à des documents mé</w:t>
      </w:r>
      <w:r w:rsidR="00155A77">
        <w:rPr>
          <w:sz w:val="24"/>
          <w:szCs w:val="24"/>
        </w:rPr>
        <w:t>diévaux, généralement qualifiés de « </w:t>
      </w:r>
      <w:r w:rsidR="00155A77" w:rsidRPr="00155A77">
        <w:rPr>
          <w:i/>
          <w:sz w:val="24"/>
          <w:szCs w:val="24"/>
        </w:rPr>
        <w:t>veteres tabulae</w:t>
      </w:r>
      <w:r w:rsidR="00155A77">
        <w:rPr>
          <w:sz w:val="24"/>
          <w:szCs w:val="24"/>
        </w:rPr>
        <w:t xml:space="preserve"> », </w:t>
      </w:r>
      <w:r w:rsidR="00FF49CC">
        <w:rPr>
          <w:sz w:val="24"/>
          <w:szCs w:val="24"/>
        </w:rPr>
        <w:t xml:space="preserve">à la recherche de toponymes intéressants, notamment lorsqu’il cherche des traces des villas et des camps militaires que les Romains </w:t>
      </w:r>
      <w:r w:rsidR="00C07209">
        <w:rPr>
          <w:sz w:val="24"/>
          <w:szCs w:val="24"/>
        </w:rPr>
        <w:t>avaient</w:t>
      </w:r>
      <w:r w:rsidR="00FF49CC">
        <w:rPr>
          <w:sz w:val="24"/>
          <w:szCs w:val="24"/>
        </w:rPr>
        <w:t xml:space="preserve"> établis dans la région. Il est cependant bien conscient que le fait d’accoler</w:t>
      </w:r>
      <w:r w:rsidR="00A37F4F">
        <w:rPr>
          <w:sz w:val="24"/>
          <w:szCs w:val="24"/>
        </w:rPr>
        <w:t>, par exemple,</w:t>
      </w:r>
      <w:r w:rsidR="00FF49CC">
        <w:rPr>
          <w:sz w:val="24"/>
          <w:szCs w:val="24"/>
        </w:rPr>
        <w:t xml:space="preserve"> le terme « villa » à un </w:t>
      </w:r>
      <w:r w:rsidR="00584FF0">
        <w:rPr>
          <w:sz w:val="24"/>
          <w:szCs w:val="24"/>
        </w:rPr>
        <w:t>toponyme</w:t>
      </w:r>
      <w:r w:rsidR="00FF49CC">
        <w:rPr>
          <w:sz w:val="24"/>
          <w:szCs w:val="24"/>
        </w:rPr>
        <w:t xml:space="preserve"> ne signifie pas pour autant </w:t>
      </w:r>
      <w:r w:rsidR="00AC0CF1">
        <w:rPr>
          <w:sz w:val="24"/>
          <w:szCs w:val="24"/>
        </w:rPr>
        <w:t>qu’il ait une origine antique :</w:t>
      </w:r>
      <w:r w:rsidR="00FF49CC">
        <w:rPr>
          <w:sz w:val="24"/>
          <w:szCs w:val="24"/>
        </w:rPr>
        <w:t xml:space="preserve"> </w:t>
      </w:r>
      <w:r w:rsidR="00A37F4F">
        <w:rPr>
          <w:sz w:val="24"/>
          <w:szCs w:val="24"/>
        </w:rPr>
        <w:t xml:space="preserve">il </w:t>
      </w:r>
      <w:r w:rsidR="00FF49CC">
        <w:rPr>
          <w:sz w:val="24"/>
          <w:szCs w:val="24"/>
        </w:rPr>
        <w:t xml:space="preserve">signale d’ailleurs que plusieurs de ces sites </w:t>
      </w:r>
      <w:r w:rsidR="00A37F4F">
        <w:rPr>
          <w:sz w:val="24"/>
          <w:szCs w:val="24"/>
        </w:rPr>
        <w:t>ont été assurément fondés</w:t>
      </w:r>
      <w:r w:rsidR="00FF49CC">
        <w:rPr>
          <w:sz w:val="24"/>
          <w:szCs w:val="24"/>
        </w:rPr>
        <w:t xml:space="preserve"> à l’époque médiévale</w:t>
      </w:r>
      <w:r w:rsidR="00FF49CC">
        <w:rPr>
          <w:rStyle w:val="Appelnotedebasdep"/>
          <w:sz w:val="24"/>
          <w:szCs w:val="24"/>
        </w:rPr>
        <w:footnoteReference w:id="37"/>
      </w:r>
      <w:r w:rsidR="00FF49CC">
        <w:rPr>
          <w:sz w:val="24"/>
          <w:szCs w:val="24"/>
        </w:rPr>
        <w:t>. Lorsqu’une origine romaine est jugée possible ou plausible, Wiltheim tente toujours de la conforter</w:t>
      </w:r>
      <w:r w:rsidR="00F95B45">
        <w:rPr>
          <w:sz w:val="24"/>
          <w:szCs w:val="24"/>
        </w:rPr>
        <w:t xml:space="preserve"> par</w:t>
      </w:r>
      <w:r w:rsidR="00AC0CF1">
        <w:rPr>
          <w:sz w:val="24"/>
          <w:szCs w:val="24"/>
        </w:rPr>
        <w:t xml:space="preserve"> le biais</w:t>
      </w:r>
      <w:r w:rsidR="00F95B45">
        <w:rPr>
          <w:sz w:val="24"/>
          <w:szCs w:val="24"/>
        </w:rPr>
        <w:t xml:space="preserve"> </w:t>
      </w:r>
      <w:r w:rsidR="00AC0CF1">
        <w:rPr>
          <w:sz w:val="24"/>
          <w:szCs w:val="24"/>
        </w:rPr>
        <w:t>d’</w:t>
      </w:r>
      <w:r w:rsidR="00F95B45">
        <w:rPr>
          <w:sz w:val="24"/>
          <w:szCs w:val="24"/>
        </w:rPr>
        <w:t>une enquête sur le terrain : comme il le note lui-même,</w:t>
      </w:r>
      <w:r w:rsidR="00FF49CC">
        <w:rPr>
          <w:sz w:val="24"/>
          <w:szCs w:val="24"/>
        </w:rPr>
        <w:t xml:space="preserve"> « </w:t>
      </w:r>
      <w:r w:rsidR="00200253">
        <w:rPr>
          <w:sz w:val="24"/>
          <w:szCs w:val="24"/>
        </w:rPr>
        <w:t>j’examinerai</w:t>
      </w:r>
      <w:r w:rsidR="00FF49CC" w:rsidRPr="00FF49CC">
        <w:rPr>
          <w:sz w:val="24"/>
          <w:szCs w:val="24"/>
        </w:rPr>
        <w:t xml:space="preserve"> partout deux choses, d’u</w:t>
      </w:r>
      <w:r w:rsidR="00FF49CC">
        <w:rPr>
          <w:sz w:val="24"/>
          <w:szCs w:val="24"/>
        </w:rPr>
        <w:t>ne part</w:t>
      </w:r>
      <w:r w:rsidR="00200253">
        <w:rPr>
          <w:sz w:val="24"/>
          <w:szCs w:val="24"/>
        </w:rPr>
        <w:t>,</w:t>
      </w:r>
      <w:r w:rsidR="00FF49CC">
        <w:rPr>
          <w:sz w:val="24"/>
          <w:szCs w:val="24"/>
        </w:rPr>
        <w:t xml:space="preserve"> le nom</w:t>
      </w:r>
      <w:r w:rsidR="00200253">
        <w:rPr>
          <w:sz w:val="24"/>
          <w:szCs w:val="24"/>
        </w:rPr>
        <w:t xml:space="preserve"> (</w:t>
      </w:r>
      <w:r w:rsidR="00200253" w:rsidRPr="00200253">
        <w:rPr>
          <w:i/>
          <w:sz w:val="24"/>
          <w:szCs w:val="24"/>
        </w:rPr>
        <w:t>nomine</w:t>
      </w:r>
      <w:r w:rsidR="00200253">
        <w:rPr>
          <w:sz w:val="24"/>
          <w:szCs w:val="24"/>
        </w:rPr>
        <w:t>)</w:t>
      </w:r>
      <w:r w:rsidR="00FF49CC">
        <w:rPr>
          <w:sz w:val="24"/>
          <w:szCs w:val="24"/>
        </w:rPr>
        <w:t xml:space="preserve">, et d’autre part, </w:t>
      </w:r>
      <w:r w:rsidR="00200253">
        <w:rPr>
          <w:rFonts w:eastAsia="Calibri" w:cs="Calibri"/>
          <w:sz w:val="24"/>
          <w:szCs w:val="24"/>
          <w:lang w:eastAsia="ar-SA"/>
        </w:rPr>
        <w:t>ce qui est beaucoup plus avantageux (</w:t>
      </w:r>
      <w:r w:rsidR="00200253" w:rsidRPr="00200253">
        <w:rPr>
          <w:rFonts w:eastAsia="Calibri" w:cs="Calibri"/>
          <w:i/>
          <w:sz w:val="24"/>
          <w:szCs w:val="24"/>
          <w:lang w:eastAsia="ar-SA"/>
        </w:rPr>
        <w:t xml:space="preserve">multo </w:t>
      </w:r>
      <w:r w:rsidR="00200253" w:rsidRPr="00FF49CC">
        <w:rPr>
          <w:rFonts w:eastAsia="Calibri" w:cs="Calibri"/>
          <w:i/>
          <w:sz w:val="24"/>
          <w:szCs w:val="24"/>
          <w:lang w:eastAsia="ar-SA"/>
        </w:rPr>
        <w:t>praestabilius</w:t>
      </w:r>
      <w:r w:rsidR="00200253">
        <w:rPr>
          <w:rFonts w:eastAsia="Calibri" w:cs="Calibri"/>
          <w:sz w:val="24"/>
          <w:szCs w:val="24"/>
          <w:lang w:eastAsia="ar-SA"/>
        </w:rPr>
        <w:t xml:space="preserve">), </w:t>
      </w:r>
      <w:r w:rsidR="00A37F4F">
        <w:rPr>
          <w:rFonts w:eastAsia="Calibri" w:cs="Calibri"/>
          <w:sz w:val="24"/>
          <w:szCs w:val="24"/>
          <w:lang w:eastAsia="ar-SA"/>
        </w:rPr>
        <w:t xml:space="preserve">à savoir </w:t>
      </w:r>
      <w:r w:rsidR="00200253">
        <w:rPr>
          <w:sz w:val="24"/>
          <w:szCs w:val="24"/>
        </w:rPr>
        <w:t xml:space="preserve">les </w:t>
      </w:r>
      <w:r w:rsidR="00FF49CC" w:rsidRPr="00FF49CC">
        <w:rPr>
          <w:sz w:val="24"/>
          <w:szCs w:val="24"/>
        </w:rPr>
        <w:t>vestiges</w:t>
      </w:r>
      <w:r w:rsidR="00FF49CC">
        <w:rPr>
          <w:sz w:val="24"/>
          <w:szCs w:val="24"/>
        </w:rPr>
        <w:t xml:space="preserve"> restants</w:t>
      </w:r>
      <w:r w:rsidR="00FF49CC" w:rsidRPr="00FF49CC">
        <w:rPr>
          <w:sz w:val="24"/>
          <w:szCs w:val="24"/>
        </w:rPr>
        <w:t xml:space="preserve"> (</w:t>
      </w:r>
      <w:r w:rsidR="00FF49CC" w:rsidRPr="00FF49CC">
        <w:rPr>
          <w:i/>
          <w:sz w:val="24"/>
          <w:szCs w:val="24"/>
        </w:rPr>
        <w:t>reliquis vestigiis</w:t>
      </w:r>
      <w:r w:rsidR="00200253">
        <w:rPr>
          <w:sz w:val="24"/>
          <w:szCs w:val="24"/>
        </w:rPr>
        <w:t>)</w:t>
      </w:r>
      <w:r w:rsidR="00FF49CC">
        <w:rPr>
          <w:rFonts w:eastAsia="Calibri" w:cs="Calibri"/>
          <w:sz w:val="24"/>
          <w:szCs w:val="24"/>
          <w:lang w:eastAsia="ar-SA"/>
        </w:rPr>
        <w:t> »</w:t>
      </w:r>
      <w:r w:rsidR="00FF49CC">
        <w:rPr>
          <w:rStyle w:val="Appelnotedebasdep"/>
          <w:rFonts w:eastAsia="Calibri" w:cs="Calibri"/>
          <w:sz w:val="24"/>
          <w:szCs w:val="24"/>
          <w:lang w:eastAsia="ar-SA"/>
        </w:rPr>
        <w:footnoteReference w:id="38"/>
      </w:r>
      <w:r w:rsidR="00FF49CC">
        <w:rPr>
          <w:rFonts w:eastAsia="Calibri" w:cs="Calibri"/>
          <w:sz w:val="24"/>
          <w:szCs w:val="24"/>
          <w:lang w:eastAsia="ar-SA"/>
        </w:rPr>
        <w:t>.</w:t>
      </w:r>
      <w:r w:rsidR="00513A03">
        <w:rPr>
          <w:rFonts w:eastAsia="Calibri" w:cs="Calibri"/>
          <w:sz w:val="24"/>
          <w:szCs w:val="24"/>
          <w:lang w:eastAsia="ar-SA"/>
        </w:rPr>
        <w:t xml:space="preserve"> Il dénie ainsi toute origine antique </w:t>
      </w:r>
      <w:r w:rsidR="00A37F4F">
        <w:rPr>
          <w:rFonts w:eastAsia="Calibri" w:cs="Calibri"/>
          <w:sz w:val="24"/>
          <w:szCs w:val="24"/>
          <w:lang w:eastAsia="ar-SA"/>
        </w:rPr>
        <w:t>au site de la</w:t>
      </w:r>
      <w:r w:rsidR="00513A03">
        <w:rPr>
          <w:rFonts w:eastAsia="Calibri" w:cs="Calibri"/>
          <w:sz w:val="24"/>
          <w:szCs w:val="24"/>
          <w:lang w:eastAsia="ar-SA"/>
        </w:rPr>
        <w:t xml:space="preserve"> « Villa Martis », du moins « jusqu’à ce que</w:t>
      </w:r>
      <w:r w:rsidR="00C07209">
        <w:rPr>
          <w:rFonts w:eastAsia="Calibri" w:cs="Calibri"/>
          <w:sz w:val="24"/>
          <w:szCs w:val="24"/>
          <w:lang w:eastAsia="ar-SA"/>
        </w:rPr>
        <w:t xml:space="preserve"> </w:t>
      </w:r>
      <w:r w:rsidR="00F24244">
        <w:rPr>
          <w:rFonts w:eastAsia="Calibri" w:cs="Calibri"/>
          <w:sz w:val="24"/>
          <w:szCs w:val="24"/>
          <w:lang w:eastAsia="ar-SA"/>
        </w:rPr>
        <w:t xml:space="preserve">la présence des vestiges de quelque chose de romain </w:t>
      </w:r>
      <w:r w:rsidR="00513A03">
        <w:rPr>
          <w:rFonts w:eastAsia="Calibri" w:cs="Calibri"/>
          <w:sz w:val="24"/>
          <w:szCs w:val="24"/>
          <w:lang w:eastAsia="ar-SA"/>
        </w:rPr>
        <w:t>soit établi</w:t>
      </w:r>
      <w:r w:rsidR="00F24244">
        <w:rPr>
          <w:rFonts w:eastAsia="Calibri" w:cs="Calibri"/>
          <w:sz w:val="24"/>
          <w:szCs w:val="24"/>
          <w:lang w:eastAsia="ar-SA"/>
        </w:rPr>
        <w:t>e là-bas</w:t>
      </w:r>
      <w:r w:rsidR="000F2540">
        <w:rPr>
          <w:rFonts w:eastAsia="Calibri" w:cs="Calibri"/>
          <w:sz w:val="24"/>
          <w:szCs w:val="24"/>
          <w:lang w:eastAsia="ar-SA"/>
        </w:rPr>
        <w:t>, grâce à l’observation</w:t>
      </w:r>
      <w:r w:rsidR="00F24244">
        <w:rPr>
          <w:rFonts w:eastAsia="Calibri" w:cs="Calibri"/>
          <w:sz w:val="24"/>
          <w:szCs w:val="24"/>
          <w:lang w:eastAsia="ar-SA"/>
        </w:rPr>
        <w:t> »</w:t>
      </w:r>
      <w:r w:rsidR="00F24244">
        <w:rPr>
          <w:rStyle w:val="Appelnotedebasdep"/>
          <w:rFonts w:eastAsia="Calibri" w:cs="Calibri"/>
          <w:sz w:val="24"/>
          <w:szCs w:val="24"/>
          <w:lang w:eastAsia="ar-SA"/>
        </w:rPr>
        <w:footnoteReference w:id="39"/>
      </w:r>
      <w:r w:rsidR="00F24244">
        <w:rPr>
          <w:rFonts w:eastAsia="Calibri" w:cs="Calibri"/>
          <w:sz w:val="24"/>
          <w:szCs w:val="24"/>
          <w:lang w:eastAsia="ar-SA"/>
        </w:rPr>
        <w:t xml:space="preserve">. À l’inverse, il estime que la </w:t>
      </w:r>
      <w:r w:rsidR="00584FF0">
        <w:rPr>
          <w:rFonts w:eastAsia="Calibri" w:cs="Calibri"/>
          <w:sz w:val="24"/>
          <w:szCs w:val="24"/>
          <w:lang w:eastAsia="ar-SA"/>
        </w:rPr>
        <w:t>découverte</w:t>
      </w:r>
      <w:r w:rsidR="00F24244">
        <w:rPr>
          <w:rFonts w:eastAsia="Calibri" w:cs="Calibri"/>
          <w:sz w:val="24"/>
          <w:szCs w:val="24"/>
          <w:lang w:eastAsia="ar-SA"/>
        </w:rPr>
        <w:t xml:space="preserve"> de </w:t>
      </w:r>
      <w:r w:rsidR="00247494">
        <w:rPr>
          <w:rFonts w:eastAsia="Calibri" w:cs="Calibri"/>
          <w:sz w:val="24"/>
          <w:szCs w:val="24"/>
          <w:lang w:eastAsia="ar-SA"/>
        </w:rPr>
        <w:t xml:space="preserve">plusieurs </w:t>
      </w:r>
      <w:r w:rsidR="00F24244">
        <w:rPr>
          <w:rFonts w:eastAsia="Calibri" w:cs="Calibri"/>
          <w:sz w:val="24"/>
          <w:szCs w:val="24"/>
          <w:lang w:eastAsia="ar-SA"/>
        </w:rPr>
        <w:t>vestiges romains</w:t>
      </w:r>
      <w:r w:rsidR="00C07209">
        <w:rPr>
          <w:rFonts w:eastAsia="Calibri" w:cs="Calibri"/>
          <w:sz w:val="24"/>
          <w:szCs w:val="24"/>
          <w:lang w:eastAsia="ar-SA"/>
        </w:rPr>
        <w:t>,</w:t>
      </w:r>
      <w:r w:rsidR="00F24244">
        <w:rPr>
          <w:rFonts w:eastAsia="Calibri" w:cs="Calibri"/>
          <w:sz w:val="24"/>
          <w:szCs w:val="24"/>
          <w:lang w:eastAsia="ar-SA"/>
        </w:rPr>
        <w:t xml:space="preserve"> conjuguée à l’appellation médiévale de « Villa Bollanae »</w:t>
      </w:r>
      <w:r w:rsidR="00C07209">
        <w:rPr>
          <w:rFonts w:eastAsia="Calibri" w:cs="Calibri"/>
          <w:sz w:val="24"/>
          <w:szCs w:val="24"/>
          <w:lang w:eastAsia="ar-SA"/>
        </w:rPr>
        <w:t>,</w:t>
      </w:r>
      <w:r w:rsidR="00F24244">
        <w:rPr>
          <w:rFonts w:eastAsia="Calibri" w:cs="Calibri"/>
          <w:sz w:val="24"/>
          <w:szCs w:val="24"/>
          <w:lang w:eastAsia="ar-SA"/>
        </w:rPr>
        <w:t xml:space="preserve"> pourrait indiquer la présence d’une villa romaine </w:t>
      </w:r>
      <w:r w:rsidR="00247494">
        <w:rPr>
          <w:rFonts w:eastAsia="Calibri" w:cs="Calibri"/>
          <w:sz w:val="24"/>
          <w:szCs w:val="24"/>
          <w:lang w:eastAsia="ar-SA"/>
        </w:rPr>
        <w:t>dans le village de Bollendorf</w:t>
      </w:r>
      <w:r w:rsidR="00F24244">
        <w:rPr>
          <w:rStyle w:val="Appelnotedebasdep"/>
          <w:rFonts w:eastAsia="Calibri" w:cs="Calibri"/>
          <w:sz w:val="24"/>
          <w:szCs w:val="24"/>
          <w:lang w:eastAsia="ar-SA"/>
        </w:rPr>
        <w:footnoteReference w:id="40"/>
      </w:r>
      <w:r w:rsidR="00F24244">
        <w:rPr>
          <w:rFonts w:eastAsia="Calibri" w:cs="Calibri"/>
          <w:sz w:val="24"/>
          <w:szCs w:val="24"/>
          <w:lang w:eastAsia="ar-SA"/>
        </w:rPr>
        <w:t>.</w:t>
      </w:r>
      <w:r w:rsidR="00247494">
        <w:rPr>
          <w:rFonts w:eastAsia="Calibri" w:cs="Calibri"/>
          <w:sz w:val="24"/>
          <w:szCs w:val="24"/>
          <w:lang w:eastAsia="ar-SA"/>
        </w:rPr>
        <w:t xml:space="preserve"> </w:t>
      </w:r>
    </w:p>
    <w:p w14:paraId="39152655" w14:textId="5793B869" w:rsidR="00A37F4F" w:rsidRDefault="00247494" w:rsidP="00DD26A3">
      <w:pPr>
        <w:spacing w:after="0" w:line="360" w:lineRule="auto"/>
        <w:jc w:val="both"/>
        <w:rPr>
          <w:rFonts w:eastAsia="Calibri" w:cs="Calibri"/>
          <w:sz w:val="24"/>
          <w:szCs w:val="24"/>
          <w:lang w:eastAsia="ar-SA"/>
        </w:rPr>
      </w:pPr>
      <w:r>
        <w:rPr>
          <w:rFonts w:eastAsia="Calibri" w:cs="Calibri"/>
          <w:sz w:val="24"/>
          <w:szCs w:val="24"/>
          <w:lang w:eastAsia="ar-SA"/>
        </w:rPr>
        <w:tab/>
        <w:t>Le jésuite luxembourgeois a également</w:t>
      </w:r>
      <w:r w:rsidR="003964B2">
        <w:rPr>
          <w:rFonts w:eastAsia="Calibri" w:cs="Calibri"/>
          <w:sz w:val="24"/>
          <w:szCs w:val="24"/>
          <w:lang w:eastAsia="ar-SA"/>
        </w:rPr>
        <w:t xml:space="preserve"> </w:t>
      </w:r>
      <w:r>
        <w:rPr>
          <w:rFonts w:eastAsia="Calibri" w:cs="Calibri"/>
          <w:sz w:val="24"/>
          <w:szCs w:val="24"/>
          <w:lang w:eastAsia="ar-SA"/>
        </w:rPr>
        <w:t xml:space="preserve">recours </w:t>
      </w:r>
      <w:r w:rsidR="00800A4F">
        <w:rPr>
          <w:rFonts w:eastAsia="Calibri" w:cs="Calibri"/>
          <w:sz w:val="24"/>
          <w:szCs w:val="24"/>
          <w:lang w:eastAsia="ar-SA"/>
        </w:rPr>
        <w:t xml:space="preserve">occasionnellement </w:t>
      </w:r>
      <w:r>
        <w:rPr>
          <w:rFonts w:eastAsia="Calibri" w:cs="Calibri"/>
          <w:sz w:val="24"/>
          <w:szCs w:val="24"/>
          <w:lang w:eastAsia="ar-SA"/>
        </w:rPr>
        <w:t>à</w:t>
      </w:r>
      <w:r w:rsidR="003964B2">
        <w:rPr>
          <w:rFonts w:eastAsia="Calibri" w:cs="Calibri"/>
          <w:sz w:val="24"/>
          <w:szCs w:val="24"/>
          <w:lang w:eastAsia="ar-SA"/>
        </w:rPr>
        <w:t xml:space="preserve"> des observations topographiques, en particulier lorsqu’</w:t>
      </w:r>
      <w:r w:rsidR="00DD26A3">
        <w:rPr>
          <w:rFonts w:eastAsia="Calibri" w:cs="Calibri"/>
          <w:sz w:val="24"/>
          <w:szCs w:val="24"/>
          <w:lang w:eastAsia="ar-SA"/>
        </w:rPr>
        <w:t>il cherche</w:t>
      </w:r>
      <w:r w:rsidR="003964B2">
        <w:rPr>
          <w:rFonts w:eastAsia="Calibri" w:cs="Calibri"/>
          <w:sz w:val="24"/>
          <w:szCs w:val="24"/>
          <w:lang w:eastAsia="ar-SA"/>
        </w:rPr>
        <w:t xml:space="preserve"> à découvrir les emplacements de campements militaires romains</w:t>
      </w:r>
      <w:r w:rsidR="00800A4F">
        <w:rPr>
          <w:rFonts w:eastAsia="Calibri" w:cs="Calibri"/>
          <w:sz w:val="24"/>
          <w:szCs w:val="24"/>
          <w:lang w:eastAsia="ar-SA"/>
        </w:rPr>
        <w:t>.</w:t>
      </w:r>
      <w:r w:rsidR="003964B2">
        <w:rPr>
          <w:rFonts w:eastAsia="Calibri" w:cs="Calibri"/>
          <w:sz w:val="24"/>
          <w:szCs w:val="24"/>
          <w:lang w:eastAsia="ar-SA"/>
        </w:rPr>
        <w:t xml:space="preserve"> </w:t>
      </w:r>
      <w:r w:rsidR="00800A4F">
        <w:rPr>
          <w:rFonts w:eastAsia="Calibri" w:cs="Calibri"/>
          <w:sz w:val="24"/>
          <w:szCs w:val="24"/>
          <w:lang w:eastAsia="ar-SA"/>
        </w:rPr>
        <w:t>D</w:t>
      </w:r>
      <w:r w:rsidR="00DD26A3">
        <w:rPr>
          <w:rFonts w:eastAsia="Calibri" w:cs="Calibri"/>
          <w:sz w:val="24"/>
          <w:szCs w:val="24"/>
          <w:lang w:eastAsia="ar-SA"/>
        </w:rPr>
        <w:t>ès le début du livre qu’il consacre à ces camps, il cite en effet l’auteur antique Végèce qui décrit le site idéal pour les établir</w:t>
      </w:r>
      <w:r w:rsidR="00DD26A3">
        <w:rPr>
          <w:rStyle w:val="Appelnotedebasdep"/>
          <w:rFonts w:eastAsia="Calibri" w:cs="Calibri"/>
          <w:sz w:val="24"/>
          <w:szCs w:val="24"/>
          <w:lang w:eastAsia="ar-SA"/>
        </w:rPr>
        <w:footnoteReference w:id="41"/>
      </w:r>
      <w:r w:rsidR="00DD26A3">
        <w:rPr>
          <w:rFonts w:eastAsia="Calibri" w:cs="Calibri"/>
          <w:sz w:val="24"/>
          <w:szCs w:val="24"/>
          <w:lang w:eastAsia="ar-SA"/>
        </w:rPr>
        <w:t>. Les données ainsi fournies sont confrontées aux observations menées sur le terrain : à Dalheim</w:t>
      </w:r>
      <w:r w:rsidR="009A5113">
        <w:rPr>
          <w:rFonts w:eastAsia="Calibri" w:cs="Calibri"/>
          <w:sz w:val="24"/>
          <w:szCs w:val="24"/>
          <w:lang w:eastAsia="ar-SA"/>
        </w:rPr>
        <w:t xml:space="preserve"> comme</w:t>
      </w:r>
      <w:r w:rsidR="003774E2">
        <w:rPr>
          <w:rFonts w:eastAsia="Calibri" w:cs="Calibri"/>
          <w:sz w:val="24"/>
          <w:szCs w:val="24"/>
          <w:lang w:eastAsia="ar-SA"/>
        </w:rPr>
        <w:t xml:space="preserve"> à</w:t>
      </w:r>
      <w:r w:rsidR="009A5113">
        <w:rPr>
          <w:rFonts w:eastAsia="Calibri" w:cs="Calibri"/>
          <w:sz w:val="24"/>
          <w:szCs w:val="24"/>
          <w:lang w:eastAsia="ar-SA"/>
        </w:rPr>
        <w:t xml:space="preserve"> Altrier</w:t>
      </w:r>
      <w:r w:rsidR="00037B2D">
        <w:rPr>
          <w:rStyle w:val="Appelnotedebasdep"/>
          <w:rFonts w:eastAsia="Calibri" w:cs="Calibri"/>
          <w:sz w:val="24"/>
          <w:szCs w:val="24"/>
          <w:lang w:eastAsia="ar-SA"/>
        </w:rPr>
        <w:footnoteReference w:id="42"/>
      </w:r>
      <w:r w:rsidR="00DD26A3">
        <w:rPr>
          <w:rFonts w:eastAsia="Calibri" w:cs="Calibri"/>
          <w:sz w:val="24"/>
          <w:szCs w:val="24"/>
          <w:lang w:eastAsia="ar-SA"/>
        </w:rPr>
        <w:t>, où de nombreux reliquats d’époque romaine avaient été découverts, la topographie du site concorde ainsi parfaitement avec les prescriptions de Végèce et confirme l’identification du site en tant que camp militaire</w:t>
      </w:r>
      <w:r w:rsidR="009A5113">
        <w:rPr>
          <w:rStyle w:val="Appelnotedebasdep"/>
          <w:rFonts w:eastAsia="Calibri" w:cs="Calibri"/>
          <w:sz w:val="24"/>
          <w:szCs w:val="24"/>
          <w:lang w:eastAsia="ar-SA"/>
        </w:rPr>
        <w:footnoteReference w:id="43"/>
      </w:r>
      <w:r w:rsidR="00DD26A3">
        <w:rPr>
          <w:rFonts w:eastAsia="Calibri" w:cs="Calibri"/>
          <w:sz w:val="24"/>
          <w:szCs w:val="24"/>
          <w:lang w:eastAsia="ar-SA"/>
        </w:rPr>
        <w:t xml:space="preserve">. </w:t>
      </w:r>
      <w:r w:rsidR="00AD5F4D">
        <w:rPr>
          <w:rFonts w:eastAsia="Calibri" w:cs="Calibri"/>
          <w:sz w:val="24"/>
          <w:szCs w:val="24"/>
          <w:lang w:eastAsia="ar-SA"/>
        </w:rPr>
        <w:t xml:space="preserve">À l’inverse, la situation du </w:t>
      </w:r>
      <w:r w:rsidR="00AD5F4D" w:rsidRPr="00AD5F4D">
        <w:rPr>
          <w:rFonts w:eastAsia="Calibri" w:cs="Calibri"/>
          <w:sz w:val="24"/>
          <w:szCs w:val="24"/>
          <w:lang w:eastAsia="ar-SA"/>
        </w:rPr>
        <w:t>« Castrum Ambra »</w:t>
      </w:r>
      <w:r w:rsidR="00AD5F4D">
        <w:rPr>
          <w:rFonts w:eastAsia="Calibri" w:cs="Calibri"/>
          <w:sz w:val="24"/>
          <w:szCs w:val="24"/>
          <w:lang w:eastAsia="ar-SA"/>
        </w:rPr>
        <w:t xml:space="preserve"> interdit, d’après Wiltheim, de le considérer comme un possible campement romain</w:t>
      </w:r>
      <w:r w:rsidR="00AD5F4D">
        <w:rPr>
          <w:rStyle w:val="Appelnotedebasdep"/>
          <w:rFonts w:eastAsia="Calibri" w:cs="Calibri"/>
          <w:sz w:val="24"/>
          <w:szCs w:val="24"/>
          <w:lang w:eastAsia="ar-SA"/>
        </w:rPr>
        <w:footnoteReference w:id="44"/>
      </w:r>
      <w:r w:rsidR="00AD5F4D">
        <w:rPr>
          <w:rFonts w:eastAsia="Calibri" w:cs="Calibri"/>
          <w:sz w:val="24"/>
          <w:szCs w:val="24"/>
          <w:lang w:eastAsia="ar-SA"/>
        </w:rPr>
        <w:t>.</w:t>
      </w:r>
      <w:r w:rsidR="00E04608">
        <w:rPr>
          <w:rFonts w:eastAsia="Calibri" w:cs="Calibri"/>
          <w:sz w:val="24"/>
          <w:szCs w:val="24"/>
          <w:lang w:eastAsia="ar-SA"/>
        </w:rPr>
        <w:t xml:space="preserve"> </w:t>
      </w:r>
    </w:p>
    <w:p w14:paraId="361AB126" w14:textId="5E95719E" w:rsidR="009A0804" w:rsidRDefault="009A0804" w:rsidP="00DD26A3">
      <w:pPr>
        <w:spacing w:after="0" w:line="360" w:lineRule="auto"/>
        <w:jc w:val="both"/>
        <w:rPr>
          <w:rFonts w:eastAsia="Calibri" w:cs="Calibri"/>
          <w:sz w:val="24"/>
          <w:szCs w:val="24"/>
          <w:lang w:eastAsia="ar-SA"/>
        </w:rPr>
      </w:pPr>
      <w:r>
        <w:rPr>
          <w:rFonts w:eastAsia="Calibri" w:cs="Calibri"/>
          <w:sz w:val="24"/>
          <w:szCs w:val="24"/>
          <w:lang w:eastAsia="ar-SA"/>
        </w:rPr>
        <w:tab/>
        <w:t>Alexandre Wiltheim opère donc son recensement des sites et vestiges antiques du duché de Luxembourg à partir de sources très diverses : itinéraires antiques, traditions locales, documents médiévaux, travaux d’érudits modernes, renseignements fournis par ses correspondants, toponymie</w:t>
      </w:r>
      <w:r w:rsidR="00442456">
        <w:rPr>
          <w:rFonts w:eastAsia="Calibri" w:cs="Calibri"/>
          <w:sz w:val="24"/>
          <w:szCs w:val="24"/>
          <w:lang w:eastAsia="ar-SA"/>
        </w:rPr>
        <w:t xml:space="preserve"> et</w:t>
      </w:r>
      <w:r>
        <w:rPr>
          <w:rFonts w:eastAsia="Calibri" w:cs="Calibri"/>
          <w:sz w:val="24"/>
          <w:szCs w:val="24"/>
          <w:lang w:eastAsia="ar-SA"/>
        </w:rPr>
        <w:t xml:space="preserve"> topographie. Cependant, dans l’optique qui est la sienne, ces données doivent impérativement être vérifiées </w:t>
      </w:r>
      <w:r w:rsidR="000F2540">
        <w:rPr>
          <w:rFonts w:eastAsia="Calibri" w:cs="Calibri"/>
          <w:sz w:val="24"/>
          <w:szCs w:val="24"/>
          <w:lang w:eastAsia="ar-SA"/>
        </w:rPr>
        <w:t xml:space="preserve">et validées </w:t>
      </w:r>
      <w:r>
        <w:rPr>
          <w:rFonts w:eastAsia="Calibri" w:cs="Calibri"/>
          <w:sz w:val="24"/>
          <w:szCs w:val="24"/>
          <w:lang w:eastAsia="ar-SA"/>
        </w:rPr>
        <w:t>par</w:t>
      </w:r>
      <w:r w:rsidR="000F2540">
        <w:rPr>
          <w:rFonts w:eastAsia="Calibri" w:cs="Calibri"/>
          <w:sz w:val="24"/>
          <w:szCs w:val="24"/>
          <w:lang w:eastAsia="ar-SA"/>
        </w:rPr>
        <w:t xml:space="preserve"> le biais</w:t>
      </w:r>
      <w:r>
        <w:rPr>
          <w:rFonts w:eastAsia="Calibri" w:cs="Calibri"/>
          <w:sz w:val="24"/>
          <w:szCs w:val="24"/>
          <w:lang w:eastAsia="ar-SA"/>
        </w:rPr>
        <w:t xml:space="preserve"> </w:t>
      </w:r>
      <w:r w:rsidR="00C028DC">
        <w:rPr>
          <w:rFonts w:eastAsia="Calibri" w:cs="Calibri"/>
          <w:sz w:val="24"/>
          <w:szCs w:val="24"/>
          <w:lang w:eastAsia="ar-SA"/>
        </w:rPr>
        <w:t>d’</w:t>
      </w:r>
      <w:r>
        <w:rPr>
          <w:rFonts w:eastAsia="Calibri" w:cs="Calibri"/>
          <w:sz w:val="24"/>
          <w:szCs w:val="24"/>
          <w:lang w:eastAsia="ar-SA"/>
        </w:rPr>
        <w:t xml:space="preserve">une observation </w:t>
      </w:r>
      <w:r w:rsidR="000F2540">
        <w:rPr>
          <w:rFonts w:eastAsia="Calibri" w:cs="Calibri"/>
          <w:sz w:val="24"/>
          <w:szCs w:val="24"/>
          <w:lang w:eastAsia="ar-SA"/>
        </w:rPr>
        <w:t>directe du vestige ou du site repéré</w:t>
      </w:r>
      <w:r>
        <w:rPr>
          <w:rFonts w:eastAsia="Calibri" w:cs="Calibri"/>
          <w:sz w:val="24"/>
          <w:szCs w:val="24"/>
          <w:lang w:eastAsia="ar-SA"/>
        </w:rPr>
        <w:t xml:space="preserve">. </w:t>
      </w:r>
    </w:p>
    <w:p w14:paraId="0F847D3B" w14:textId="6D3EF6FE" w:rsidR="00F15C00" w:rsidRPr="009A0804" w:rsidRDefault="00F15C00" w:rsidP="005C3CB0">
      <w:pPr>
        <w:spacing w:after="0" w:line="360" w:lineRule="auto"/>
        <w:jc w:val="both"/>
        <w:rPr>
          <w:rFonts w:eastAsia="Calibri" w:cs="Calibri"/>
          <w:sz w:val="24"/>
          <w:szCs w:val="24"/>
          <w:lang w:eastAsia="ar-SA"/>
        </w:rPr>
      </w:pPr>
    </w:p>
    <w:p w14:paraId="071E8787" w14:textId="51055F16" w:rsidR="00506346" w:rsidRPr="00501D4D" w:rsidRDefault="00506346" w:rsidP="005C3CB0">
      <w:pPr>
        <w:spacing w:after="0" w:line="360" w:lineRule="auto"/>
        <w:jc w:val="both"/>
        <w:rPr>
          <w:b/>
          <w:i/>
          <w:sz w:val="26"/>
          <w:szCs w:val="26"/>
        </w:rPr>
      </w:pPr>
      <w:r w:rsidRPr="00501D4D">
        <w:rPr>
          <w:b/>
          <w:i/>
          <w:sz w:val="26"/>
          <w:szCs w:val="26"/>
        </w:rPr>
        <w:t>Observer</w:t>
      </w:r>
      <w:r w:rsidR="007B58CB" w:rsidRPr="00501D4D">
        <w:rPr>
          <w:b/>
          <w:i/>
          <w:sz w:val="26"/>
          <w:szCs w:val="26"/>
        </w:rPr>
        <w:t xml:space="preserve"> et décrire</w:t>
      </w:r>
      <w:r w:rsidRPr="00501D4D">
        <w:rPr>
          <w:b/>
          <w:i/>
          <w:sz w:val="26"/>
          <w:szCs w:val="26"/>
        </w:rPr>
        <w:t xml:space="preserve"> les vestiges antiques</w:t>
      </w:r>
    </w:p>
    <w:p w14:paraId="554B8F86" w14:textId="7A00DA7F" w:rsidR="00506346" w:rsidRDefault="00506346" w:rsidP="005C3CB0">
      <w:pPr>
        <w:spacing w:after="0" w:line="360" w:lineRule="auto"/>
        <w:jc w:val="both"/>
        <w:rPr>
          <w:sz w:val="24"/>
          <w:szCs w:val="24"/>
        </w:rPr>
      </w:pPr>
    </w:p>
    <w:p w14:paraId="0DCB322D" w14:textId="335862BD" w:rsidR="007B58CB" w:rsidRDefault="00276C95" w:rsidP="00442456">
      <w:pPr>
        <w:spacing w:after="0" w:line="360" w:lineRule="auto"/>
        <w:ind w:firstLine="360"/>
        <w:jc w:val="both"/>
        <w:rPr>
          <w:rFonts w:eastAsia="Calibri" w:cs="Calibri"/>
          <w:sz w:val="24"/>
          <w:szCs w:val="24"/>
          <w:lang w:eastAsia="ar-SA"/>
        </w:rPr>
      </w:pPr>
      <w:r>
        <w:rPr>
          <w:rFonts w:eastAsia="Calibri" w:cs="Calibri"/>
          <w:sz w:val="24"/>
          <w:szCs w:val="24"/>
          <w:lang w:eastAsia="ar-SA"/>
        </w:rPr>
        <w:t>L’</w:t>
      </w:r>
      <w:r w:rsidR="00442456">
        <w:rPr>
          <w:rFonts w:eastAsia="Calibri" w:cs="Calibri"/>
          <w:sz w:val="24"/>
          <w:szCs w:val="24"/>
          <w:lang w:eastAsia="ar-SA"/>
        </w:rPr>
        <w:t>observation personnelle est également le fondement de son interprétation des structures architecturales et des objets romains mis au jour</w:t>
      </w:r>
      <w:r w:rsidR="000C00E4">
        <w:rPr>
          <w:rStyle w:val="Appelnotedebasdep"/>
          <w:rFonts w:eastAsia="Calibri" w:cs="Calibri"/>
          <w:sz w:val="24"/>
          <w:szCs w:val="24"/>
          <w:lang w:eastAsia="ar-SA"/>
        </w:rPr>
        <w:footnoteReference w:id="45"/>
      </w:r>
      <w:r w:rsidR="00442456">
        <w:rPr>
          <w:rFonts w:eastAsia="Calibri" w:cs="Calibri"/>
          <w:sz w:val="24"/>
          <w:szCs w:val="24"/>
          <w:lang w:eastAsia="ar-SA"/>
        </w:rPr>
        <w:t xml:space="preserve">. Cette pratique était </w:t>
      </w:r>
      <w:r w:rsidR="0034041D">
        <w:rPr>
          <w:rFonts w:eastAsia="Calibri" w:cs="Calibri"/>
          <w:sz w:val="24"/>
          <w:szCs w:val="24"/>
          <w:lang w:eastAsia="ar-SA"/>
        </w:rPr>
        <w:t>pourtant</w:t>
      </w:r>
      <w:r w:rsidR="00442456">
        <w:rPr>
          <w:rFonts w:eastAsia="Calibri" w:cs="Calibri"/>
          <w:sz w:val="24"/>
          <w:szCs w:val="24"/>
          <w:lang w:eastAsia="ar-SA"/>
        </w:rPr>
        <w:t xml:space="preserve"> loin d’être généralisée </w:t>
      </w:r>
      <w:r w:rsidR="0034041D">
        <w:rPr>
          <w:rFonts w:eastAsia="Calibri" w:cs="Calibri"/>
          <w:sz w:val="24"/>
          <w:szCs w:val="24"/>
          <w:lang w:eastAsia="ar-SA"/>
        </w:rPr>
        <w:t xml:space="preserve">à l’époque </w:t>
      </w:r>
      <w:r w:rsidR="00442456">
        <w:rPr>
          <w:rFonts w:eastAsia="Calibri" w:cs="Calibri"/>
          <w:sz w:val="24"/>
          <w:szCs w:val="24"/>
          <w:lang w:eastAsia="ar-SA"/>
        </w:rPr>
        <w:t xml:space="preserve">: à titre d’exemple, l’un des plus grands recueils d’antiquités du </w:t>
      </w:r>
      <w:r w:rsidR="00654B75">
        <w:rPr>
          <w:rFonts w:eastAsia="Calibri" w:cs="Calibri"/>
          <w:sz w:val="24"/>
          <w:szCs w:val="24"/>
          <w:lang w:eastAsia="ar-SA"/>
        </w:rPr>
        <w:t>XVIII</w:t>
      </w:r>
      <w:r w:rsidR="00442456" w:rsidRPr="00442456">
        <w:rPr>
          <w:rFonts w:eastAsia="Calibri" w:cs="Calibri"/>
          <w:sz w:val="24"/>
          <w:szCs w:val="24"/>
          <w:vertAlign w:val="superscript"/>
          <w:lang w:eastAsia="ar-SA"/>
        </w:rPr>
        <w:t>e</w:t>
      </w:r>
      <w:r w:rsidR="00442456">
        <w:rPr>
          <w:rFonts w:eastAsia="Calibri" w:cs="Calibri"/>
          <w:sz w:val="24"/>
          <w:szCs w:val="24"/>
          <w:lang w:eastAsia="ar-SA"/>
        </w:rPr>
        <w:t xml:space="preserve"> siècle, </w:t>
      </w:r>
      <w:r w:rsidR="00442456" w:rsidRPr="00442456">
        <w:rPr>
          <w:rFonts w:eastAsia="Calibri" w:cs="Calibri"/>
          <w:i/>
          <w:sz w:val="24"/>
          <w:szCs w:val="24"/>
          <w:lang w:eastAsia="ar-SA"/>
        </w:rPr>
        <w:t>L’Antiquité expliquée et représentée en figure</w:t>
      </w:r>
      <w:r w:rsidR="00861077">
        <w:rPr>
          <w:rFonts w:eastAsia="Calibri" w:cs="Calibri"/>
          <w:i/>
          <w:sz w:val="24"/>
          <w:szCs w:val="24"/>
          <w:lang w:eastAsia="ar-SA"/>
        </w:rPr>
        <w:t>s</w:t>
      </w:r>
      <w:r w:rsidR="00442456">
        <w:rPr>
          <w:rFonts w:eastAsia="Calibri" w:cs="Calibri"/>
          <w:i/>
          <w:sz w:val="24"/>
          <w:szCs w:val="24"/>
          <w:lang w:eastAsia="ar-SA"/>
        </w:rPr>
        <w:t xml:space="preserve"> </w:t>
      </w:r>
      <w:r w:rsidR="00442456">
        <w:rPr>
          <w:rFonts w:eastAsia="Calibri" w:cs="Calibri"/>
          <w:sz w:val="24"/>
          <w:szCs w:val="24"/>
          <w:lang w:eastAsia="ar-SA"/>
        </w:rPr>
        <w:t xml:space="preserve">de Bernard de Montfaucon (1719), reposait presque intégralement non pas sur </w:t>
      </w:r>
      <w:r w:rsidR="000F2540">
        <w:rPr>
          <w:rFonts w:eastAsia="Calibri" w:cs="Calibri"/>
          <w:sz w:val="24"/>
          <w:szCs w:val="24"/>
          <w:lang w:eastAsia="ar-SA"/>
        </w:rPr>
        <w:t>l</w:t>
      </w:r>
      <w:r w:rsidR="00442456">
        <w:rPr>
          <w:rFonts w:eastAsia="Calibri" w:cs="Calibri"/>
          <w:sz w:val="24"/>
          <w:szCs w:val="24"/>
          <w:lang w:eastAsia="ar-SA"/>
        </w:rPr>
        <w:t xml:space="preserve">es observations directes de son auteur </w:t>
      </w:r>
      <w:r w:rsidR="000F2540">
        <w:rPr>
          <w:rFonts w:eastAsia="Calibri" w:cs="Calibri"/>
          <w:sz w:val="24"/>
          <w:szCs w:val="24"/>
          <w:lang w:eastAsia="ar-SA"/>
        </w:rPr>
        <w:t xml:space="preserve">mais </w:t>
      </w:r>
      <w:r w:rsidR="00442456">
        <w:rPr>
          <w:rFonts w:eastAsia="Calibri" w:cs="Calibri"/>
          <w:sz w:val="24"/>
          <w:szCs w:val="24"/>
          <w:lang w:eastAsia="ar-SA"/>
        </w:rPr>
        <w:t>sur des dessins qu’on lui avait communiqués</w:t>
      </w:r>
      <w:r w:rsidR="00442456">
        <w:rPr>
          <w:rStyle w:val="Appelnotedebasdep"/>
          <w:rFonts w:eastAsia="Calibri" w:cs="Calibri"/>
          <w:sz w:val="24"/>
          <w:szCs w:val="24"/>
          <w:lang w:eastAsia="ar-SA"/>
        </w:rPr>
        <w:footnoteReference w:id="46"/>
      </w:r>
      <w:r w:rsidR="00442456">
        <w:rPr>
          <w:rFonts w:eastAsia="Calibri" w:cs="Calibri"/>
          <w:sz w:val="24"/>
          <w:szCs w:val="24"/>
          <w:lang w:eastAsia="ar-SA"/>
        </w:rPr>
        <w:t xml:space="preserve">. </w:t>
      </w:r>
    </w:p>
    <w:p w14:paraId="6188A7A8" w14:textId="6EE55BC8" w:rsidR="00442456" w:rsidRDefault="00276C95" w:rsidP="00D022E4">
      <w:pPr>
        <w:spacing w:after="0" w:line="360" w:lineRule="auto"/>
        <w:ind w:firstLine="360"/>
        <w:jc w:val="both"/>
        <w:rPr>
          <w:rFonts w:eastAsia="Calibri" w:cs="Calibri"/>
          <w:sz w:val="24"/>
          <w:szCs w:val="24"/>
          <w:lang w:eastAsia="ar-SA"/>
        </w:rPr>
      </w:pPr>
      <w:r>
        <w:rPr>
          <w:rFonts w:eastAsia="Calibri" w:cs="Calibri"/>
          <w:sz w:val="24"/>
          <w:szCs w:val="24"/>
          <w:lang w:eastAsia="ar-SA"/>
        </w:rPr>
        <w:t>Alexandre Wiltheim, quant à lui,</w:t>
      </w:r>
      <w:r w:rsidR="00D022E4">
        <w:rPr>
          <w:rFonts w:eastAsia="Calibri" w:cs="Calibri"/>
          <w:sz w:val="24"/>
          <w:szCs w:val="24"/>
          <w:lang w:eastAsia="ar-SA"/>
        </w:rPr>
        <w:t xml:space="preserve"> indique à de multiples reprises </w:t>
      </w:r>
      <w:r>
        <w:rPr>
          <w:rFonts w:eastAsia="Calibri" w:cs="Calibri"/>
          <w:sz w:val="24"/>
          <w:szCs w:val="24"/>
          <w:lang w:eastAsia="ar-SA"/>
        </w:rPr>
        <w:t xml:space="preserve">avoir </w:t>
      </w:r>
      <w:r w:rsidR="0042110A">
        <w:rPr>
          <w:rFonts w:eastAsia="Calibri" w:cs="Calibri"/>
          <w:sz w:val="24"/>
          <w:szCs w:val="24"/>
          <w:lang w:eastAsia="ar-SA"/>
        </w:rPr>
        <w:t xml:space="preserve">personnellement </w:t>
      </w:r>
      <w:r>
        <w:rPr>
          <w:rFonts w:eastAsia="Calibri" w:cs="Calibri"/>
          <w:sz w:val="24"/>
          <w:szCs w:val="24"/>
          <w:lang w:eastAsia="ar-SA"/>
        </w:rPr>
        <w:t>« observé avec soin » les vestiges dont il fait mention</w:t>
      </w:r>
      <w:r w:rsidR="00C07209">
        <w:rPr>
          <w:rFonts w:eastAsia="Calibri" w:cs="Calibri"/>
          <w:sz w:val="24"/>
          <w:szCs w:val="24"/>
          <w:lang w:eastAsia="ar-SA"/>
        </w:rPr>
        <w:t xml:space="preserve"> (</w:t>
      </w:r>
      <w:r w:rsidR="00C07209" w:rsidRPr="002C008A">
        <w:rPr>
          <w:rFonts w:eastAsia="Calibri" w:cs="Calibri"/>
          <w:i/>
          <w:sz w:val="24"/>
          <w:szCs w:val="24"/>
          <w:lang w:eastAsia="ar-SA"/>
        </w:rPr>
        <w:t>omnia cum cura contemplatus sum</w:t>
      </w:r>
      <w:r w:rsidR="00C07209">
        <w:rPr>
          <w:rFonts w:eastAsia="Calibri" w:cs="Calibri"/>
          <w:i/>
          <w:sz w:val="24"/>
          <w:szCs w:val="24"/>
          <w:lang w:eastAsia="ar-SA"/>
        </w:rPr>
        <w:t> </w:t>
      </w:r>
      <w:r w:rsidR="00C07209" w:rsidRPr="0013709E">
        <w:rPr>
          <w:rFonts w:eastAsia="Calibri" w:cs="Calibri"/>
          <w:sz w:val="24"/>
          <w:szCs w:val="24"/>
          <w:lang w:eastAsia="ar-SA"/>
        </w:rPr>
        <w:t>;</w:t>
      </w:r>
      <w:r w:rsidR="00C07209">
        <w:rPr>
          <w:rFonts w:eastAsia="Calibri" w:cs="Calibri"/>
          <w:i/>
          <w:sz w:val="24"/>
          <w:szCs w:val="24"/>
          <w:lang w:eastAsia="ar-SA"/>
        </w:rPr>
        <w:t xml:space="preserve"> multumque inspexi </w:t>
      </w:r>
      <w:r w:rsidR="00C07209" w:rsidRPr="0013709E">
        <w:rPr>
          <w:rFonts w:eastAsia="Calibri" w:cs="Calibri"/>
          <w:sz w:val="24"/>
          <w:szCs w:val="24"/>
          <w:lang w:eastAsia="ar-SA"/>
        </w:rPr>
        <w:t>; etc.</w:t>
      </w:r>
      <w:r w:rsidR="00C07209">
        <w:rPr>
          <w:rFonts w:eastAsia="Calibri" w:cs="Calibri"/>
          <w:sz w:val="24"/>
          <w:szCs w:val="24"/>
          <w:lang w:eastAsia="ar-SA"/>
        </w:rPr>
        <w:t>)</w:t>
      </w:r>
      <w:r w:rsidR="00960E23">
        <w:rPr>
          <w:rStyle w:val="Appelnotedebasdep"/>
          <w:rFonts w:eastAsia="Calibri" w:cs="Calibri"/>
          <w:sz w:val="24"/>
          <w:szCs w:val="24"/>
          <w:lang w:eastAsia="ar-SA"/>
        </w:rPr>
        <w:footnoteReference w:id="47"/>
      </w:r>
      <w:r w:rsidR="00654B75">
        <w:rPr>
          <w:rFonts w:eastAsia="Calibri" w:cs="Calibri"/>
          <w:sz w:val="24"/>
          <w:szCs w:val="24"/>
          <w:lang w:eastAsia="ar-SA"/>
        </w:rPr>
        <w:t xml:space="preserve"> et</w:t>
      </w:r>
      <w:r w:rsidR="001721A4">
        <w:rPr>
          <w:rFonts w:eastAsia="Calibri" w:cs="Calibri"/>
          <w:sz w:val="24"/>
          <w:szCs w:val="24"/>
          <w:lang w:eastAsia="ar-SA"/>
        </w:rPr>
        <w:t xml:space="preserve"> </w:t>
      </w:r>
      <w:r w:rsidR="00D022E4">
        <w:rPr>
          <w:rFonts w:eastAsia="Calibri" w:cs="Calibri"/>
          <w:sz w:val="24"/>
          <w:szCs w:val="24"/>
          <w:lang w:eastAsia="ar-SA"/>
        </w:rPr>
        <w:t>semble</w:t>
      </w:r>
      <w:r w:rsidR="00CF3DE8">
        <w:rPr>
          <w:rFonts w:eastAsia="Calibri" w:cs="Calibri"/>
          <w:sz w:val="24"/>
          <w:szCs w:val="24"/>
          <w:lang w:eastAsia="ar-SA"/>
        </w:rPr>
        <w:t xml:space="preserve"> </w:t>
      </w:r>
      <w:r w:rsidR="001721A4">
        <w:rPr>
          <w:rFonts w:eastAsia="Calibri" w:cs="Calibri"/>
          <w:sz w:val="24"/>
          <w:szCs w:val="24"/>
          <w:lang w:eastAsia="ar-SA"/>
        </w:rPr>
        <w:t>estime</w:t>
      </w:r>
      <w:r w:rsidR="00D022E4">
        <w:rPr>
          <w:rFonts w:eastAsia="Calibri" w:cs="Calibri"/>
          <w:sz w:val="24"/>
          <w:szCs w:val="24"/>
          <w:lang w:eastAsia="ar-SA"/>
        </w:rPr>
        <w:t>r</w:t>
      </w:r>
      <w:r w:rsidR="001721A4">
        <w:rPr>
          <w:rFonts w:eastAsia="Calibri" w:cs="Calibri"/>
          <w:sz w:val="24"/>
          <w:szCs w:val="24"/>
          <w:lang w:eastAsia="ar-SA"/>
        </w:rPr>
        <w:t xml:space="preserve"> que cette observation lui confère une certaine forme d’expertise en matière d’interprétation de monuments antiques</w:t>
      </w:r>
      <w:r w:rsidR="00D022E4">
        <w:rPr>
          <w:rStyle w:val="Appelnotedebasdep"/>
          <w:rFonts w:eastAsia="Calibri" w:cs="Calibri"/>
          <w:sz w:val="24"/>
          <w:szCs w:val="24"/>
          <w:lang w:eastAsia="ar-SA"/>
        </w:rPr>
        <w:footnoteReference w:id="48"/>
      </w:r>
      <w:r w:rsidR="001721A4">
        <w:rPr>
          <w:rFonts w:eastAsia="Calibri" w:cs="Calibri"/>
          <w:sz w:val="24"/>
          <w:szCs w:val="24"/>
          <w:lang w:eastAsia="ar-SA"/>
        </w:rPr>
        <w:t>. Dans certains cas, l</w:t>
      </w:r>
      <w:r>
        <w:rPr>
          <w:rFonts w:eastAsia="Calibri" w:cs="Calibri"/>
          <w:sz w:val="24"/>
          <w:szCs w:val="24"/>
          <w:lang w:eastAsia="ar-SA"/>
        </w:rPr>
        <w:t>’observation peut</w:t>
      </w:r>
      <w:r w:rsidR="001721A4">
        <w:rPr>
          <w:rFonts w:eastAsia="Calibri" w:cs="Calibri"/>
          <w:sz w:val="24"/>
          <w:szCs w:val="24"/>
          <w:lang w:eastAsia="ar-SA"/>
        </w:rPr>
        <w:t xml:space="preserve"> i</w:t>
      </w:r>
      <w:r>
        <w:rPr>
          <w:rFonts w:eastAsia="Calibri" w:cs="Calibri"/>
          <w:sz w:val="24"/>
          <w:szCs w:val="24"/>
          <w:lang w:eastAsia="ar-SA"/>
        </w:rPr>
        <w:t xml:space="preserve">mpliquer </w:t>
      </w:r>
      <w:r w:rsidR="00960E23">
        <w:rPr>
          <w:rFonts w:eastAsia="Calibri" w:cs="Calibri"/>
          <w:sz w:val="24"/>
          <w:szCs w:val="24"/>
          <w:lang w:eastAsia="ar-SA"/>
        </w:rPr>
        <w:t>d’autres sens que la vue : le jésuite luxembourgeois</w:t>
      </w:r>
      <w:r w:rsidR="00C07209">
        <w:rPr>
          <w:rFonts w:eastAsia="Calibri" w:cs="Calibri"/>
          <w:sz w:val="24"/>
          <w:szCs w:val="24"/>
          <w:lang w:eastAsia="ar-SA"/>
        </w:rPr>
        <w:t xml:space="preserve"> décide ainsi de « palper » le monument d’Igel</w:t>
      </w:r>
      <w:r w:rsidR="00960E23">
        <w:rPr>
          <w:rFonts w:eastAsia="Calibri" w:cs="Calibri"/>
          <w:sz w:val="24"/>
          <w:szCs w:val="24"/>
          <w:lang w:eastAsia="ar-SA"/>
        </w:rPr>
        <w:t xml:space="preserve"> dont les reliefs étaient fortement endommagés, pour essayer de mieux comprendre les scènes qui y étaient représentées</w:t>
      </w:r>
      <w:r w:rsidR="00B84513">
        <w:rPr>
          <w:rFonts w:eastAsia="Calibri" w:cs="Calibri"/>
          <w:sz w:val="24"/>
          <w:szCs w:val="24"/>
          <w:lang w:eastAsia="ar-SA"/>
        </w:rPr>
        <w:t xml:space="preserve"> (</w:t>
      </w:r>
      <w:r w:rsidR="00B84513" w:rsidRPr="00B84513">
        <w:rPr>
          <w:rFonts w:eastAsia="Calibri" w:cs="Calibri"/>
          <w:i/>
          <w:sz w:val="24"/>
          <w:szCs w:val="24"/>
          <w:lang w:eastAsia="ar-SA"/>
        </w:rPr>
        <w:t>non jam oculis spectandus, sed</w:t>
      </w:r>
      <w:r w:rsidR="00B84513">
        <w:rPr>
          <w:rFonts w:eastAsia="Calibri" w:cs="Calibri"/>
          <w:sz w:val="24"/>
          <w:szCs w:val="24"/>
          <w:lang w:eastAsia="ar-SA"/>
        </w:rPr>
        <w:t xml:space="preserve"> </w:t>
      </w:r>
      <w:r w:rsidR="00B84513" w:rsidRPr="00B84513">
        <w:rPr>
          <w:rFonts w:eastAsia="Calibri" w:cs="Calibri"/>
          <w:i/>
          <w:sz w:val="24"/>
          <w:szCs w:val="24"/>
          <w:lang w:eastAsia="ar-SA"/>
        </w:rPr>
        <w:t>pene manibus palpandus</w:t>
      </w:r>
      <w:r w:rsidR="00B84513">
        <w:rPr>
          <w:rFonts w:eastAsia="Calibri" w:cs="Calibri"/>
          <w:sz w:val="24"/>
          <w:szCs w:val="24"/>
          <w:lang w:eastAsia="ar-SA"/>
        </w:rPr>
        <w:t>)</w:t>
      </w:r>
      <w:r w:rsidR="00B84513">
        <w:rPr>
          <w:rStyle w:val="Appelnotedebasdep"/>
          <w:rFonts w:eastAsia="Calibri" w:cs="Calibri"/>
          <w:sz w:val="24"/>
          <w:szCs w:val="24"/>
          <w:lang w:eastAsia="ar-SA"/>
        </w:rPr>
        <w:footnoteReference w:id="49"/>
      </w:r>
      <w:r w:rsidR="00960E23">
        <w:rPr>
          <w:rFonts w:eastAsia="Calibri" w:cs="Calibri"/>
          <w:sz w:val="24"/>
          <w:szCs w:val="24"/>
          <w:lang w:eastAsia="ar-SA"/>
        </w:rPr>
        <w:t>. Il indique également « avoir beaucoup foulé » par lui-même la voie romaine découverte à Niederanven</w:t>
      </w:r>
      <w:r w:rsidR="00960E23">
        <w:rPr>
          <w:rStyle w:val="Appelnotedebasdep"/>
          <w:sz w:val="24"/>
          <w:szCs w:val="24"/>
        </w:rPr>
        <w:footnoteReference w:id="50"/>
      </w:r>
      <w:r w:rsidR="00960E23">
        <w:rPr>
          <w:rFonts w:eastAsia="Calibri" w:cs="Calibri"/>
          <w:sz w:val="24"/>
          <w:szCs w:val="24"/>
          <w:lang w:eastAsia="ar-SA"/>
        </w:rPr>
        <w:t>.</w:t>
      </w:r>
      <w:r w:rsidR="003F75AE">
        <w:rPr>
          <w:rFonts w:eastAsia="Calibri" w:cs="Calibri"/>
          <w:sz w:val="24"/>
          <w:szCs w:val="24"/>
          <w:lang w:eastAsia="ar-SA"/>
        </w:rPr>
        <w:t xml:space="preserve"> Lorsqu’il n’a pas eu la possibilité </w:t>
      </w:r>
      <w:r w:rsidR="0034041D">
        <w:rPr>
          <w:rFonts w:eastAsia="Calibri" w:cs="Calibri"/>
          <w:sz w:val="24"/>
          <w:szCs w:val="24"/>
          <w:lang w:eastAsia="ar-SA"/>
        </w:rPr>
        <w:t>d’observer de visu un vestige</w:t>
      </w:r>
      <w:r w:rsidR="003F75AE">
        <w:rPr>
          <w:rFonts w:eastAsia="Calibri" w:cs="Calibri"/>
          <w:sz w:val="24"/>
          <w:szCs w:val="24"/>
          <w:lang w:eastAsia="ar-SA"/>
        </w:rPr>
        <w:t xml:space="preserve">, par exemple parce qu’il a été détruit, </w:t>
      </w:r>
      <w:r w:rsidR="00D022E4">
        <w:rPr>
          <w:rFonts w:eastAsia="Calibri" w:cs="Calibri"/>
          <w:sz w:val="24"/>
          <w:szCs w:val="24"/>
          <w:lang w:eastAsia="ar-SA"/>
        </w:rPr>
        <w:t xml:space="preserve">Alexandre </w:t>
      </w:r>
      <w:r w:rsidR="003F75AE">
        <w:rPr>
          <w:rFonts w:eastAsia="Calibri" w:cs="Calibri"/>
          <w:sz w:val="24"/>
          <w:szCs w:val="24"/>
          <w:lang w:eastAsia="ar-SA"/>
        </w:rPr>
        <w:t>Wiltheim le signale au lecteur : c’est notamment le cas d’un</w:t>
      </w:r>
      <w:r w:rsidR="007957A4">
        <w:rPr>
          <w:rFonts w:eastAsia="Calibri" w:cs="Calibri"/>
          <w:sz w:val="24"/>
          <w:szCs w:val="24"/>
          <w:lang w:eastAsia="ar-SA"/>
        </w:rPr>
        <w:t xml:space="preserve">e </w:t>
      </w:r>
      <w:r w:rsidR="00D022E4">
        <w:rPr>
          <w:rFonts w:eastAsia="Calibri" w:cs="Calibri"/>
          <w:sz w:val="24"/>
          <w:szCs w:val="24"/>
          <w:lang w:eastAsia="ar-SA"/>
        </w:rPr>
        <w:t xml:space="preserve">inscription ayant disparu mais dont le souvenir </w:t>
      </w:r>
      <w:r w:rsidR="000D2A6F">
        <w:rPr>
          <w:rFonts w:eastAsia="Calibri" w:cs="Calibri"/>
          <w:sz w:val="24"/>
          <w:szCs w:val="24"/>
          <w:lang w:eastAsia="ar-SA"/>
        </w:rPr>
        <w:t xml:space="preserve">avait été </w:t>
      </w:r>
      <w:r w:rsidR="00D022E4">
        <w:rPr>
          <w:rFonts w:eastAsia="Calibri" w:cs="Calibri"/>
          <w:sz w:val="24"/>
          <w:szCs w:val="24"/>
          <w:lang w:eastAsia="ar-SA"/>
        </w:rPr>
        <w:t>préservé par une transcription</w:t>
      </w:r>
      <w:r w:rsidR="00284FFC">
        <w:rPr>
          <w:rStyle w:val="Appelnotedebasdep"/>
          <w:rFonts w:eastAsia="Calibri" w:cs="Calibri"/>
          <w:sz w:val="24"/>
          <w:szCs w:val="24"/>
          <w:lang w:eastAsia="ar-SA"/>
        </w:rPr>
        <w:footnoteReference w:id="51"/>
      </w:r>
      <w:r w:rsidR="00D022E4">
        <w:rPr>
          <w:rFonts w:eastAsia="Calibri" w:cs="Calibri"/>
          <w:sz w:val="24"/>
          <w:szCs w:val="24"/>
          <w:lang w:eastAsia="ar-SA"/>
        </w:rPr>
        <w:t xml:space="preserve"> de </w:t>
      </w:r>
      <w:r w:rsidR="00284FFC">
        <w:rPr>
          <w:rFonts w:eastAsia="Calibri" w:cs="Calibri"/>
          <w:sz w:val="24"/>
          <w:szCs w:val="24"/>
          <w:lang w:eastAsia="ar-SA"/>
        </w:rPr>
        <w:t xml:space="preserve">son petit-cousin </w:t>
      </w:r>
      <w:r w:rsidR="00D022E4">
        <w:rPr>
          <w:rFonts w:eastAsia="Calibri" w:cs="Calibri"/>
          <w:sz w:val="24"/>
          <w:szCs w:val="24"/>
          <w:lang w:eastAsia="ar-SA"/>
        </w:rPr>
        <w:t>Christophe Wiltheim</w:t>
      </w:r>
      <w:r w:rsidR="00284FFC">
        <w:rPr>
          <w:rFonts w:eastAsia="Calibri" w:cs="Calibri"/>
          <w:sz w:val="24"/>
          <w:szCs w:val="24"/>
          <w:lang w:eastAsia="ar-SA"/>
        </w:rPr>
        <w:t>, également jésuite</w:t>
      </w:r>
      <w:r w:rsidR="00F32867">
        <w:rPr>
          <w:rStyle w:val="Appelnotedebasdep"/>
          <w:rFonts w:eastAsia="Calibri" w:cs="Calibri"/>
          <w:sz w:val="24"/>
          <w:szCs w:val="24"/>
          <w:lang w:eastAsia="ar-SA"/>
        </w:rPr>
        <w:footnoteReference w:id="52"/>
      </w:r>
      <w:r w:rsidR="00F32867">
        <w:rPr>
          <w:rFonts w:eastAsia="Calibri" w:cs="Calibri"/>
          <w:sz w:val="24"/>
          <w:szCs w:val="24"/>
          <w:lang w:eastAsia="ar-SA"/>
        </w:rPr>
        <w:t>.</w:t>
      </w:r>
    </w:p>
    <w:p w14:paraId="67E173ED" w14:textId="2EE8C704" w:rsidR="006C2965" w:rsidRDefault="00D022E4" w:rsidP="006C2965">
      <w:pPr>
        <w:spacing w:after="0" w:line="360" w:lineRule="auto"/>
        <w:ind w:firstLine="360"/>
        <w:jc w:val="both"/>
        <w:rPr>
          <w:rFonts w:eastAsia="Calibri" w:cs="Calibri"/>
          <w:sz w:val="24"/>
          <w:szCs w:val="24"/>
          <w:lang w:eastAsia="ar-SA"/>
        </w:rPr>
      </w:pPr>
      <w:r>
        <w:rPr>
          <w:rFonts w:eastAsia="Calibri" w:cs="Calibri"/>
          <w:sz w:val="24"/>
          <w:szCs w:val="24"/>
          <w:lang w:eastAsia="ar-SA"/>
        </w:rPr>
        <w:t>Cette pratique le conduit à fournir de longues et minutieuses descriptions des vestiges découverts. Le monument funéraire d’Igel avait par exemple déjà</w:t>
      </w:r>
      <w:r w:rsidR="00AF57E4">
        <w:rPr>
          <w:rFonts w:eastAsia="Calibri" w:cs="Calibri"/>
          <w:sz w:val="24"/>
          <w:szCs w:val="24"/>
          <w:lang w:eastAsia="ar-SA"/>
        </w:rPr>
        <w:t xml:space="preserve"> été</w:t>
      </w:r>
      <w:r>
        <w:rPr>
          <w:rFonts w:eastAsia="Calibri" w:cs="Calibri"/>
          <w:sz w:val="24"/>
          <w:szCs w:val="24"/>
          <w:lang w:eastAsia="ar-SA"/>
        </w:rPr>
        <w:t xml:space="preserve"> étudié par le célèbre cartographe et antiquaire</w:t>
      </w:r>
      <w:r w:rsidR="00F95B45">
        <w:rPr>
          <w:rFonts w:eastAsia="Calibri" w:cs="Calibri"/>
          <w:sz w:val="24"/>
          <w:szCs w:val="24"/>
          <w:lang w:eastAsia="ar-SA"/>
        </w:rPr>
        <w:t xml:space="preserve"> anversois</w:t>
      </w:r>
      <w:r>
        <w:rPr>
          <w:rFonts w:eastAsia="Calibri" w:cs="Calibri"/>
          <w:sz w:val="24"/>
          <w:szCs w:val="24"/>
          <w:lang w:eastAsia="ar-SA"/>
        </w:rPr>
        <w:t xml:space="preserve"> Abraham Ortelius, en 1575, lors de son pa</w:t>
      </w:r>
      <w:r w:rsidR="00AC0CF1">
        <w:rPr>
          <w:rFonts w:eastAsia="Calibri" w:cs="Calibri"/>
          <w:sz w:val="24"/>
          <w:szCs w:val="24"/>
          <w:lang w:eastAsia="ar-SA"/>
        </w:rPr>
        <w:t>ssage dans la région. S</w:t>
      </w:r>
      <w:r w:rsidR="00654B75">
        <w:rPr>
          <w:rFonts w:eastAsia="Calibri" w:cs="Calibri"/>
          <w:sz w:val="24"/>
          <w:szCs w:val="24"/>
          <w:lang w:eastAsia="ar-SA"/>
        </w:rPr>
        <w:t>i Ortelius</w:t>
      </w:r>
      <w:r w:rsidR="00AC0CF1">
        <w:rPr>
          <w:rFonts w:eastAsia="Calibri" w:cs="Calibri"/>
          <w:sz w:val="24"/>
          <w:szCs w:val="24"/>
          <w:lang w:eastAsia="ar-SA"/>
        </w:rPr>
        <w:t xml:space="preserve"> a</w:t>
      </w:r>
      <w:r w:rsidR="00654B75">
        <w:rPr>
          <w:rFonts w:eastAsia="Calibri" w:cs="Calibri"/>
          <w:sz w:val="24"/>
          <w:szCs w:val="24"/>
          <w:lang w:eastAsia="ar-SA"/>
        </w:rPr>
        <w:t>vait</w:t>
      </w:r>
      <w:r w:rsidR="006B1467">
        <w:rPr>
          <w:rFonts w:eastAsia="Calibri" w:cs="Calibri"/>
          <w:sz w:val="24"/>
          <w:szCs w:val="24"/>
          <w:lang w:eastAsia="ar-SA"/>
        </w:rPr>
        <w:t xml:space="preserve"> parfaitement</w:t>
      </w:r>
      <w:r>
        <w:rPr>
          <w:rFonts w:eastAsia="Calibri" w:cs="Calibri"/>
          <w:sz w:val="24"/>
          <w:szCs w:val="24"/>
          <w:lang w:eastAsia="ar-SA"/>
        </w:rPr>
        <w:t xml:space="preserve"> compris qu’il s’agissait d’un</w:t>
      </w:r>
      <w:r w:rsidR="006B1467">
        <w:rPr>
          <w:rFonts w:eastAsia="Calibri" w:cs="Calibri"/>
          <w:sz w:val="24"/>
          <w:szCs w:val="24"/>
          <w:lang w:eastAsia="ar-SA"/>
        </w:rPr>
        <w:t xml:space="preserve"> mausolée familial et non d’un monument commémorant le mariage de</w:t>
      </w:r>
      <w:r w:rsidR="00D437D5">
        <w:rPr>
          <w:rFonts w:eastAsia="Calibri" w:cs="Calibri"/>
          <w:sz w:val="24"/>
          <w:szCs w:val="24"/>
          <w:lang w:eastAsia="ar-SA"/>
        </w:rPr>
        <w:t>s parents de</w:t>
      </w:r>
      <w:r w:rsidR="006B1467">
        <w:rPr>
          <w:rFonts w:eastAsia="Calibri" w:cs="Calibri"/>
          <w:sz w:val="24"/>
          <w:szCs w:val="24"/>
          <w:lang w:eastAsia="ar-SA"/>
        </w:rPr>
        <w:t xml:space="preserve"> l’empereur Constantin</w:t>
      </w:r>
      <w:r w:rsidR="00D437D5">
        <w:rPr>
          <w:rFonts w:eastAsia="Calibri" w:cs="Calibri"/>
          <w:sz w:val="24"/>
          <w:szCs w:val="24"/>
          <w:lang w:eastAsia="ar-SA"/>
        </w:rPr>
        <w:t>, Constance Chlore et Hélène</w:t>
      </w:r>
      <w:r w:rsidR="00124936">
        <w:rPr>
          <w:rFonts w:eastAsia="Calibri" w:cs="Calibri"/>
          <w:sz w:val="24"/>
          <w:szCs w:val="24"/>
          <w:lang w:eastAsia="ar-SA"/>
        </w:rPr>
        <w:t xml:space="preserve"> (</w:t>
      </w:r>
      <w:r w:rsidR="006B1467">
        <w:rPr>
          <w:rFonts w:eastAsia="Calibri" w:cs="Calibri"/>
          <w:sz w:val="24"/>
          <w:szCs w:val="24"/>
          <w:lang w:eastAsia="ar-SA"/>
        </w:rPr>
        <w:t xml:space="preserve">comme certaines traditions le </w:t>
      </w:r>
      <w:r w:rsidR="00124936">
        <w:rPr>
          <w:rFonts w:eastAsia="Calibri" w:cs="Calibri"/>
          <w:sz w:val="24"/>
          <w:szCs w:val="24"/>
          <w:lang w:eastAsia="ar-SA"/>
        </w:rPr>
        <w:t>prétendaient</w:t>
      </w:r>
      <w:r w:rsidR="004B0C86">
        <w:rPr>
          <w:rStyle w:val="Appelnotedebasdep"/>
          <w:rFonts w:eastAsia="Calibri" w:cs="Calibri"/>
          <w:sz w:val="24"/>
          <w:szCs w:val="24"/>
          <w:lang w:eastAsia="ar-SA"/>
        </w:rPr>
        <w:footnoteReference w:id="53"/>
      </w:r>
      <w:r w:rsidR="00124936">
        <w:rPr>
          <w:rFonts w:eastAsia="Calibri" w:cs="Calibri"/>
          <w:sz w:val="24"/>
          <w:szCs w:val="24"/>
          <w:lang w:eastAsia="ar-SA"/>
        </w:rPr>
        <w:t>)</w:t>
      </w:r>
      <w:r w:rsidR="006B1467">
        <w:rPr>
          <w:rFonts w:eastAsia="Calibri" w:cs="Calibri"/>
          <w:sz w:val="24"/>
          <w:szCs w:val="24"/>
          <w:lang w:eastAsia="ar-SA"/>
        </w:rPr>
        <w:t>, l’érudit anversois</w:t>
      </w:r>
      <w:r w:rsidR="00AC0CF1">
        <w:rPr>
          <w:rFonts w:eastAsia="Calibri" w:cs="Calibri"/>
          <w:sz w:val="24"/>
          <w:szCs w:val="24"/>
          <w:lang w:eastAsia="ar-SA"/>
        </w:rPr>
        <w:t xml:space="preserve"> ne lui a</w:t>
      </w:r>
      <w:r w:rsidR="001F5240">
        <w:rPr>
          <w:rFonts w:eastAsia="Calibri" w:cs="Calibri"/>
          <w:sz w:val="24"/>
          <w:szCs w:val="24"/>
          <w:lang w:eastAsia="ar-SA"/>
        </w:rPr>
        <w:t>vait</w:t>
      </w:r>
      <w:r w:rsidR="00171672">
        <w:rPr>
          <w:rFonts w:eastAsia="Calibri" w:cs="Calibri"/>
          <w:sz w:val="24"/>
          <w:szCs w:val="24"/>
          <w:lang w:eastAsia="ar-SA"/>
        </w:rPr>
        <w:t xml:space="preserve"> consacré que deux pages</w:t>
      </w:r>
      <w:r w:rsidR="00CA641B">
        <w:rPr>
          <w:rFonts w:eastAsia="Calibri" w:cs="Calibri"/>
          <w:sz w:val="24"/>
          <w:szCs w:val="24"/>
          <w:lang w:eastAsia="ar-SA"/>
        </w:rPr>
        <w:t xml:space="preserve"> de son récit</w:t>
      </w:r>
      <w:r w:rsidR="00124936">
        <w:rPr>
          <w:rFonts w:eastAsia="Calibri" w:cs="Calibri"/>
          <w:sz w:val="24"/>
          <w:szCs w:val="24"/>
          <w:lang w:eastAsia="ar-SA"/>
        </w:rPr>
        <w:t>,</w:t>
      </w:r>
      <w:r w:rsidR="00171672">
        <w:rPr>
          <w:rFonts w:eastAsia="Calibri" w:cs="Calibri"/>
          <w:sz w:val="24"/>
          <w:szCs w:val="24"/>
          <w:lang w:eastAsia="ar-SA"/>
        </w:rPr>
        <w:t xml:space="preserve"> </w:t>
      </w:r>
      <w:r w:rsidR="006B1467">
        <w:rPr>
          <w:rFonts w:eastAsia="Calibri" w:cs="Calibri"/>
          <w:sz w:val="24"/>
          <w:szCs w:val="24"/>
          <w:lang w:eastAsia="ar-SA"/>
        </w:rPr>
        <w:t>s’</w:t>
      </w:r>
      <w:r w:rsidR="00CA641B">
        <w:rPr>
          <w:rFonts w:eastAsia="Calibri" w:cs="Calibri"/>
          <w:sz w:val="24"/>
          <w:szCs w:val="24"/>
          <w:lang w:eastAsia="ar-SA"/>
        </w:rPr>
        <w:t>intéress</w:t>
      </w:r>
      <w:r w:rsidR="00124936">
        <w:rPr>
          <w:rFonts w:eastAsia="Calibri" w:cs="Calibri"/>
          <w:sz w:val="24"/>
          <w:szCs w:val="24"/>
          <w:lang w:eastAsia="ar-SA"/>
        </w:rPr>
        <w:t>ant</w:t>
      </w:r>
      <w:r w:rsidR="00CA641B">
        <w:rPr>
          <w:rFonts w:eastAsia="Calibri" w:cs="Calibri"/>
          <w:sz w:val="24"/>
          <w:szCs w:val="24"/>
          <w:lang w:eastAsia="ar-SA"/>
        </w:rPr>
        <w:t xml:space="preserve"> surtout</w:t>
      </w:r>
      <w:r w:rsidR="006B1467">
        <w:rPr>
          <w:rFonts w:eastAsia="Calibri" w:cs="Calibri"/>
          <w:sz w:val="24"/>
          <w:szCs w:val="24"/>
          <w:lang w:eastAsia="ar-SA"/>
        </w:rPr>
        <w:t xml:space="preserve"> à </w:t>
      </w:r>
      <w:r w:rsidR="001F5240">
        <w:rPr>
          <w:rFonts w:eastAsia="Calibri" w:cs="Calibri"/>
          <w:sz w:val="24"/>
          <w:szCs w:val="24"/>
          <w:lang w:eastAsia="ar-SA"/>
        </w:rPr>
        <w:t>l’</w:t>
      </w:r>
      <w:r w:rsidR="006B1467">
        <w:rPr>
          <w:rFonts w:eastAsia="Calibri" w:cs="Calibri"/>
          <w:sz w:val="24"/>
          <w:szCs w:val="24"/>
          <w:lang w:eastAsia="ar-SA"/>
        </w:rPr>
        <w:t xml:space="preserve">inscription </w:t>
      </w:r>
      <w:r w:rsidR="001F5240">
        <w:rPr>
          <w:rFonts w:eastAsia="Calibri" w:cs="Calibri"/>
          <w:sz w:val="24"/>
          <w:szCs w:val="24"/>
          <w:lang w:eastAsia="ar-SA"/>
        </w:rPr>
        <w:t xml:space="preserve">figurant sur le monument </w:t>
      </w:r>
      <w:r w:rsidR="006B1467">
        <w:rPr>
          <w:rFonts w:eastAsia="Calibri" w:cs="Calibri"/>
          <w:sz w:val="24"/>
          <w:szCs w:val="24"/>
          <w:lang w:eastAsia="ar-SA"/>
        </w:rPr>
        <w:t xml:space="preserve">et </w:t>
      </w:r>
      <w:r w:rsidR="009327FC">
        <w:rPr>
          <w:rFonts w:eastAsia="Calibri" w:cs="Calibri"/>
          <w:sz w:val="24"/>
          <w:szCs w:val="24"/>
          <w:lang w:eastAsia="ar-SA"/>
        </w:rPr>
        <w:t>ne</w:t>
      </w:r>
      <w:r w:rsidR="006B1467">
        <w:rPr>
          <w:rFonts w:eastAsia="Calibri" w:cs="Calibri"/>
          <w:sz w:val="24"/>
          <w:szCs w:val="24"/>
          <w:lang w:eastAsia="ar-SA"/>
        </w:rPr>
        <w:t xml:space="preserve"> fourni</w:t>
      </w:r>
      <w:r w:rsidR="00124936">
        <w:rPr>
          <w:rFonts w:eastAsia="Calibri" w:cs="Calibri"/>
          <w:sz w:val="24"/>
          <w:szCs w:val="24"/>
          <w:lang w:eastAsia="ar-SA"/>
        </w:rPr>
        <w:t>ssan</w:t>
      </w:r>
      <w:r w:rsidR="00CA641B">
        <w:rPr>
          <w:rFonts w:eastAsia="Calibri" w:cs="Calibri"/>
          <w:sz w:val="24"/>
          <w:szCs w:val="24"/>
          <w:lang w:eastAsia="ar-SA"/>
        </w:rPr>
        <w:t>t</w:t>
      </w:r>
      <w:r w:rsidR="006B1467">
        <w:rPr>
          <w:rFonts w:eastAsia="Calibri" w:cs="Calibri"/>
          <w:sz w:val="24"/>
          <w:szCs w:val="24"/>
          <w:lang w:eastAsia="ar-SA"/>
        </w:rPr>
        <w:t xml:space="preserve"> qu’une description sommaire de</w:t>
      </w:r>
      <w:r w:rsidR="00CA641B">
        <w:rPr>
          <w:rFonts w:eastAsia="Calibri" w:cs="Calibri"/>
          <w:sz w:val="24"/>
          <w:szCs w:val="24"/>
          <w:lang w:eastAsia="ar-SA"/>
        </w:rPr>
        <w:t xml:space="preserve"> se</w:t>
      </w:r>
      <w:r w:rsidR="006B1467">
        <w:rPr>
          <w:rFonts w:eastAsia="Calibri" w:cs="Calibri"/>
          <w:sz w:val="24"/>
          <w:szCs w:val="24"/>
          <w:lang w:eastAsia="ar-SA"/>
        </w:rPr>
        <w:t>s bas-reliefs</w:t>
      </w:r>
      <w:r w:rsidR="006B1467">
        <w:rPr>
          <w:rStyle w:val="Appelnotedebasdep"/>
          <w:rFonts w:eastAsia="Calibri" w:cs="Calibri"/>
          <w:sz w:val="24"/>
          <w:szCs w:val="24"/>
          <w:lang w:eastAsia="ar-SA"/>
        </w:rPr>
        <w:footnoteReference w:id="54"/>
      </w:r>
      <w:r w:rsidR="006B1467">
        <w:rPr>
          <w:rFonts w:eastAsia="Calibri" w:cs="Calibri"/>
          <w:sz w:val="24"/>
          <w:szCs w:val="24"/>
          <w:lang w:eastAsia="ar-SA"/>
        </w:rPr>
        <w:t xml:space="preserve">. Wiltheim </w:t>
      </w:r>
      <w:r w:rsidR="00171672">
        <w:rPr>
          <w:rFonts w:eastAsia="Calibri" w:cs="Calibri"/>
          <w:sz w:val="24"/>
          <w:szCs w:val="24"/>
          <w:lang w:eastAsia="ar-SA"/>
        </w:rPr>
        <w:t>traite</w:t>
      </w:r>
      <w:r w:rsidR="006B1467">
        <w:rPr>
          <w:rFonts w:eastAsia="Calibri" w:cs="Calibri"/>
          <w:sz w:val="24"/>
          <w:szCs w:val="24"/>
          <w:lang w:eastAsia="ar-SA"/>
        </w:rPr>
        <w:t xml:space="preserve">, quant à lui, </w:t>
      </w:r>
      <w:r w:rsidR="00171672">
        <w:rPr>
          <w:rFonts w:eastAsia="Calibri" w:cs="Calibri"/>
          <w:sz w:val="24"/>
          <w:szCs w:val="24"/>
          <w:lang w:eastAsia="ar-SA"/>
        </w:rPr>
        <w:t>du monument dans </w:t>
      </w:r>
      <w:r w:rsidR="006B1467">
        <w:rPr>
          <w:rFonts w:eastAsia="Calibri" w:cs="Calibri"/>
          <w:sz w:val="24"/>
          <w:szCs w:val="24"/>
          <w:lang w:eastAsia="ar-SA"/>
        </w:rPr>
        <w:t>plusieurs chapitres</w:t>
      </w:r>
      <w:r w:rsidR="00171672">
        <w:rPr>
          <w:rFonts w:eastAsia="Calibri" w:cs="Calibri"/>
          <w:sz w:val="24"/>
          <w:szCs w:val="24"/>
          <w:lang w:eastAsia="ar-SA"/>
        </w:rPr>
        <w:t xml:space="preserve"> successifs</w:t>
      </w:r>
      <w:r w:rsidR="006B1467">
        <w:rPr>
          <w:rFonts w:eastAsia="Calibri" w:cs="Calibri"/>
          <w:sz w:val="24"/>
          <w:szCs w:val="24"/>
          <w:lang w:eastAsia="ar-SA"/>
        </w:rPr>
        <w:t xml:space="preserve"> de son manuscrit</w:t>
      </w:r>
      <w:r w:rsidR="00CA641B">
        <w:rPr>
          <w:rFonts w:eastAsia="Calibri" w:cs="Calibri"/>
          <w:sz w:val="24"/>
          <w:szCs w:val="24"/>
          <w:lang w:eastAsia="ar-SA"/>
        </w:rPr>
        <w:t xml:space="preserve"> </w:t>
      </w:r>
      <w:r w:rsidR="006B1467">
        <w:rPr>
          <w:rFonts w:eastAsia="Calibri" w:cs="Calibri"/>
          <w:sz w:val="24"/>
          <w:szCs w:val="24"/>
          <w:lang w:eastAsia="ar-SA"/>
        </w:rPr>
        <w:t xml:space="preserve">: chacune de ses quatre faces est étudiée et chaque relief est décrit et interprété. Là où Ortelius se contentait prudemment de constater qu’il s’agissait d’un mausolée lié à la famille des Secundini, Wiltheim tente d’interpréter l’iconographie du </w:t>
      </w:r>
      <w:r w:rsidR="005F043E">
        <w:rPr>
          <w:rFonts w:eastAsia="Calibri" w:cs="Calibri"/>
          <w:sz w:val="24"/>
          <w:szCs w:val="24"/>
          <w:lang w:eastAsia="ar-SA"/>
        </w:rPr>
        <w:t>vestige</w:t>
      </w:r>
      <w:r w:rsidR="006B1467">
        <w:rPr>
          <w:rFonts w:eastAsia="Calibri" w:cs="Calibri"/>
          <w:sz w:val="24"/>
          <w:szCs w:val="24"/>
          <w:lang w:eastAsia="ar-SA"/>
        </w:rPr>
        <w:t xml:space="preserve"> pour </w:t>
      </w:r>
      <w:r w:rsidR="00CA641B">
        <w:rPr>
          <w:rFonts w:eastAsia="Calibri" w:cs="Calibri"/>
          <w:sz w:val="24"/>
          <w:szCs w:val="24"/>
          <w:lang w:eastAsia="ar-SA"/>
        </w:rPr>
        <w:t>déterminer les liens de parenté</w:t>
      </w:r>
      <w:r w:rsidR="006B1467">
        <w:rPr>
          <w:rFonts w:eastAsia="Calibri" w:cs="Calibri"/>
          <w:sz w:val="24"/>
          <w:szCs w:val="24"/>
          <w:lang w:eastAsia="ar-SA"/>
        </w:rPr>
        <w:t xml:space="preserve"> entre les personnes citées dans l’inscription et le domaine dans lequel la famille pouvait avoir été active</w:t>
      </w:r>
      <w:r w:rsidR="00710E2F">
        <w:rPr>
          <w:rStyle w:val="Appelnotedebasdep"/>
          <w:rFonts w:eastAsia="Calibri" w:cs="Calibri"/>
          <w:sz w:val="24"/>
          <w:szCs w:val="24"/>
          <w:lang w:eastAsia="ar-SA"/>
        </w:rPr>
        <w:footnoteReference w:id="55"/>
      </w:r>
      <w:r w:rsidR="005F043E">
        <w:rPr>
          <w:rFonts w:eastAsia="Calibri" w:cs="Calibri"/>
          <w:sz w:val="24"/>
          <w:szCs w:val="24"/>
          <w:lang w:eastAsia="ar-SA"/>
        </w:rPr>
        <w:t>.</w:t>
      </w:r>
      <w:r w:rsidR="006B1467">
        <w:rPr>
          <w:rFonts w:eastAsia="Calibri" w:cs="Calibri"/>
          <w:sz w:val="24"/>
          <w:szCs w:val="24"/>
          <w:lang w:eastAsia="ar-SA"/>
        </w:rPr>
        <w:t xml:space="preserve"> </w:t>
      </w:r>
      <w:r w:rsidR="005F043E">
        <w:rPr>
          <w:rFonts w:eastAsia="Calibri" w:cs="Calibri"/>
          <w:sz w:val="24"/>
          <w:szCs w:val="24"/>
          <w:lang w:eastAsia="ar-SA"/>
        </w:rPr>
        <w:t>I</w:t>
      </w:r>
      <w:r w:rsidR="006B1467">
        <w:rPr>
          <w:rFonts w:eastAsia="Calibri" w:cs="Calibri"/>
          <w:sz w:val="24"/>
          <w:szCs w:val="24"/>
          <w:lang w:eastAsia="ar-SA"/>
        </w:rPr>
        <w:t>l estime qu’il s’agissait d’</w:t>
      </w:r>
      <w:r w:rsidR="006B1467" w:rsidRPr="009B64BC">
        <w:rPr>
          <w:rFonts w:eastAsia="Calibri" w:cs="Calibri"/>
          <w:i/>
          <w:sz w:val="24"/>
          <w:szCs w:val="24"/>
          <w:lang w:eastAsia="ar-SA"/>
        </w:rPr>
        <w:t>agentes in rebus</w:t>
      </w:r>
      <w:r w:rsidR="006B1467">
        <w:rPr>
          <w:rFonts w:eastAsia="Calibri" w:cs="Calibri"/>
          <w:sz w:val="24"/>
          <w:szCs w:val="24"/>
          <w:lang w:eastAsia="ar-SA"/>
        </w:rPr>
        <w:t>, agents impériaux notamment chargés de contrôler les routes et les postes impériales</w:t>
      </w:r>
      <w:r w:rsidR="009B64BC">
        <w:rPr>
          <w:rStyle w:val="Appelnotedebasdep"/>
          <w:rFonts w:eastAsia="Calibri" w:cs="Calibri"/>
          <w:sz w:val="24"/>
          <w:szCs w:val="24"/>
          <w:lang w:eastAsia="ar-SA"/>
        </w:rPr>
        <w:footnoteReference w:id="56"/>
      </w:r>
      <w:r w:rsidR="006B1467">
        <w:rPr>
          <w:rFonts w:eastAsia="Calibri" w:cs="Calibri"/>
          <w:sz w:val="24"/>
          <w:szCs w:val="24"/>
          <w:lang w:eastAsia="ar-SA"/>
        </w:rPr>
        <w:t>.</w:t>
      </w:r>
      <w:r w:rsidR="009B64BC">
        <w:rPr>
          <w:rFonts w:eastAsia="Calibri" w:cs="Calibri"/>
          <w:sz w:val="24"/>
          <w:szCs w:val="24"/>
          <w:lang w:eastAsia="ar-SA"/>
        </w:rPr>
        <w:t xml:space="preserve"> Si sa conclusion s’avère erronée, elle n’en repose pas moins sur une</w:t>
      </w:r>
      <w:r w:rsidR="005F043E">
        <w:rPr>
          <w:rFonts w:eastAsia="Calibri" w:cs="Calibri"/>
          <w:sz w:val="24"/>
          <w:szCs w:val="24"/>
          <w:lang w:eastAsia="ar-SA"/>
        </w:rPr>
        <w:t xml:space="preserve"> méthode cohérente : l’</w:t>
      </w:r>
      <w:r w:rsidR="006D2303">
        <w:rPr>
          <w:rFonts w:eastAsia="Calibri" w:cs="Calibri"/>
          <w:sz w:val="24"/>
          <w:szCs w:val="24"/>
          <w:lang w:eastAsia="ar-SA"/>
        </w:rPr>
        <w:t>étude</w:t>
      </w:r>
      <w:r w:rsidR="009B64BC">
        <w:rPr>
          <w:rFonts w:eastAsia="Calibri" w:cs="Calibri"/>
          <w:sz w:val="24"/>
          <w:szCs w:val="24"/>
          <w:lang w:eastAsia="ar-SA"/>
        </w:rPr>
        <w:t xml:space="preserve"> de l’iconographie couplée à une analyse </w:t>
      </w:r>
      <w:r w:rsidR="005F043E">
        <w:rPr>
          <w:rFonts w:eastAsia="Calibri" w:cs="Calibri"/>
          <w:sz w:val="24"/>
          <w:szCs w:val="24"/>
          <w:lang w:eastAsia="ar-SA"/>
        </w:rPr>
        <w:t>épigraphique</w:t>
      </w:r>
      <w:r w:rsidR="009B64BC">
        <w:rPr>
          <w:rFonts w:eastAsia="Calibri" w:cs="Calibri"/>
          <w:sz w:val="24"/>
          <w:szCs w:val="24"/>
          <w:lang w:eastAsia="ar-SA"/>
        </w:rPr>
        <w:t xml:space="preserve">. </w:t>
      </w:r>
      <w:r w:rsidR="00773847">
        <w:rPr>
          <w:rFonts w:eastAsia="Calibri" w:cs="Calibri"/>
          <w:sz w:val="24"/>
          <w:szCs w:val="24"/>
          <w:lang w:eastAsia="ar-SA"/>
        </w:rPr>
        <w:t xml:space="preserve">Wiltheim se montre tout aussi précis lorsqu’il s’agit de décrire des objets </w:t>
      </w:r>
      <w:r w:rsidR="00F95B45">
        <w:rPr>
          <w:rFonts w:eastAsia="Calibri" w:cs="Calibri"/>
          <w:sz w:val="24"/>
          <w:szCs w:val="24"/>
          <w:lang w:eastAsia="ar-SA"/>
        </w:rPr>
        <w:t>du quotidien</w:t>
      </w:r>
      <w:r w:rsidR="00871793">
        <w:rPr>
          <w:rFonts w:eastAsia="Calibri" w:cs="Calibri"/>
          <w:sz w:val="24"/>
          <w:szCs w:val="24"/>
          <w:lang w:eastAsia="ar-SA"/>
        </w:rPr>
        <w:t> : il n’est ainsi pas rare qu’il renseigne les dimensions ou la contenance des vases, plats et autres ustensiles, en plus de fournir des détails sur leur forme et sur le matériau dans lequel ils furent confectionnés</w:t>
      </w:r>
      <w:r w:rsidR="00871793">
        <w:rPr>
          <w:rStyle w:val="Appelnotedebasdep"/>
          <w:rFonts w:eastAsia="Calibri" w:cs="Calibri"/>
          <w:sz w:val="24"/>
          <w:szCs w:val="24"/>
          <w:lang w:eastAsia="ar-SA"/>
        </w:rPr>
        <w:footnoteReference w:id="57"/>
      </w:r>
      <w:r w:rsidR="00871793">
        <w:rPr>
          <w:rFonts w:eastAsia="Calibri" w:cs="Calibri"/>
          <w:sz w:val="24"/>
          <w:szCs w:val="24"/>
          <w:lang w:eastAsia="ar-SA"/>
        </w:rPr>
        <w:t>.</w:t>
      </w:r>
      <w:r w:rsidR="00AD1A39">
        <w:rPr>
          <w:rFonts w:eastAsia="Calibri" w:cs="Calibri"/>
          <w:sz w:val="24"/>
          <w:szCs w:val="24"/>
          <w:lang w:eastAsia="ar-SA"/>
        </w:rPr>
        <w:t xml:space="preserve"> Cette observation minutieuse pousse l’érudit à établir</w:t>
      </w:r>
      <w:r w:rsidR="006B7D4E">
        <w:rPr>
          <w:rFonts w:eastAsia="Calibri" w:cs="Calibri"/>
          <w:sz w:val="24"/>
          <w:szCs w:val="24"/>
          <w:lang w:eastAsia="ar-SA"/>
        </w:rPr>
        <w:t>,</w:t>
      </w:r>
      <w:r w:rsidR="00AD1A39">
        <w:rPr>
          <w:rFonts w:eastAsia="Calibri" w:cs="Calibri"/>
          <w:sz w:val="24"/>
          <w:szCs w:val="24"/>
          <w:lang w:eastAsia="ar-SA"/>
        </w:rPr>
        <w:t xml:space="preserve"> </w:t>
      </w:r>
      <w:r w:rsidR="006B7D4E">
        <w:rPr>
          <w:rFonts w:eastAsia="Calibri" w:cs="Calibri"/>
          <w:sz w:val="24"/>
          <w:szCs w:val="24"/>
          <w:lang w:eastAsia="ar-SA"/>
        </w:rPr>
        <w:t xml:space="preserve">en quelques occasions, </w:t>
      </w:r>
      <w:r w:rsidR="00AD1A39">
        <w:rPr>
          <w:rFonts w:eastAsia="Calibri" w:cs="Calibri"/>
          <w:sz w:val="24"/>
          <w:szCs w:val="24"/>
          <w:lang w:eastAsia="ar-SA"/>
        </w:rPr>
        <w:t>des comparaisons et des rapprochements entre des vestiges observés en différents endroits. C’est par exemple le cas lorsqu’il estime que les tuiles et briques découvertes à Altrier sont similaires à celles mises au jour à Dalheim, ce qui constitue l’un des l’éléments qui l’incitent à penser que les deux sites étaient des campements militaires romains</w:t>
      </w:r>
      <w:r w:rsidR="00CA641B">
        <w:rPr>
          <w:rFonts w:eastAsia="Calibri" w:cs="Calibri"/>
          <w:sz w:val="24"/>
          <w:szCs w:val="24"/>
          <w:lang w:eastAsia="ar-SA"/>
        </w:rPr>
        <w:t>.</w:t>
      </w:r>
      <w:r w:rsidR="00E420BA">
        <w:rPr>
          <w:rFonts w:eastAsia="Calibri" w:cs="Calibri"/>
          <w:sz w:val="24"/>
          <w:szCs w:val="24"/>
          <w:lang w:eastAsia="ar-SA"/>
        </w:rPr>
        <w:t xml:space="preserve"> </w:t>
      </w:r>
      <w:r w:rsidR="006C2965">
        <w:rPr>
          <w:rFonts w:eastAsia="Calibri" w:cs="Calibri"/>
          <w:sz w:val="24"/>
          <w:szCs w:val="24"/>
          <w:lang w:eastAsia="ar-SA"/>
        </w:rPr>
        <w:t xml:space="preserve">Il suit le même raisonnement lors de son étude de plusieurs </w:t>
      </w:r>
      <w:r w:rsidR="006C2965" w:rsidRPr="006C2965">
        <w:rPr>
          <w:rFonts w:eastAsia="Calibri" w:cs="Calibri"/>
          <w:sz w:val="24"/>
          <w:szCs w:val="24"/>
          <w:lang w:eastAsia="ar-SA"/>
        </w:rPr>
        <w:t>bas-reliefs endommagés</w:t>
      </w:r>
      <w:r w:rsidR="006C2965">
        <w:rPr>
          <w:rFonts w:eastAsia="Calibri" w:cs="Calibri"/>
          <w:sz w:val="24"/>
          <w:szCs w:val="24"/>
          <w:lang w:eastAsia="ar-SA"/>
        </w:rPr>
        <w:t>,</w:t>
      </w:r>
      <w:r w:rsidR="006C2965" w:rsidRPr="006C2965">
        <w:rPr>
          <w:rFonts w:eastAsia="Calibri" w:cs="Calibri"/>
          <w:sz w:val="24"/>
          <w:szCs w:val="24"/>
          <w:lang w:eastAsia="ar-SA"/>
        </w:rPr>
        <w:t xml:space="preserve"> insérés dans les murs de l’église de Waldbillig</w:t>
      </w:r>
      <w:r w:rsidR="006C2965">
        <w:rPr>
          <w:rFonts w:eastAsia="Calibri" w:cs="Calibri"/>
          <w:sz w:val="24"/>
          <w:szCs w:val="24"/>
          <w:lang w:eastAsia="ar-SA"/>
        </w:rPr>
        <w:t xml:space="preserve"> : il considère qu’ils sont semblables aux </w:t>
      </w:r>
      <w:r w:rsidR="006C2965" w:rsidRPr="006C2965">
        <w:rPr>
          <w:rFonts w:eastAsia="Calibri" w:cs="Calibri"/>
          <w:sz w:val="24"/>
          <w:szCs w:val="24"/>
          <w:lang w:eastAsia="ar-SA"/>
        </w:rPr>
        <w:t xml:space="preserve">représentations iconographiques </w:t>
      </w:r>
      <w:r w:rsidR="006C2965">
        <w:rPr>
          <w:rFonts w:eastAsia="Calibri" w:cs="Calibri"/>
          <w:sz w:val="24"/>
          <w:szCs w:val="24"/>
          <w:lang w:eastAsia="ar-SA"/>
        </w:rPr>
        <w:t>figurant sur le</w:t>
      </w:r>
      <w:r w:rsidR="006C2965" w:rsidRPr="006C2965">
        <w:rPr>
          <w:rFonts w:eastAsia="Calibri" w:cs="Calibri"/>
          <w:sz w:val="24"/>
          <w:szCs w:val="24"/>
          <w:lang w:eastAsia="ar-SA"/>
        </w:rPr>
        <w:t xml:space="preserve"> monument d’Igel</w:t>
      </w:r>
      <w:r w:rsidR="006C2965">
        <w:rPr>
          <w:rFonts w:eastAsia="Calibri" w:cs="Calibri"/>
          <w:sz w:val="24"/>
          <w:szCs w:val="24"/>
          <w:lang w:eastAsia="ar-SA"/>
        </w:rPr>
        <w:t xml:space="preserve"> et il en déduit qu’ils </w:t>
      </w:r>
      <w:r w:rsidR="006C2965" w:rsidRPr="006C2965">
        <w:rPr>
          <w:rFonts w:eastAsia="Calibri" w:cs="Calibri"/>
          <w:sz w:val="24"/>
          <w:szCs w:val="24"/>
          <w:lang w:eastAsia="ar-SA"/>
        </w:rPr>
        <w:t>provenaient probablement, eux aussi, d’un mausolée</w:t>
      </w:r>
      <w:r w:rsidR="000E24EF">
        <w:rPr>
          <w:rFonts w:eastAsia="Calibri" w:cs="Calibri"/>
          <w:sz w:val="24"/>
          <w:szCs w:val="24"/>
          <w:lang w:eastAsia="ar-SA"/>
        </w:rPr>
        <w:t xml:space="preserve"> romain</w:t>
      </w:r>
      <w:r w:rsidR="006C2965" w:rsidRPr="006C2965">
        <w:rPr>
          <w:rStyle w:val="Appelnotedebasdep"/>
          <w:rFonts w:eastAsia="Calibri" w:cs="Calibri"/>
          <w:sz w:val="24"/>
          <w:szCs w:val="24"/>
          <w:lang w:eastAsia="ar-SA"/>
        </w:rPr>
        <w:footnoteReference w:id="58"/>
      </w:r>
      <w:r w:rsidR="006C2965" w:rsidRPr="006C2965">
        <w:rPr>
          <w:rFonts w:eastAsia="Calibri" w:cs="Calibri"/>
          <w:sz w:val="24"/>
          <w:szCs w:val="24"/>
          <w:lang w:eastAsia="ar-SA"/>
        </w:rPr>
        <w:t>.</w:t>
      </w:r>
    </w:p>
    <w:p w14:paraId="712E6969" w14:textId="6B6958B0" w:rsidR="00F14935" w:rsidRDefault="002D67EF" w:rsidP="006C2965">
      <w:pPr>
        <w:spacing w:after="0" w:line="360" w:lineRule="auto"/>
        <w:ind w:firstLine="360"/>
        <w:jc w:val="both"/>
        <w:rPr>
          <w:rFonts w:eastAsia="Calibri" w:cs="Calibri"/>
          <w:sz w:val="24"/>
          <w:szCs w:val="24"/>
          <w:lang w:eastAsia="ar-SA"/>
        </w:rPr>
      </w:pPr>
      <w:r>
        <w:rPr>
          <w:rFonts w:eastAsia="Calibri" w:cs="Calibri"/>
          <w:sz w:val="24"/>
          <w:szCs w:val="24"/>
          <w:lang w:eastAsia="ar-SA"/>
        </w:rPr>
        <w:t>Cette observation personnelle p</w:t>
      </w:r>
      <w:r w:rsidR="00D861E3">
        <w:rPr>
          <w:rFonts w:eastAsia="Calibri" w:cs="Calibri"/>
          <w:sz w:val="24"/>
          <w:szCs w:val="24"/>
          <w:lang w:eastAsia="ar-SA"/>
        </w:rPr>
        <w:t>ouvai</w:t>
      </w:r>
      <w:r>
        <w:rPr>
          <w:rFonts w:eastAsia="Calibri" w:cs="Calibri"/>
          <w:sz w:val="24"/>
          <w:szCs w:val="24"/>
          <w:lang w:eastAsia="ar-SA"/>
        </w:rPr>
        <w:t>t, dans certains cas, être opérée depuis le collège jésuite de Lux</w:t>
      </w:r>
      <w:r w:rsidR="005D3382">
        <w:rPr>
          <w:rFonts w:eastAsia="Calibri" w:cs="Calibri"/>
          <w:sz w:val="24"/>
          <w:szCs w:val="24"/>
          <w:lang w:eastAsia="ar-SA"/>
        </w:rPr>
        <w:t>embourg où résidait</w:t>
      </w:r>
      <w:r>
        <w:rPr>
          <w:rFonts w:eastAsia="Calibri" w:cs="Calibri"/>
          <w:sz w:val="24"/>
          <w:szCs w:val="24"/>
          <w:lang w:eastAsia="ar-SA"/>
        </w:rPr>
        <w:t xml:space="preserve"> Alexandre Wiltheim. Les </w:t>
      </w:r>
      <w:r w:rsidR="005F1944">
        <w:rPr>
          <w:rFonts w:eastAsia="Calibri" w:cs="Calibri"/>
          <w:sz w:val="24"/>
          <w:szCs w:val="24"/>
          <w:lang w:eastAsia="ar-SA"/>
        </w:rPr>
        <w:t>j</w:t>
      </w:r>
      <w:r>
        <w:rPr>
          <w:rFonts w:eastAsia="Calibri" w:cs="Calibri"/>
          <w:sz w:val="24"/>
          <w:szCs w:val="24"/>
          <w:lang w:eastAsia="ar-SA"/>
        </w:rPr>
        <w:t xml:space="preserve">ésuites, en partie sous son impulsion, avaient en effet amassé un nombre considérable de vestiges romains qu’ils </w:t>
      </w:r>
      <w:r w:rsidR="00D861E3">
        <w:rPr>
          <w:rFonts w:eastAsia="Calibri" w:cs="Calibri"/>
          <w:sz w:val="24"/>
          <w:szCs w:val="24"/>
          <w:lang w:eastAsia="ar-SA"/>
        </w:rPr>
        <w:t>exposaient soit dans leur bibliothèque, soit dans leurs jardins</w:t>
      </w:r>
      <w:r w:rsidR="00D861E3">
        <w:rPr>
          <w:rStyle w:val="Appelnotedebasdep"/>
          <w:rFonts w:eastAsia="Calibri" w:cs="Calibri"/>
          <w:sz w:val="24"/>
          <w:szCs w:val="24"/>
          <w:lang w:eastAsia="ar-SA"/>
        </w:rPr>
        <w:footnoteReference w:id="59"/>
      </w:r>
      <w:r w:rsidR="00420BBF">
        <w:rPr>
          <w:rFonts w:eastAsia="Calibri" w:cs="Calibri"/>
          <w:sz w:val="24"/>
          <w:szCs w:val="24"/>
          <w:lang w:eastAsia="ar-SA"/>
        </w:rPr>
        <w:t>. Cet usage, relativement courant</w:t>
      </w:r>
      <w:r w:rsidR="00D861E3">
        <w:rPr>
          <w:rFonts w:eastAsia="Calibri" w:cs="Calibri"/>
          <w:sz w:val="24"/>
          <w:szCs w:val="24"/>
          <w:lang w:eastAsia="ar-SA"/>
        </w:rPr>
        <w:t xml:space="preserve"> au sein de la Compagnie</w:t>
      </w:r>
      <w:r w:rsidR="00557A8D">
        <w:rPr>
          <w:rFonts w:eastAsia="Calibri" w:cs="Calibri"/>
          <w:sz w:val="24"/>
          <w:szCs w:val="24"/>
          <w:lang w:eastAsia="ar-SA"/>
        </w:rPr>
        <w:t>,</w:t>
      </w:r>
      <w:r w:rsidR="00D861E3">
        <w:rPr>
          <w:rFonts w:eastAsia="Calibri" w:cs="Calibri"/>
          <w:sz w:val="24"/>
          <w:szCs w:val="24"/>
          <w:lang w:eastAsia="ar-SA"/>
        </w:rPr>
        <w:t xml:space="preserve"> comme l’attestent les pratiques semblables des </w:t>
      </w:r>
      <w:r w:rsidR="00511AC8">
        <w:rPr>
          <w:rFonts w:eastAsia="Calibri" w:cs="Calibri"/>
          <w:sz w:val="24"/>
          <w:szCs w:val="24"/>
          <w:lang w:eastAsia="ar-SA"/>
        </w:rPr>
        <w:t>j</w:t>
      </w:r>
      <w:r w:rsidR="00D861E3">
        <w:rPr>
          <w:rFonts w:eastAsia="Calibri" w:cs="Calibri"/>
          <w:sz w:val="24"/>
          <w:szCs w:val="24"/>
          <w:lang w:eastAsia="ar-SA"/>
        </w:rPr>
        <w:t xml:space="preserve">ésuites romains et colonais, a probablement considérablement facilité les recherches de </w:t>
      </w:r>
      <w:r w:rsidR="00F14935">
        <w:rPr>
          <w:rFonts w:eastAsia="Calibri" w:cs="Calibri"/>
          <w:sz w:val="24"/>
          <w:szCs w:val="24"/>
          <w:lang w:eastAsia="ar-SA"/>
        </w:rPr>
        <w:t>l’antiquaire luxembourgeois</w:t>
      </w:r>
      <w:r w:rsidR="00D861E3">
        <w:rPr>
          <w:rStyle w:val="Appelnotedebasdep"/>
          <w:rFonts w:eastAsia="Calibri" w:cs="Calibri"/>
          <w:sz w:val="24"/>
          <w:szCs w:val="24"/>
          <w:lang w:eastAsia="ar-SA"/>
        </w:rPr>
        <w:footnoteReference w:id="60"/>
      </w:r>
      <w:r w:rsidR="00D861E3">
        <w:rPr>
          <w:rFonts w:eastAsia="Calibri" w:cs="Calibri"/>
          <w:sz w:val="24"/>
          <w:szCs w:val="24"/>
          <w:lang w:eastAsia="ar-SA"/>
        </w:rPr>
        <w:t xml:space="preserve">. </w:t>
      </w:r>
      <w:r w:rsidR="00F14935">
        <w:rPr>
          <w:rFonts w:eastAsia="Calibri" w:cs="Calibri"/>
          <w:sz w:val="24"/>
          <w:szCs w:val="24"/>
          <w:lang w:eastAsia="ar-SA"/>
        </w:rPr>
        <w:t>D’autres vestiges sont étu</w:t>
      </w:r>
      <w:r w:rsidR="00AC0CF1">
        <w:rPr>
          <w:rFonts w:eastAsia="Calibri" w:cs="Calibri"/>
          <w:sz w:val="24"/>
          <w:szCs w:val="24"/>
          <w:lang w:eastAsia="ar-SA"/>
        </w:rPr>
        <w:t>diés sur le terrain</w:t>
      </w:r>
      <w:r w:rsidR="00F14935">
        <w:rPr>
          <w:rFonts w:eastAsia="Calibri" w:cs="Calibri"/>
          <w:sz w:val="24"/>
          <w:szCs w:val="24"/>
          <w:lang w:eastAsia="ar-SA"/>
        </w:rPr>
        <w:t xml:space="preserve">, Wiltheim n’hésitant pas à se déplacer pour les </w:t>
      </w:r>
      <w:r w:rsidR="00557A8D">
        <w:rPr>
          <w:rFonts w:eastAsia="Calibri" w:cs="Calibri"/>
          <w:sz w:val="24"/>
          <w:szCs w:val="24"/>
          <w:lang w:eastAsia="ar-SA"/>
        </w:rPr>
        <w:t>analyser</w:t>
      </w:r>
      <w:r w:rsidR="00F14935">
        <w:rPr>
          <w:rFonts w:eastAsia="Calibri" w:cs="Calibri"/>
          <w:sz w:val="24"/>
          <w:szCs w:val="24"/>
          <w:lang w:eastAsia="ar-SA"/>
        </w:rPr>
        <w:t xml:space="preserve"> dans leur contex</w:t>
      </w:r>
      <w:r w:rsidR="0076363D">
        <w:rPr>
          <w:rFonts w:eastAsia="Calibri" w:cs="Calibri"/>
          <w:sz w:val="24"/>
          <w:szCs w:val="24"/>
          <w:lang w:eastAsia="ar-SA"/>
        </w:rPr>
        <w:t>te</w:t>
      </w:r>
      <w:r w:rsidR="00F14935">
        <w:rPr>
          <w:rFonts w:eastAsia="Calibri" w:cs="Calibri"/>
          <w:sz w:val="24"/>
          <w:szCs w:val="24"/>
          <w:lang w:eastAsia="ar-SA"/>
        </w:rPr>
        <w:t xml:space="preserve">. Ces déplacements lui permettent non seulement de relever des éléments de topographie, comme nous l’avons vu, mais aussi </w:t>
      </w:r>
      <w:r w:rsidR="00420BBF">
        <w:rPr>
          <w:rFonts w:eastAsia="Calibri" w:cs="Calibri"/>
          <w:sz w:val="24"/>
          <w:szCs w:val="24"/>
          <w:lang w:eastAsia="ar-SA"/>
        </w:rPr>
        <w:t>d’observer</w:t>
      </w:r>
      <w:r w:rsidR="00A50ADA">
        <w:rPr>
          <w:rFonts w:eastAsia="Calibri" w:cs="Calibri"/>
          <w:sz w:val="24"/>
          <w:szCs w:val="24"/>
          <w:lang w:eastAsia="ar-SA"/>
        </w:rPr>
        <w:t xml:space="preserve"> la situation de certains vestiges </w:t>
      </w:r>
      <w:r w:rsidR="008D5CFB">
        <w:rPr>
          <w:rFonts w:eastAsia="Calibri" w:cs="Calibri"/>
          <w:sz w:val="24"/>
          <w:szCs w:val="24"/>
          <w:lang w:eastAsia="ar-SA"/>
        </w:rPr>
        <w:t>par rapport à d’autres</w:t>
      </w:r>
      <w:r w:rsidR="00A50ADA">
        <w:rPr>
          <w:rStyle w:val="Appelnotedebasdep"/>
          <w:rFonts w:eastAsia="Calibri" w:cs="Calibri"/>
          <w:sz w:val="24"/>
          <w:szCs w:val="24"/>
          <w:lang w:eastAsia="ar-SA"/>
        </w:rPr>
        <w:footnoteReference w:id="61"/>
      </w:r>
      <w:r w:rsidR="00A50ADA">
        <w:rPr>
          <w:rFonts w:eastAsia="Calibri" w:cs="Calibri"/>
          <w:sz w:val="24"/>
          <w:szCs w:val="24"/>
          <w:lang w:eastAsia="ar-SA"/>
        </w:rPr>
        <w:t xml:space="preserve">. Dans certains cas, il met par ailleurs à profit son déplacement pour mener des investigations sur le terrain, </w:t>
      </w:r>
      <w:r w:rsidR="00F14935">
        <w:rPr>
          <w:rFonts w:eastAsia="Calibri" w:cs="Calibri"/>
          <w:sz w:val="24"/>
          <w:szCs w:val="24"/>
          <w:lang w:eastAsia="ar-SA"/>
        </w:rPr>
        <w:t xml:space="preserve">en quête d’objets dissimulés ou enfouis dans la terre. Il découvre ainsi « sous les haies et les </w:t>
      </w:r>
      <w:r w:rsidR="00310A10">
        <w:rPr>
          <w:rFonts w:eastAsia="Calibri" w:cs="Calibri"/>
          <w:sz w:val="24"/>
          <w:szCs w:val="24"/>
          <w:lang w:eastAsia="ar-SA"/>
        </w:rPr>
        <w:t>broussailles</w:t>
      </w:r>
      <w:r w:rsidR="00F14935">
        <w:rPr>
          <w:rFonts w:eastAsia="Calibri" w:cs="Calibri"/>
          <w:sz w:val="24"/>
          <w:szCs w:val="24"/>
          <w:lang w:eastAsia="ar-SA"/>
        </w:rPr>
        <w:t> » de Dalheim</w:t>
      </w:r>
      <w:r w:rsidR="005D3382">
        <w:rPr>
          <w:rFonts w:eastAsia="Calibri" w:cs="Calibri"/>
          <w:sz w:val="24"/>
          <w:szCs w:val="24"/>
          <w:lang w:eastAsia="ar-SA"/>
        </w:rPr>
        <w:t xml:space="preserve"> (</w:t>
      </w:r>
      <w:r w:rsidR="005D3382" w:rsidRPr="0089229B">
        <w:rPr>
          <w:rFonts w:eastAsia="Calibri" w:cs="Calibri"/>
          <w:i/>
          <w:sz w:val="24"/>
          <w:szCs w:val="24"/>
          <w:lang w:eastAsia="ar-SA"/>
        </w:rPr>
        <w:t>sub saepibus a</w:t>
      </w:r>
      <w:r w:rsidR="005D3382">
        <w:rPr>
          <w:rFonts w:eastAsia="Calibri" w:cs="Calibri"/>
          <w:i/>
          <w:sz w:val="24"/>
          <w:szCs w:val="24"/>
          <w:lang w:eastAsia="ar-SA"/>
        </w:rPr>
        <w:t>t</w:t>
      </w:r>
      <w:r w:rsidR="005D3382" w:rsidRPr="0089229B">
        <w:rPr>
          <w:rFonts w:eastAsia="Calibri" w:cs="Calibri"/>
          <w:i/>
          <w:sz w:val="24"/>
          <w:szCs w:val="24"/>
          <w:lang w:eastAsia="ar-SA"/>
        </w:rPr>
        <w:t>que virgultis</w:t>
      </w:r>
      <w:r w:rsidR="005D3382">
        <w:rPr>
          <w:rFonts w:eastAsia="Calibri" w:cs="Calibri"/>
          <w:sz w:val="24"/>
          <w:szCs w:val="24"/>
          <w:lang w:eastAsia="ar-SA"/>
        </w:rPr>
        <w:t>)</w:t>
      </w:r>
      <w:r w:rsidR="00F14935">
        <w:rPr>
          <w:rFonts w:eastAsia="Calibri" w:cs="Calibri"/>
          <w:sz w:val="24"/>
          <w:szCs w:val="24"/>
          <w:lang w:eastAsia="ar-SA"/>
        </w:rPr>
        <w:t>, des amas de pierres et de briques visiblement antiques</w:t>
      </w:r>
      <w:r w:rsidR="00F14935">
        <w:rPr>
          <w:rStyle w:val="Appelnotedebasdep"/>
          <w:rFonts w:eastAsia="Calibri" w:cs="Calibri"/>
          <w:sz w:val="24"/>
          <w:szCs w:val="24"/>
          <w:lang w:eastAsia="ar-SA"/>
        </w:rPr>
        <w:footnoteReference w:id="62"/>
      </w:r>
      <w:r w:rsidR="00F14935">
        <w:rPr>
          <w:rFonts w:eastAsia="Calibri" w:cs="Calibri"/>
          <w:sz w:val="24"/>
          <w:szCs w:val="24"/>
          <w:lang w:eastAsia="ar-SA"/>
        </w:rPr>
        <w:t>. Il procède, sur le même site, à une véritable fouille en faisant creuser la terre : « d</w:t>
      </w:r>
      <w:r w:rsidR="00F14935" w:rsidRPr="00E04608">
        <w:rPr>
          <w:rFonts w:eastAsia="Calibri" w:cs="Calibri"/>
          <w:sz w:val="24"/>
          <w:szCs w:val="24"/>
          <w:lang w:eastAsia="ar-SA"/>
        </w:rPr>
        <w:t>es fondations de bains furent aussi découvertes, par des fouilles prescrites sur mon ordre</w:t>
      </w:r>
      <w:r w:rsidR="005D3382">
        <w:rPr>
          <w:rFonts w:eastAsia="Calibri" w:cs="Calibri"/>
          <w:sz w:val="24"/>
          <w:szCs w:val="24"/>
          <w:lang w:eastAsia="ar-SA"/>
        </w:rPr>
        <w:t xml:space="preserve"> (</w:t>
      </w:r>
      <w:r w:rsidR="005D3382" w:rsidRPr="005C232A">
        <w:rPr>
          <w:rFonts w:eastAsia="Calibri" w:cs="Calibri"/>
          <w:i/>
          <w:sz w:val="24"/>
          <w:szCs w:val="24"/>
          <w:lang w:eastAsia="ar-SA"/>
        </w:rPr>
        <w:t>fodientibus meo iussu operis</w:t>
      </w:r>
      <w:r w:rsidR="005D3382">
        <w:rPr>
          <w:rFonts w:eastAsia="Calibri" w:cs="Calibri"/>
          <w:sz w:val="24"/>
          <w:szCs w:val="24"/>
          <w:lang w:eastAsia="ar-SA"/>
        </w:rPr>
        <w:t>)</w:t>
      </w:r>
      <w:r w:rsidR="00F14935" w:rsidRPr="00E04608">
        <w:rPr>
          <w:rFonts w:eastAsia="Calibri" w:cs="Calibri"/>
          <w:sz w:val="24"/>
          <w:szCs w:val="24"/>
          <w:lang w:eastAsia="ar-SA"/>
        </w:rPr>
        <w:t>, espérant découvrir quelque chose d’antique</w:t>
      </w:r>
      <w:r w:rsidR="00F14935">
        <w:rPr>
          <w:rFonts w:eastAsia="Calibri" w:cs="Calibri"/>
          <w:sz w:val="24"/>
          <w:szCs w:val="24"/>
          <w:lang w:eastAsia="ar-SA"/>
        </w:rPr>
        <w:t> »</w:t>
      </w:r>
      <w:r w:rsidR="00F14935">
        <w:rPr>
          <w:rStyle w:val="Appelnotedebasdep"/>
          <w:rFonts w:eastAsia="Calibri" w:cs="Calibri"/>
          <w:sz w:val="24"/>
          <w:szCs w:val="24"/>
          <w:lang w:eastAsia="ar-SA"/>
        </w:rPr>
        <w:footnoteReference w:id="63"/>
      </w:r>
      <w:r w:rsidR="00F14935" w:rsidRPr="00E04608">
        <w:rPr>
          <w:rFonts w:eastAsia="Calibri" w:cs="Calibri"/>
          <w:sz w:val="24"/>
          <w:szCs w:val="24"/>
          <w:lang w:eastAsia="ar-SA"/>
        </w:rPr>
        <w:t>.</w:t>
      </w:r>
      <w:r w:rsidR="00F14935">
        <w:rPr>
          <w:rFonts w:eastAsia="Calibri" w:cs="Calibri"/>
          <w:sz w:val="24"/>
          <w:szCs w:val="24"/>
          <w:lang w:eastAsia="ar-SA"/>
        </w:rPr>
        <w:t xml:space="preserve"> Les fouilles opérées permettent également de mettre au jour les restes d’un mur qu’il suppose être un pan de la muraille du campement romain qu’il </w:t>
      </w:r>
      <w:r w:rsidR="00374F0B">
        <w:rPr>
          <w:rFonts w:eastAsia="Calibri" w:cs="Calibri"/>
          <w:sz w:val="24"/>
          <w:szCs w:val="24"/>
          <w:lang w:eastAsia="ar-SA"/>
        </w:rPr>
        <w:t>situe</w:t>
      </w:r>
      <w:r w:rsidR="00F14935">
        <w:rPr>
          <w:rFonts w:eastAsia="Calibri" w:cs="Calibri"/>
          <w:sz w:val="24"/>
          <w:szCs w:val="24"/>
          <w:lang w:eastAsia="ar-SA"/>
        </w:rPr>
        <w:t xml:space="preserve"> à cet endroit</w:t>
      </w:r>
      <w:r w:rsidR="00F14935">
        <w:rPr>
          <w:rStyle w:val="Appelnotedebasdep"/>
          <w:rFonts w:eastAsia="Calibri" w:cs="Calibri"/>
          <w:sz w:val="24"/>
          <w:szCs w:val="24"/>
          <w:lang w:eastAsia="ar-SA"/>
        </w:rPr>
        <w:footnoteReference w:id="64"/>
      </w:r>
      <w:r w:rsidR="00F14935">
        <w:rPr>
          <w:rFonts w:eastAsia="Calibri" w:cs="Calibri"/>
          <w:sz w:val="24"/>
          <w:szCs w:val="24"/>
          <w:lang w:eastAsia="ar-SA"/>
        </w:rPr>
        <w:t xml:space="preserve">. </w:t>
      </w:r>
    </w:p>
    <w:p w14:paraId="15B8BF54" w14:textId="17953888" w:rsidR="007B58CB" w:rsidRPr="00963054" w:rsidRDefault="00A50ADA" w:rsidP="00963054">
      <w:pPr>
        <w:spacing w:after="0" w:line="360" w:lineRule="auto"/>
        <w:ind w:firstLine="360"/>
        <w:jc w:val="both"/>
        <w:rPr>
          <w:rFonts w:eastAsia="Calibri" w:cs="Calibri"/>
          <w:sz w:val="24"/>
          <w:szCs w:val="24"/>
          <w:lang w:eastAsia="ar-SA"/>
        </w:rPr>
      </w:pPr>
      <w:r>
        <w:rPr>
          <w:rFonts w:eastAsia="Calibri" w:cs="Calibri"/>
          <w:sz w:val="24"/>
          <w:szCs w:val="24"/>
          <w:lang w:eastAsia="ar-SA"/>
        </w:rPr>
        <w:t xml:space="preserve">Les nombreux dessins </w:t>
      </w:r>
      <w:r w:rsidR="00963054">
        <w:rPr>
          <w:rFonts w:eastAsia="Calibri" w:cs="Calibri"/>
          <w:sz w:val="24"/>
          <w:szCs w:val="24"/>
          <w:lang w:eastAsia="ar-SA"/>
        </w:rPr>
        <w:t>(</w:t>
      </w:r>
      <w:r w:rsidR="00D437D5">
        <w:rPr>
          <w:rFonts w:eastAsia="Calibri" w:cs="Calibri"/>
          <w:sz w:val="24"/>
          <w:szCs w:val="24"/>
          <w:lang w:eastAsia="ar-SA"/>
        </w:rPr>
        <w:t>environ 400</w:t>
      </w:r>
      <w:r w:rsidR="00963054">
        <w:rPr>
          <w:rFonts w:eastAsia="Calibri" w:cs="Calibri"/>
          <w:sz w:val="24"/>
          <w:szCs w:val="24"/>
          <w:lang w:eastAsia="ar-SA"/>
        </w:rPr>
        <w:t xml:space="preserve">) </w:t>
      </w:r>
      <w:r>
        <w:rPr>
          <w:rFonts w:eastAsia="Calibri" w:cs="Calibri"/>
          <w:sz w:val="24"/>
          <w:szCs w:val="24"/>
          <w:lang w:eastAsia="ar-SA"/>
        </w:rPr>
        <w:t>qui accompagnent le texte d</w:t>
      </w:r>
      <w:r w:rsidR="00D437D5">
        <w:rPr>
          <w:rFonts w:eastAsia="Calibri" w:cs="Calibri"/>
          <w:sz w:val="24"/>
          <w:szCs w:val="24"/>
          <w:lang w:eastAsia="ar-SA"/>
        </w:rPr>
        <w:t>u</w:t>
      </w:r>
      <w:r>
        <w:rPr>
          <w:rFonts w:eastAsia="Calibri" w:cs="Calibri"/>
          <w:sz w:val="24"/>
          <w:szCs w:val="24"/>
          <w:lang w:eastAsia="ar-SA"/>
        </w:rPr>
        <w:t xml:space="preserve"> manuscrit découlent de ce souci permanent d’observation</w:t>
      </w:r>
      <w:r w:rsidR="006C2965">
        <w:rPr>
          <w:rFonts w:eastAsia="Calibri" w:cs="Calibri"/>
          <w:sz w:val="24"/>
          <w:szCs w:val="24"/>
          <w:lang w:eastAsia="ar-SA"/>
        </w:rPr>
        <w:t xml:space="preserve"> (</w:t>
      </w:r>
      <w:r w:rsidR="006C2965" w:rsidRPr="006C2965">
        <w:rPr>
          <w:rFonts w:eastAsia="Calibri" w:cs="Calibri"/>
          <w:b/>
          <w:sz w:val="24"/>
          <w:szCs w:val="24"/>
          <w:lang w:eastAsia="ar-SA"/>
        </w:rPr>
        <w:t>fig. 3-4</w:t>
      </w:r>
      <w:r w:rsidR="006C2965">
        <w:rPr>
          <w:rFonts w:eastAsia="Calibri" w:cs="Calibri"/>
          <w:sz w:val="24"/>
          <w:szCs w:val="24"/>
          <w:lang w:eastAsia="ar-SA"/>
        </w:rPr>
        <w:t>)</w:t>
      </w:r>
      <w:r>
        <w:rPr>
          <w:rFonts w:eastAsia="Calibri" w:cs="Calibri"/>
          <w:sz w:val="24"/>
          <w:szCs w:val="24"/>
          <w:lang w:eastAsia="ar-SA"/>
        </w:rPr>
        <w:t>. Ces dessins, relativement précis pour l’époque</w:t>
      </w:r>
      <w:r w:rsidR="004B0C86">
        <w:rPr>
          <w:rStyle w:val="Appelnotedebasdep"/>
          <w:rFonts w:eastAsia="Calibri" w:cs="Calibri"/>
          <w:sz w:val="24"/>
          <w:szCs w:val="24"/>
          <w:lang w:eastAsia="ar-SA"/>
        </w:rPr>
        <w:footnoteReference w:id="65"/>
      </w:r>
      <w:r w:rsidR="005F6B76">
        <w:rPr>
          <w:rFonts w:eastAsia="Calibri" w:cs="Calibri"/>
          <w:sz w:val="24"/>
          <w:szCs w:val="24"/>
          <w:lang w:eastAsia="ar-SA"/>
        </w:rPr>
        <w:t>,</w:t>
      </w:r>
      <w:r>
        <w:rPr>
          <w:rFonts w:eastAsia="Calibri" w:cs="Calibri"/>
          <w:sz w:val="24"/>
          <w:szCs w:val="24"/>
          <w:lang w:eastAsia="ar-SA"/>
        </w:rPr>
        <w:t xml:space="preserve"> adopt</w:t>
      </w:r>
      <w:r w:rsidR="005F6B76">
        <w:rPr>
          <w:rFonts w:eastAsia="Calibri" w:cs="Calibri"/>
          <w:sz w:val="24"/>
          <w:szCs w:val="24"/>
          <w:lang w:eastAsia="ar-SA"/>
        </w:rPr>
        <w:t>e</w:t>
      </w:r>
      <w:r>
        <w:rPr>
          <w:rFonts w:eastAsia="Calibri" w:cs="Calibri"/>
          <w:sz w:val="24"/>
          <w:szCs w:val="24"/>
          <w:lang w:eastAsia="ar-SA"/>
        </w:rPr>
        <w:t>nt souvent une échelle 1:1</w:t>
      </w:r>
      <w:r w:rsidR="00642E6F">
        <w:rPr>
          <w:rFonts w:eastAsia="Calibri" w:cs="Calibri"/>
          <w:sz w:val="24"/>
          <w:szCs w:val="24"/>
          <w:lang w:eastAsia="ar-SA"/>
        </w:rPr>
        <w:t xml:space="preserve"> ou à défaut renseignent</w:t>
      </w:r>
      <w:r w:rsidR="00D437D5">
        <w:rPr>
          <w:rFonts w:eastAsia="Calibri" w:cs="Calibri"/>
          <w:sz w:val="24"/>
          <w:szCs w:val="24"/>
          <w:lang w:eastAsia="ar-SA"/>
        </w:rPr>
        <w:t xml:space="preserve"> parfois</w:t>
      </w:r>
      <w:r w:rsidR="00642E6F">
        <w:rPr>
          <w:rFonts w:eastAsia="Calibri" w:cs="Calibri"/>
          <w:sz w:val="24"/>
          <w:szCs w:val="24"/>
          <w:lang w:eastAsia="ar-SA"/>
        </w:rPr>
        <w:t xml:space="preserve"> l’échelle utilisée</w:t>
      </w:r>
      <w:r w:rsidR="00642E6F">
        <w:rPr>
          <w:rStyle w:val="Appelnotedebasdep"/>
          <w:rFonts w:eastAsia="Calibri" w:cs="Calibri"/>
          <w:sz w:val="24"/>
          <w:szCs w:val="24"/>
          <w:lang w:eastAsia="ar-SA"/>
        </w:rPr>
        <w:footnoteReference w:id="66"/>
      </w:r>
      <w:r w:rsidR="00642E6F">
        <w:rPr>
          <w:rFonts w:eastAsia="Calibri" w:cs="Calibri"/>
          <w:sz w:val="24"/>
          <w:szCs w:val="24"/>
          <w:lang w:eastAsia="ar-SA"/>
        </w:rPr>
        <w:t>. Ils</w:t>
      </w:r>
      <w:r w:rsidR="00374F0B">
        <w:rPr>
          <w:rFonts w:eastAsia="Calibri" w:cs="Calibri"/>
          <w:sz w:val="24"/>
          <w:szCs w:val="24"/>
          <w:lang w:eastAsia="ar-SA"/>
        </w:rPr>
        <w:t xml:space="preserve"> viennent </w:t>
      </w:r>
      <w:r w:rsidR="00642E6F">
        <w:rPr>
          <w:rFonts w:eastAsia="Calibri" w:cs="Calibri"/>
          <w:sz w:val="24"/>
          <w:szCs w:val="24"/>
          <w:lang w:eastAsia="ar-SA"/>
        </w:rPr>
        <w:t xml:space="preserve">utilement </w:t>
      </w:r>
      <w:r w:rsidR="00374F0B">
        <w:rPr>
          <w:rFonts w:eastAsia="Calibri" w:cs="Calibri"/>
          <w:sz w:val="24"/>
          <w:szCs w:val="24"/>
          <w:lang w:eastAsia="ar-SA"/>
        </w:rPr>
        <w:t>compléter s</w:t>
      </w:r>
      <w:r>
        <w:rPr>
          <w:rFonts w:eastAsia="Calibri" w:cs="Calibri"/>
          <w:sz w:val="24"/>
          <w:szCs w:val="24"/>
          <w:lang w:eastAsia="ar-SA"/>
        </w:rPr>
        <w:t>es descriptions : Alexa</w:t>
      </w:r>
      <w:r w:rsidR="008A2F4E">
        <w:rPr>
          <w:rFonts w:eastAsia="Calibri" w:cs="Calibri"/>
          <w:sz w:val="24"/>
          <w:szCs w:val="24"/>
          <w:lang w:eastAsia="ar-SA"/>
        </w:rPr>
        <w:t>ndre Wiltheim s’y réfère à plusieurs reprises</w:t>
      </w:r>
      <w:r w:rsidR="00CC7E11">
        <w:rPr>
          <w:rFonts w:eastAsia="Calibri" w:cs="Calibri"/>
          <w:sz w:val="24"/>
          <w:szCs w:val="24"/>
          <w:lang w:eastAsia="ar-SA"/>
        </w:rPr>
        <w:t xml:space="preserve"> et exhorte </w:t>
      </w:r>
      <w:r>
        <w:rPr>
          <w:rFonts w:eastAsia="Calibri" w:cs="Calibri"/>
          <w:sz w:val="24"/>
          <w:szCs w:val="24"/>
          <w:lang w:eastAsia="ar-SA"/>
        </w:rPr>
        <w:t>le lecteur à les observer</w:t>
      </w:r>
      <w:r w:rsidR="005F6B76">
        <w:rPr>
          <w:rFonts w:eastAsia="Calibri" w:cs="Calibri"/>
          <w:sz w:val="24"/>
          <w:szCs w:val="24"/>
          <w:lang w:eastAsia="ar-SA"/>
        </w:rPr>
        <w:t xml:space="preserve"> </w:t>
      </w:r>
      <w:r w:rsidR="00963054">
        <w:rPr>
          <w:rFonts w:eastAsia="Calibri" w:cs="Calibri"/>
          <w:sz w:val="24"/>
          <w:szCs w:val="24"/>
          <w:lang w:eastAsia="ar-SA"/>
        </w:rPr>
        <w:t xml:space="preserve">attentivement </w:t>
      </w:r>
      <w:r w:rsidR="005F6B76">
        <w:rPr>
          <w:rFonts w:eastAsia="Calibri" w:cs="Calibri"/>
          <w:sz w:val="24"/>
          <w:szCs w:val="24"/>
          <w:lang w:eastAsia="ar-SA"/>
        </w:rPr>
        <w:t xml:space="preserve">pour bien comprendre ses analyses </w:t>
      </w:r>
      <w:r w:rsidR="00B17CF7">
        <w:rPr>
          <w:rFonts w:eastAsia="Calibri" w:cs="Calibri"/>
          <w:sz w:val="24"/>
          <w:szCs w:val="24"/>
          <w:lang w:eastAsia="ar-SA"/>
        </w:rPr>
        <w:t>(</w:t>
      </w:r>
      <w:r w:rsidR="00B17CF7" w:rsidRPr="00B17CF7">
        <w:rPr>
          <w:rFonts w:eastAsia="Calibri" w:cs="Calibri"/>
          <w:i/>
          <w:sz w:val="24"/>
          <w:szCs w:val="24"/>
          <w:lang w:eastAsia="ar-SA"/>
        </w:rPr>
        <w:t>intuere</w:t>
      </w:r>
      <w:r w:rsidR="00B17CF7">
        <w:rPr>
          <w:rFonts w:eastAsia="Calibri" w:cs="Calibri"/>
          <w:sz w:val="24"/>
          <w:szCs w:val="24"/>
          <w:lang w:eastAsia="ar-SA"/>
        </w:rPr>
        <w:t>)</w:t>
      </w:r>
      <w:r>
        <w:rPr>
          <w:rStyle w:val="Appelnotedebasdep"/>
          <w:rFonts w:eastAsia="Calibri" w:cs="Calibri"/>
          <w:sz w:val="24"/>
          <w:szCs w:val="24"/>
          <w:lang w:eastAsia="ar-SA"/>
        </w:rPr>
        <w:footnoteReference w:id="67"/>
      </w:r>
      <w:r>
        <w:rPr>
          <w:rFonts w:eastAsia="Calibri" w:cs="Calibri"/>
          <w:sz w:val="24"/>
          <w:szCs w:val="24"/>
          <w:lang w:eastAsia="ar-SA"/>
        </w:rPr>
        <w:t>.</w:t>
      </w:r>
      <w:r w:rsidR="00963054">
        <w:rPr>
          <w:rFonts w:eastAsia="Calibri" w:cs="Calibri"/>
          <w:sz w:val="24"/>
          <w:szCs w:val="24"/>
          <w:lang w:eastAsia="ar-SA"/>
        </w:rPr>
        <w:t xml:space="preserve"> </w:t>
      </w:r>
      <w:r w:rsidR="00ED66CB">
        <w:rPr>
          <w:rFonts w:eastAsia="Calibri" w:cs="Calibri"/>
          <w:sz w:val="24"/>
          <w:szCs w:val="24"/>
          <w:lang w:eastAsia="ar-SA"/>
        </w:rPr>
        <w:t>C</w:t>
      </w:r>
      <w:r w:rsidR="00963054">
        <w:rPr>
          <w:rFonts w:eastAsia="Calibri" w:cs="Calibri"/>
          <w:sz w:val="24"/>
          <w:szCs w:val="24"/>
          <w:lang w:eastAsia="ar-SA"/>
        </w:rPr>
        <w:t xml:space="preserve">es dessins avaient probablement également pour </w:t>
      </w:r>
      <w:r w:rsidR="00ED66CB">
        <w:rPr>
          <w:rFonts w:eastAsia="Calibri" w:cs="Calibri"/>
          <w:sz w:val="24"/>
          <w:szCs w:val="24"/>
          <w:lang w:eastAsia="ar-SA"/>
        </w:rPr>
        <w:t>fonction, d’une part,</w:t>
      </w:r>
      <w:r w:rsidR="00963054">
        <w:rPr>
          <w:rFonts w:eastAsia="Calibri" w:cs="Calibri"/>
          <w:sz w:val="24"/>
          <w:szCs w:val="24"/>
          <w:lang w:eastAsia="ar-SA"/>
        </w:rPr>
        <w:t xml:space="preserve"> </w:t>
      </w:r>
      <w:r w:rsidR="00ED66CB">
        <w:rPr>
          <w:rFonts w:eastAsia="Calibri" w:cs="Calibri"/>
          <w:sz w:val="24"/>
          <w:szCs w:val="24"/>
          <w:lang w:eastAsia="ar-SA"/>
        </w:rPr>
        <w:t>d’être diffusés auprès d’autres antiquaires</w:t>
      </w:r>
      <w:r w:rsidR="00ED66CB">
        <w:rPr>
          <w:rStyle w:val="Appelnotedebasdep"/>
          <w:rFonts w:eastAsia="Calibri" w:cs="Calibri"/>
          <w:sz w:val="24"/>
          <w:szCs w:val="24"/>
          <w:lang w:eastAsia="ar-SA"/>
        </w:rPr>
        <w:footnoteReference w:id="68"/>
      </w:r>
      <w:r w:rsidR="00ED66CB">
        <w:rPr>
          <w:rFonts w:eastAsia="Calibri" w:cs="Calibri"/>
          <w:sz w:val="24"/>
          <w:szCs w:val="24"/>
          <w:lang w:eastAsia="ar-SA"/>
        </w:rPr>
        <w:t xml:space="preserve">, et, d’autre part, </w:t>
      </w:r>
      <w:r w:rsidR="00963054">
        <w:rPr>
          <w:rFonts w:eastAsia="Calibri" w:cs="Calibri"/>
          <w:sz w:val="24"/>
          <w:szCs w:val="24"/>
          <w:lang w:eastAsia="ar-SA"/>
        </w:rPr>
        <w:t xml:space="preserve">de conserver la mémoire de monuments endommagés ou vulnérables. Comme l’a remarquablement analysé Rosemary Sweet, le développement de la recherche antiquaire à l’époque moderne ne coïncide pas forcément avec </w:t>
      </w:r>
      <w:r w:rsidR="00ED66CB">
        <w:rPr>
          <w:rFonts w:eastAsia="Calibri" w:cs="Calibri"/>
          <w:sz w:val="24"/>
          <w:szCs w:val="24"/>
          <w:lang w:eastAsia="ar-SA"/>
        </w:rPr>
        <w:t>l’émergence</w:t>
      </w:r>
      <w:r w:rsidR="00963054">
        <w:rPr>
          <w:rFonts w:eastAsia="Calibri" w:cs="Calibri"/>
          <w:sz w:val="24"/>
          <w:szCs w:val="24"/>
          <w:lang w:eastAsia="ar-SA"/>
        </w:rPr>
        <w:t xml:space="preserve"> d’une volonté de préservation des vestiges</w:t>
      </w:r>
      <w:r w:rsidR="00ED2E71">
        <w:rPr>
          <w:rFonts w:eastAsia="Calibri" w:cs="Calibri"/>
          <w:sz w:val="24"/>
          <w:szCs w:val="24"/>
          <w:lang w:eastAsia="ar-SA"/>
        </w:rPr>
        <w:t xml:space="preserve"> </w:t>
      </w:r>
      <w:r w:rsidR="00ED66CB">
        <w:rPr>
          <w:rFonts w:eastAsia="Calibri" w:cs="Calibri"/>
          <w:sz w:val="24"/>
          <w:szCs w:val="24"/>
          <w:lang w:eastAsia="ar-SA"/>
        </w:rPr>
        <w:t xml:space="preserve">: </w:t>
      </w:r>
      <w:r w:rsidR="00963054">
        <w:rPr>
          <w:rFonts w:eastAsia="Calibri" w:cs="Calibri"/>
          <w:sz w:val="24"/>
          <w:szCs w:val="24"/>
          <w:lang w:eastAsia="ar-SA"/>
        </w:rPr>
        <w:t>dans de nombreux cas,</w:t>
      </w:r>
      <w:r w:rsidR="00ED66CB">
        <w:rPr>
          <w:rFonts w:eastAsia="Calibri" w:cs="Calibri"/>
          <w:sz w:val="24"/>
          <w:szCs w:val="24"/>
          <w:lang w:eastAsia="ar-SA"/>
        </w:rPr>
        <w:t xml:space="preserve"> le fait de les dessiner et de les diffuser semblait suffisant pour assurer leur postérité, quitte à ce qu’ils ne soient pas entretenus</w:t>
      </w:r>
      <w:r w:rsidR="00A64430">
        <w:rPr>
          <w:rFonts w:eastAsia="Calibri" w:cs="Calibri"/>
          <w:sz w:val="24"/>
          <w:szCs w:val="24"/>
          <w:lang w:eastAsia="ar-SA"/>
        </w:rPr>
        <w:t>,</w:t>
      </w:r>
      <w:r w:rsidR="00ED66CB">
        <w:rPr>
          <w:rFonts w:eastAsia="Calibri" w:cs="Calibri"/>
          <w:sz w:val="24"/>
          <w:szCs w:val="24"/>
          <w:lang w:eastAsia="ar-SA"/>
        </w:rPr>
        <w:t xml:space="preserve"> voire qu’ils soient détruits ultérieurement</w:t>
      </w:r>
      <w:r w:rsidR="00ED66CB">
        <w:rPr>
          <w:rStyle w:val="Appelnotedebasdep"/>
          <w:rFonts w:eastAsia="Calibri" w:cs="Calibri"/>
          <w:sz w:val="24"/>
          <w:szCs w:val="24"/>
          <w:lang w:eastAsia="ar-SA"/>
        </w:rPr>
        <w:footnoteReference w:id="69"/>
      </w:r>
      <w:r w:rsidR="00ED66CB">
        <w:rPr>
          <w:rFonts w:eastAsia="Calibri" w:cs="Calibri"/>
          <w:sz w:val="24"/>
          <w:szCs w:val="24"/>
          <w:lang w:eastAsia="ar-SA"/>
        </w:rPr>
        <w:t>.</w:t>
      </w:r>
    </w:p>
    <w:p w14:paraId="222E1433" w14:textId="15B3B9B7" w:rsidR="00B36C9E" w:rsidRPr="005C3CB0" w:rsidRDefault="00B36C9E" w:rsidP="005C3CB0">
      <w:pPr>
        <w:spacing w:after="0" w:line="360" w:lineRule="auto"/>
        <w:jc w:val="both"/>
        <w:rPr>
          <w:sz w:val="24"/>
          <w:szCs w:val="24"/>
        </w:rPr>
      </w:pPr>
    </w:p>
    <w:p w14:paraId="2AE86418" w14:textId="6229BC4A" w:rsidR="00B36C9E" w:rsidRPr="00A50ADA" w:rsidRDefault="00DA1666" w:rsidP="005C3CB0">
      <w:pPr>
        <w:spacing w:after="0" w:line="360" w:lineRule="auto"/>
        <w:jc w:val="both"/>
        <w:rPr>
          <w:b/>
          <w:i/>
          <w:sz w:val="26"/>
          <w:szCs w:val="26"/>
        </w:rPr>
      </w:pPr>
      <w:r>
        <w:rPr>
          <w:b/>
          <w:i/>
          <w:sz w:val="26"/>
          <w:szCs w:val="26"/>
        </w:rPr>
        <w:t>É</w:t>
      </w:r>
      <w:r w:rsidR="00B36C9E" w:rsidRPr="00A50ADA">
        <w:rPr>
          <w:b/>
          <w:i/>
          <w:sz w:val="26"/>
          <w:szCs w:val="26"/>
        </w:rPr>
        <w:t>tudier et comprendre les vestiges</w:t>
      </w:r>
    </w:p>
    <w:p w14:paraId="491EA08A" w14:textId="370199E3" w:rsidR="005417CB" w:rsidRPr="005C3CB0" w:rsidRDefault="005417CB" w:rsidP="005C3CB0">
      <w:pPr>
        <w:spacing w:after="0" w:line="360" w:lineRule="auto"/>
        <w:jc w:val="both"/>
        <w:rPr>
          <w:b/>
          <w:sz w:val="24"/>
          <w:szCs w:val="24"/>
        </w:rPr>
      </w:pPr>
    </w:p>
    <w:p w14:paraId="4FEAB715" w14:textId="06B4BC2F" w:rsidR="00103F70" w:rsidRDefault="005638EE" w:rsidP="00103F70">
      <w:pPr>
        <w:spacing w:after="0" w:line="360" w:lineRule="auto"/>
        <w:ind w:firstLine="348"/>
        <w:jc w:val="both"/>
        <w:rPr>
          <w:sz w:val="24"/>
          <w:szCs w:val="24"/>
        </w:rPr>
      </w:pPr>
      <w:r>
        <w:rPr>
          <w:sz w:val="24"/>
          <w:szCs w:val="24"/>
        </w:rPr>
        <w:t>Une fois les vestiges repérés, observés et décrits, Alexandre Wiltheim se propose généralement de les interpréter, si leur état de conservation le permet. Il accorde, dans cette optique</w:t>
      </w:r>
      <w:r w:rsidR="00ED2E71">
        <w:rPr>
          <w:sz w:val="24"/>
          <w:szCs w:val="24"/>
        </w:rPr>
        <w:t xml:space="preserve">, une attention particulière aux </w:t>
      </w:r>
      <w:r>
        <w:rPr>
          <w:sz w:val="24"/>
          <w:szCs w:val="24"/>
        </w:rPr>
        <w:t xml:space="preserve">inscriptions et aux représentations iconographiques. Comme la plupart des antiquaires de son temps, il a abondamment recours à la confrontation du vestige étudié soit avec des textes antiques, soit avec d’autres vestiges qui ne sont pas issus du Luxembourg. </w:t>
      </w:r>
    </w:p>
    <w:p w14:paraId="218A3D25" w14:textId="1F89AF34" w:rsidR="005638EE" w:rsidRDefault="00103F70" w:rsidP="00103F70">
      <w:pPr>
        <w:spacing w:after="0" w:line="360" w:lineRule="auto"/>
        <w:ind w:firstLine="360"/>
        <w:jc w:val="both"/>
        <w:rPr>
          <w:sz w:val="24"/>
          <w:szCs w:val="24"/>
        </w:rPr>
      </w:pPr>
      <w:r>
        <w:rPr>
          <w:sz w:val="24"/>
          <w:szCs w:val="24"/>
        </w:rPr>
        <w:t xml:space="preserve">Les textes antiques sont principalement utilisés pour essayer de comprendre les représentations iconographiques, qu’il s’agisse de scènes mythologiques ou </w:t>
      </w:r>
      <w:r w:rsidR="008E1D5F">
        <w:rPr>
          <w:sz w:val="24"/>
          <w:szCs w:val="24"/>
        </w:rPr>
        <w:t xml:space="preserve">d’épisodes inspirés </w:t>
      </w:r>
      <w:r>
        <w:rPr>
          <w:sz w:val="24"/>
          <w:szCs w:val="24"/>
        </w:rPr>
        <w:t xml:space="preserve">de la vie quotidienne. Ce faisant, il fait preuve d’une érudition manifeste, en citant des passages d’auteurs aussi nombreux que diversifiés. À titre d’exemple, il se réfère à Virgile, Sénèque, Vitruve et Plaute pour </w:t>
      </w:r>
      <w:r w:rsidR="00DA1666">
        <w:rPr>
          <w:sz w:val="24"/>
          <w:szCs w:val="24"/>
        </w:rPr>
        <w:t>justifier</w:t>
      </w:r>
      <w:r>
        <w:rPr>
          <w:sz w:val="24"/>
          <w:szCs w:val="24"/>
        </w:rPr>
        <w:t xml:space="preserve"> son association d’une représentation d’arc-en-ciel avec les divinités Iris et Junon</w:t>
      </w:r>
      <w:r>
        <w:rPr>
          <w:rStyle w:val="Appelnotedebasdep"/>
          <w:sz w:val="24"/>
          <w:szCs w:val="24"/>
        </w:rPr>
        <w:footnoteReference w:id="70"/>
      </w:r>
      <w:r>
        <w:rPr>
          <w:sz w:val="24"/>
          <w:szCs w:val="24"/>
        </w:rPr>
        <w:t xml:space="preserve">, ou à Tite-Live et Valère Maxime pour traiter de la pratique du </w:t>
      </w:r>
      <w:r w:rsidRPr="00E151AB">
        <w:rPr>
          <w:i/>
          <w:sz w:val="24"/>
          <w:szCs w:val="24"/>
        </w:rPr>
        <w:t>lectistern</w:t>
      </w:r>
      <w:r w:rsidR="00E151AB">
        <w:rPr>
          <w:i/>
          <w:sz w:val="24"/>
          <w:szCs w:val="24"/>
        </w:rPr>
        <w:t>ium</w:t>
      </w:r>
      <w:r>
        <w:rPr>
          <w:sz w:val="24"/>
          <w:szCs w:val="24"/>
        </w:rPr>
        <w:t xml:space="preserve"> qu’il estime figurer sur plusieurs monuments</w:t>
      </w:r>
      <w:r w:rsidR="00674CBB">
        <w:rPr>
          <w:sz w:val="24"/>
          <w:szCs w:val="24"/>
        </w:rPr>
        <w:t xml:space="preserve"> funéraires</w:t>
      </w:r>
      <w:r>
        <w:rPr>
          <w:sz w:val="24"/>
          <w:szCs w:val="24"/>
        </w:rPr>
        <w:t xml:space="preserve"> romains</w:t>
      </w:r>
      <w:r>
        <w:rPr>
          <w:rStyle w:val="Appelnotedebasdep"/>
          <w:sz w:val="24"/>
          <w:szCs w:val="24"/>
        </w:rPr>
        <w:footnoteReference w:id="71"/>
      </w:r>
      <w:r>
        <w:rPr>
          <w:sz w:val="24"/>
          <w:szCs w:val="24"/>
        </w:rPr>
        <w:t>.</w:t>
      </w:r>
      <w:r w:rsidR="00092458">
        <w:rPr>
          <w:sz w:val="24"/>
          <w:szCs w:val="24"/>
        </w:rPr>
        <w:t xml:space="preserve"> </w:t>
      </w:r>
    </w:p>
    <w:p w14:paraId="643D4EB5" w14:textId="30BE2231" w:rsidR="005B4E0F" w:rsidRDefault="00103F70" w:rsidP="00DA1666">
      <w:pPr>
        <w:spacing w:after="0" w:line="360" w:lineRule="auto"/>
        <w:ind w:firstLine="360"/>
        <w:jc w:val="both"/>
        <w:rPr>
          <w:sz w:val="24"/>
          <w:szCs w:val="24"/>
        </w:rPr>
      </w:pPr>
      <w:r>
        <w:rPr>
          <w:sz w:val="24"/>
          <w:szCs w:val="24"/>
        </w:rPr>
        <w:t xml:space="preserve">L’érudit jésuite a </w:t>
      </w:r>
      <w:r w:rsidR="00092458">
        <w:rPr>
          <w:sz w:val="24"/>
          <w:szCs w:val="24"/>
        </w:rPr>
        <w:t xml:space="preserve">par ailleurs </w:t>
      </w:r>
      <w:r>
        <w:rPr>
          <w:sz w:val="24"/>
          <w:szCs w:val="24"/>
        </w:rPr>
        <w:t xml:space="preserve">abondamment recours à des comparaisons avec des objets découverts en-dehors </w:t>
      </w:r>
      <w:r w:rsidR="00F54027">
        <w:rPr>
          <w:sz w:val="24"/>
          <w:szCs w:val="24"/>
        </w:rPr>
        <w:t>des limites du duché de Luxembourg. Lorsqu’il est confronté à un nom de personne figurant dans une inscription, il opère ainsi de manière relativement systématique des recherches dans le recueil d’inscriptions antiques de Jan Gruter (</w:t>
      </w:r>
      <w:r w:rsidR="00861077">
        <w:rPr>
          <w:sz w:val="24"/>
          <w:szCs w:val="24"/>
        </w:rPr>
        <w:t>1560</w:t>
      </w:r>
      <w:r w:rsidR="00F54027">
        <w:rPr>
          <w:sz w:val="24"/>
          <w:szCs w:val="24"/>
        </w:rPr>
        <w:t>-</w:t>
      </w:r>
      <w:r w:rsidR="00861077">
        <w:rPr>
          <w:sz w:val="24"/>
          <w:szCs w:val="24"/>
        </w:rPr>
        <w:t>1627</w:t>
      </w:r>
      <w:r w:rsidR="00F54027">
        <w:rPr>
          <w:sz w:val="24"/>
          <w:szCs w:val="24"/>
        </w:rPr>
        <w:t>) qui constituait alors l’instrument de travail le plus à jour</w:t>
      </w:r>
      <w:r w:rsidR="00F54027">
        <w:rPr>
          <w:rStyle w:val="Appelnotedebasdep"/>
          <w:sz w:val="24"/>
          <w:szCs w:val="24"/>
        </w:rPr>
        <w:footnoteReference w:id="72"/>
      </w:r>
      <w:r w:rsidR="00F54027">
        <w:rPr>
          <w:sz w:val="24"/>
          <w:szCs w:val="24"/>
        </w:rPr>
        <w:t xml:space="preserve">. Cela lui permet, par exemple, de trouver des mentions d’individus portant le même </w:t>
      </w:r>
      <w:r w:rsidR="00F54027" w:rsidRPr="00F54027">
        <w:rPr>
          <w:i/>
          <w:sz w:val="24"/>
          <w:szCs w:val="24"/>
        </w:rPr>
        <w:t xml:space="preserve">nomen </w:t>
      </w:r>
      <w:r w:rsidR="005B4E0F">
        <w:rPr>
          <w:sz w:val="24"/>
          <w:szCs w:val="24"/>
        </w:rPr>
        <w:t>que celui qu’il étudie et ce, y compris</w:t>
      </w:r>
      <w:r w:rsidR="00F54027">
        <w:rPr>
          <w:sz w:val="24"/>
          <w:szCs w:val="24"/>
        </w:rPr>
        <w:t xml:space="preserve"> dans des régions parfois assez éloignées du </w:t>
      </w:r>
      <w:r w:rsidR="00DA1666">
        <w:rPr>
          <w:sz w:val="24"/>
          <w:szCs w:val="24"/>
        </w:rPr>
        <w:t xml:space="preserve">Luxembourg : à titre d’exemple, </w:t>
      </w:r>
      <w:r w:rsidR="00F54027">
        <w:rPr>
          <w:sz w:val="24"/>
          <w:szCs w:val="24"/>
        </w:rPr>
        <w:t xml:space="preserve">au moins deux inscriptions lyonnaises figurent </w:t>
      </w:r>
      <w:r w:rsidR="00DA1666">
        <w:rPr>
          <w:sz w:val="24"/>
          <w:szCs w:val="24"/>
        </w:rPr>
        <w:t>ainsi</w:t>
      </w:r>
      <w:r w:rsidR="00F54027">
        <w:rPr>
          <w:sz w:val="24"/>
          <w:szCs w:val="24"/>
        </w:rPr>
        <w:t xml:space="preserve"> dans son manuscrit</w:t>
      </w:r>
      <w:r w:rsidR="00F54027">
        <w:rPr>
          <w:rStyle w:val="Appelnotedebasdep"/>
          <w:sz w:val="24"/>
          <w:szCs w:val="24"/>
        </w:rPr>
        <w:footnoteReference w:id="73"/>
      </w:r>
      <w:r w:rsidR="00F54027">
        <w:rPr>
          <w:sz w:val="24"/>
          <w:szCs w:val="24"/>
        </w:rPr>
        <w:t>.</w:t>
      </w:r>
      <w:r w:rsidR="003937FE">
        <w:rPr>
          <w:sz w:val="24"/>
          <w:szCs w:val="24"/>
        </w:rPr>
        <w:t xml:space="preserve"> </w:t>
      </w:r>
      <w:r w:rsidR="005B4E0F">
        <w:rPr>
          <w:sz w:val="24"/>
          <w:szCs w:val="24"/>
        </w:rPr>
        <w:t>Il a également recours aux travaux d’autres érudits lorsqu’il s’agit d’analyser l’iconographie présente sur certains monuments : il est par exemple très attentif aux bas-reliefs représentant des soldats en arme</w:t>
      </w:r>
      <w:r w:rsidR="00ED2E71">
        <w:rPr>
          <w:sz w:val="24"/>
          <w:szCs w:val="24"/>
        </w:rPr>
        <w:t>s</w:t>
      </w:r>
      <w:r w:rsidR="005B4E0F">
        <w:rPr>
          <w:sz w:val="24"/>
          <w:szCs w:val="24"/>
        </w:rPr>
        <w:t xml:space="preserve"> et compare assez systématiquement leurs casques et boucliers avec les études menées à ce sujet, entre autres, par Juste Lipse (</w:t>
      </w:r>
      <w:r w:rsidR="00092458">
        <w:rPr>
          <w:sz w:val="24"/>
          <w:szCs w:val="24"/>
        </w:rPr>
        <w:t>1547</w:t>
      </w:r>
      <w:r w:rsidR="005B4E0F">
        <w:rPr>
          <w:sz w:val="24"/>
          <w:szCs w:val="24"/>
        </w:rPr>
        <w:t>-</w:t>
      </w:r>
      <w:r w:rsidR="00092458">
        <w:rPr>
          <w:sz w:val="24"/>
          <w:szCs w:val="24"/>
        </w:rPr>
        <w:t>1606</w:t>
      </w:r>
      <w:r w:rsidR="005B4E0F">
        <w:rPr>
          <w:sz w:val="24"/>
          <w:szCs w:val="24"/>
        </w:rPr>
        <w:t>)</w:t>
      </w:r>
      <w:r w:rsidR="005B4E0F">
        <w:rPr>
          <w:rStyle w:val="Appelnotedebasdep"/>
          <w:sz w:val="24"/>
          <w:szCs w:val="24"/>
        </w:rPr>
        <w:footnoteReference w:id="74"/>
      </w:r>
      <w:r w:rsidR="005B4E0F">
        <w:rPr>
          <w:sz w:val="24"/>
          <w:szCs w:val="24"/>
        </w:rPr>
        <w:t>.</w:t>
      </w:r>
    </w:p>
    <w:p w14:paraId="35C3CC70" w14:textId="1137B251" w:rsidR="00103F70" w:rsidRDefault="003937FE" w:rsidP="00D021EB">
      <w:pPr>
        <w:spacing w:after="0" w:line="360" w:lineRule="auto"/>
        <w:ind w:firstLine="360"/>
        <w:jc w:val="both"/>
        <w:rPr>
          <w:sz w:val="24"/>
          <w:szCs w:val="24"/>
        </w:rPr>
      </w:pPr>
      <w:r>
        <w:rPr>
          <w:sz w:val="24"/>
          <w:szCs w:val="24"/>
        </w:rPr>
        <w:t xml:space="preserve">Alexandre Wiltheim bénéficie, en outre, de son réseau de correspondants qui lui procure </w:t>
      </w:r>
      <w:r w:rsidR="00511AC8">
        <w:rPr>
          <w:sz w:val="24"/>
          <w:szCs w:val="24"/>
        </w:rPr>
        <w:t>d</w:t>
      </w:r>
      <w:r>
        <w:rPr>
          <w:sz w:val="24"/>
          <w:szCs w:val="24"/>
        </w:rPr>
        <w:t>es transcriptions d’inscriptions</w:t>
      </w:r>
      <w:r w:rsidR="00DA1666">
        <w:rPr>
          <w:sz w:val="24"/>
          <w:szCs w:val="24"/>
        </w:rPr>
        <w:t xml:space="preserve"> récemment découvertes qui ne figurent pas encore dans les grands recueils dont il dispose. </w:t>
      </w:r>
      <w:r>
        <w:rPr>
          <w:sz w:val="24"/>
          <w:szCs w:val="24"/>
        </w:rPr>
        <w:t xml:space="preserve">Il </w:t>
      </w:r>
      <w:r w:rsidR="006B063B">
        <w:rPr>
          <w:sz w:val="24"/>
          <w:szCs w:val="24"/>
        </w:rPr>
        <w:t>se réfère</w:t>
      </w:r>
      <w:r>
        <w:rPr>
          <w:sz w:val="24"/>
          <w:szCs w:val="24"/>
        </w:rPr>
        <w:t xml:space="preserve"> par exemple </w:t>
      </w:r>
      <w:r w:rsidR="00ED2E71">
        <w:rPr>
          <w:sz w:val="24"/>
          <w:szCs w:val="24"/>
        </w:rPr>
        <w:t xml:space="preserve">à </w:t>
      </w:r>
      <w:r>
        <w:rPr>
          <w:sz w:val="24"/>
          <w:szCs w:val="24"/>
        </w:rPr>
        <w:t xml:space="preserve">une inscription grecque </w:t>
      </w:r>
      <w:r w:rsidR="00DA1666">
        <w:rPr>
          <w:sz w:val="24"/>
          <w:szCs w:val="24"/>
        </w:rPr>
        <w:t>découverte à Smyrne (Izmir) en 1644</w:t>
      </w:r>
      <w:r w:rsidR="00DA1666">
        <w:rPr>
          <w:rStyle w:val="Appelnotedebasdep"/>
          <w:sz w:val="24"/>
          <w:szCs w:val="24"/>
        </w:rPr>
        <w:footnoteReference w:id="75"/>
      </w:r>
      <w:r w:rsidR="00DA1666">
        <w:rPr>
          <w:sz w:val="24"/>
          <w:szCs w:val="24"/>
        </w:rPr>
        <w:t xml:space="preserve">, qui lui fut transmise par </w:t>
      </w:r>
      <w:r w:rsidR="00D021EB">
        <w:rPr>
          <w:sz w:val="24"/>
          <w:szCs w:val="24"/>
        </w:rPr>
        <w:t>l’hagiographe jésuite Jacques Sirmond (1559-1651), ou encore à des inscriptions figurant sur des autels mis au jour près d’Aschaffenburg et de Mayence</w:t>
      </w:r>
      <w:r w:rsidR="00D021EB">
        <w:rPr>
          <w:rStyle w:val="Appelnotedebasdep"/>
          <w:sz w:val="24"/>
          <w:szCs w:val="24"/>
        </w:rPr>
        <w:footnoteReference w:id="76"/>
      </w:r>
      <w:r w:rsidR="00D021EB">
        <w:rPr>
          <w:sz w:val="24"/>
          <w:szCs w:val="24"/>
        </w:rPr>
        <w:t>, qui lui furent communiquées le jésuite Jacques Gamans (1605-1685)</w:t>
      </w:r>
      <w:r w:rsidR="00D021EB">
        <w:rPr>
          <w:rStyle w:val="Appelnotedebasdep"/>
          <w:sz w:val="24"/>
          <w:szCs w:val="24"/>
        </w:rPr>
        <w:footnoteReference w:id="77"/>
      </w:r>
      <w:r w:rsidR="00D021EB">
        <w:rPr>
          <w:sz w:val="24"/>
          <w:szCs w:val="24"/>
        </w:rPr>
        <w:t xml:space="preserve">. </w:t>
      </w:r>
      <w:r w:rsidR="006B063B">
        <w:rPr>
          <w:sz w:val="24"/>
          <w:szCs w:val="24"/>
        </w:rPr>
        <w:t xml:space="preserve">Cette correspondance permet également au jésuite luxembourgeois de prendre l’avis d’autres érudits quant à des questions </w:t>
      </w:r>
      <w:r w:rsidR="00ED2E71">
        <w:rPr>
          <w:sz w:val="24"/>
          <w:szCs w:val="24"/>
        </w:rPr>
        <w:t>qui le préoccupent, notamment à propos du</w:t>
      </w:r>
      <w:r w:rsidR="006B063B">
        <w:rPr>
          <w:sz w:val="24"/>
          <w:szCs w:val="24"/>
        </w:rPr>
        <w:t xml:space="preserve"> tracé des voies romaines dont il discute avec les jésuites français Philippe Labbé (</w:t>
      </w:r>
      <w:r w:rsidR="00861077">
        <w:rPr>
          <w:sz w:val="24"/>
          <w:szCs w:val="24"/>
        </w:rPr>
        <w:t>1607</w:t>
      </w:r>
      <w:r w:rsidR="006B063B">
        <w:rPr>
          <w:sz w:val="24"/>
          <w:szCs w:val="24"/>
        </w:rPr>
        <w:t>-</w:t>
      </w:r>
      <w:r w:rsidR="00861077">
        <w:rPr>
          <w:sz w:val="24"/>
          <w:szCs w:val="24"/>
        </w:rPr>
        <w:t>1667</w:t>
      </w:r>
      <w:r w:rsidR="006B063B">
        <w:rPr>
          <w:sz w:val="24"/>
          <w:szCs w:val="24"/>
        </w:rPr>
        <w:t>) et Jacques Vignier</w:t>
      </w:r>
      <w:r w:rsidR="00861077">
        <w:rPr>
          <w:sz w:val="24"/>
          <w:szCs w:val="24"/>
        </w:rPr>
        <w:t xml:space="preserve"> (1603-1669)</w:t>
      </w:r>
      <w:r w:rsidR="00861077">
        <w:rPr>
          <w:rStyle w:val="Appelnotedebasdep"/>
          <w:sz w:val="24"/>
          <w:szCs w:val="24"/>
        </w:rPr>
        <w:footnoteReference w:id="78"/>
      </w:r>
      <w:r w:rsidR="00861077">
        <w:rPr>
          <w:sz w:val="24"/>
          <w:szCs w:val="24"/>
        </w:rPr>
        <w:t>.</w:t>
      </w:r>
    </w:p>
    <w:p w14:paraId="1AB2D98E" w14:textId="7E7EAA11" w:rsidR="00056A0E" w:rsidRDefault="00092458" w:rsidP="00056A0E">
      <w:pPr>
        <w:spacing w:after="0" w:line="360" w:lineRule="auto"/>
        <w:ind w:firstLine="360"/>
        <w:jc w:val="both"/>
        <w:rPr>
          <w:sz w:val="24"/>
          <w:szCs w:val="24"/>
        </w:rPr>
      </w:pPr>
      <w:r>
        <w:rPr>
          <w:sz w:val="24"/>
          <w:szCs w:val="24"/>
        </w:rPr>
        <w:t>Cette méthode d’analyse, quoiqu’</w:t>
      </w:r>
      <w:r w:rsidR="00ED2E71">
        <w:rPr>
          <w:sz w:val="24"/>
          <w:szCs w:val="24"/>
        </w:rPr>
        <w:t xml:space="preserve">assez </w:t>
      </w:r>
      <w:r>
        <w:rPr>
          <w:sz w:val="24"/>
          <w:szCs w:val="24"/>
        </w:rPr>
        <w:t>unique dans les Pays-Bas méridionaux à cette époque, est relativement proche de celle utilisée par certains antiquaires</w:t>
      </w:r>
      <w:r w:rsidR="00D021EB">
        <w:rPr>
          <w:sz w:val="24"/>
          <w:szCs w:val="24"/>
        </w:rPr>
        <w:t xml:space="preserve"> ailleurs en Europe</w:t>
      </w:r>
      <w:r>
        <w:rPr>
          <w:sz w:val="24"/>
          <w:szCs w:val="24"/>
        </w:rPr>
        <w:t>, en particulier en ce qui concerne la mise en série des objets et le recours aux données fournies par le biais d’une riche correspondance savante. Il est toutefois deux points que l</w:t>
      </w:r>
      <w:r w:rsidR="00FC6666">
        <w:rPr>
          <w:sz w:val="24"/>
          <w:szCs w:val="24"/>
        </w:rPr>
        <w:t>’antiquaire</w:t>
      </w:r>
      <w:r>
        <w:rPr>
          <w:sz w:val="24"/>
          <w:szCs w:val="24"/>
        </w:rPr>
        <w:t xml:space="preserve"> luxembourgeois aborde avec une acuité particulière pour son époque : d’une part, son intérêt pour les techniques </w:t>
      </w:r>
      <w:r w:rsidR="00056A0E">
        <w:rPr>
          <w:sz w:val="24"/>
          <w:szCs w:val="24"/>
        </w:rPr>
        <w:t xml:space="preserve">antiques et, d’autre part, son souci de datation. </w:t>
      </w:r>
    </w:p>
    <w:p w14:paraId="28069521" w14:textId="443C6FE4" w:rsidR="00FA61A3" w:rsidRDefault="00056A0E" w:rsidP="00060541">
      <w:pPr>
        <w:spacing w:after="0" w:line="360" w:lineRule="auto"/>
        <w:ind w:firstLine="360"/>
        <w:jc w:val="both"/>
        <w:rPr>
          <w:rFonts w:eastAsia="Calibri" w:cs="Calibri"/>
          <w:sz w:val="24"/>
          <w:szCs w:val="24"/>
          <w:lang w:eastAsia="ar-SA"/>
        </w:rPr>
      </w:pPr>
      <w:r>
        <w:rPr>
          <w:sz w:val="24"/>
          <w:szCs w:val="24"/>
        </w:rPr>
        <w:t>Alexandre Wiltheim semble en effet particulièrement intéressé par les techniques utilisées par les ingénieurs et les artisans romains</w:t>
      </w:r>
      <w:r w:rsidR="000E45D6">
        <w:rPr>
          <w:sz w:val="24"/>
          <w:szCs w:val="24"/>
        </w:rPr>
        <w:t>, alors que</w:t>
      </w:r>
      <w:r w:rsidR="007100B5">
        <w:rPr>
          <w:sz w:val="24"/>
          <w:szCs w:val="24"/>
        </w:rPr>
        <w:t xml:space="preserve"> bon nombre de ses contemporains focalisaient uniquement leur attention sur les objets dotés d’une forte valeur artistique.</w:t>
      </w:r>
      <w:r>
        <w:rPr>
          <w:sz w:val="24"/>
          <w:szCs w:val="24"/>
        </w:rPr>
        <w:t xml:space="preserve"> </w:t>
      </w:r>
      <w:r w:rsidR="007100B5">
        <w:rPr>
          <w:sz w:val="24"/>
          <w:szCs w:val="24"/>
        </w:rPr>
        <w:t>Wiltheim</w:t>
      </w:r>
      <w:r w:rsidR="00060541">
        <w:rPr>
          <w:sz w:val="24"/>
          <w:szCs w:val="24"/>
        </w:rPr>
        <w:t xml:space="preserve"> se penche </w:t>
      </w:r>
      <w:r w:rsidR="007100B5">
        <w:rPr>
          <w:sz w:val="24"/>
          <w:szCs w:val="24"/>
        </w:rPr>
        <w:t xml:space="preserve">notamment </w:t>
      </w:r>
      <w:r w:rsidR="00060541">
        <w:rPr>
          <w:sz w:val="24"/>
          <w:szCs w:val="24"/>
        </w:rPr>
        <w:t xml:space="preserve">sur </w:t>
      </w:r>
      <w:r w:rsidR="00374F0B">
        <w:rPr>
          <w:sz w:val="24"/>
          <w:szCs w:val="24"/>
        </w:rPr>
        <w:t>l’élaboration</w:t>
      </w:r>
      <w:r w:rsidR="007100B5">
        <w:rPr>
          <w:sz w:val="24"/>
          <w:szCs w:val="24"/>
        </w:rPr>
        <w:t xml:space="preserve"> des pavements romains </w:t>
      </w:r>
      <w:r w:rsidR="00060541">
        <w:rPr>
          <w:sz w:val="24"/>
          <w:szCs w:val="24"/>
        </w:rPr>
        <w:t xml:space="preserve">ou </w:t>
      </w:r>
      <w:r w:rsidR="007100B5">
        <w:rPr>
          <w:sz w:val="24"/>
          <w:szCs w:val="24"/>
        </w:rPr>
        <w:t>sur</w:t>
      </w:r>
      <w:r w:rsidR="00060541">
        <w:rPr>
          <w:sz w:val="24"/>
          <w:szCs w:val="24"/>
        </w:rPr>
        <w:t xml:space="preserve"> </w:t>
      </w:r>
      <w:r w:rsidR="0098038D">
        <w:rPr>
          <w:sz w:val="24"/>
          <w:szCs w:val="24"/>
        </w:rPr>
        <w:t>l’utilisation des tuil</w:t>
      </w:r>
      <w:r w:rsidR="007100B5">
        <w:rPr>
          <w:sz w:val="24"/>
          <w:szCs w:val="24"/>
        </w:rPr>
        <w:t>es dans la confection des toits</w:t>
      </w:r>
      <w:r w:rsidR="0098038D">
        <w:rPr>
          <w:rStyle w:val="Appelnotedebasdep"/>
          <w:sz w:val="24"/>
          <w:szCs w:val="24"/>
        </w:rPr>
        <w:footnoteReference w:id="79"/>
      </w:r>
      <w:r w:rsidR="0098038D">
        <w:rPr>
          <w:sz w:val="24"/>
          <w:szCs w:val="24"/>
        </w:rPr>
        <w:t>. Le jésuite luxembourgeois se réfère</w:t>
      </w:r>
      <w:r w:rsidR="00531D60">
        <w:rPr>
          <w:sz w:val="24"/>
          <w:szCs w:val="24"/>
        </w:rPr>
        <w:t>,</w:t>
      </w:r>
      <w:r w:rsidR="0098038D">
        <w:rPr>
          <w:sz w:val="24"/>
          <w:szCs w:val="24"/>
        </w:rPr>
        <w:t xml:space="preserve"> dans les deux cas</w:t>
      </w:r>
      <w:r w:rsidR="00531D60">
        <w:rPr>
          <w:sz w:val="24"/>
          <w:szCs w:val="24"/>
        </w:rPr>
        <w:t>,</w:t>
      </w:r>
      <w:r w:rsidR="0098038D">
        <w:rPr>
          <w:sz w:val="24"/>
          <w:szCs w:val="24"/>
        </w:rPr>
        <w:t xml:space="preserve"> à l’</w:t>
      </w:r>
      <w:r w:rsidR="0098038D" w:rsidRPr="0098038D">
        <w:rPr>
          <w:i/>
          <w:sz w:val="24"/>
          <w:szCs w:val="24"/>
        </w:rPr>
        <w:t xml:space="preserve">Histoire Naturelle </w:t>
      </w:r>
      <w:r w:rsidR="0098038D">
        <w:rPr>
          <w:sz w:val="24"/>
          <w:szCs w:val="24"/>
        </w:rPr>
        <w:t>de Pline l’Ancien</w:t>
      </w:r>
      <w:r w:rsidR="00ED2E71">
        <w:rPr>
          <w:rStyle w:val="Appelnotedebasdep"/>
          <w:sz w:val="24"/>
          <w:szCs w:val="24"/>
        </w:rPr>
        <w:footnoteReference w:id="80"/>
      </w:r>
      <w:r w:rsidR="0098038D">
        <w:rPr>
          <w:sz w:val="24"/>
          <w:szCs w:val="24"/>
        </w:rPr>
        <w:t xml:space="preserve"> qu’il confronte à ses observations de terrain.</w:t>
      </w:r>
      <w:r w:rsidR="000D0A79">
        <w:rPr>
          <w:sz w:val="24"/>
          <w:szCs w:val="24"/>
        </w:rPr>
        <w:t xml:space="preserve"> Son étude de la structure des voies romaines est plus poussée encore : en </w:t>
      </w:r>
      <w:r w:rsidR="003B714E" w:rsidRPr="003B714E">
        <w:rPr>
          <w:sz w:val="24"/>
          <w:szCs w:val="24"/>
        </w:rPr>
        <w:t>1622</w:t>
      </w:r>
      <w:r w:rsidR="000D0A79" w:rsidRPr="003B714E">
        <w:rPr>
          <w:sz w:val="24"/>
          <w:szCs w:val="24"/>
        </w:rPr>
        <w:t xml:space="preserve">, le </w:t>
      </w:r>
      <w:r w:rsidR="000D0A79">
        <w:rPr>
          <w:sz w:val="24"/>
          <w:szCs w:val="24"/>
        </w:rPr>
        <w:t>savant français Nicolas Bergier (</w:t>
      </w:r>
      <w:r w:rsidR="00050949">
        <w:rPr>
          <w:sz w:val="24"/>
          <w:szCs w:val="24"/>
        </w:rPr>
        <w:t>1568</w:t>
      </w:r>
      <w:r w:rsidR="000D0A79">
        <w:rPr>
          <w:sz w:val="24"/>
          <w:szCs w:val="24"/>
        </w:rPr>
        <w:t>-</w:t>
      </w:r>
      <w:r w:rsidR="00050949">
        <w:rPr>
          <w:sz w:val="24"/>
          <w:szCs w:val="24"/>
        </w:rPr>
        <w:t>1623</w:t>
      </w:r>
      <w:r w:rsidR="000D0A79">
        <w:rPr>
          <w:sz w:val="24"/>
          <w:szCs w:val="24"/>
        </w:rPr>
        <w:t xml:space="preserve">) avait publié une </w:t>
      </w:r>
      <w:r w:rsidR="000D0A79" w:rsidRPr="000D0A79">
        <w:rPr>
          <w:i/>
          <w:sz w:val="24"/>
          <w:szCs w:val="24"/>
        </w:rPr>
        <w:t>Histoire des grands chemins de l’empire romain</w:t>
      </w:r>
      <w:r w:rsidR="000D0A79">
        <w:rPr>
          <w:sz w:val="24"/>
          <w:szCs w:val="24"/>
        </w:rPr>
        <w:t>, qui sera l’ouvrage de référence sur la question pour plusieurs siècles</w:t>
      </w:r>
      <w:r w:rsidR="000D0A79">
        <w:rPr>
          <w:rStyle w:val="Appelnotedebasdep"/>
          <w:sz w:val="24"/>
          <w:szCs w:val="24"/>
        </w:rPr>
        <w:footnoteReference w:id="81"/>
      </w:r>
      <w:r w:rsidR="000D0A79">
        <w:rPr>
          <w:sz w:val="24"/>
          <w:szCs w:val="24"/>
        </w:rPr>
        <w:t>. Nicolas Bergier y développ</w:t>
      </w:r>
      <w:r w:rsidR="000E45D6">
        <w:rPr>
          <w:sz w:val="24"/>
          <w:szCs w:val="24"/>
        </w:rPr>
        <w:t>ait</w:t>
      </w:r>
      <w:r w:rsidR="000D0A79">
        <w:rPr>
          <w:sz w:val="24"/>
          <w:szCs w:val="24"/>
        </w:rPr>
        <w:t xml:space="preserve"> une approche assez novatrice</w:t>
      </w:r>
      <w:r w:rsidR="00427B19">
        <w:rPr>
          <w:sz w:val="24"/>
          <w:szCs w:val="24"/>
        </w:rPr>
        <w:t>,</w:t>
      </w:r>
      <w:r w:rsidR="000D0A79">
        <w:rPr>
          <w:sz w:val="24"/>
          <w:szCs w:val="24"/>
        </w:rPr>
        <w:t xml:space="preserve"> en s’intéressant non seulement au tracé des voies mais aussi à</w:t>
      </w:r>
      <w:r w:rsidR="00427B19">
        <w:rPr>
          <w:sz w:val="24"/>
          <w:szCs w:val="24"/>
        </w:rPr>
        <w:t xml:space="preserve"> leur technique de construct</w:t>
      </w:r>
      <w:r w:rsidR="00FC1227">
        <w:rPr>
          <w:sz w:val="24"/>
          <w:szCs w:val="24"/>
        </w:rPr>
        <w:t>ion. Pour ce faire, il a</w:t>
      </w:r>
      <w:r w:rsidR="000E45D6">
        <w:rPr>
          <w:sz w:val="24"/>
          <w:szCs w:val="24"/>
        </w:rPr>
        <w:t>vait</w:t>
      </w:r>
      <w:r w:rsidR="00B211A3">
        <w:rPr>
          <w:sz w:val="24"/>
          <w:szCs w:val="24"/>
        </w:rPr>
        <w:t xml:space="preserve"> eu</w:t>
      </w:r>
      <w:r w:rsidR="00FC1227">
        <w:rPr>
          <w:sz w:val="24"/>
          <w:szCs w:val="24"/>
        </w:rPr>
        <w:t xml:space="preserve"> recours</w:t>
      </w:r>
      <w:r w:rsidR="00427B19">
        <w:rPr>
          <w:sz w:val="24"/>
          <w:szCs w:val="24"/>
        </w:rPr>
        <w:t xml:space="preserve"> au texte de</w:t>
      </w:r>
      <w:r w:rsidR="000D0A79">
        <w:rPr>
          <w:sz w:val="24"/>
          <w:szCs w:val="24"/>
        </w:rPr>
        <w:t xml:space="preserve"> Vitruve</w:t>
      </w:r>
      <w:r w:rsidR="000D0A79">
        <w:rPr>
          <w:rStyle w:val="Appelnotedebasdep"/>
          <w:sz w:val="24"/>
          <w:szCs w:val="24"/>
        </w:rPr>
        <w:footnoteReference w:id="82"/>
      </w:r>
      <w:r w:rsidR="000D0A79">
        <w:rPr>
          <w:sz w:val="24"/>
          <w:szCs w:val="24"/>
        </w:rPr>
        <w:t xml:space="preserve"> et surtout à une fouille menée dans les environs de Reims. Il en </w:t>
      </w:r>
      <w:r w:rsidR="00B211A3">
        <w:rPr>
          <w:sz w:val="24"/>
          <w:szCs w:val="24"/>
        </w:rPr>
        <w:t xml:space="preserve">avait tiré </w:t>
      </w:r>
      <w:r w:rsidR="000D0A79">
        <w:rPr>
          <w:sz w:val="24"/>
          <w:szCs w:val="24"/>
        </w:rPr>
        <w:t xml:space="preserve">une théorie selon laquelle les voies romaines </w:t>
      </w:r>
      <w:r w:rsidR="00050949" w:rsidRPr="00050949">
        <w:rPr>
          <w:bCs/>
          <w:sz w:val="24"/>
          <w:szCs w:val="24"/>
          <w:lang w:val="fr-FR"/>
        </w:rPr>
        <w:t xml:space="preserve">se composeraient de trois couches successives </w:t>
      </w:r>
      <w:r w:rsidR="00050949" w:rsidRPr="00050949">
        <w:rPr>
          <w:sz w:val="24"/>
          <w:szCs w:val="24"/>
          <w:lang w:val="fr-FR"/>
        </w:rPr>
        <w:t>(</w:t>
      </w:r>
      <w:r w:rsidR="00050949" w:rsidRPr="00050949">
        <w:rPr>
          <w:i/>
          <w:sz w:val="24"/>
          <w:szCs w:val="24"/>
          <w:lang w:val="fr-FR"/>
        </w:rPr>
        <w:t>statumen</w:t>
      </w:r>
      <w:r w:rsidR="00050949" w:rsidRPr="00050949">
        <w:rPr>
          <w:sz w:val="24"/>
          <w:szCs w:val="24"/>
          <w:lang w:val="fr-FR"/>
        </w:rPr>
        <w:t xml:space="preserve">, </w:t>
      </w:r>
      <w:r w:rsidR="00050949" w:rsidRPr="00050949">
        <w:rPr>
          <w:i/>
          <w:sz w:val="24"/>
          <w:szCs w:val="24"/>
          <w:lang w:val="fr-FR"/>
        </w:rPr>
        <w:t>rudus</w:t>
      </w:r>
      <w:r w:rsidR="00050949" w:rsidRPr="00050949">
        <w:rPr>
          <w:sz w:val="24"/>
          <w:szCs w:val="24"/>
          <w:lang w:val="fr-FR"/>
        </w:rPr>
        <w:t xml:space="preserve">, </w:t>
      </w:r>
      <w:r w:rsidR="00050949" w:rsidRPr="00050949">
        <w:rPr>
          <w:i/>
          <w:sz w:val="24"/>
          <w:szCs w:val="24"/>
          <w:lang w:val="fr-FR"/>
        </w:rPr>
        <w:t>nucleus</w:t>
      </w:r>
      <w:r w:rsidR="00050949">
        <w:rPr>
          <w:sz w:val="24"/>
          <w:szCs w:val="24"/>
          <w:lang w:val="fr-FR"/>
        </w:rPr>
        <w:t>)</w:t>
      </w:r>
      <w:r w:rsidR="000D0A79">
        <w:rPr>
          <w:rStyle w:val="Appelnotedebasdep"/>
          <w:sz w:val="24"/>
          <w:szCs w:val="24"/>
        </w:rPr>
        <w:footnoteReference w:id="83"/>
      </w:r>
      <w:r w:rsidR="000D0A79">
        <w:rPr>
          <w:sz w:val="24"/>
          <w:szCs w:val="24"/>
        </w:rPr>
        <w:t>. Alexandre Wiltheim a</w:t>
      </w:r>
      <w:r w:rsidR="000E45D6">
        <w:rPr>
          <w:sz w:val="24"/>
          <w:szCs w:val="24"/>
        </w:rPr>
        <w:t xml:space="preserve"> bien sûr</w:t>
      </w:r>
      <w:r w:rsidR="000D0A79">
        <w:rPr>
          <w:sz w:val="24"/>
          <w:szCs w:val="24"/>
        </w:rPr>
        <w:t xml:space="preserve"> lu l’ouvrage de Nicolas Bergier </w:t>
      </w:r>
      <w:r w:rsidR="00FA61A3">
        <w:rPr>
          <w:sz w:val="24"/>
          <w:szCs w:val="24"/>
        </w:rPr>
        <w:t>auquel il se réfère directement</w:t>
      </w:r>
      <w:r w:rsidR="000D0A79">
        <w:rPr>
          <w:rStyle w:val="Appelnotedebasdep"/>
          <w:sz w:val="24"/>
          <w:szCs w:val="24"/>
        </w:rPr>
        <w:footnoteReference w:id="84"/>
      </w:r>
      <w:r w:rsidR="000D0A79">
        <w:rPr>
          <w:sz w:val="24"/>
          <w:szCs w:val="24"/>
        </w:rPr>
        <w:t xml:space="preserve"> mais, bien que ce dernier fasse autorité en la matière, le jésuite luxembourgeois décide de mener sa propre fouille</w:t>
      </w:r>
      <w:r w:rsidR="00FA61A3">
        <w:rPr>
          <w:sz w:val="24"/>
          <w:szCs w:val="24"/>
        </w:rPr>
        <w:t>,</w:t>
      </w:r>
      <w:r w:rsidR="000D0A79">
        <w:rPr>
          <w:sz w:val="24"/>
          <w:szCs w:val="24"/>
        </w:rPr>
        <w:t xml:space="preserve"> en compagnie de son frère aîné Eustache</w:t>
      </w:r>
      <w:r w:rsidR="00FA61A3">
        <w:rPr>
          <w:sz w:val="24"/>
          <w:szCs w:val="24"/>
        </w:rPr>
        <w:t xml:space="preserve"> (1600-1667)</w:t>
      </w:r>
      <w:r w:rsidR="000D0A79">
        <w:rPr>
          <w:sz w:val="24"/>
          <w:szCs w:val="24"/>
        </w:rPr>
        <w:t xml:space="preserve"> et de</w:t>
      </w:r>
      <w:r w:rsidR="00050949">
        <w:rPr>
          <w:sz w:val="24"/>
          <w:szCs w:val="24"/>
        </w:rPr>
        <w:t xml:space="preserve"> son beau-frère</w:t>
      </w:r>
      <w:r w:rsidR="000D0A79">
        <w:rPr>
          <w:sz w:val="24"/>
          <w:szCs w:val="24"/>
        </w:rPr>
        <w:t xml:space="preserve"> </w:t>
      </w:r>
      <w:r w:rsidR="00FA61A3">
        <w:rPr>
          <w:rFonts w:eastAsia="Calibri" w:cs="Calibri"/>
          <w:sz w:val="24"/>
          <w:szCs w:val="24"/>
          <w:lang w:eastAsia="ar-SA"/>
        </w:rPr>
        <w:t>Christophe Bin</w:t>
      </w:r>
      <w:r w:rsidR="00050949">
        <w:rPr>
          <w:rFonts w:eastAsia="Calibri" w:cs="Calibri"/>
          <w:sz w:val="24"/>
          <w:szCs w:val="24"/>
          <w:lang w:eastAsia="ar-SA"/>
        </w:rPr>
        <w:t>s</w:t>
      </w:r>
      <w:r w:rsidR="00F07633">
        <w:rPr>
          <w:rFonts w:eastAsia="Calibri" w:cs="Calibri"/>
          <w:sz w:val="24"/>
          <w:szCs w:val="24"/>
          <w:lang w:eastAsia="ar-SA"/>
        </w:rPr>
        <w:t>feld</w:t>
      </w:r>
      <w:r w:rsidR="00FA61A3">
        <w:rPr>
          <w:rStyle w:val="Appelnotedebasdep"/>
          <w:rFonts w:eastAsia="Calibri" w:cs="Calibri"/>
          <w:sz w:val="24"/>
          <w:szCs w:val="24"/>
          <w:lang w:eastAsia="ar-SA"/>
        </w:rPr>
        <w:footnoteReference w:id="85"/>
      </w:r>
      <w:r w:rsidR="00FA61A3">
        <w:rPr>
          <w:rFonts w:eastAsia="Calibri" w:cs="Calibri"/>
          <w:sz w:val="24"/>
          <w:szCs w:val="24"/>
          <w:lang w:eastAsia="ar-SA"/>
        </w:rPr>
        <w:t xml:space="preserve">. Le livre de Bergier en main, ils comparent les résultats de leur fouille aux descriptions </w:t>
      </w:r>
      <w:r w:rsidR="005206EC">
        <w:rPr>
          <w:rFonts w:eastAsia="Calibri" w:cs="Calibri"/>
          <w:sz w:val="24"/>
          <w:szCs w:val="24"/>
          <w:lang w:eastAsia="ar-SA"/>
        </w:rPr>
        <w:t>de</w:t>
      </w:r>
      <w:r w:rsidR="00FA61A3">
        <w:rPr>
          <w:rFonts w:eastAsia="Calibri" w:cs="Calibri"/>
          <w:sz w:val="24"/>
          <w:szCs w:val="24"/>
          <w:lang w:eastAsia="ar-SA"/>
        </w:rPr>
        <w:t xml:space="preserve"> </w:t>
      </w:r>
      <w:r w:rsidR="000E5584">
        <w:rPr>
          <w:rFonts w:eastAsia="Calibri" w:cs="Calibri"/>
          <w:sz w:val="24"/>
          <w:szCs w:val="24"/>
          <w:lang w:eastAsia="ar-SA"/>
        </w:rPr>
        <w:t>celui-ci</w:t>
      </w:r>
      <w:r w:rsidR="007100B5">
        <w:rPr>
          <w:rFonts w:eastAsia="Calibri" w:cs="Calibri"/>
          <w:sz w:val="24"/>
          <w:szCs w:val="24"/>
          <w:lang w:eastAsia="ar-SA"/>
        </w:rPr>
        <w:t xml:space="preserve">, en relevant notamment les choses qu’ils ont « </w:t>
      </w:r>
      <w:r w:rsidR="00FA61A3">
        <w:rPr>
          <w:rFonts w:eastAsia="Calibri" w:cs="Calibri"/>
          <w:sz w:val="24"/>
          <w:szCs w:val="24"/>
          <w:lang w:eastAsia="ar-SA"/>
        </w:rPr>
        <w:t>observées</w:t>
      </w:r>
      <w:r w:rsidR="007100B5">
        <w:rPr>
          <w:rFonts w:eastAsia="Calibri" w:cs="Calibri"/>
          <w:sz w:val="24"/>
          <w:szCs w:val="24"/>
          <w:lang w:eastAsia="ar-SA"/>
        </w:rPr>
        <w:t xml:space="preserve"> et qui</w:t>
      </w:r>
      <w:r w:rsidR="00FA61A3">
        <w:rPr>
          <w:rFonts w:eastAsia="Calibri" w:cs="Calibri"/>
          <w:sz w:val="24"/>
          <w:szCs w:val="24"/>
          <w:lang w:eastAsia="ar-SA"/>
        </w:rPr>
        <w:t xml:space="preserve"> ont été soit négligées, soit non remarquées et </w:t>
      </w:r>
      <w:r w:rsidR="007100B5">
        <w:rPr>
          <w:rFonts w:eastAsia="Calibri" w:cs="Calibri"/>
          <w:sz w:val="24"/>
          <w:szCs w:val="24"/>
          <w:lang w:eastAsia="ar-SA"/>
        </w:rPr>
        <w:t>qui n’ont certainement pas été</w:t>
      </w:r>
      <w:r w:rsidR="00FA61A3">
        <w:rPr>
          <w:rFonts w:eastAsia="Calibri" w:cs="Calibri"/>
          <w:sz w:val="24"/>
          <w:szCs w:val="24"/>
          <w:lang w:eastAsia="ar-SA"/>
        </w:rPr>
        <w:t xml:space="preserve"> rapportées par Bergier</w:t>
      </w:r>
      <w:r w:rsidR="007100B5">
        <w:rPr>
          <w:rFonts w:eastAsia="Calibri" w:cs="Calibri"/>
          <w:sz w:val="24"/>
          <w:szCs w:val="24"/>
          <w:lang w:eastAsia="ar-SA"/>
        </w:rPr>
        <w:t> »</w:t>
      </w:r>
      <w:r w:rsidR="007100B5">
        <w:rPr>
          <w:rStyle w:val="Appelnotedebasdep"/>
          <w:rFonts w:eastAsia="Calibri" w:cs="Calibri"/>
          <w:sz w:val="24"/>
          <w:szCs w:val="24"/>
          <w:lang w:eastAsia="ar-SA"/>
        </w:rPr>
        <w:footnoteReference w:id="86"/>
      </w:r>
      <w:r w:rsidR="00FA61A3">
        <w:rPr>
          <w:rFonts w:eastAsia="Calibri" w:cs="Calibri"/>
          <w:sz w:val="24"/>
          <w:szCs w:val="24"/>
          <w:lang w:eastAsia="ar-SA"/>
        </w:rPr>
        <w:t>.</w:t>
      </w:r>
      <w:r w:rsidR="007100B5">
        <w:rPr>
          <w:rFonts w:eastAsia="Calibri" w:cs="Calibri"/>
          <w:sz w:val="24"/>
          <w:szCs w:val="24"/>
          <w:lang w:eastAsia="ar-SA"/>
        </w:rPr>
        <w:t xml:space="preserve"> L’observation sur le terrain </w:t>
      </w:r>
      <w:r w:rsidR="00427B19">
        <w:rPr>
          <w:rFonts w:eastAsia="Calibri" w:cs="Calibri"/>
          <w:sz w:val="24"/>
          <w:szCs w:val="24"/>
          <w:lang w:eastAsia="ar-SA"/>
        </w:rPr>
        <w:t>et la fouille sont, une fois encore, le fondement sur lequel reposent les recherches de l’antiquaire jésuite</w:t>
      </w:r>
      <w:r w:rsidR="007100B5">
        <w:rPr>
          <w:rFonts w:eastAsia="Calibri" w:cs="Calibri"/>
          <w:sz w:val="24"/>
          <w:szCs w:val="24"/>
          <w:lang w:eastAsia="ar-SA"/>
        </w:rPr>
        <w:t>.</w:t>
      </w:r>
    </w:p>
    <w:p w14:paraId="35A55703" w14:textId="7E6ABACD" w:rsidR="00497EFC" w:rsidRPr="00497EFC" w:rsidRDefault="00497EFC" w:rsidP="00497EFC">
      <w:pPr>
        <w:spacing w:after="0" w:line="360" w:lineRule="auto"/>
        <w:ind w:firstLine="360"/>
        <w:jc w:val="both"/>
        <w:rPr>
          <w:rFonts w:eastAsia="Calibri" w:cs="Calibri"/>
          <w:color w:val="FF0000"/>
          <w:sz w:val="24"/>
          <w:szCs w:val="24"/>
          <w:lang w:eastAsia="ar-SA"/>
        </w:rPr>
      </w:pPr>
      <w:r>
        <w:rPr>
          <w:rFonts w:eastAsia="Calibri" w:cs="Calibri"/>
          <w:sz w:val="24"/>
          <w:szCs w:val="24"/>
          <w:lang w:eastAsia="ar-SA"/>
        </w:rPr>
        <w:t xml:space="preserve">L’attention portée par Wiltheim aux questions de datation constitue également un aspect relativement original de </w:t>
      </w:r>
      <w:r w:rsidR="00427B19">
        <w:rPr>
          <w:rFonts w:eastAsia="Calibri" w:cs="Calibri"/>
          <w:sz w:val="24"/>
          <w:szCs w:val="24"/>
          <w:lang w:eastAsia="ar-SA"/>
        </w:rPr>
        <w:t>son enquête</w:t>
      </w:r>
      <w:r>
        <w:rPr>
          <w:rFonts w:eastAsia="Calibri" w:cs="Calibri"/>
          <w:sz w:val="24"/>
          <w:szCs w:val="24"/>
          <w:lang w:eastAsia="ar-SA"/>
        </w:rPr>
        <w:t xml:space="preserve">. </w:t>
      </w:r>
      <w:r w:rsidR="003D04CC">
        <w:rPr>
          <w:rFonts w:eastAsia="Calibri" w:cs="Calibri"/>
          <w:sz w:val="24"/>
          <w:szCs w:val="24"/>
          <w:lang w:eastAsia="ar-SA"/>
        </w:rPr>
        <w:t xml:space="preserve">Malgré les difficultés inhérentes à l’exercice, à une époque où l’épigraphie et l’iconologie sont encore balbutiantes, </w:t>
      </w:r>
      <w:r>
        <w:rPr>
          <w:rFonts w:eastAsia="Calibri" w:cs="Calibri"/>
          <w:sz w:val="24"/>
          <w:szCs w:val="24"/>
          <w:lang w:eastAsia="ar-SA"/>
        </w:rPr>
        <w:t>le jésuite</w:t>
      </w:r>
      <w:r w:rsidR="003D04CC">
        <w:rPr>
          <w:rFonts w:eastAsia="Calibri" w:cs="Calibri"/>
          <w:sz w:val="24"/>
          <w:szCs w:val="24"/>
          <w:lang w:eastAsia="ar-SA"/>
        </w:rPr>
        <w:t xml:space="preserve"> tente, au moins à trois reprises, de dater des sites ou des vestiges à partir de données très diverses. À Arlon, tout d’abord, il s’intéresse aux vestiges de la muraille romaine et constate qu’elle est </w:t>
      </w:r>
      <w:r w:rsidR="000E5584">
        <w:rPr>
          <w:rFonts w:eastAsia="Calibri" w:cs="Calibri"/>
          <w:sz w:val="24"/>
          <w:szCs w:val="24"/>
          <w:lang w:eastAsia="ar-SA"/>
        </w:rPr>
        <w:t xml:space="preserve">en </w:t>
      </w:r>
      <w:r w:rsidR="003D04CC">
        <w:rPr>
          <w:rFonts w:eastAsia="Calibri" w:cs="Calibri"/>
          <w:sz w:val="24"/>
          <w:szCs w:val="24"/>
          <w:lang w:eastAsia="ar-SA"/>
        </w:rPr>
        <w:t xml:space="preserve">grande partie constituée d’inscriptions funéraires païennes réutilisées. Il se réfère à la législation romaine et constate que la profanation de sépultures </w:t>
      </w:r>
      <w:r w:rsidR="005206EC">
        <w:rPr>
          <w:rFonts w:eastAsia="Calibri" w:cs="Calibri"/>
          <w:sz w:val="24"/>
          <w:szCs w:val="24"/>
          <w:lang w:eastAsia="ar-SA"/>
        </w:rPr>
        <w:t xml:space="preserve">y est très fortement condamnée </w:t>
      </w:r>
      <w:r w:rsidR="008F75C6" w:rsidRPr="008F75C6">
        <w:rPr>
          <w:rFonts w:eastAsia="Calibri" w:cs="Calibri"/>
          <w:sz w:val="24"/>
          <w:szCs w:val="24"/>
          <w:lang w:eastAsia="ar-SA"/>
        </w:rPr>
        <w:t>au moins jusqu’au règne de Julien l’Apostat (361-363)</w:t>
      </w:r>
      <w:r w:rsidR="003D04CC">
        <w:rPr>
          <w:rFonts w:eastAsia="Calibri" w:cs="Calibri"/>
          <w:sz w:val="24"/>
          <w:szCs w:val="24"/>
          <w:lang w:eastAsia="ar-SA"/>
        </w:rPr>
        <w:t>.</w:t>
      </w:r>
      <w:r w:rsidR="008F75C6">
        <w:rPr>
          <w:rFonts w:eastAsia="Calibri" w:cs="Calibri"/>
          <w:sz w:val="24"/>
          <w:szCs w:val="24"/>
          <w:lang w:eastAsia="ar-SA"/>
        </w:rPr>
        <w:t xml:space="preserve"> À l’inverse, une loi promulguée en 408, sous les règnes de Flavius Honorius et Théodose II, </w:t>
      </w:r>
      <w:r w:rsidR="00D642F8">
        <w:rPr>
          <w:rFonts w:eastAsia="Calibri" w:cs="Calibri"/>
          <w:sz w:val="24"/>
          <w:szCs w:val="24"/>
          <w:lang w:eastAsia="ar-SA"/>
        </w:rPr>
        <w:t>prescrit la</w:t>
      </w:r>
      <w:r w:rsidR="007D7A12">
        <w:rPr>
          <w:rFonts w:eastAsia="Calibri" w:cs="Calibri"/>
          <w:sz w:val="24"/>
          <w:szCs w:val="24"/>
          <w:lang w:eastAsia="ar-SA"/>
        </w:rPr>
        <w:t xml:space="preserve"> destruction</w:t>
      </w:r>
      <w:r w:rsidR="00D642F8">
        <w:rPr>
          <w:rFonts w:eastAsia="Calibri" w:cs="Calibri"/>
          <w:sz w:val="24"/>
          <w:szCs w:val="24"/>
          <w:lang w:eastAsia="ar-SA"/>
        </w:rPr>
        <w:t xml:space="preserve"> des monuments païens</w:t>
      </w:r>
      <w:r w:rsidR="007D7A12">
        <w:rPr>
          <w:rFonts w:eastAsia="Calibri" w:cs="Calibri"/>
          <w:sz w:val="24"/>
          <w:szCs w:val="24"/>
          <w:lang w:eastAsia="ar-SA"/>
        </w:rPr>
        <w:t>, ce qui laisse penser à Alexandre Wiltheim que la muraille date de la fin du IV</w:t>
      </w:r>
      <w:r w:rsidR="007D7A12" w:rsidRPr="007D7A12">
        <w:rPr>
          <w:rFonts w:eastAsia="Calibri" w:cs="Calibri"/>
          <w:sz w:val="24"/>
          <w:szCs w:val="24"/>
          <w:vertAlign w:val="superscript"/>
          <w:lang w:eastAsia="ar-SA"/>
        </w:rPr>
        <w:t>e</w:t>
      </w:r>
      <w:r w:rsidR="007D7A12">
        <w:rPr>
          <w:rFonts w:eastAsia="Calibri" w:cs="Calibri"/>
          <w:sz w:val="24"/>
          <w:szCs w:val="24"/>
          <w:lang w:eastAsia="ar-SA"/>
        </w:rPr>
        <w:t xml:space="preserve"> ou du début du V</w:t>
      </w:r>
      <w:r w:rsidR="007D7A12" w:rsidRPr="007D7A12">
        <w:rPr>
          <w:rFonts w:eastAsia="Calibri" w:cs="Calibri"/>
          <w:sz w:val="24"/>
          <w:szCs w:val="24"/>
          <w:vertAlign w:val="superscript"/>
          <w:lang w:eastAsia="ar-SA"/>
        </w:rPr>
        <w:t>e</w:t>
      </w:r>
      <w:r w:rsidR="007D7A12">
        <w:rPr>
          <w:rFonts w:eastAsia="Calibri" w:cs="Calibri"/>
          <w:sz w:val="24"/>
          <w:szCs w:val="24"/>
          <w:lang w:eastAsia="ar-SA"/>
        </w:rPr>
        <w:t xml:space="preserve"> siècle</w:t>
      </w:r>
      <w:r w:rsidR="007D7A12">
        <w:rPr>
          <w:rStyle w:val="Appelnotedebasdep"/>
          <w:rFonts w:eastAsia="Calibri" w:cs="Calibri"/>
          <w:sz w:val="24"/>
          <w:szCs w:val="24"/>
          <w:lang w:eastAsia="ar-SA"/>
        </w:rPr>
        <w:footnoteReference w:id="87"/>
      </w:r>
      <w:r w:rsidR="007D7A12">
        <w:rPr>
          <w:rFonts w:eastAsia="Calibri" w:cs="Calibri"/>
          <w:sz w:val="24"/>
          <w:szCs w:val="24"/>
          <w:lang w:eastAsia="ar-SA"/>
        </w:rPr>
        <w:t>.</w:t>
      </w:r>
      <w:r w:rsidR="003D04CC">
        <w:rPr>
          <w:rFonts w:eastAsia="Calibri" w:cs="Calibri"/>
          <w:sz w:val="24"/>
          <w:szCs w:val="24"/>
          <w:lang w:eastAsia="ar-SA"/>
        </w:rPr>
        <w:t xml:space="preserve"> À Igel, comme</w:t>
      </w:r>
      <w:r w:rsidR="00427B19">
        <w:rPr>
          <w:rFonts w:eastAsia="Calibri" w:cs="Calibri"/>
          <w:sz w:val="24"/>
          <w:szCs w:val="24"/>
          <w:lang w:eastAsia="ar-SA"/>
        </w:rPr>
        <w:t xml:space="preserve"> nous l’avons vu, il considère </w:t>
      </w:r>
      <w:r w:rsidR="003D04CC">
        <w:rPr>
          <w:rFonts w:eastAsia="Calibri" w:cs="Calibri"/>
          <w:sz w:val="24"/>
          <w:szCs w:val="24"/>
          <w:lang w:eastAsia="ar-SA"/>
        </w:rPr>
        <w:t xml:space="preserve">que l’iconographie du monument évoque le travail des </w:t>
      </w:r>
      <w:r w:rsidR="00F9559F">
        <w:rPr>
          <w:rFonts w:eastAsia="Calibri" w:cs="Calibri"/>
          <w:i/>
          <w:sz w:val="24"/>
          <w:szCs w:val="24"/>
          <w:lang w:eastAsia="ar-SA"/>
        </w:rPr>
        <w:t>a</w:t>
      </w:r>
      <w:r w:rsidR="003D04CC" w:rsidRPr="003D04CC">
        <w:rPr>
          <w:rFonts w:eastAsia="Calibri" w:cs="Calibri"/>
          <w:i/>
          <w:sz w:val="24"/>
          <w:szCs w:val="24"/>
          <w:lang w:eastAsia="ar-SA"/>
        </w:rPr>
        <w:t>gentes in rebus</w:t>
      </w:r>
      <w:r w:rsidR="003D04CC">
        <w:rPr>
          <w:rFonts w:eastAsia="Calibri" w:cs="Calibri"/>
          <w:sz w:val="24"/>
          <w:szCs w:val="24"/>
          <w:lang w:eastAsia="ar-SA"/>
        </w:rPr>
        <w:t xml:space="preserve">, un corps fondé par l’empereur Dioclétien qui règne de 284 à 305, ce qui constitue un </w:t>
      </w:r>
      <w:r w:rsidR="003D04CC" w:rsidRPr="003D04CC">
        <w:rPr>
          <w:rFonts w:eastAsia="Calibri" w:cs="Calibri"/>
          <w:i/>
          <w:sz w:val="24"/>
          <w:szCs w:val="24"/>
          <w:lang w:eastAsia="ar-SA"/>
        </w:rPr>
        <w:t>terminus a quo</w:t>
      </w:r>
      <w:r w:rsidR="003D04CC">
        <w:rPr>
          <w:rFonts w:eastAsia="Calibri" w:cs="Calibri"/>
          <w:sz w:val="24"/>
          <w:szCs w:val="24"/>
          <w:lang w:eastAsia="ar-SA"/>
        </w:rPr>
        <w:t xml:space="preserve">. Il constate par ailleurs que de nombreuses références aux divinités païennes figurent sur les bas-reliefs du monument, ce qui le pousse à affirmer que </w:t>
      </w:r>
      <w:r w:rsidR="00C20E7C">
        <w:rPr>
          <w:rFonts w:eastAsia="Calibri" w:cs="Calibri"/>
          <w:sz w:val="24"/>
          <w:szCs w:val="24"/>
          <w:lang w:eastAsia="ar-SA"/>
        </w:rPr>
        <w:t>celui-ci</w:t>
      </w:r>
      <w:r w:rsidR="003D04CC">
        <w:rPr>
          <w:rFonts w:eastAsia="Calibri" w:cs="Calibri"/>
          <w:sz w:val="24"/>
          <w:szCs w:val="24"/>
          <w:lang w:eastAsia="ar-SA"/>
        </w:rPr>
        <w:t xml:space="preserve"> ne peut être postérieur au règne de Constantin (306-337), qui constitue </w:t>
      </w:r>
      <w:r w:rsidR="003D04CC" w:rsidRPr="008F75C6">
        <w:rPr>
          <w:rFonts w:eastAsia="Calibri" w:cs="Calibri"/>
          <w:sz w:val="24"/>
          <w:szCs w:val="24"/>
          <w:lang w:eastAsia="ar-SA"/>
        </w:rPr>
        <w:t xml:space="preserve">le </w:t>
      </w:r>
      <w:r w:rsidR="003D04CC" w:rsidRPr="003D04CC">
        <w:rPr>
          <w:rFonts w:eastAsia="Calibri" w:cs="Calibri"/>
          <w:i/>
          <w:sz w:val="24"/>
          <w:szCs w:val="24"/>
          <w:lang w:eastAsia="ar-SA"/>
        </w:rPr>
        <w:t>terminus ad quem</w:t>
      </w:r>
      <w:r w:rsidR="003D04CC">
        <w:rPr>
          <w:rFonts w:eastAsia="Calibri" w:cs="Calibri"/>
          <w:sz w:val="24"/>
          <w:szCs w:val="24"/>
          <w:lang w:eastAsia="ar-SA"/>
        </w:rPr>
        <w:t xml:space="preserve">. </w:t>
      </w:r>
      <w:r w:rsidR="008F75C6">
        <w:rPr>
          <w:rFonts w:eastAsia="Calibri" w:cs="Calibri"/>
          <w:sz w:val="24"/>
          <w:szCs w:val="24"/>
          <w:lang w:eastAsia="ar-SA"/>
        </w:rPr>
        <w:t>Par conséquent, il situe l’é</w:t>
      </w:r>
      <w:r w:rsidR="007D7A12">
        <w:rPr>
          <w:rFonts w:eastAsia="Calibri" w:cs="Calibri"/>
          <w:sz w:val="24"/>
          <w:szCs w:val="24"/>
          <w:lang w:eastAsia="ar-SA"/>
        </w:rPr>
        <w:t>dification</w:t>
      </w:r>
      <w:r w:rsidR="008F75C6">
        <w:rPr>
          <w:rFonts w:eastAsia="Calibri" w:cs="Calibri"/>
          <w:sz w:val="24"/>
          <w:szCs w:val="24"/>
          <w:lang w:eastAsia="ar-SA"/>
        </w:rPr>
        <w:t xml:space="preserve"> du monument à la fin du III</w:t>
      </w:r>
      <w:r w:rsidR="008F75C6" w:rsidRPr="008F75C6">
        <w:rPr>
          <w:rFonts w:eastAsia="Calibri" w:cs="Calibri"/>
          <w:sz w:val="24"/>
          <w:szCs w:val="24"/>
          <w:vertAlign w:val="superscript"/>
          <w:lang w:eastAsia="ar-SA"/>
        </w:rPr>
        <w:t>e</w:t>
      </w:r>
      <w:r w:rsidR="008F75C6">
        <w:rPr>
          <w:rFonts w:eastAsia="Calibri" w:cs="Calibri"/>
          <w:sz w:val="24"/>
          <w:szCs w:val="24"/>
          <w:lang w:eastAsia="ar-SA"/>
        </w:rPr>
        <w:t xml:space="preserve"> ou au tout début du IV</w:t>
      </w:r>
      <w:r w:rsidR="008F75C6" w:rsidRPr="008F75C6">
        <w:rPr>
          <w:rFonts w:eastAsia="Calibri" w:cs="Calibri"/>
          <w:sz w:val="24"/>
          <w:szCs w:val="24"/>
          <w:vertAlign w:val="superscript"/>
          <w:lang w:eastAsia="ar-SA"/>
        </w:rPr>
        <w:t>e</w:t>
      </w:r>
      <w:r w:rsidR="008F75C6">
        <w:rPr>
          <w:rFonts w:eastAsia="Calibri" w:cs="Calibri"/>
          <w:sz w:val="24"/>
          <w:szCs w:val="24"/>
          <w:lang w:eastAsia="ar-SA"/>
        </w:rPr>
        <w:t xml:space="preserve"> siècle</w:t>
      </w:r>
      <w:r w:rsidR="008F75C6">
        <w:rPr>
          <w:rStyle w:val="Appelnotedebasdep"/>
          <w:rFonts w:eastAsia="Calibri" w:cs="Calibri"/>
          <w:sz w:val="24"/>
          <w:szCs w:val="24"/>
          <w:lang w:eastAsia="ar-SA"/>
        </w:rPr>
        <w:footnoteReference w:id="88"/>
      </w:r>
      <w:r w:rsidR="008F75C6">
        <w:rPr>
          <w:rFonts w:eastAsia="Calibri" w:cs="Calibri"/>
          <w:sz w:val="24"/>
          <w:szCs w:val="24"/>
          <w:lang w:eastAsia="ar-SA"/>
        </w:rPr>
        <w:t>.</w:t>
      </w:r>
      <w:r w:rsidR="007D7A12">
        <w:rPr>
          <w:rFonts w:eastAsia="Calibri" w:cs="Calibri"/>
          <w:sz w:val="24"/>
          <w:szCs w:val="24"/>
          <w:lang w:eastAsia="ar-SA"/>
        </w:rPr>
        <w:t xml:space="preserve"> À </w:t>
      </w:r>
      <w:r w:rsidR="002861C1">
        <w:rPr>
          <w:rFonts w:eastAsia="Calibri" w:cs="Calibri"/>
          <w:sz w:val="24"/>
          <w:szCs w:val="24"/>
          <w:lang w:eastAsia="ar-SA"/>
        </w:rPr>
        <w:t>Altrier</w:t>
      </w:r>
      <w:r w:rsidR="007D7A12">
        <w:rPr>
          <w:rFonts w:eastAsia="Calibri" w:cs="Calibri"/>
          <w:sz w:val="24"/>
          <w:szCs w:val="24"/>
          <w:lang w:eastAsia="ar-SA"/>
        </w:rPr>
        <w:t>, enfin, Wiltheim a recours à la numismatique : il constate que les monnaies découvertes datent toutes des deux premiers siècles de notre ère et que les plus récentes remontent au règne au Commode (180-192), ce qui indiquerait que le site n’a pas été fréquenté longtemps après son règne</w:t>
      </w:r>
      <w:r w:rsidR="007D7A12">
        <w:rPr>
          <w:rStyle w:val="Appelnotedebasdep"/>
          <w:rFonts w:eastAsia="Calibri" w:cs="Calibri"/>
          <w:sz w:val="24"/>
          <w:szCs w:val="24"/>
          <w:lang w:eastAsia="ar-SA"/>
        </w:rPr>
        <w:footnoteReference w:id="89"/>
      </w:r>
      <w:r w:rsidR="007D7A12">
        <w:rPr>
          <w:rFonts w:eastAsia="Calibri" w:cs="Calibri"/>
          <w:sz w:val="24"/>
          <w:szCs w:val="24"/>
          <w:lang w:eastAsia="ar-SA"/>
        </w:rPr>
        <w:t>.</w:t>
      </w:r>
      <w:r w:rsidR="007833A9">
        <w:rPr>
          <w:rFonts w:eastAsia="Calibri" w:cs="Calibri"/>
          <w:sz w:val="24"/>
          <w:szCs w:val="24"/>
          <w:lang w:eastAsia="ar-SA"/>
        </w:rPr>
        <w:t xml:space="preserve"> </w:t>
      </w:r>
      <w:r>
        <w:rPr>
          <w:rFonts w:eastAsia="Calibri" w:cs="Calibri"/>
          <w:sz w:val="24"/>
          <w:szCs w:val="24"/>
          <w:lang w:eastAsia="ar-SA"/>
        </w:rPr>
        <w:t>Si, au vu de nos connaissances actuelles, ces propositions de datation s’avèrent généralement inexactes</w:t>
      </w:r>
      <w:r w:rsidR="002C6E5C">
        <w:rPr>
          <w:rStyle w:val="Appelnotedebasdep"/>
          <w:rFonts w:eastAsia="Calibri" w:cs="Calibri"/>
          <w:sz w:val="24"/>
          <w:szCs w:val="24"/>
          <w:lang w:eastAsia="ar-SA"/>
        </w:rPr>
        <w:footnoteReference w:id="90"/>
      </w:r>
      <w:r>
        <w:rPr>
          <w:rFonts w:eastAsia="Calibri" w:cs="Calibri"/>
          <w:sz w:val="24"/>
          <w:szCs w:val="24"/>
          <w:lang w:eastAsia="ar-SA"/>
        </w:rPr>
        <w:t xml:space="preserve">, elles reposent </w:t>
      </w:r>
      <w:r w:rsidR="00F9559F">
        <w:rPr>
          <w:rFonts w:eastAsia="Calibri" w:cs="Calibri"/>
          <w:sz w:val="24"/>
          <w:szCs w:val="24"/>
          <w:lang w:eastAsia="ar-SA"/>
        </w:rPr>
        <w:t xml:space="preserve">néanmoins </w:t>
      </w:r>
      <w:r>
        <w:rPr>
          <w:rFonts w:eastAsia="Calibri" w:cs="Calibri"/>
          <w:sz w:val="24"/>
          <w:szCs w:val="24"/>
          <w:lang w:eastAsia="ar-SA"/>
        </w:rPr>
        <w:t xml:space="preserve">sur une analyse fine des vestiges et </w:t>
      </w:r>
      <w:r w:rsidR="00427B19">
        <w:rPr>
          <w:rFonts w:eastAsia="Calibri" w:cs="Calibri"/>
          <w:sz w:val="24"/>
          <w:szCs w:val="24"/>
          <w:lang w:eastAsia="ar-SA"/>
        </w:rPr>
        <w:t xml:space="preserve">elles </w:t>
      </w:r>
      <w:r>
        <w:rPr>
          <w:rFonts w:eastAsia="Calibri" w:cs="Calibri"/>
          <w:sz w:val="24"/>
          <w:szCs w:val="24"/>
          <w:lang w:eastAsia="ar-SA"/>
        </w:rPr>
        <w:t xml:space="preserve">ont tout simplement le mérite d’exister, à une époque où </w:t>
      </w:r>
      <w:r w:rsidR="002C6E5C">
        <w:rPr>
          <w:rFonts w:eastAsia="Calibri" w:cs="Calibri"/>
          <w:sz w:val="24"/>
          <w:szCs w:val="24"/>
          <w:lang w:eastAsia="ar-SA"/>
        </w:rPr>
        <w:t xml:space="preserve">de nombreux </w:t>
      </w:r>
      <w:r>
        <w:rPr>
          <w:rFonts w:eastAsia="Calibri" w:cs="Calibri"/>
          <w:sz w:val="24"/>
          <w:szCs w:val="24"/>
          <w:lang w:eastAsia="ar-SA"/>
        </w:rPr>
        <w:t>antiquaires développaient</w:t>
      </w:r>
      <w:r w:rsidR="002C6E5C">
        <w:rPr>
          <w:rFonts w:eastAsia="Calibri" w:cs="Calibri"/>
          <w:sz w:val="24"/>
          <w:szCs w:val="24"/>
          <w:lang w:eastAsia="ar-SA"/>
        </w:rPr>
        <w:t xml:space="preserve"> encore</w:t>
      </w:r>
      <w:r>
        <w:rPr>
          <w:rFonts w:eastAsia="Calibri" w:cs="Calibri"/>
          <w:sz w:val="24"/>
          <w:szCs w:val="24"/>
          <w:lang w:eastAsia="ar-SA"/>
        </w:rPr>
        <w:t xml:space="preserve"> une vision « anhistorique » de l’antiquité</w:t>
      </w:r>
      <w:r>
        <w:rPr>
          <w:rStyle w:val="Appelnotedebasdep"/>
          <w:rFonts w:eastAsia="Calibri" w:cs="Calibri"/>
          <w:sz w:val="24"/>
          <w:szCs w:val="24"/>
          <w:lang w:eastAsia="ar-SA"/>
        </w:rPr>
        <w:footnoteReference w:id="91"/>
      </w:r>
      <w:r>
        <w:rPr>
          <w:rFonts w:eastAsia="Calibri" w:cs="Calibri"/>
          <w:sz w:val="24"/>
          <w:szCs w:val="24"/>
          <w:lang w:eastAsia="ar-SA"/>
        </w:rPr>
        <w:t>.</w:t>
      </w:r>
    </w:p>
    <w:p w14:paraId="5EC4B986" w14:textId="478D7D72" w:rsidR="00861077" w:rsidRDefault="00861077" w:rsidP="005C3CB0">
      <w:pPr>
        <w:spacing w:after="0" w:line="360" w:lineRule="auto"/>
        <w:jc w:val="both"/>
        <w:rPr>
          <w:b/>
          <w:sz w:val="24"/>
          <w:szCs w:val="24"/>
        </w:rPr>
      </w:pPr>
    </w:p>
    <w:p w14:paraId="1A124D64" w14:textId="77777777" w:rsidR="00F912B9" w:rsidRPr="005C3CB0" w:rsidRDefault="00F912B9" w:rsidP="005C3CB0">
      <w:pPr>
        <w:spacing w:after="0" w:line="360" w:lineRule="auto"/>
        <w:jc w:val="both"/>
        <w:rPr>
          <w:b/>
          <w:sz w:val="24"/>
          <w:szCs w:val="24"/>
        </w:rPr>
      </w:pPr>
    </w:p>
    <w:p w14:paraId="45F4E1A1" w14:textId="148E3B69" w:rsidR="001F4A27" w:rsidRDefault="001F4A27" w:rsidP="005C3CB0">
      <w:pPr>
        <w:spacing w:after="0" w:line="360" w:lineRule="auto"/>
        <w:jc w:val="both"/>
        <w:rPr>
          <w:b/>
          <w:i/>
          <w:sz w:val="26"/>
          <w:szCs w:val="26"/>
        </w:rPr>
      </w:pPr>
      <w:r w:rsidRPr="00963054">
        <w:rPr>
          <w:b/>
          <w:i/>
          <w:sz w:val="26"/>
          <w:szCs w:val="26"/>
        </w:rPr>
        <w:t>Conclusion</w:t>
      </w:r>
    </w:p>
    <w:p w14:paraId="2F89DC73" w14:textId="1AF83DEB" w:rsidR="00497EFC" w:rsidRDefault="00497EFC" w:rsidP="005C3CB0">
      <w:pPr>
        <w:spacing w:after="0" w:line="360" w:lineRule="auto"/>
        <w:jc w:val="both"/>
        <w:rPr>
          <w:b/>
          <w:i/>
          <w:sz w:val="26"/>
          <w:szCs w:val="26"/>
        </w:rPr>
      </w:pPr>
    </w:p>
    <w:p w14:paraId="235B24FA" w14:textId="6AF997D2" w:rsidR="00497EFC" w:rsidRDefault="00497EFC" w:rsidP="005C3CB0">
      <w:pPr>
        <w:spacing w:after="0" w:line="360" w:lineRule="auto"/>
        <w:jc w:val="both"/>
        <w:rPr>
          <w:sz w:val="24"/>
          <w:szCs w:val="24"/>
        </w:rPr>
      </w:pPr>
      <w:r>
        <w:rPr>
          <w:sz w:val="24"/>
          <w:szCs w:val="24"/>
        </w:rPr>
        <w:tab/>
        <w:t>Que le manuscrit de Wiltheim nous apprend-il sur les sources des savoirs à l’époque moderne ? Tout d’abord, que</w:t>
      </w:r>
      <w:r w:rsidR="00FB5328">
        <w:rPr>
          <w:sz w:val="24"/>
          <w:szCs w:val="24"/>
        </w:rPr>
        <w:t>, dans son cas</w:t>
      </w:r>
      <w:r>
        <w:rPr>
          <w:sz w:val="24"/>
          <w:szCs w:val="24"/>
        </w:rPr>
        <w:t xml:space="preserve"> comme dans celui de beaucoup </w:t>
      </w:r>
      <w:r w:rsidR="00FB5328">
        <w:rPr>
          <w:sz w:val="24"/>
          <w:szCs w:val="24"/>
        </w:rPr>
        <w:t>d’antiquaires</w:t>
      </w:r>
      <w:r w:rsidR="00C20E7C">
        <w:rPr>
          <w:sz w:val="24"/>
          <w:szCs w:val="24"/>
        </w:rPr>
        <w:t xml:space="preserve"> de l’époque</w:t>
      </w:r>
      <w:r w:rsidR="00FB5328">
        <w:rPr>
          <w:sz w:val="24"/>
          <w:szCs w:val="24"/>
        </w:rPr>
        <w:t xml:space="preserve"> </w:t>
      </w:r>
      <w:r>
        <w:rPr>
          <w:sz w:val="24"/>
          <w:szCs w:val="24"/>
        </w:rPr>
        <w:t>moderne ailleurs en Europe, ces sources sont multiples. Le texte antique</w:t>
      </w:r>
      <w:r w:rsidR="003007E8">
        <w:rPr>
          <w:sz w:val="24"/>
          <w:szCs w:val="24"/>
        </w:rPr>
        <w:t xml:space="preserve"> conserve son autorité et reste </w:t>
      </w:r>
      <w:r>
        <w:rPr>
          <w:sz w:val="24"/>
          <w:szCs w:val="24"/>
        </w:rPr>
        <w:t xml:space="preserve">une indispensable mine d’informations, utilisée aussi bien pour repérer les sites que pour étudier les monuments romains. Les textes médiévaux, parfois révélateurs de réalités anciennes, sont également exploités, de même que les travaux </w:t>
      </w:r>
      <w:r w:rsidR="00FB5328">
        <w:rPr>
          <w:sz w:val="24"/>
          <w:szCs w:val="24"/>
        </w:rPr>
        <w:t xml:space="preserve">plus récents </w:t>
      </w:r>
      <w:r>
        <w:rPr>
          <w:sz w:val="24"/>
          <w:szCs w:val="24"/>
        </w:rPr>
        <w:t xml:space="preserve">des érudits </w:t>
      </w:r>
      <w:r w:rsidR="00C20E7C">
        <w:rPr>
          <w:sz w:val="24"/>
          <w:szCs w:val="24"/>
        </w:rPr>
        <w:t>des XVI</w:t>
      </w:r>
      <w:r w:rsidR="00C20E7C" w:rsidRPr="00C20E7C">
        <w:rPr>
          <w:sz w:val="24"/>
          <w:szCs w:val="24"/>
          <w:vertAlign w:val="superscript"/>
        </w:rPr>
        <w:t>e</w:t>
      </w:r>
      <w:r w:rsidR="00C20E7C">
        <w:rPr>
          <w:sz w:val="24"/>
          <w:szCs w:val="24"/>
        </w:rPr>
        <w:t xml:space="preserve"> et XVII</w:t>
      </w:r>
      <w:r w:rsidR="00C20E7C" w:rsidRPr="00C20E7C">
        <w:rPr>
          <w:sz w:val="24"/>
          <w:szCs w:val="24"/>
          <w:vertAlign w:val="superscript"/>
        </w:rPr>
        <w:t>e</w:t>
      </w:r>
      <w:r w:rsidR="00C20E7C">
        <w:rPr>
          <w:sz w:val="24"/>
          <w:szCs w:val="24"/>
        </w:rPr>
        <w:t xml:space="preserve"> siècles</w:t>
      </w:r>
      <w:r>
        <w:rPr>
          <w:sz w:val="24"/>
          <w:szCs w:val="24"/>
        </w:rPr>
        <w:t xml:space="preserve">. Si le texte conserve son autorité, </w:t>
      </w:r>
      <w:r w:rsidR="00FB5328">
        <w:rPr>
          <w:sz w:val="24"/>
          <w:szCs w:val="24"/>
        </w:rPr>
        <w:t xml:space="preserve">l’attention du jésuite se focalise néanmoins sur le vestige matériel, </w:t>
      </w:r>
      <w:r w:rsidR="00F9559F">
        <w:rPr>
          <w:sz w:val="24"/>
          <w:szCs w:val="24"/>
        </w:rPr>
        <w:t xml:space="preserve">sur </w:t>
      </w:r>
      <w:r w:rsidR="00FB5328">
        <w:rPr>
          <w:sz w:val="24"/>
          <w:szCs w:val="24"/>
        </w:rPr>
        <w:t xml:space="preserve">la « trace archéologique » : contrairement à bon nombre </w:t>
      </w:r>
      <w:r w:rsidR="00BF5355">
        <w:rPr>
          <w:sz w:val="24"/>
          <w:szCs w:val="24"/>
        </w:rPr>
        <w:t>de ses pairs</w:t>
      </w:r>
      <w:r w:rsidR="00FB5328">
        <w:rPr>
          <w:sz w:val="24"/>
          <w:szCs w:val="24"/>
        </w:rPr>
        <w:t>, Wiltheim estime que ce</w:t>
      </w:r>
      <w:r w:rsidR="007F0C92">
        <w:rPr>
          <w:sz w:val="24"/>
          <w:szCs w:val="24"/>
        </w:rPr>
        <w:t>lle</w:t>
      </w:r>
      <w:r w:rsidR="00FB5328">
        <w:rPr>
          <w:sz w:val="24"/>
          <w:szCs w:val="24"/>
        </w:rPr>
        <w:t>-ci doit impérativement faire l’objet d’une observation personnelle pour être étudié</w:t>
      </w:r>
      <w:r w:rsidR="007F0C92">
        <w:rPr>
          <w:sz w:val="24"/>
          <w:szCs w:val="24"/>
        </w:rPr>
        <w:t>e</w:t>
      </w:r>
      <w:r w:rsidR="00FB5328">
        <w:rPr>
          <w:sz w:val="24"/>
          <w:szCs w:val="24"/>
        </w:rPr>
        <w:t xml:space="preserve"> sous toutes ses facettes. Pour ce faire, </w:t>
      </w:r>
      <w:r w:rsidR="007F0C92">
        <w:rPr>
          <w:sz w:val="24"/>
          <w:szCs w:val="24"/>
        </w:rPr>
        <w:t>le vestige</w:t>
      </w:r>
      <w:r w:rsidR="00FB5328">
        <w:rPr>
          <w:sz w:val="24"/>
          <w:szCs w:val="24"/>
        </w:rPr>
        <w:t xml:space="preserve"> peut être transporté dans le collège des </w:t>
      </w:r>
      <w:r w:rsidR="00B211A3">
        <w:rPr>
          <w:sz w:val="24"/>
          <w:szCs w:val="24"/>
        </w:rPr>
        <w:t>j</w:t>
      </w:r>
      <w:r w:rsidR="00FB5328">
        <w:rPr>
          <w:sz w:val="24"/>
          <w:szCs w:val="24"/>
        </w:rPr>
        <w:t>ésuites de Luxembourg mais, si cela n’est pas possible, c’est à l’érudit de se déplacer pour mener à bien son étude</w:t>
      </w:r>
      <w:r w:rsidR="007F0C92">
        <w:rPr>
          <w:sz w:val="24"/>
          <w:szCs w:val="24"/>
        </w:rPr>
        <w:t>. À</w:t>
      </w:r>
      <w:r w:rsidR="000B7BF0">
        <w:rPr>
          <w:sz w:val="24"/>
          <w:szCs w:val="24"/>
        </w:rPr>
        <w:t xml:space="preserve"> cette occasion, des fouilles archéologiques sont, dans quelques cas, menées sur le terrain afin d’apporter des éclaircissements sur la nature d’un site ou sur une techniqu</w:t>
      </w:r>
      <w:r w:rsidR="00F9559F">
        <w:rPr>
          <w:sz w:val="24"/>
          <w:szCs w:val="24"/>
        </w:rPr>
        <w:t>e mise en œuvre par les Romains</w:t>
      </w:r>
      <w:r w:rsidR="000B7BF0">
        <w:rPr>
          <w:sz w:val="24"/>
          <w:szCs w:val="24"/>
        </w:rPr>
        <w:t xml:space="preserve">. </w:t>
      </w:r>
      <w:r w:rsidR="00FB5328">
        <w:rPr>
          <w:sz w:val="24"/>
          <w:szCs w:val="24"/>
        </w:rPr>
        <w:t xml:space="preserve">Une fois </w:t>
      </w:r>
      <w:r w:rsidR="007F0C92">
        <w:rPr>
          <w:sz w:val="24"/>
          <w:szCs w:val="24"/>
        </w:rPr>
        <w:t>décrit</w:t>
      </w:r>
      <w:r w:rsidR="00FB5328">
        <w:rPr>
          <w:sz w:val="24"/>
          <w:szCs w:val="24"/>
        </w:rPr>
        <w:t>, le vestige</w:t>
      </w:r>
      <w:r w:rsidR="000B7BF0">
        <w:rPr>
          <w:sz w:val="24"/>
          <w:szCs w:val="24"/>
        </w:rPr>
        <w:t xml:space="preserve"> antique</w:t>
      </w:r>
      <w:r w:rsidR="00FB5328">
        <w:rPr>
          <w:sz w:val="24"/>
          <w:szCs w:val="24"/>
        </w:rPr>
        <w:t xml:space="preserve"> doit être confronté à d’autres objets ou sites, issus ou non de l’espace étudié, ou à des textes, afin de cerner correctement sa nature et </w:t>
      </w:r>
      <w:r w:rsidR="00626BAC">
        <w:rPr>
          <w:sz w:val="24"/>
          <w:szCs w:val="24"/>
        </w:rPr>
        <w:t>d’</w:t>
      </w:r>
      <w:r w:rsidR="00FB5328">
        <w:rPr>
          <w:sz w:val="24"/>
          <w:szCs w:val="24"/>
        </w:rPr>
        <w:t xml:space="preserve">établir </w:t>
      </w:r>
      <w:r w:rsidR="00626BAC">
        <w:rPr>
          <w:sz w:val="24"/>
          <w:szCs w:val="24"/>
        </w:rPr>
        <w:t xml:space="preserve">éventuellement </w:t>
      </w:r>
      <w:r w:rsidR="00FB5328">
        <w:rPr>
          <w:sz w:val="24"/>
          <w:szCs w:val="24"/>
        </w:rPr>
        <w:t>des éléments de datation.</w:t>
      </w:r>
      <w:r w:rsidR="00626BAC">
        <w:rPr>
          <w:sz w:val="24"/>
          <w:szCs w:val="24"/>
        </w:rPr>
        <w:t xml:space="preserve"> Le cas échéant, le jésuite fait appel à ses réseaux de correspondant</w:t>
      </w:r>
      <w:r w:rsidR="00F9559F">
        <w:rPr>
          <w:sz w:val="24"/>
          <w:szCs w:val="24"/>
        </w:rPr>
        <w:t>s</w:t>
      </w:r>
      <w:r w:rsidR="00626BAC">
        <w:rPr>
          <w:sz w:val="24"/>
          <w:szCs w:val="24"/>
        </w:rPr>
        <w:t xml:space="preserve"> pour obtenir des conseils ou des données qui pourraient enrichir son analyse. L’émergence d’un</w:t>
      </w:r>
      <w:r w:rsidR="000B7BF0">
        <w:rPr>
          <w:sz w:val="24"/>
          <w:szCs w:val="24"/>
        </w:rPr>
        <w:t xml:space="preserve"> impératif d’observation personnelle des sites antiques rend </w:t>
      </w:r>
      <w:r w:rsidR="00626BAC">
        <w:rPr>
          <w:sz w:val="24"/>
          <w:szCs w:val="24"/>
        </w:rPr>
        <w:t xml:space="preserve">par ailleurs </w:t>
      </w:r>
      <w:r w:rsidR="000B7BF0">
        <w:rPr>
          <w:sz w:val="24"/>
          <w:szCs w:val="24"/>
        </w:rPr>
        <w:t>presque caduques les recherches étymologiques très en vogue à partir des derniers siècles du Moyen Âge : Wiltheim se montre très méfiant à leur égard, même s’il ne nie pas complètement leur utilité à condition qu’elles soient abordées de manière critique p</w:t>
      </w:r>
      <w:r w:rsidR="004D39D2">
        <w:rPr>
          <w:sz w:val="24"/>
          <w:szCs w:val="24"/>
        </w:rPr>
        <w:t xml:space="preserve">ar le biais de sources fiables. Cependant, </w:t>
      </w:r>
      <w:r w:rsidR="000B7BF0">
        <w:rPr>
          <w:sz w:val="24"/>
          <w:szCs w:val="24"/>
        </w:rPr>
        <w:t xml:space="preserve">comme le texte, ces </w:t>
      </w:r>
      <w:r w:rsidR="004D39D2">
        <w:rPr>
          <w:sz w:val="24"/>
          <w:szCs w:val="24"/>
        </w:rPr>
        <w:t>étymologies ne servent</w:t>
      </w:r>
      <w:r w:rsidR="000B7BF0">
        <w:rPr>
          <w:sz w:val="24"/>
          <w:szCs w:val="24"/>
        </w:rPr>
        <w:t xml:space="preserve"> que d’appui </w:t>
      </w:r>
      <w:r w:rsidR="004D39D2">
        <w:rPr>
          <w:sz w:val="24"/>
          <w:szCs w:val="24"/>
        </w:rPr>
        <w:t xml:space="preserve">ou de complément </w:t>
      </w:r>
      <w:r w:rsidR="00427B19">
        <w:rPr>
          <w:sz w:val="24"/>
          <w:szCs w:val="24"/>
        </w:rPr>
        <w:t>à l’analyse des</w:t>
      </w:r>
      <w:r w:rsidR="004D39D2">
        <w:rPr>
          <w:sz w:val="24"/>
          <w:szCs w:val="24"/>
        </w:rPr>
        <w:t xml:space="preserve"> vestiges découverts</w:t>
      </w:r>
      <w:r w:rsidR="00F9559F">
        <w:rPr>
          <w:sz w:val="24"/>
          <w:szCs w:val="24"/>
        </w:rPr>
        <w:t>. En tant qu’éléments conc</w:t>
      </w:r>
      <w:r w:rsidR="00993699">
        <w:rPr>
          <w:sz w:val="24"/>
          <w:szCs w:val="24"/>
        </w:rPr>
        <w:t>re</w:t>
      </w:r>
      <w:r w:rsidR="00F9559F">
        <w:rPr>
          <w:sz w:val="24"/>
          <w:szCs w:val="24"/>
        </w:rPr>
        <w:t>t</w:t>
      </w:r>
      <w:r w:rsidR="004D39D2">
        <w:rPr>
          <w:sz w:val="24"/>
          <w:szCs w:val="24"/>
        </w:rPr>
        <w:t xml:space="preserve">s et fiables, ces vestiges matériels et leur observation </w:t>
      </w:r>
      <w:r w:rsidR="00131E82">
        <w:rPr>
          <w:sz w:val="24"/>
          <w:szCs w:val="24"/>
        </w:rPr>
        <w:t xml:space="preserve">directe </w:t>
      </w:r>
      <w:r w:rsidR="004D39D2">
        <w:rPr>
          <w:sz w:val="24"/>
          <w:szCs w:val="24"/>
        </w:rPr>
        <w:t>constituent donc</w:t>
      </w:r>
      <w:r w:rsidR="00554981">
        <w:rPr>
          <w:sz w:val="24"/>
          <w:szCs w:val="24"/>
        </w:rPr>
        <w:t>, aux yeux de Wiltheim,</w:t>
      </w:r>
      <w:r w:rsidR="004D39D2">
        <w:rPr>
          <w:sz w:val="24"/>
          <w:szCs w:val="24"/>
        </w:rPr>
        <w:t xml:space="preserve"> la source de savoir par excellence.</w:t>
      </w:r>
    </w:p>
    <w:p w14:paraId="03460D80" w14:textId="77777777" w:rsidR="00497EFC" w:rsidRDefault="00497EFC" w:rsidP="005C3CB0">
      <w:pPr>
        <w:spacing w:after="0" w:line="360" w:lineRule="auto"/>
        <w:jc w:val="both"/>
        <w:rPr>
          <w:sz w:val="24"/>
          <w:szCs w:val="24"/>
        </w:rPr>
      </w:pPr>
    </w:p>
    <w:p w14:paraId="406C314B" w14:textId="449C2265" w:rsidR="00497EFC" w:rsidRDefault="00497EFC" w:rsidP="005C3CB0">
      <w:pPr>
        <w:spacing w:after="0" w:line="360" w:lineRule="auto"/>
        <w:jc w:val="both"/>
        <w:rPr>
          <w:sz w:val="24"/>
          <w:szCs w:val="24"/>
        </w:rPr>
      </w:pPr>
    </w:p>
    <w:p w14:paraId="34E05987" w14:textId="1DD76BE8" w:rsidR="00546D6D" w:rsidRDefault="00546D6D" w:rsidP="005C3CB0">
      <w:pPr>
        <w:spacing w:after="0" w:line="360" w:lineRule="auto"/>
        <w:jc w:val="both"/>
        <w:rPr>
          <w:sz w:val="24"/>
          <w:szCs w:val="24"/>
        </w:rPr>
      </w:pPr>
    </w:p>
    <w:p w14:paraId="6C537147" w14:textId="582DB45E" w:rsidR="00546D6D" w:rsidRDefault="00546D6D" w:rsidP="005C3CB0">
      <w:pPr>
        <w:spacing w:after="0" w:line="360" w:lineRule="auto"/>
        <w:jc w:val="both"/>
        <w:rPr>
          <w:sz w:val="24"/>
          <w:szCs w:val="24"/>
        </w:rPr>
      </w:pPr>
    </w:p>
    <w:p w14:paraId="44D1779A" w14:textId="74B18CD0" w:rsidR="00546D6D" w:rsidRDefault="00546D6D">
      <w:pPr>
        <w:rPr>
          <w:sz w:val="24"/>
          <w:szCs w:val="24"/>
        </w:rPr>
      </w:pPr>
      <w:r>
        <w:rPr>
          <w:sz w:val="24"/>
          <w:szCs w:val="24"/>
        </w:rPr>
        <w:br w:type="page"/>
      </w:r>
    </w:p>
    <w:p w14:paraId="60131ABD" w14:textId="163C4F83" w:rsidR="00546D6D" w:rsidRPr="00956479" w:rsidRDefault="00546D6D" w:rsidP="005C3CB0">
      <w:pPr>
        <w:spacing w:after="0" w:line="360" w:lineRule="auto"/>
        <w:jc w:val="both"/>
        <w:rPr>
          <w:b/>
          <w:sz w:val="24"/>
          <w:szCs w:val="24"/>
        </w:rPr>
      </w:pPr>
      <w:r w:rsidRPr="00546D6D">
        <w:rPr>
          <w:b/>
          <w:sz w:val="24"/>
          <w:szCs w:val="24"/>
        </w:rPr>
        <w:t>Résumé</w:t>
      </w:r>
    </w:p>
    <w:p w14:paraId="353B5FC4" w14:textId="2508288B" w:rsidR="001F432D" w:rsidRPr="001F432D" w:rsidRDefault="001F432D" w:rsidP="001F432D">
      <w:pPr>
        <w:spacing w:after="0" w:line="360" w:lineRule="auto"/>
        <w:ind w:firstLine="708"/>
        <w:jc w:val="both"/>
        <w:rPr>
          <w:sz w:val="24"/>
          <w:szCs w:val="24"/>
        </w:rPr>
      </w:pPr>
      <w:r w:rsidRPr="001F432D">
        <w:rPr>
          <w:sz w:val="24"/>
          <w:szCs w:val="24"/>
        </w:rPr>
        <w:t xml:space="preserve">Alexandre Wiltheim (1604-1684), auteur d’un manuscrit intitulé </w:t>
      </w:r>
      <w:r w:rsidRPr="001F432D">
        <w:rPr>
          <w:i/>
          <w:sz w:val="24"/>
          <w:szCs w:val="24"/>
        </w:rPr>
        <w:t>Luciliburgensia sive Luxemburgum Romanum</w:t>
      </w:r>
      <w:r w:rsidRPr="001F432D">
        <w:rPr>
          <w:sz w:val="24"/>
          <w:szCs w:val="24"/>
        </w:rPr>
        <w:t xml:space="preserve">, est certainement l’une des figures majeures de la vie intellectuelle dans les Pays-Bas méridionaux du </w:t>
      </w:r>
      <w:r w:rsidR="00A16F45">
        <w:rPr>
          <w:sz w:val="24"/>
          <w:szCs w:val="24"/>
        </w:rPr>
        <w:t>XVII</w:t>
      </w:r>
      <w:r w:rsidRPr="001F432D">
        <w:rPr>
          <w:sz w:val="24"/>
          <w:szCs w:val="24"/>
          <w:vertAlign w:val="superscript"/>
        </w:rPr>
        <w:t>e</w:t>
      </w:r>
      <w:r w:rsidRPr="001F432D">
        <w:rPr>
          <w:sz w:val="24"/>
          <w:szCs w:val="24"/>
        </w:rPr>
        <w:t xml:space="preserve"> siècle. </w:t>
      </w:r>
      <w:r w:rsidR="00110AFC">
        <w:rPr>
          <w:sz w:val="24"/>
          <w:szCs w:val="24"/>
        </w:rPr>
        <w:t>P</w:t>
      </w:r>
      <w:r w:rsidR="00110AFC" w:rsidRPr="001F432D">
        <w:rPr>
          <w:sz w:val="24"/>
          <w:szCs w:val="24"/>
        </w:rPr>
        <w:t xml:space="preserve">endant trois décennies, </w:t>
      </w:r>
      <w:r w:rsidR="00110AFC">
        <w:rPr>
          <w:sz w:val="24"/>
          <w:szCs w:val="24"/>
        </w:rPr>
        <w:t>c</w:t>
      </w:r>
      <w:r w:rsidRPr="001F432D">
        <w:rPr>
          <w:sz w:val="24"/>
          <w:szCs w:val="24"/>
        </w:rPr>
        <w:t>et antiquaire jésuite a parcouru le duché de Luxembourg afin d’étudier son passé romain et</w:t>
      </w:r>
      <w:r w:rsidR="00110AFC">
        <w:rPr>
          <w:sz w:val="24"/>
          <w:szCs w:val="24"/>
        </w:rPr>
        <w:t>, aujourd’hui,</w:t>
      </w:r>
      <w:r w:rsidRPr="001F432D">
        <w:rPr>
          <w:sz w:val="24"/>
          <w:szCs w:val="24"/>
        </w:rPr>
        <w:t xml:space="preserve"> </w:t>
      </w:r>
      <w:r w:rsidR="00110AFC">
        <w:rPr>
          <w:sz w:val="24"/>
          <w:szCs w:val="24"/>
        </w:rPr>
        <w:t xml:space="preserve">il </w:t>
      </w:r>
      <w:r w:rsidRPr="001F432D">
        <w:rPr>
          <w:sz w:val="24"/>
          <w:szCs w:val="24"/>
        </w:rPr>
        <w:t xml:space="preserve">est bien souvent considéré comme le « père de l’archéologie luxembourgeoise ». Cet article entend mettre en exergue les sources et la méthodologie qu’il a mises en œuvre. </w:t>
      </w:r>
    </w:p>
    <w:p w14:paraId="41D5A32B" w14:textId="71825240" w:rsidR="001F432D" w:rsidRPr="001F432D" w:rsidRDefault="001F432D" w:rsidP="001F432D">
      <w:pPr>
        <w:spacing w:after="0" w:line="360" w:lineRule="auto"/>
        <w:ind w:firstLine="708"/>
        <w:jc w:val="both"/>
        <w:rPr>
          <w:sz w:val="24"/>
          <w:szCs w:val="24"/>
        </w:rPr>
      </w:pPr>
      <w:r w:rsidRPr="001F432D">
        <w:rPr>
          <w:sz w:val="24"/>
          <w:szCs w:val="24"/>
        </w:rPr>
        <w:t xml:space="preserve">Un premier point </w:t>
      </w:r>
      <w:r w:rsidR="00110AFC">
        <w:rPr>
          <w:sz w:val="24"/>
          <w:szCs w:val="24"/>
        </w:rPr>
        <w:t xml:space="preserve">de cette contribution </w:t>
      </w:r>
      <w:r w:rsidRPr="001F432D">
        <w:rPr>
          <w:sz w:val="24"/>
          <w:szCs w:val="24"/>
        </w:rPr>
        <w:t xml:space="preserve">est consacré au repérage et à la découverte des vestiges antiques. </w:t>
      </w:r>
      <w:r w:rsidR="00110AFC">
        <w:rPr>
          <w:sz w:val="24"/>
          <w:szCs w:val="24"/>
        </w:rPr>
        <w:t>L</w:t>
      </w:r>
      <w:r w:rsidRPr="001F432D">
        <w:rPr>
          <w:sz w:val="24"/>
          <w:szCs w:val="24"/>
        </w:rPr>
        <w:t>a grande diversités de sources utilisées par l’auteur </w:t>
      </w:r>
      <w:r w:rsidR="00110AFC">
        <w:rPr>
          <w:sz w:val="24"/>
          <w:szCs w:val="24"/>
        </w:rPr>
        <w:t xml:space="preserve">y est mise en évidence </w:t>
      </w:r>
      <w:r w:rsidRPr="001F432D">
        <w:rPr>
          <w:sz w:val="24"/>
          <w:szCs w:val="24"/>
        </w:rPr>
        <w:t xml:space="preserve">: comme de nombreux antiquaires européens, il a eu recours aux itinéraires antiques, aux traditions locales, aux travaux d’érudits modernes et à ses réseaux de </w:t>
      </w:r>
      <w:r w:rsidR="00110AFC">
        <w:rPr>
          <w:sz w:val="24"/>
          <w:szCs w:val="24"/>
        </w:rPr>
        <w:t>contacts</w:t>
      </w:r>
      <w:r w:rsidRPr="001F432D">
        <w:rPr>
          <w:sz w:val="24"/>
          <w:szCs w:val="24"/>
        </w:rPr>
        <w:t xml:space="preserve">. De manière beaucoup plus originale, il utilise aussi la toponymie, à partir de sources franques, et des observations topographiques. </w:t>
      </w:r>
    </w:p>
    <w:p w14:paraId="3BE16E9B" w14:textId="6AA7A20A" w:rsidR="001F432D" w:rsidRPr="001F432D" w:rsidRDefault="001F432D" w:rsidP="001F432D">
      <w:pPr>
        <w:spacing w:after="0" w:line="360" w:lineRule="auto"/>
        <w:ind w:firstLine="708"/>
        <w:jc w:val="both"/>
        <w:rPr>
          <w:sz w:val="24"/>
          <w:szCs w:val="24"/>
        </w:rPr>
      </w:pPr>
      <w:r w:rsidRPr="001F432D">
        <w:rPr>
          <w:sz w:val="24"/>
          <w:szCs w:val="24"/>
        </w:rPr>
        <w:t>Le deuxième point porte sur la place de l’observation dans le processus d’étude des vestiges antiques. L’observation personnelle des vestiges est</w:t>
      </w:r>
      <w:r w:rsidR="00110AFC">
        <w:rPr>
          <w:sz w:val="24"/>
          <w:szCs w:val="24"/>
        </w:rPr>
        <w:t xml:space="preserve"> en effet, selon Wiltheim,</w:t>
      </w:r>
      <w:r w:rsidRPr="001F432D">
        <w:rPr>
          <w:sz w:val="24"/>
          <w:szCs w:val="24"/>
        </w:rPr>
        <w:t xml:space="preserve"> le fondement de </w:t>
      </w:r>
      <w:r w:rsidR="00110AFC">
        <w:rPr>
          <w:sz w:val="24"/>
          <w:szCs w:val="24"/>
        </w:rPr>
        <w:t>toute enquête sur le passé romain</w:t>
      </w:r>
      <w:r w:rsidRPr="001F432D">
        <w:rPr>
          <w:sz w:val="24"/>
          <w:szCs w:val="24"/>
        </w:rPr>
        <w:t>. L’auteur décrit</w:t>
      </w:r>
      <w:r w:rsidR="00110AFC">
        <w:rPr>
          <w:sz w:val="24"/>
          <w:szCs w:val="24"/>
        </w:rPr>
        <w:t xml:space="preserve"> donc</w:t>
      </w:r>
      <w:r w:rsidRPr="001F432D">
        <w:rPr>
          <w:sz w:val="24"/>
          <w:szCs w:val="24"/>
        </w:rPr>
        <w:t xml:space="preserve"> minutieusement chaque vestige étudié et en fournit souvent un dessin</w:t>
      </w:r>
      <w:r w:rsidR="00110AFC">
        <w:rPr>
          <w:sz w:val="24"/>
          <w:szCs w:val="24"/>
        </w:rPr>
        <w:t xml:space="preserve"> à son lecteur</w:t>
      </w:r>
      <w:r w:rsidRPr="001F432D">
        <w:rPr>
          <w:sz w:val="24"/>
          <w:szCs w:val="24"/>
        </w:rPr>
        <w:t xml:space="preserve">. </w:t>
      </w:r>
    </w:p>
    <w:p w14:paraId="525CFCCF" w14:textId="45082B78" w:rsidR="001F432D" w:rsidRPr="001F432D" w:rsidRDefault="001F432D" w:rsidP="00110AFC">
      <w:pPr>
        <w:spacing w:after="0" w:line="360" w:lineRule="auto"/>
        <w:ind w:firstLine="708"/>
        <w:jc w:val="both"/>
        <w:rPr>
          <w:sz w:val="24"/>
          <w:szCs w:val="24"/>
        </w:rPr>
      </w:pPr>
      <w:r w:rsidRPr="001F432D">
        <w:rPr>
          <w:sz w:val="24"/>
          <w:szCs w:val="24"/>
        </w:rPr>
        <w:t xml:space="preserve">L’interprétation des reliquats romains est finalement abordée dans le troisième point. </w:t>
      </w:r>
      <w:r w:rsidR="00110AFC">
        <w:rPr>
          <w:sz w:val="24"/>
          <w:szCs w:val="24"/>
        </w:rPr>
        <w:t>A</w:t>
      </w:r>
      <w:r w:rsidR="00110AFC" w:rsidRPr="001F432D">
        <w:rPr>
          <w:sz w:val="24"/>
          <w:szCs w:val="24"/>
        </w:rPr>
        <w:t xml:space="preserve">fin de comprendre </w:t>
      </w:r>
      <w:r w:rsidR="00110AFC">
        <w:rPr>
          <w:sz w:val="24"/>
          <w:szCs w:val="24"/>
        </w:rPr>
        <w:t>les inscriptions, l</w:t>
      </w:r>
      <w:r w:rsidR="00110AFC" w:rsidRPr="001F432D">
        <w:rPr>
          <w:sz w:val="24"/>
          <w:szCs w:val="24"/>
        </w:rPr>
        <w:t>es représentations iconographiques</w:t>
      </w:r>
      <w:r w:rsidR="00110AFC">
        <w:rPr>
          <w:sz w:val="24"/>
          <w:szCs w:val="24"/>
        </w:rPr>
        <w:t xml:space="preserve"> et</w:t>
      </w:r>
      <w:r w:rsidR="00110AFC" w:rsidRPr="001F432D">
        <w:rPr>
          <w:sz w:val="24"/>
          <w:szCs w:val="24"/>
        </w:rPr>
        <w:t xml:space="preserve"> la nature des objets </w:t>
      </w:r>
      <w:r w:rsidR="00110AFC">
        <w:rPr>
          <w:sz w:val="24"/>
          <w:szCs w:val="24"/>
        </w:rPr>
        <w:t>étudiés, l</w:t>
      </w:r>
      <w:r w:rsidRPr="001F432D">
        <w:rPr>
          <w:sz w:val="24"/>
          <w:szCs w:val="24"/>
        </w:rPr>
        <w:t xml:space="preserve">’érudit jésuite </w:t>
      </w:r>
      <w:r w:rsidR="00110AFC">
        <w:rPr>
          <w:sz w:val="24"/>
          <w:szCs w:val="24"/>
        </w:rPr>
        <w:t xml:space="preserve">les compare aux textes des auteurs </w:t>
      </w:r>
      <w:r w:rsidRPr="001F432D">
        <w:rPr>
          <w:sz w:val="24"/>
          <w:szCs w:val="24"/>
        </w:rPr>
        <w:t xml:space="preserve">antiques (Pline, Virgile, Plaute…) </w:t>
      </w:r>
      <w:r w:rsidR="00110AFC">
        <w:rPr>
          <w:sz w:val="24"/>
          <w:szCs w:val="24"/>
        </w:rPr>
        <w:t>ou</w:t>
      </w:r>
      <w:r w:rsidRPr="001F432D">
        <w:rPr>
          <w:sz w:val="24"/>
          <w:szCs w:val="24"/>
        </w:rPr>
        <w:t xml:space="preserve"> avec d’autres vestiges</w:t>
      </w:r>
      <w:r w:rsidR="00110AFC">
        <w:rPr>
          <w:sz w:val="24"/>
          <w:szCs w:val="24"/>
        </w:rPr>
        <w:t xml:space="preserve"> romains</w:t>
      </w:r>
      <w:r w:rsidRPr="001F432D">
        <w:rPr>
          <w:sz w:val="24"/>
          <w:szCs w:val="24"/>
        </w:rPr>
        <w:t xml:space="preserve">. </w:t>
      </w:r>
      <w:r w:rsidR="00110AFC">
        <w:rPr>
          <w:sz w:val="24"/>
          <w:szCs w:val="24"/>
        </w:rPr>
        <w:t>Ce faisant, i</w:t>
      </w:r>
      <w:r w:rsidRPr="001F432D">
        <w:rPr>
          <w:sz w:val="24"/>
          <w:szCs w:val="24"/>
        </w:rPr>
        <w:t xml:space="preserve">l a abondamment recours aux grands recueils d’antiquités de son temps (Gruter, Bergier, Lipse…) et aux données que lui fournissent ses correspondants. Il se montre également attentif à l’histoire des techniques et à la datation des vestiges, deux </w:t>
      </w:r>
      <w:r w:rsidR="00110AFC">
        <w:rPr>
          <w:sz w:val="24"/>
          <w:szCs w:val="24"/>
        </w:rPr>
        <w:t>champs d’études</w:t>
      </w:r>
      <w:r w:rsidRPr="001F432D">
        <w:rPr>
          <w:sz w:val="24"/>
          <w:szCs w:val="24"/>
        </w:rPr>
        <w:t xml:space="preserve"> encore peu pri</w:t>
      </w:r>
      <w:r w:rsidR="00110AFC">
        <w:rPr>
          <w:sz w:val="24"/>
          <w:szCs w:val="24"/>
        </w:rPr>
        <w:t>s</w:t>
      </w:r>
      <w:r w:rsidRPr="001F432D">
        <w:rPr>
          <w:sz w:val="24"/>
          <w:szCs w:val="24"/>
        </w:rPr>
        <w:t xml:space="preserve"> en compte par les antiquaires de son époque.</w:t>
      </w:r>
    </w:p>
    <w:p w14:paraId="08327F1F" w14:textId="14436A5B" w:rsidR="00546D6D" w:rsidRDefault="00546D6D" w:rsidP="005C3CB0">
      <w:pPr>
        <w:spacing w:after="0" w:line="360" w:lineRule="auto"/>
        <w:jc w:val="both"/>
        <w:rPr>
          <w:sz w:val="24"/>
          <w:szCs w:val="24"/>
        </w:rPr>
      </w:pPr>
    </w:p>
    <w:p w14:paraId="4FC89F53" w14:textId="5E951143" w:rsidR="00546D6D" w:rsidRDefault="00546D6D" w:rsidP="005C3CB0">
      <w:pPr>
        <w:spacing w:after="0" w:line="360" w:lineRule="auto"/>
        <w:jc w:val="both"/>
        <w:rPr>
          <w:sz w:val="24"/>
          <w:szCs w:val="24"/>
        </w:rPr>
      </w:pPr>
    </w:p>
    <w:p w14:paraId="381E4D03" w14:textId="3C013ADF" w:rsidR="00110AFC" w:rsidRPr="00CF5452" w:rsidRDefault="00546D6D" w:rsidP="005C3CB0">
      <w:pPr>
        <w:spacing w:after="0" w:line="360" w:lineRule="auto"/>
        <w:jc w:val="both"/>
        <w:rPr>
          <w:b/>
          <w:sz w:val="24"/>
          <w:szCs w:val="24"/>
          <w:lang w:val="en-US"/>
        </w:rPr>
      </w:pPr>
      <w:r w:rsidRPr="00CF5452">
        <w:rPr>
          <w:b/>
          <w:sz w:val="24"/>
          <w:szCs w:val="24"/>
          <w:lang w:val="en-US"/>
        </w:rPr>
        <w:t xml:space="preserve">Abstract </w:t>
      </w:r>
    </w:p>
    <w:p w14:paraId="3DFDA3E5" w14:textId="7785DB36" w:rsidR="00110AFC" w:rsidRPr="00110AFC" w:rsidRDefault="00110AFC" w:rsidP="00110AFC">
      <w:pPr>
        <w:spacing w:after="0" w:line="360" w:lineRule="auto"/>
        <w:ind w:firstLine="708"/>
        <w:jc w:val="both"/>
        <w:rPr>
          <w:sz w:val="24"/>
          <w:szCs w:val="24"/>
          <w:lang w:val="en-US"/>
        </w:rPr>
      </w:pPr>
      <w:r w:rsidRPr="00110AFC">
        <w:rPr>
          <w:sz w:val="24"/>
          <w:szCs w:val="24"/>
          <w:lang w:val="en-US"/>
        </w:rPr>
        <w:t xml:space="preserve">Alexandre Wiltheim (1604-1684), the author of the </w:t>
      </w:r>
      <w:r w:rsidRPr="00110AFC">
        <w:rPr>
          <w:i/>
          <w:sz w:val="24"/>
          <w:szCs w:val="24"/>
          <w:lang w:val="en-US"/>
        </w:rPr>
        <w:t>Luciliburgensia sive Luxemburgum Romanum</w:t>
      </w:r>
      <w:r w:rsidRPr="00110AFC">
        <w:rPr>
          <w:sz w:val="24"/>
          <w:szCs w:val="24"/>
          <w:lang w:val="en-US"/>
        </w:rPr>
        <w:t xml:space="preserve">, was certainly a major figure in the intellectual life </w:t>
      </w:r>
      <w:r w:rsidR="006B736C">
        <w:rPr>
          <w:sz w:val="24"/>
          <w:szCs w:val="24"/>
          <w:lang w:val="en-US"/>
        </w:rPr>
        <w:t>of</w:t>
      </w:r>
      <w:r w:rsidRPr="00110AFC">
        <w:rPr>
          <w:sz w:val="24"/>
          <w:szCs w:val="24"/>
          <w:lang w:val="en-US"/>
        </w:rPr>
        <w:t xml:space="preserve"> the </w:t>
      </w:r>
      <w:r w:rsidR="00E02A4D">
        <w:rPr>
          <w:sz w:val="24"/>
          <w:szCs w:val="24"/>
          <w:lang w:val="en-US"/>
        </w:rPr>
        <w:t>seventeenth</w:t>
      </w:r>
      <w:r w:rsidRPr="00110AFC">
        <w:rPr>
          <w:sz w:val="24"/>
          <w:szCs w:val="24"/>
          <w:lang w:val="en-US"/>
        </w:rPr>
        <w:t xml:space="preserve">-century Southern Netherlands. For three decades, this Jesuit antiquarian traveled across the duchy of Luxembourg to study the Roman past of the region. </w:t>
      </w:r>
      <w:r w:rsidR="006B736C">
        <w:rPr>
          <w:sz w:val="24"/>
          <w:szCs w:val="24"/>
          <w:lang w:val="en-US"/>
        </w:rPr>
        <w:t>Today still</w:t>
      </w:r>
      <w:r w:rsidRPr="00110AFC">
        <w:rPr>
          <w:sz w:val="24"/>
          <w:szCs w:val="24"/>
          <w:lang w:val="en-US"/>
        </w:rPr>
        <w:t>, he is frequently known as the “father of the Luxembourg archaeology”. This article aims to present and study his methodology and his sources.</w:t>
      </w:r>
    </w:p>
    <w:p w14:paraId="468555F8" w14:textId="04206BB0" w:rsidR="00110AFC" w:rsidRPr="00110AFC" w:rsidRDefault="00110AFC" w:rsidP="00110AFC">
      <w:pPr>
        <w:spacing w:after="0" w:line="360" w:lineRule="auto"/>
        <w:jc w:val="both"/>
        <w:rPr>
          <w:sz w:val="24"/>
          <w:szCs w:val="24"/>
          <w:lang w:val="en-US"/>
        </w:rPr>
      </w:pPr>
      <w:r w:rsidRPr="00110AFC">
        <w:rPr>
          <w:sz w:val="24"/>
          <w:szCs w:val="24"/>
          <w:lang w:val="en-US"/>
        </w:rPr>
        <w:tab/>
        <w:t xml:space="preserve"> The first part of the paper deals with the detection and the rediscovery of </w:t>
      </w:r>
      <w:r w:rsidR="00956479">
        <w:rPr>
          <w:sz w:val="24"/>
          <w:szCs w:val="24"/>
          <w:lang w:val="en-US"/>
        </w:rPr>
        <w:t xml:space="preserve">the </w:t>
      </w:r>
      <w:r w:rsidRPr="00110AFC">
        <w:rPr>
          <w:sz w:val="24"/>
          <w:szCs w:val="24"/>
          <w:lang w:val="en-US"/>
        </w:rPr>
        <w:t>Antique remains. It highlights the broad range of sources consulted by Wiltheim. As many early modern antiquarians, he used Ancient Itineraries, early modern scholar</w:t>
      </w:r>
      <w:r w:rsidR="00165766">
        <w:rPr>
          <w:sz w:val="24"/>
          <w:szCs w:val="24"/>
          <w:lang w:val="en-US"/>
        </w:rPr>
        <w:t>s’</w:t>
      </w:r>
      <w:r w:rsidRPr="00110AFC">
        <w:rPr>
          <w:sz w:val="24"/>
          <w:szCs w:val="24"/>
          <w:lang w:val="en-US"/>
        </w:rPr>
        <w:t xml:space="preserve"> works, local traditions and his network of contacts. In a more original way, his method also included toponymy (with the use of Frankish documents) and topographical observations.</w:t>
      </w:r>
    </w:p>
    <w:p w14:paraId="043FD367" w14:textId="201FB96D" w:rsidR="00110AFC" w:rsidRPr="00110AFC" w:rsidRDefault="00110AFC" w:rsidP="00110AFC">
      <w:pPr>
        <w:spacing w:after="0" w:line="360" w:lineRule="auto"/>
        <w:jc w:val="both"/>
        <w:rPr>
          <w:sz w:val="24"/>
          <w:szCs w:val="24"/>
          <w:lang w:val="en-US"/>
        </w:rPr>
      </w:pPr>
      <w:r w:rsidRPr="00110AFC">
        <w:rPr>
          <w:sz w:val="24"/>
          <w:szCs w:val="24"/>
          <w:lang w:val="en-US"/>
        </w:rPr>
        <w:tab/>
        <w:t>The second part focuses on the observation of the Roman vestiges and</w:t>
      </w:r>
      <w:r w:rsidR="00067799">
        <w:rPr>
          <w:sz w:val="24"/>
          <w:szCs w:val="24"/>
          <w:lang w:val="en-US"/>
        </w:rPr>
        <w:t xml:space="preserve"> their</w:t>
      </w:r>
      <w:r w:rsidRPr="00110AFC">
        <w:rPr>
          <w:sz w:val="24"/>
          <w:szCs w:val="24"/>
          <w:lang w:val="en-US"/>
        </w:rPr>
        <w:t xml:space="preserve"> place in Wiltheim’s methodology. In Wiltheim’s view, the personal observation of the remains was </w:t>
      </w:r>
      <w:r w:rsidR="000A12A5">
        <w:rPr>
          <w:sz w:val="24"/>
          <w:szCs w:val="24"/>
          <w:lang w:val="en-US"/>
        </w:rPr>
        <w:t>an absolute necessity</w:t>
      </w:r>
      <w:r w:rsidRPr="00110AFC">
        <w:rPr>
          <w:sz w:val="24"/>
          <w:szCs w:val="24"/>
          <w:lang w:val="en-US"/>
        </w:rPr>
        <w:t xml:space="preserve"> to carry out a serious survey </w:t>
      </w:r>
      <w:r w:rsidR="00503335">
        <w:rPr>
          <w:sz w:val="24"/>
          <w:szCs w:val="24"/>
          <w:lang w:val="en-US"/>
        </w:rPr>
        <w:t>of</w:t>
      </w:r>
      <w:r w:rsidRPr="00110AFC">
        <w:rPr>
          <w:sz w:val="24"/>
          <w:szCs w:val="24"/>
          <w:lang w:val="en-US"/>
        </w:rPr>
        <w:t xml:space="preserve"> the Roman past. Thus, he took great care to describe them and he often provided drawings to the </w:t>
      </w:r>
      <w:r w:rsidR="00503335">
        <w:rPr>
          <w:sz w:val="24"/>
          <w:szCs w:val="24"/>
          <w:lang w:val="en-US"/>
        </w:rPr>
        <w:t>reader</w:t>
      </w:r>
      <w:r w:rsidRPr="00110AFC">
        <w:rPr>
          <w:sz w:val="24"/>
          <w:szCs w:val="24"/>
          <w:lang w:val="en-US"/>
        </w:rPr>
        <w:t xml:space="preserve">. </w:t>
      </w:r>
    </w:p>
    <w:p w14:paraId="1F9DD4C3" w14:textId="03FDDA93" w:rsidR="00110AFC" w:rsidRPr="00110AFC" w:rsidRDefault="00110AFC" w:rsidP="00110AFC">
      <w:pPr>
        <w:spacing w:line="360" w:lineRule="auto"/>
        <w:jc w:val="both"/>
        <w:rPr>
          <w:sz w:val="24"/>
          <w:szCs w:val="24"/>
          <w:lang w:val="en-US"/>
        </w:rPr>
      </w:pPr>
      <w:r w:rsidRPr="00110AFC">
        <w:rPr>
          <w:sz w:val="24"/>
          <w:szCs w:val="24"/>
          <w:lang w:val="en-US"/>
        </w:rPr>
        <w:tab/>
        <w:t xml:space="preserve">The last part is devoted to the interpretation of the Antique vestiges. To understand Roman inscriptions, artefacts and iconographic representations, the Jesuit scholar compared them with Ancient authors (Pliny, Virgil, Plautus…) or with other Roman remains. He frequently used the main collections of antiquities of his time (Gruterus, Lipsius, Bergier…) and the data provided by his </w:t>
      </w:r>
      <w:r w:rsidR="00D1518D">
        <w:rPr>
          <w:sz w:val="24"/>
          <w:szCs w:val="24"/>
          <w:lang w:val="en-US"/>
        </w:rPr>
        <w:t>correspondents</w:t>
      </w:r>
      <w:r w:rsidRPr="00110AFC">
        <w:rPr>
          <w:sz w:val="24"/>
          <w:szCs w:val="24"/>
          <w:lang w:val="en-US"/>
        </w:rPr>
        <w:t xml:space="preserve">. He was also interested in the history of technology and in the dating of the remains, two fields rarely studied by the </w:t>
      </w:r>
      <w:r w:rsidR="00047302">
        <w:rPr>
          <w:sz w:val="24"/>
          <w:szCs w:val="24"/>
          <w:lang w:val="en-US"/>
        </w:rPr>
        <w:t>seventeenth</w:t>
      </w:r>
      <w:r w:rsidRPr="00110AFC">
        <w:rPr>
          <w:sz w:val="24"/>
          <w:szCs w:val="24"/>
          <w:lang w:val="en-US"/>
        </w:rPr>
        <w:t>-century antiquarians.</w:t>
      </w:r>
    </w:p>
    <w:p w14:paraId="4AA884DB" w14:textId="3CB6DCB2" w:rsidR="00110AFC" w:rsidRDefault="00110AFC" w:rsidP="005C3CB0">
      <w:pPr>
        <w:spacing w:after="0" w:line="360" w:lineRule="auto"/>
        <w:jc w:val="both"/>
        <w:rPr>
          <w:b/>
          <w:sz w:val="24"/>
          <w:szCs w:val="24"/>
          <w:lang w:val="en-US"/>
        </w:rPr>
      </w:pPr>
    </w:p>
    <w:p w14:paraId="4E3D6158" w14:textId="0AE0FDBD" w:rsidR="00D1518D" w:rsidRDefault="00D1518D" w:rsidP="005C3CB0">
      <w:pPr>
        <w:spacing w:after="0" w:line="360" w:lineRule="auto"/>
        <w:jc w:val="both"/>
        <w:rPr>
          <w:b/>
          <w:sz w:val="24"/>
          <w:szCs w:val="24"/>
          <w:lang w:val="en-US"/>
        </w:rPr>
      </w:pPr>
    </w:p>
    <w:p w14:paraId="7472ED7C" w14:textId="780DA63B" w:rsidR="00875480" w:rsidRDefault="00875480" w:rsidP="005C3CB0">
      <w:pPr>
        <w:spacing w:after="0" w:line="360" w:lineRule="auto"/>
        <w:jc w:val="both"/>
        <w:rPr>
          <w:b/>
          <w:sz w:val="24"/>
          <w:szCs w:val="24"/>
          <w:lang w:val="en-US"/>
        </w:rPr>
      </w:pPr>
    </w:p>
    <w:p w14:paraId="3EAF0CC3" w14:textId="5C895AE5" w:rsidR="00875480" w:rsidRDefault="00875480" w:rsidP="005C3CB0">
      <w:pPr>
        <w:spacing w:after="0" w:line="360" w:lineRule="auto"/>
        <w:jc w:val="both"/>
        <w:rPr>
          <w:b/>
          <w:sz w:val="24"/>
          <w:szCs w:val="24"/>
          <w:lang w:val="en-US"/>
        </w:rPr>
      </w:pPr>
    </w:p>
    <w:p w14:paraId="1C70FD07" w14:textId="1CF50307" w:rsidR="00875480" w:rsidRDefault="00875480" w:rsidP="005C3CB0">
      <w:pPr>
        <w:spacing w:after="0" w:line="360" w:lineRule="auto"/>
        <w:jc w:val="both"/>
        <w:rPr>
          <w:b/>
          <w:sz w:val="24"/>
          <w:szCs w:val="24"/>
          <w:lang w:val="en-US"/>
        </w:rPr>
      </w:pPr>
    </w:p>
    <w:p w14:paraId="6FDEF832" w14:textId="38238D4D" w:rsidR="00D1518D" w:rsidRDefault="00D1518D" w:rsidP="005C3CB0">
      <w:pPr>
        <w:spacing w:after="0" w:line="360" w:lineRule="auto"/>
        <w:jc w:val="both"/>
        <w:rPr>
          <w:b/>
          <w:sz w:val="24"/>
          <w:szCs w:val="24"/>
          <w:lang w:val="en-US"/>
        </w:rPr>
      </w:pPr>
      <w:r>
        <w:rPr>
          <w:b/>
          <w:sz w:val="24"/>
          <w:szCs w:val="24"/>
          <w:lang w:val="en-US"/>
        </w:rPr>
        <w:t>Olivier Latteur</w:t>
      </w:r>
    </w:p>
    <w:p w14:paraId="46F09432" w14:textId="6788EC60" w:rsidR="00D1518D" w:rsidRDefault="00D1518D" w:rsidP="005C3CB0">
      <w:pPr>
        <w:spacing w:after="0" w:line="360" w:lineRule="auto"/>
        <w:jc w:val="both"/>
        <w:rPr>
          <w:b/>
          <w:sz w:val="24"/>
          <w:szCs w:val="24"/>
        </w:rPr>
      </w:pPr>
      <w:r w:rsidRPr="00D1518D">
        <w:rPr>
          <w:b/>
          <w:sz w:val="24"/>
          <w:szCs w:val="24"/>
        </w:rPr>
        <w:t>Assistant et doctorant à l’Universit</w:t>
      </w:r>
      <w:r>
        <w:rPr>
          <w:b/>
          <w:sz w:val="24"/>
          <w:szCs w:val="24"/>
        </w:rPr>
        <w:t>é de Namur</w:t>
      </w:r>
      <w:r w:rsidR="00875480">
        <w:rPr>
          <w:b/>
          <w:sz w:val="24"/>
          <w:szCs w:val="24"/>
        </w:rPr>
        <w:t xml:space="preserve"> (UNamur)</w:t>
      </w:r>
      <w:r>
        <w:rPr>
          <w:b/>
          <w:sz w:val="24"/>
          <w:szCs w:val="24"/>
        </w:rPr>
        <w:t xml:space="preserve"> et à l’Université catholique de Louvain</w:t>
      </w:r>
      <w:r w:rsidR="00875480">
        <w:rPr>
          <w:b/>
          <w:sz w:val="24"/>
          <w:szCs w:val="24"/>
        </w:rPr>
        <w:t xml:space="preserve"> (UCL).</w:t>
      </w:r>
    </w:p>
    <w:p w14:paraId="12EDA18F" w14:textId="721D480B" w:rsidR="00D1518D" w:rsidRDefault="00D1518D" w:rsidP="005C3CB0">
      <w:pPr>
        <w:spacing w:after="0" w:line="360" w:lineRule="auto"/>
        <w:jc w:val="both"/>
        <w:rPr>
          <w:b/>
          <w:sz w:val="24"/>
          <w:szCs w:val="24"/>
        </w:rPr>
      </w:pPr>
      <w:r>
        <w:rPr>
          <w:b/>
          <w:sz w:val="24"/>
          <w:szCs w:val="24"/>
        </w:rPr>
        <w:t>Membre des instituts</w:t>
      </w:r>
      <w:r w:rsidR="002A1E8D">
        <w:rPr>
          <w:b/>
          <w:sz w:val="24"/>
          <w:szCs w:val="24"/>
        </w:rPr>
        <w:t xml:space="preserve"> de recherche</w:t>
      </w:r>
      <w:r>
        <w:rPr>
          <w:b/>
          <w:sz w:val="24"/>
          <w:szCs w:val="24"/>
        </w:rPr>
        <w:t xml:space="preserve"> INCAL, ILEE et Transitions.</w:t>
      </w:r>
    </w:p>
    <w:p w14:paraId="5C69C512" w14:textId="3A478B5B" w:rsidR="00D1518D" w:rsidRDefault="00D1518D" w:rsidP="005C3CB0">
      <w:pPr>
        <w:spacing w:after="0" w:line="360" w:lineRule="auto"/>
        <w:jc w:val="both"/>
        <w:rPr>
          <w:b/>
          <w:sz w:val="24"/>
          <w:szCs w:val="24"/>
        </w:rPr>
      </w:pPr>
      <w:r>
        <w:rPr>
          <w:b/>
          <w:sz w:val="24"/>
          <w:szCs w:val="24"/>
        </w:rPr>
        <w:t>Membre des centres</w:t>
      </w:r>
      <w:r w:rsidR="002A1E8D">
        <w:rPr>
          <w:b/>
          <w:sz w:val="24"/>
          <w:szCs w:val="24"/>
        </w:rPr>
        <w:t xml:space="preserve"> de recherche</w:t>
      </w:r>
      <w:r>
        <w:rPr>
          <w:b/>
          <w:sz w:val="24"/>
          <w:szCs w:val="24"/>
        </w:rPr>
        <w:t xml:space="preserve"> </w:t>
      </w:r>
      <w:r w:rsidR="00875480">
        <w:rPr>
          <w:b/>
          <w:sz w:val="24"/>
          <w:szCs w:val="24"/>
        </w:rPr>
        <w:t xml:space="preserve">PolleN, </w:t>
      </w:r>
      <w:r>
        <w:rPr>
          <w:b/>
          <w:sz w:val="24"/>
          <w:szCs w:val="24"/>
        </w:rPr>
        <w:t>GEMCA, La</w:t>
      </w:r>
      <w:r w:rsidR="00875480">
        <w:rPr>
          <w:b/>
          <w:sz w:val="24"/>
          <w:szCs w:val="24"/>
        </w:rPr>
        <w:t>RH</w:t>
      </w:r>
      <w:r>
        <w:rPr>
          <w:b/>
          <w:sz w:val="24"/>
          <w:szCs w:val="24"/>
        </w:rPr>
        <w:t>is</w:t>
      </w:r>
      <w:r w:rsidR="00875480">
        <w:rPr>
          <w:b/>
          <w:sz w:val="24"/>
          <w:szCs w:val="24"/>
        </w:rPr>
        <w:t>.</w:t>
      </w:r>
    </w:p>
    <w:p w14:paraId="6FAD6DDF" w14:textId="372FD390" w:rsidR="00D1518D" w:rsidRPr="00D1518D" w:rsidRDefault="00906F69" w:rsidP="005C3CB0">
      <w:pPr>
        <w:spacing w:after="0" w:line="360" w:lineRule="auto"/>
        <w:jc w:val="both"/>
        <w:rPr>
          <w:b/>
          <w:sz w:val="24"/>
          <w:szCs w:val="24"/>
        </w:rPr>
      </w:pPr>
      <w:hyperlink r:id="rId8" w:history="1">
        <w:r w:rsidR="00D1518D" w:rsidRPr="00915119">
          <w:rPr>
            <w:rStyle w:val="Lienhypertexte"/>
            <w:b/>
            <w:sz w:val="24"/>
            <w:szCs w:val="24"/>
          </w:rPr>
          <w:t>olivier.latteur@unamur.be</w:t>
        </w:r>
      </w:hyperlink>
      <w:r w:rsidR="00D1518D">
        <w:rPr>
          <w:b/>
          <w:sz w:val="24"/>
          <w:szCs w:val="24"/>
        </w:rPr>
        <w:t xml:space="preserve"> </w:t>
      </w:r>
    </w:p>
    <w:sectPr w:rsidR="00D1518D" w:rsidRPr="00D1518D">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1823C6" w14:textId="77777777" w:rsidR="00B3797F" w:rsidRDefault="00B3797F" w:rsidP="005C3CB0">
      <w:pPr>
        <w:spacing w:after="0" w:line="240" w:lineRule="auto"/>
      </w:pPr>
      <w:r>
        <w:separator/>
      </w:r>
    </w:p>
  </w:endnote>
  <w:endnote w:type="continuationSeparator" w:id="0">
    <w:p w14:paraId="41229A63" w14:textId="77777777" w:rsidR="00B3797F" w:rsidRDefault="00B3797F" w:rsidP="005C3C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00812788"/>
      <w:docPartObj>
        <w:docPartGallery w:val="Page Numbers (Bottom of Page)"/>
        <w:docPartUnique/>
      </w:docPartObj>
    </w:sdtPr>
    <w:sdtEndPr/>
    <w:sdtContent>
      <w:p w14:paraId="5EB55C02" w14:textId="59F467C7" w:rsidR="006C2965" w:rsidRDefault="006C2965">
        <w:pPr>
          <w:pStyle w:val="Pieddepage"/>
          <w:jc w:val="right"/>
        </w:pPr>
        <w:r>
          <w:fldChar w:fldCharType="begin"/>
        </w:r>
        <w:r>
          <w:instrText>PAGE   \* MERGEFORMAT</w:instrText>
        </w:r>
        <w:r>
          <w:fldChar w:fldCharType="separate"/>
        </w:r>
        <w:r w:rsidRPr="00674CBB">
          <w:rPr>
            <w:noProof/>
            <w:lang w:val="fr-FR"/>
          </w:rPr>
          <w:t>14</w:t>
        </w:r>
        <w:r>
          <w:fldChar w:fldCharType="end"/>
        </w:r>
      </w:p>
    </w:sdtContent>
  </w:sdt>
  <w:p w14:paraId="6DDCE37E" w14:textId="77777777" w:rsidR="006C2965" w:rsidRDefault="006C2965">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5557D3" w14:textId="77777777" w:rsidR="00B3797F" w:rsidRDefault="00B3797F" w:rsidP="005C3CB0">
      <w:pPr>
        <w:spacing w:after="0" w:line="240" w:lineRule="auto"/>
      </w:pPr>
      <w:r>
        <w:separator/>
      </w:r>
    </w:p>
  </w:footnote>
  <w:footnote w:type="continuationSeparator" w:id="0">
    <w:p w14:paraId="01958BF7" w14:textId="77777777" w:rsidR="00B3797F" w:rsidRDefault="00B3797F" w:rsidP="005C3CB0">
      <w:pPr>
        <w:spacing w:after="0" w:line="240" w:lineRule="auto"/>
      </w:pPr>
      <w:r>
        <w:continuationSeparator/>
      </w:r>
    </w:p>
  </w:footnote>
  <w:footnote w:id="1">
    <w:p w14:paraId="76995D1B" w14:textId="5900FA93" w:rsidR="006C2965" w:rsidRPr="00EF6007" w:rsidRDefault="006C2965" w:rsidP="005A4721">
      <w:pPr>
        <w:suppressAutoHyphens/>
        <w:spacing w:after="0" w:line="240" w:lineRule="auto"/>
        <w:jc w:val="both"/>
        <w:rPr>
          <w:bCs/>
          <w:lang w:val="en-US"/>
        </w:rPr>
      </w:pPr>
      <w:r w:rsidRPr="00EF6007">
        <w:rPr>
          <w:rStyle w:val="Appelnotedebasdep"/>
        </w:rPr>
        <w:footnoteRef/>
      </w:r>
      <w:r w:rsidRPr="00EF6007">
        <w:rPr>
          <w:lang w:val="en-US"/>
        </w:rPr>
        <w:t xml:space="preserve"> </w:t>
      </w:r>
      <w:r>
        <w:rPr>
          <w:lang w:val="en-US"/>
        </w:rPr>
        <w:t xml:space="preserve">Peter N. </w:t>
      </w:r>
      <w:r w:rsidRPr="00EF6007">
        <w:rPr>
          <w:bCs/>
          <w:lang w:val="en-US"/>
        </w:rPr>
        <w:t>M</w:t>
      </w:r>
      <w:r w:rsidRPr="00EF6007">
        <w:rPr>
          <w:bCs/>
          <w:smallCaps/>
          <w:lang w:val="en-US"/>
        </w:rPr>
        <w:t>iller</w:t>
      </w:r>
      <w:r w:rsidRPr="00EF6007">
        <w:rPr>
          <w:bCs/>
          <w:lang w:val="en-US"/>
        </w:rPr>
        <w:t xml:space="preserve">, </w:t>
      </w:r>
      <w:r w:rsidRPr="008C1E7A">
        <w:rPr>
          <w:sz w:val="24"/>
          <w:szCs w:val="24"/>
          <w:lang w:val="en-US"/>
        </w:rPr>
        <w:t>«</w:t>
      </w:r>
      <w:r>
        <w:rPr>
          <w:sz w:val="24"/>
          <w:szCs w:val="24"/>
          <w:lang w:val="en-US"/>
        </w:rPr>
        <w:t xml:space="preserve"> </w:t>
      </w:r>
      <w:r w:rsidRPr="008C1E7A">
        <w:rPr>
          <w:bCs/>
          <w:lang w:val="en-US"/>
        </w:rPr>
        <w:t>A Tentative Morphology of European Antiquarianism, 1500-2000</w:t>
      </w:r>
      <w:r>
        <w:rPr>
          <w:bCs/>
          <w:lang w:val="en-US"/>
        </w:rPr>
        <w:t xml:space="preserve"> </w:t>
      </w:r>
      <w:r w:rsidRPr="008C1E7A">
        <w:rPr>
          <w:sz w:val="24"/>
          <w:szCs w:val="24"/>
          <w:lang w:val="en-US"/>
        </w:rPr>
        <w:t>»</w:t>
      </w:r>
      <w:r w:rsidRPr="00EF6007">
        <w:rPr>
          <w:bCs/>
          <w:lang w:val="en-US"/>
        </w:rPr>
        <w:t xml:space="preserve">, </w:t>
      </w:r>
      <w:r w:rsidRPr="00EF6007">
        <w:rPr>
          <w:lang w:val="en-US"/>
        </w:rPr>
        <w:t xml:space="preserve">dans </w:t>
      </w:r>
      <w:r>
        <w:rPr>
          <w:lang w:val="en-US"/>
        </w:rPr>
        <w:t xml:space="preserve">Alain </w:t>
      </w:r>
      <w:r w:rsidRPr="00EF6007">
        <w:rPr>
          <w:lang w:val="en-US"/>
        </w:rPr>
        <w:t>S</w:t>
      </w:r>
      <w:r w:rsidRPr="00EF6007">
        <w:rPr>
          <w:smallCaps/>
          <w:lang w:val="en-US"/>
        </w:rPr>
        <w:t>chnapp</w:t>
      </w:r>
      <w:r w:rsidRPr="00EF6007">
        <w:rPr>
          <w:lang w:val="en-US"/>
        </w:rPr>
        <w:t xml:space="preserve"> </w:t>
      </w:r>
      <w:r>
        <w:rPr>
          <w:lang w:val="en-US"/>
        </w:rPr>
        <w:t>(</w:t>
      </w:r>
      <w:r w:rsidRPr="00EF6007">
        <w:rPr>
          <w:lang w:val="en-US"/>
        </w:rPr>
        <w:t>dir.</w:t>
      </w:r>
      <w:r>
        <w:rPr>
          <w:lang w:val="en-US"/>
        </w:rPr>
        <w:t>)</w:t>
      </w:r>
      <w:r w:rsidRPr="00EF6007">
        <w:rPr>
          <w:lang w:val="en-US"/>
        </w:rPr>
        <w:t xml:space="preserve">, </w:t>
      </w:r>
      <w:r w:rsidRPr="00EF6007">
        <w:rPr>
          <w:i/>
          <w:lang w:val="en-US"/>
        </w:rPr>
        <w:t xml:space="preserve">World Antiquarianism. </w:t>
      </w:r>
      <w:r w:rsidRPr="00EF6007">
        <w:rPr>
          <w:i/>
          <w:lang w:val="fr-FR"/>
        </w:rPr>
        <w:t>Comparative Perspective</w:t>
      </w:r>
      <w:r>
        <w:rPr>
          <w:i/>
          <w:lang w:val="fr-FR"/>
        </w:rPr>
        <w:t>s</w:t>
      </w:r>
      <w:r w:rsidRPr="00EF6007">
        <w:rPr>
          <w:lang w:val="fr-FR"/>
        </w:rPr>
        <w:t xml:space="preserve">, Los Angeles, </w:t>
      </w:r>
      <w:r w:rsidRPr="00DD6E89">
        <w:rPr>
          <w:lang w:val="fr-FR"/>
        </w:rPr>
        <w:t>Getty Research Institute</w:t>
      </w:r>
      <w:r>
        <w:rPr>
          <w:lang w:val="fr-FR"/>
        </w:rPr>
        <w:t xml:space="preserve">, </w:t>
      </w:r>
      <w:r w:rsidRPr="00EF6007">
        <w:rPr>
          <w:lang w:val="fr-FR"/>
        </w:rPr>
        <w:t>2013 (Issues &amp; Debates), en particulier p. 67-73 ;</w:t>
      </w:r>
      <w:r>
        <w:rPr>
          <w:lang w:val="fr-FR"/>
        </w:rPr>
        <w:t xml:space="preserve"> William</w:t>
      </w:r>
      <w:r w:rsidRPr="00EF6007">
        <w:rPr>
          <w:lang w:val="fr-FR"/>
        </w:rPr>
        <w:t xml:space="preserve"> </w:t>
      </w:r>
      <w:r w:rsidRPr="00EF6007">
        <w:rPr>
          <w:bCs/>
          <w:lang w:val="fr-FR" w:eastAsia="ar-SA"/>
        </w:rPr>
        <w:t>S</w:t>
      </w:r>
      <w:r w:rsidRPr="00EF6007">
        <w:rPr>
          <w:bCs/>
          <w:smallCaps/>
          <w:lang w:val="fr-FR" w:eastAsia="ar-SA"/>
        </w:rPr>
        <w:t>tenhouse</w:t>
      </w:r>
      <w:r w:rsidRPr="00EF6007">
        <w:rPr>
          <w:bCs/>
          <w:lang w:val="fr-FR" w:eastAsia="ar-SA"/>
        </w:rPr>
        <w:t xml:space="preserve">, </w:t>
      </w:r>
      <w:r w:rsidRPr="00EF6007">
        <w:rPr>
          <w:bCs/>
          <w:i/>
          <w:lang w:val="fr-FR" w:eastAsia="ar-SA"/>
        </w:rPr>
        <w:t>The Renaissance Foundations of European Antiquarianism</w:t>
      </w:r>
      <w:r w:rsidRPr="00EF6007">
        <w:rPr>
          <w:bCs/>
          <w:lang w:val="fr-FR" w:eastAsia="ar-SA"/>
        </w:rPr>
        <w:t xml:space="preserve">, dans </w:t>
      </w:r>
      <w:r w:rsidRPr="00EF6007">
        <w:rPr>
          <w:bCs/>
          <w:i/>
          <w:lang w:val="fr-FR" w:eastAsia="ar-SA"/>
        </w:rPr>
        <w:t>Ibid.</w:t>
      </w:r>
      <w:r w:rsidRPr="00EF6007">
        <w:rPr>
          <w:bCs/>
          <w:lang w:val="fr-FR" w:eastAsia="ar-SA"/>
        </w:rPr>
        <w:t xml:space="preserve">, p. 296-297 et 303-305 ; </w:t>
      </w:r>
      <w:r w:rsidRPr="00DD6E89">
        <w:rPr>
          <w:bCs/>
          <w:lang w:val="fr-FR" w:eastAsia="ar-SA"/>
        </w:rPr>
        <w:t xml:space="preserve">Arnaldo </w:t>
      </w:r>
      <w:r w:rsidRPr="00DD6E89">
        <w:rPr>
          <w:bCs/>
          <w:smallCaps/>
          <w:lang w:eastAsia="ar-SA"/>
        </w:rPr>
        <w:t>Momigliano</w:t>
      </w:r>
      <w:r w:rsidRPr="00DD6E89">
        <w:rPr>
          <w:bCs/>
          <w:lang w:eastAsia="ar-SA"/>
        </w:rPr>
        <w:t xml:space="preserve">, </w:t>
      </w:r>
      <w:r w:rsidRPr="00DD6E89">
        <w:rPr>
          <w:i/>
          <w:lang w:eastAsia="ar-SA"/>
        </w:rPr>
        <w:t>Les fondations du savoir historique</w:t>
      </w:r>
      <w:r w:rsidRPr="00DD6E89">
        <w:rPr>
          <w:bCs/>
          <w:lang w:eastAsia="ar-SA"/>
        </w:rPr>
        <w:t>, Paris, Les Belles Lettres, 1992, p</w:t>
      </w:r>
      <w:r w:rsidRPr="00EF6007">
        <w:rPr>
          <w:bCs/>
          <w:lang w:eastAsia="ar-SA"/>
        </w:rPr>
        <w:t xml:space="preserve">. 64-65 ; </w:t>
      </w:r>
      <w:r w:rsidRPr="00EF6007">
        <w:rPr>
          <w:bCs/>
          <w:smallCaps/>
        </w:rPr>
        <w:t>Id.</w:t>
      </w:r>
      <w:r w:rsidRPr="00EF6007">
        <w:rPr>
          <w:bCs/>
          <w:i/>
        </w:rPr>
        <w:t xml:space="preserve">, </w:t>
      </w:r>
      <w:r>
        <w:rPr>
          <w:bCs/>
        </w:rPr>
        <w:t>« </w:t>
      </w:r>
      <w:r w:rsidRPr="008C1E7A">
        <w:rPr>
          <w:bCs/>
        </w:rPr>
        <w:t xml:space="preserve">L’histoire ancienne et l’antiquaire », dans </w:t>
      </w:r>
      <w:r w:rsidRPr="00DD6E89">
        <w:rPr>
          <w:bCs/>
          <w:lang w:val="fr-FR" w:eastAsia="ar-SA"/>
        </w:rPr>
        <w:t xml:space="preserve">Arnaldo </w:t>
      </w:r>
      <w:r w:rsidRPr="00DD6E89">
        <w:rPr>
          <w:bCs/>
          <w:smallCaps/>
          <w:lang w:eastAsia="ar-SA"/>
        </w:rPr>
        <w:t>Momigliano</w:t>
      </w:r>
      <w:r w:rsidRPr="00DD6E89">
        <w:rPr>
          <w:bCs/>
          <w:lang w:eastAsia="ar-SA"/>
        </w:rPr>
        <w:t xml:space="preserve">, </w:t>
      </w:r>
      <w:r w:rsidRPr="00EF6007">
        <w:rPr>
          <w:bCs/>
          <w:i/>
        </w:rPr>
        <w:t>Problèmes d’historiographie ancienne et moderne</w:t>
      </w:r>
      <w:r w:rsidRPr="00EF6007">
        <w:rPr>
          <w:bCs/>
        </w:rPr>
        <w:t xml:space="preserve">, Paris, </w:t>
      </w:r>
      <w:r w:rsidRPr="00DD6E89">
        <w:rPr>
          <w:bCs/>
        </w:rPr>
        <w:t xml:space="preserve">Gallimard, </w:t>
      </w:r>
      <w:r w:rsidRPr="00EF6007">
        <w:rPr>
          <w:bCs/>
        </w:rPr>
        <w:t>1983, p. 247 ;</w:t>
      </w:r>
      <w:r>
        <w:rPr>
          <w:bCs/>
        </w:rPr>
        <w:t xml:space="preserve"> Véronique</w:t>
      </w:r>
      <w:r w:rsidRPr="00EF6007">
        <w:t xml:space="preserve"> </w:t>
      </w:r>
      <w:r w:rsidRPr="00EF6007">
        <w:rPr>
          <w:smallCaps/>
        </w:rPr>
        <w:t>Krings</w:t>
      </w:r>
      <w:r w:rsidRPr="00EF6007">
        <w:t xml:space="preserve">, </w:t>
      </w:r>
      <w:r w:rsidRPr="008C1E7A">
        <w:t>« Prologue »,</w:t>
      </w:r>
      <w:r w:rsidRPr="00EF6007">
        <w:t xml:space="preserve"> dans </w:t>
      </w:r>
      <w:r>
        <w:t xml:space="preserve">Véronique </w:t>
      </w:r>
      <w:r w:rsidRPr="00EF6007">
        <w:t>K</w:t>
      </w:r>
      <w:r w:rsidRPr="00EF6007">
        <w:rPr>
          <w:smallCaps/>
        </w:rPr>
        <w:t>rings</w:t>
      </w:r>
      <w:r>
        <w:t>, François</w:t>
      </w:r>
      <w:r w:rsidRPr="00EF6007">
        <w:t xml:space="preserve"> P</w:t>
      </w:r>
      <w:r w:rsidRPr="00EF6007">
        <w:rPr>
          <w:smallCaps/>
        </w:rPr>
        <w:t>ugnière</w:t>
      </w:r>
      <w:r w:rsidRPr="00EF6007">
        <w:t xml:space="preserve"> </w:t>
      </w:r>
      <w:r>
        <w:t>(</w:t>
      </w:r>
      <w:r w:rsidRPr="00EF6007">
        <w:t>dir.</w:t>
      </w:r>
      <w:r>
        <w:t>)</w:t>
      </w:r>
      <w:r w:rsidRPr="00EF6007">
        <w:t xml:space="preserve">, </w:t>
      </w:r>
      <w:r w:rsidRPr="00EF6007">
        <w:rPr>
          <w:i/>
        </w:rPr>
        <w:t>Nîmes et ses Antiquités. Un passé présent, XVI</w:t>
      </w:r>
      <w:r w:rsidRPr="00EF6007">
        <w:rPr>
          <w:i/>
          <w:vertAlign w:val="superscript"/>
        </w:rPr>
        <w:t>e</w:t>
      </w:r>
      <w:r w:rsidRPr="00EF6007">
        <w:rPr>
          <w:i/>
        </w:rPr>
        <w:t>-XIX</w:t>
      </w:r>
      <w:r w:rsidRPr="00EF6007">
        <w:rPr>
          <w:i/>
          <w:vertAlign w:val="superscript"/>
        </w:rPr>
        <w:t>e</w:t>
      </w:r>
      <w:r w:rsidRPr="00EF6007">
        <w:rPr>
          <w:i/>
        </w:rPr>
        <w:t xml:space="preserve"> siècle</w:t>
      </w:r>
      <w:r w:rsidRPr="00EF6007">
        <w:t>, Bordeaux,</w:t>
      </w:r>
      <w:r>
        <w:t xml:space="preserve"> </w:t>
      </w:r>
      <w:r w:rsidRPr="00076773">
        <w:t xml:space="preserve">Ausonius, </w:t>
      </w:r>
      <w:r w:rsidRPr="00EF6007">
        <w:t xml:space="preserve">2013, p. 12 ; </w:t>
      </w:r>
      <w:r>
        <w:t xml:space="preserve">Kelsey J. </w:t>
      </w:r>
      <w:r w:rsidRPr="00EF6007">
        <w:rPr>
          <w:bCs/>
          <w:smallCaps/>
          <w:lang w:val="fr-FR"/>
        </w:rPr>
        <w:t>Williams</w:t>
      </w:r>
      <w:r w:rsidRPr="00EF6007">
        <w:rPr>
          <w:bCs/>
          <w:lang w:val="fr-FR"/>
        </w:rPr>
        <w:t xml:space="preserve">, </w:t>
      </w:r>
      <w:r w:rsidRPr="008C1E7A">
        <w:rPr>
          <w:bCs/>
          <w:lang w:val="fr-FR"/>
        </w:rPr>
        <w:t>« Antiquarianism: A Reinterpretation »,</w:t>
      </w:r>
      <w:r w:rsidRPr="00EF6007">
        <w:rPr>
          <w:bCs/>
          <w:lang w:val="fr-FR"/>
        </w:rPr>
        <w:t xml:space="preserve"> </w:t>
      </w:r>
      <w:r w:rsidRPr="00EF6007">
        <w:rPr>
          <w:bCs/>
          <w:i/>
          <w:lang w:val="fr-FR"/>
        </w:rPr>
        <w:t>Erudition and the Republic of Letters</w:t>
      </w:r>
      <w:r>
        <w:rPr>
          <w:bCs/>
          <w:i/>
          <w:lang w:val="fr-FR"/>
        </w:rPr>
        <w:t> </w:t>
      </w:r>
      <w:r w:rsidRPr="00EF6007">
        <w:rPr>
          <w:bCs/>
          <w:lang w:val="fr-FR"/>
        </w:rPr>
        <w:t xml:space="preserve">, </w:t>
      </w:r>
      <w:r>
        <w:rPr>
          <w:bCs/>
          <w:lang w:val="fr-FR"/>
        </w:rPr>
        <w:t>2017,</w:t>
      </w:r>
      <w:r w:rsidRPr="00EF6007">
        <w:rPr>
          <w:bCs/>
          <w:lang w:val="fr-FR"/>
        </w:rPr>
        <w:t xml:space="preserve"> </w:t>
      </w:r>
      <w:r>
        <w:rPr>
          <w:bCs/>
          <w:lang w:val="fr-FR"/>
        </w:rPr>
        <w:t>n° </w:t>
      </w:r>
      <w:r w:rsidRPr="00EF6007">
        <w:rPr>
          <w:bCs/>
          <w:lang w:val="fr-FR"/>
        </w:rPr>
        <w:t>2, p.</w:t>
      </w:r>
      <w:r>
        <w:rPr>
          <w:bCs/>
          <w:lang w:val="fr-FR"/>
        </w:rPr>
        <w:t> </w:t>
      </w:r>
      <w:r w:rsidRPr="00EF6007">
        <w:rPr>
          <w:bCs/>
          <w:lang w:val="fr-FR"/>
        </w:rPr>
        <w:t xml:space="preserve">65-67 ; </w:t>
      </w:r>
      <w:r>
        <w:rPr>
          <w:bCs/>
          <w:lang w:val="fr-FR"/>
        </w:rPr>
        <w:t xml:space="preserve">Augus </w:t>
      </w:r>
      <w:r w:rsidRPr="00EF6007">
        <w:rPr>
          <w:bCs/>
        </w:rPr>
        <w:t>V</w:t>
      </w:r>
      <w:r w:rsidRPr="00EF6007">
        <w:rPr>
          <w:bCs/>
          <w:smallCaps/>
        </w:rPr>
        <w:t>ine</w:t>
      </w:r>
      <w:r w:rsidRPr="00EF6007">
        <w:rPr>
          <w:bCs/>
        </w:rPr>
        <w:t xml:space="preserve">, </w:t>
      </w:r>
      <w:r w:rsidRPr="00EF6007">
        <w:rPr>
          <w:bCs/>
          <w:i/>
        </w:rPr>
        <w:t xml:space="preserve">In Defiance of Time. </w:t>
      </w:r>
      <w:r w:rsidRPr="00EF6007">
        <w:rPr>
          <w:bCs/>
          <w:i/>
          <w:lang w:val="en-US"/>
        </w:rPr>
        <w:t>Antiquarian Writing in Early Modern England</w:t>
      </w:r>
      <w:r w:rsidRPr="00EF6007">
        <w:rPr>
          <w:bCs/>
          <w:lang w:val="en-US"/>
        </w:rPr>
        <w:t>, Oxford,</w:t>
      </w:r>
      <w:r>
        <w:rPr>
          <w:bCs/>
          <w:lang w:val="en-US"/>
        </w:rPr>
        <w:t xml:space="preserve"> Oxford University Press, </w:t>
      </w:r>
      <w:r w:rsidRPr="00EF6007">
        <w:rPr>
          <w:bCs/>
          <w:lang w:val="en-US"/>
        </w:rPr>
        <w:t xml:space="preserve">2010, </w:t>
      </w:r>
      <w:r w:rsidRPr="00EF6007">
        <w:rPr>
          <w:lang w:val="en-US"/>
        </w:rPr>
        <w:t>p. 16-19.</w:t>
      </w:r>
    </w:p>
  </w:footnote>
  <w:footnote w:id="2">
    <w:p w14:paraId="72ACB58D" w14:textId="1E31B0A9" w:rsidR="006C2965" w:rsidRPr="00EF6007" w:rsidRDefault="006C2965" w:rsidP="005A4721">
      <w:pPr>
        <w:pStyle w:val="Notedebasdepage"/>
        <w:jc w:val="both"/>
        <w:rPr>
          <w:lang w:val="en-US"/>
        </w:rPr>
      </w:pPr>
      <w:r w:rsidRPr="00EF6007">
        <w:rPr>
          <w:rStyle w:val="Appelnotedebasdep"/>
        </w:rPr>
        <w:footnoteRef/>
      </w:r>
      <w:r w:rsidRPr="00EF6007">
        <w:rPr>
          <w:lang w:val="en-US"/>
        </w:rPr>
        <w:t xml:space="preserve"> </w:t>
      </w:r>
      <w:bookmarkStart w:id="1" w:name="_Hlk507492308"/>
      <w:r>
        <w:rPr>
          <w:lang w:val="en-US"/>
        </w:rPr>
        <w:t xml:space="preserve">Graham </w:t>
      </w:r>
      <w:r w:rsidRPr="00EF6007">
        <w:rPr>
          <w:smallCaps/>
          <w:lang w:val="en-US"/>
        </w:rPr>
        <w:t>Parry</w:t>
      </w:r>
      <w:r w:rsidRPr="00EF6007">
        <w:rPr>
          <w:lang w:val="en-US"/>
        </w:rPr>
        <w:t xml:space="preserve">, </w:t>
      </w:r>
      <w:r w:rsidRPr="00EF6007">
        <w:rPr>
          <w:i/>
          <w:lang w:val="en-US"/>
        </w:rPr>
        <w:t xml:space="preserve">The Trophies of Time. </w:t>
      </w:r>
      <w:bookmarkEnd w:id="1"/>
      <w:r w:rsidRPr="00EF6007">
        <w:rPr>
          <w:i/>
          <w:lang w:val="en-US"/>
        </w:rPr>
        <w:t>English Antiquarians of the Seventeenth Century</w:t>
      </w:r>
      <w:r w:rsidRPr="00EF6007">
        <w:rPr>
          <w:lang w:val="en-US"/>
        </w:rPr>
        <w:t xml:space="preserve">, </w:t>
      </w:r>
      <w:r w:rsidRPr="004069F5">
        <w:rPr>
          <w:lang w:val="en-US"/>
        </w:rPr>
        <w:t>Oxford-New York, Oxford University Press</w:t>
      </w:r>
      <w:r>
        <w:rPr>
          <w:lang w:val="en-US"/>
        </w:rPr>
        <w:t>,</w:t>
      </w:r>
      <w:r w:rsidRPr="00EF6007">
        <w:rPr>
          <w:lang w:val="en-US"/>
        </w:rPr>
        <w:t xml:space="preserve"> 1995, p.</w:t>
      </w:r>
      <w:r>
        <w:rPr>
          <w:lang w:val="en-US"/>
        </w:rPr>
        <w:t> </w:t>
      </w:r>
      <w:r w:rsidRPr="00EF6007">
        <w:rPr>
          <w:lang w:val="en-US"/>
        </w:rPr>
        <w:t>1.</w:t>
      </w:r>
    </w:p>
  </w:footnote>
  <w:footnote w:id="3">
    <w:p w14:paraId="006F132E" w14:textId="07F65BB6" w:rsidR="006C2965" w:rsidRPr="004069F5" w:rsidRDefault="006C2965" w:rsidP="004069F5">
      <w:pPr>
        <w:pStyle w:val="Notedebasdepage"/>
        <w:jc w:val="both"/>
        <w:rPr>
          <w:lang w:val="en-US"/>
        </w:rPr>
      </w:pPr>
      <w:r w:rsidRPr="006E1A49">
        <w:rPr>
          <w:rStyle w:val="Appelnotedebasdep"/>
        </w:rPr>
        <w:footnoteRef/>
      </w:r>
      <w:r w:rsidRPr="006E1A49">
        <w:t xml:space="preserve"> </w:t>
      </w:r>
      <w:r>
        <w:t>Outre</w:t>
      </w:r>
      <w:r w:rsidRPr="006E1A49">
        <w:t xml:space="preserve"> les </w:t>
      </w:r>
      <w:r>
        <w:t xml:space="preserve">ouvrages déjà cités en notes 1 et 2, voir notamment </w:t>
      </w:r>
      <w:r w:rsidRPr="006E1A49">
        <w:t xml:space="preserve">: </w:t>
      </w:r>
      <w:r>
        <w:t xml:space="preserve">Véronique </w:t>
      </w:r>
      <w:r w:rsidRPr="00E7000F">
        <w:rPr>
          <w:bCs/>
          <w:smallCaps/>
        </w:rPr>
        <w:t>Krings,</w:t>
      </w:r>
      <w:r>
        <w:rPr>
          <w:bCs/>
          <w:smallCaps/>
        </w:rPr>
        <w:t xml:space="preserve"> </w:t>
      </w:r>
      <w:r w:rsidRPr="00076773">
        <w:rPr>
          <w:bCs/>
          <w:smallCaps/>
        </w:rPr>
        <w:t>C</w:t>
      </w:r>
      <w:r w:rsidRPr="00076773">
        <w:rPr>
          <w:bCs/>
        </w:rPr>
        <w:t>atherine</w:t>
      </w:r>
      <w:r w:rsidRPr="00076773">
        <w:rPr>
          <w:bCs/>
          <w:smallCaps/>
        </w:rPr>
        <w:t xml:space="preserve"> </w:t>
      </w:r>
      <w:r w:rsidRPr="00E7000F">
        <w:rPr>
          <w:bCs/>
          <w:smallCaps/>
        </w:rPr>
        <w:t>Valenti</w:t>
      </w:r>
      <w:r w:rsidRPr="00E7000F">
        <w:rPr>
          <w:bCs/>
        </w:rPr>
        <w:t xml:space="preserve"> </w:t>
      </w:r>
      <w:r>
        <w:rPr>
          <w:bCs/>
        </w:rPr>
        <w:t>(</w:t>
      </w:r>
      <w:r w:rsidRPr="00E7000F">
        <w:rPr>
          <w:bCs/>
        </w:rPr>
        <w:t>dir.</w:t>
      </w:r>
      <w:r>
        <w:rPr>
          <w:bCs/>
        </w:rPr>
        <w:t>)</w:t>
      </w:r>
      <w:r w:rsidRPr="00E7000F">
        <w:rPr>
          <w:bCs/>
        </w:rPr>
        <w:t xml:space="preserve">, </w:t>
      </w:r>
      <w:r w:rsidRPr="00E7000F">
        <w:rPr>
          <w:bCs/>
          <w:i/>
        </w:rPr>
        <w:t>Les antiquaires du Midi : savoirs et mémoire, XVI</w:t>
      </w:r>
      <w:r w:rsidRPr="00E7000F">
        <w:rPr>
          <w:bCs/>
          <w:i/>
          <w:vertAlign w:val="superscript"/>
        </w:rPr>
        <w:t>e</w:t>
      </w:r>
      <w:r w:rsidRPr="00E7000F">
        <w:rPr>
          <w:bCs/>
          <w:i/>
        </w:rPr>
        <w:t>-XIX</w:t>
      </w:r>
      <w:r w:rsidRPr="00E7000F">
        <w:rPr>
          <w:bCs/>
          <w:i/>
          <w:vertAlign w:val="superscript"/>
        </w:rPr>
        <w:t>e</w:t>
      </w:r>
      <w:r w:rsidRPr="00E7000F">
        <w:rPr>
          <w:bCs/>
          <w:i/>
        </w:rPr>
        <w:t xml:space="preserve"> siècles</w:t>
      </w:r>
      <w:r w:rsidRPr="00E7000F">
        <w:rPr>
          <w:bCs/>
        </w:rPr>
        <w:t>, Paris,</w:t>
      </w:r>
      <w:r>
        <w:rPr>
          <w:bCs/>
        </w:rPr>
        <w:t xml:space="preserve"> Errance,</w:t>
      </w:r>
      <w:r w:rsidRPr="00E7000F">
        <w:rPr>
          <w:bCs/>
        </w:rPr>
        <w:t xml:space="preserve"> 2010</w:t>
      </w:r>
      <w:r>
        <w:rPr>
          <w:bCs/>
        </w:rPr>
        <w:t xml:space="preserve"> ; Odile </w:t>
      </w:r>
      <w:r w:rsidRPr="00E7000F">
        <w:rPr>
          <w:bCs/>
          <w:smallCaps/>
        </w:rPr>
        <w:t>Parsis-Barubé</w:t>
      </w:r>
      <w:r w:rsidRPr="00E7000F">
        <w:rPr>
          <w:bCs/>
        </w:rPr>
        <w:t xml:space="preserve">, </w:t>
      </w:r>
      <w:r w:rsidRPr="00E7000F">
        <w:rPr>
          <w:bCs/>
          <w:i/>
        </w:rPr>
        <w:t>La province antiquaire. L’invention de l’histoire locale en France</w:t>
      </w:r>
      <w:r w:rsidRPr="00E7000F">
        <w:rPr>
          <w:bCs/>
        </w:rPr>
        <w:t>, Paris,</w:t>
      </w:r>
      <w:r w:rsidRPr="004069F5">
        <w:t xml:space="preserve"> </w:t>
      </w:r>
      <w:r w:rsidRPr="004069F5">
        <w:rPr>
          <w:bCs/>
        </w:rPr>
        <w:t>Editions du Comité des travaux historiques et scientifiques</w:t>
      </w:r>
      <w:r>
        <w:rPr>
          <w:bCs/>
        </w:rPr>
        <w:t xml:space="preserve">, </w:t>
      </w:r>
      <w:r w:rsidRPr="00E7000F">
        <w:rPr>
          <w:bCs/>
        </w:rPr>
        <w:t>2011</w:t>
      </w:r>
      <w:r>
        <w:rPr>
          <w:bCs/>
        </w:rPr>
        <w:t xml:space="preserve"> ; Elena </w:t>
      </w:r>
      <w:r w:rsidRPr="00E7000F">
        <w:t>V</w:t>
      </w:r>
      <w:r w:rsidRPr="00E7000F">
        <w:rPr>
          <w:smallCaps/>
        </w:rPr>
        <w:t>aiani</w:t>
      </w:r>
      <w:r w:rsidRPr="00E7000F">
        <w:t xml:space="preserve">, </w:t>
      </w:r>
      <w:r w:rsidRPr="00E7000F">
        <w:rPr>
          <w:i/>
        </w:rPr>
        <w:t>Dell’antiquaria e dei suoi metodi,</w:t>
      </w:r>
      <w:r>
        <w:t xml:space="preserve"> Pise, </w:t>
      </w:r>
      <w:r w:rsidRPr="004069F5">
        <w:t>Scuola normale superiore</w:t>
      </w:r>
      <w:r>
        <w:t xml:space="preserve">, 1998 ; Peter N. </w:t>
      </w:r>
      <w:r w:rsidRPr="00E7000F">
        <w:rPr>
          <w:bCs/>
          <w:smallCaps/>
          <w:lang w:val="fr-FR"/>
        </w:rPr>
        <w:t>Miller</w:t>
      </w:r>
      <w:r w:rsidRPr="00E7000F">
        <w:rPr>
          <w:bCs/>
          <w:lang w:val="fr-FR"/>
        </w:rPr>
        <w:t>,</w:t>
      </w:r>
      <w:r>
        <w:rPr>
          <w:bCs/>
          <w:lang w:val="fr-FR"/>
        </w:rPr>
        <w:t xml:space="preserve"> </w:t>
      </w:r>
      <w:r w:rsidRPr="004069F5">
        <w:rPr>
          <w:bCs/>
          <w:lang w:val="fr-FR"/>
        </w:rPr>
        <w:t xml:space="preserve">François </w:t>
      </w:r>
      <w:r w:rsidRPr="00E7000F">
        <w:rPr>
          <w:bCs/>
          <w:smallCaps/>
          <w:lang w:val="fr-FR"/>
        </w:rPr>
        <w:t>Louis</w:t>
      </w:r>
      <w:r w:rsidRPr="00E7000F">
        <w:rPr>
          <w:bCs/>
          <w:lang w:val="fr-FR"/>
        </w:rPr>
        <w:t xml:space="preserve"> </w:t>
      </w:r>
      <w:r>
        <w:rPr>
          <w:bCs/>
          <w:lang w:val="fr-FR"/>
        </w:rPr>
        <w:t>(</w:t>
      </w:r>
      <w:r w:rsidRPr="00E7000F">
        <w:rPr>
          <w:bCs/>
          <w:lang w:val="fr-FR"/>
        </w:rPr>
        <w:t>dir.</w:t>
      </w:r>
      <w:r>
        <w:rPr>
          <w:bCs/>
          <w:lang w:val="fr-FR"/>
        </w:rPr>
        <w:t>)</w:t>
      </w:r>
      <w:r w:rsidRPr="00E7000F">
        <w:rPr>
          <w:bCs/>
          <w:lang w:val="fr-FR"/>
        </w:rPr>
        <w:t xml:space="preserve">, </w:t>
      </w:r>
      <w:r w:rsidRPr="00E7000F">
        <w:rPr>
          <w:bCs/>
          <w:i/>
          <w:lang w:val="fr-FR"/>
        </w:rPr>
        <w:t>Antiquarianism and Intellectual Life in Europe and China, 1500-1800</w:t>
      </w:r>
      <w:r w:rsidRPr="00E7000F">
        <w:rPr>
          <w:bCs/>
          <w:lang w:val="fr-FR"/>
        </w:rPr>
        <w:t xml:space="preserve">, Ann Arbor, </w:t>
      </w:r>
      <w:r w:rsidRPr="004069F5">
        <w:rPr>
          <w:bCs/>
          <w:lang w:val="fr-FR"/>
        </w:rPr>
        <w:t xml:space="preserve">University of Michigan </w:t>
      </w:r>
      <w:r>
        <w:rPr>
          <w:bCs/>
          <w:lang w:val="fr-FR"/>
        </w:rPr>
        <w:t>P</w:t>
      </w:r>
      <w:r w:rsidRPr="004069F5">
        <w:rPr>
          <w:bCs/>
          <w:lang w:val="fr-FR"/>
        </w:rPr>
        <w:t>ress</w:t>
      </w:r>
      <w:r>
        <w:rPr>
          <w:bCs/>
          <w:lang w:val="fr-FR"/>
        </w:rPr>
        <w:t xml:space="preserve">, </w:t>
      </w:r>
      <w:r w:rsidRPr="00E7000F">
        <w:rPr>
          <w:bCs/>
          <w:lang w:val="fr-FR"/>
        </w:rPr>
        <w:t>2012 ;</w:t>
      </w:r>
      <w:r>
        <w:t xml:space="preserve"> Rosemary </w:t>
      </w:r>
      <w:r w:rsidRPr="00E7000F">
        <w:rPr>
          <w:lang w:val="fr-FR"/>
        </w:rPr>
        <w:t>S</w:t>
      </w:r>
      <w:r w:rsidRPr="00E7000F">
        <w:rPr>
          <w:smallCaps/>
          <w:lang w:val="fr-FR"/>
        </w:rPr>
        <w:t>weet</w:t>
      </w:r>
      <w:r w:rsidRPr="00E7000F">
        <w:rPr>
          <w:lang w:val="fr-FR"/>
        </w:rPr>
        <w:t xml:space="preserve">, </w:t>
      </w:r>
      <w:r w:rsidRPr="00E7000F">
        <w:rPr>
          <w:i/>
          <w:lang w:val="fr-FR"/>
        </w:rPr>
        <w:t xml:space="preserve">Antiquaries. </w:t>
      </w:r>
      <w:r w:rsidRPr="006E1A49">
        <w:rPr>
          <w:i/>
          <w:lang w:val="en-US"/>
        </w:rPr>
        <w:t>The Discovery of the Past in Eighteenth-Century Britain</w:t>
      </w:r>
      <w:r>
        <w:rPr>
          <w:lang w:val="en-US"/>
        </w:rPr>
        <w:t xml:space="preserve">, Londres-New York, </w:t>
      </w:r>
      <w:r w:rsidRPr="004069F5">
        <w:rPr>
          <w:lang w:val="en-US"/>
        </w:rPr>
        <w:t>Palgrave MacMillan</w:t>
      </w:r>
      <w:r>
        <w:rPr>
          <w:lang w:val="en-US"/>
        </w:rPr>
        <w:t>,</w:t>
      </w:r>
      <w:r w:rsidRPr="004069F5">
        <w:rPr>
          <w:lang w:val="en-US"/>
        </w:rPr>
        <w:t xml:space="preserve"> </w:t>
      </w:r>
      <w:r>
        <w:rPr>
          <w:lang w:val="en-US"/>
        </w:rPr>
        <w:t xml:space="preserve">2004 ; Stuart </w:t>
      </w:r>
      <w:r w:rsidRPr="00E7000F">
        <w:rPr>
          <w:bCs/>
          <w:smallCaps/>
          <w:lang w:val="en-US"/>
        </w:rPr>
        <w:t>Piggott</w:t>
      </w:r>
      <w:r w:rsidRPr="00E7000F">
        <w:rPr>
          <w:bCs/>
          <w:lang w:val="en-US"/>
        </w:rPr>
        <w:t xml:space="preserve">, </w:t>
      </w:r>
      <w:r w:rsidRPr="00E7000F">
        <w:rPr>
          <w:bCs/>
          <w:i/>
          <w:lang w:val="en-US"/>
        </w:rPr>
        <w:t xml:space="preserve">Ruins in a Landscape. </w:t>
      </w:r>
      <w:r w:rsidRPr="004069F5">
        <w:rPr>
          <w:bCs/>
          <w:i/>
          <w:lang w:val="en-US"/>
        </w:rPr>
        <w:t>Essays in Antiquarianism</w:t>
      </w:r>
      <w:r w:rsidRPr="004069F5">
        <w:rPr>
          <w:bCs/>
          <w:lang w:val="en-US"/>
        </w:rPr>
        <w:t xml:space="preserve">, Edimbourg, Edinburgh University Press, 1976. </w:t>
      </w:r>
    </w:p>
  </w:footnote>
  <w:footnote w:id="4">
    <w:p w14:paraId="511FE993" w14:textId="4C2861C0" w:rsidR="006C2965" w:rsidRPr="002D0189" w:rsidRDefault="006C2965" w:rsidP="004069F5">
      <w:pPr>
        <w:pStyle w:val="Notedebasdepage"/>
        <w:jc w:val="both"/>
        <w:rPr>
          <w:lang w:val="en-US"/>
        </w:rPr>
      </w:pPr>
      <w:r w:rsidRPr="00EF6007">
        <w:rPr>
          <w:rStyle w:val="Appelnotedebasdep"/>
        </w:rPr>
        <w:footnoteRef/>
      </w:r>
      <w:r w:rsidRPr="002D0189">
        <w:rPr>
          <w:lang w:val="en-US"/>
        </w:rPr>
        <w:t xml:space="preserve"> R. S</w:t>
      </w:r>
      <w:r w:rsidRPr="002D0189">
        <w:rPr>
          <w:smallCaps/>
          <w:lang w:val="en-US"/>
        </w:rPr>
        <w:t>weet</w:t>
      </w:r>
      <w:r w:rsidRPr="002D0189">
        <w:rPr>
          <w:lang w:val="en-US"/>
        </w:rPr>
        <w:t xml:space="preserve">, </w:t>
      </w:r>
      <w:r w:rsidRPr="002D0189">
        <w:rPr>
          <w:i/>
          <w:lang w:val="en-US"/>
        </w:rPr>
        <w:t>op. cit.</w:t>
      </w:r>
      <w:r w:rsidRPr="002D0189">
        <w:rPr>
          <w:lang w:val="en-US"/>
        </w:rPr>
        <w:t>, p. </w:t>
      </w:r>
      <w:r w:rsidRPr="002D0189">
        <w:rPr>
          <w:rFonts w:eastAsia="Calibri" w:cs="Times New Roman"/>
          <w:lang w:val="en-US" w:eastAsia="ar-SA"/>
        </w:rPr>
        <w:t>XVI-XVII.</w:t>
      </w:r>
      <w:r w:rsidRPr="002D0189">
        <w:rPr>
          <w:rFonts w:ascii="Times New Roman" w:eastAsia="Calibri" w:hAnsi="Times New Roman" w:cs="Times New Roman"/>
          <w:sz w:val="24"/>
          <w:szCs w:val="24"/>
          <w:lang w:val="en-US" w:eastAsia="ar-SA"/>
        </w:rPr>
        <w:t> </w:t>
      </w:r>
    </w:p>
  </w:footnote>
  <w:footnote w:id="5">
    <w:p w14:paraId="4C8B22F1" w14:textId="7AA1C4E0" w:rsidR="006C2965" w:rsidRPr="009468C8" w:rsidRDefault="006C2965" w:rsidP="005A4721">
      <w:pPr>
        <w:pStyle w:val="Notedebasdepage"/>
        <w:jc w:val="both"/>
        <w:rPr>
          <w:lang w:val="fr-FR"/>
        </w:rPr>
      </w:pPr>
      <w:r w:rsidRPr="00EF6007">
        <w:rPr>
          <w:rStyle w:val="Appelnotedebasdep"/>
        </w:rPr>
        <w:footnoteRef/>
      </w:r>
      <w:r w:rsidRPr="00CC6FF4">
        <w:t xml:space="preserve"> Sur Alexandre Wiltheim</w:t>
      </w:r>
      <w:r w:rsidRPr="00572382">
        <w:t>, sa vie et son milieu familial :</w:t>
      </w:r>
      <w:r w:rsidRPr="00572382">
        <w:rPr>
          <w:rFonts w:eastAsia="Times New Roman" w:cs="Times New Roman"/>
          <w:smallCaps/>
          <w:color w:val="000000"/>
          <w:sz w:val="24"/>
          <w:szCs w:val="24"/>
          <w:lang w:val="fr-FR" w:eastAsia="ar-SA"/>
        </w:rPr>
        <w:t xml:space="preserve"> </w:t>
      </w:r>
      <w:r w:rsidRPr="00572382">
        <w:rPr>
          <w:rFonts w:eastAsia="Times New Roman" w:cs="Times New Roman"/>
          <w:smallCaps/>
          <w:color w:val="000000"/>
          <w:lang w:val="fr-FR" w:eastAsia="ar-SA"/>
        </w:rPr>
        <w:t>J</w:t>
      </w:r>
      <w:r w:rsidRPr="00572382">
        <w:rPr>
          <w:rFonts w:eastAsia="Times New Roman" w:cs="Times New Roman"/>
          <w:color w:val="000000"/>
          <w:lang w:val="fr-FR" w:eastAsia="ar-SA"/>
        </w:rPr>
        <w:t xml:space="preserve">ean </w:t>
      </w:r>
      <w:r w:rsidRPr="00572382">
        <w:rPr>
          <w:smallCaps/>
          <w:lang w:val="fr-FR"/>
        </w:rPr>
        <w:t>Krier,</w:t>
      </w:r>
      <w:r w:rsidRPr="00CC6FF4">
        <w:rPr>
          <w:smallCaps/>
          <w:lang w:val="fr-FR"/>
        </w:rPr>
        <w:t xml:space="preserve"> </w:t>
      </w:r>
      <w:r>
        <w:rPr>
          <w:smallCaps/>
          <w:lang w:val="fr-FR"/>
        </w:rPr>
        <w:t>E</w:t>
      </w:r>
      <w:r w:rsidRPr="00572382">
        <w:rPr>
          <w:lang w:val="fr-FR"/>
        </w:rPr>
        <w:t xml:space="preserve">dmond </w:t>
      </w:r>
      <w:r w:rsidRPr="00CC6FF4">
        <w:rPr>
          <w:smallCaps/>
          <w:lang w:val="fr-FR"/>
        </w:rPr>
        <w:t>Thill</w:t>
      </w:r>
      <w:r w:rsidRPr="00CC6FF4">
        <w:rPr>
          <w:lang w:val="fr-FR"/>
        </w:rPr>
        <w:t xml:space="preserve">, </w:t>
      </w:r>
      <w:r w:rsidRPr="00CC6FF4">
        <w:rPr>
          <w:i/>
          <w:iCs/>
          <w:lang w:val="fr-FR"/>
        </w:rPr>
        <w:t>Alexandre Wiltheim 1604-1684. Sa vie – son œuvre – son siècle. Bilan d'une exposition</w:t>
      </w:r>
      <w:r>
        <w:rPr>
          <w:lang w:val="fr-FR"/>
        </w:rPr>
        <w:t xml:space="preserve">, Luxembourg, Musée d’histoire et d’art, 1984, p. 7-63 ; Raymond </w:t>
      </w:r>
      <w:r w:rsidRPr="00262C10">
        <w:rPr>
          <w:smallCaps/>
          <w:lang w:val="fr-FR"/>
        </w:rPr>
        <w:t>Weiller</w:t>
      </w:r>
      <w:r w:rsidRPr="00262C10">
        <w:rPr>
          <w:lang w:val="fr-FR"/>
        </w:rPr>
        <w:t xml:space="preserve">, </w:t>
      </w:r>
      <w:r w:rsidRPr="00262C10">
        <w:rPr>
          <w:i/>
          <w:lang w:val="fr-FR"/>
        </w:rPr>
        <w:t>Alexandre Wiltheim, sa famille et son œuvre principale, le « Luxemburgum Romanum »</w:t>
      </w:r>
      <w:r w:rsidRPr="00262C10">
        <w:rPr>
          <w:lang w:val="fr-FR"/>
        </w:rPr>
        <w:t xml:space="preserve">, </w:t>
      </w:r>
      <w:bookmarkStart w:id="2" w:name="_Hlk517254912"/>
      <w:r w:rsidRPr="00262C10">
        <w:rPr>
          <w:lang w:val="fr-FR"/>
        </w:rPr>
        <w:t>dans</w:t>
      </w:r>
      <w:r>
        <w:rPr>
          <w:lang w:val="fr-FR"/>
        </w:rPr>
        <w:t xml:space="preserve"> Jean</w:t>
      </w:r>
      <w:r w:rsidRPr="00262C10">
        <w:rPr>
          <w:lang w:val="fr-FR"/>
        </w:rPr>
        <w:t xml:space="preserve"> </w:t>
      </w:r>
      <w:r w:rsidRPr="00262C10">
        <w:rPr>
          <w:smallCaps/>
          <w:lang w:val="fr-FR"/>
        </w:rPr>
        <w:t>Krier,</w:t>
      </w:r>
      <w:r>
        <w:rPr>
          <w:smallCaps/>
          <w:lang w:val="fr-FR"/>
        </w:rPr>
        <w:t xml:space="preserve"> </w:t>
      </w:r>
      <w:r w:rsidRPr="00572382">
        <w:rPr>
          <w:lang w:val="fr-FR"/>
        </w:rPr>
        <w:t xml:space="preserve">Raymond </w:t>
      </w:r>
      <w:r w:rsidRPr="00262C10">
        <w:rPr>
          <w:smallCaps/>
          <w:lang w:val="fr-FR"/>
        </w:rPr>
        <w:t>Weiller</w:t>
      </w:r>
      <w:r w:rsidRPr="00262C10">
        <w:rPr>
          <w:lang w:val="fr-FR"/>
        </w:rPr>
        <w:t xml:space="preserve"> </w:t>
      </w:r>
      <w:r>
        <w:rPr>
          <w:lang w:val="fr-FR"/>
        </w:rPr>
        <w:t>(</w:t>
      </w:r>
      <w:r w:rsidRPr="00262C10">
        <w:rPr>
          <w:lang w:val="fr-FR"/>
        </w:rPr>
        <w:t>dir.</w:t>
      </w:r>
      <w:r>
        <w:rPr>
          <w:lang w:val="fr-FR"/>
        </w:rPr>
        <w:t>)</w:t>
      </w:r>
      <w:r w:rsidRPr="00262C10">
        <w:rPr>
          <w:lang w:val="fr-FR"/>
        </w:rPr>
        <w:t xml:space="preserve">, </w:t>
      </w:r>
      <w:r w:rsidRPr="00262C10">
        <w:rPr>
          <w:i/>
          <w:lang w:val="fr-FR"/>
        </w:rPr>
        <w:t>Le manuscrit Wiltheim de Baslieux</w:t>
      </w:r>
      <w:r>
        <w:rPr>
          <w:lang w:val="fr-FR"/>
        </w:rPr>
        <w:t xml:space="preserve">, </w:t>
      </w:r>
      <w:r w:rsidRPr="009468C8">
        <w:rPr>
          <w:lang w:val="fr-FR"/>
        </w:rPr>
        <w:t>Luxembourg,</w:t>
      </w:r>
      <w:r>
        <w:rPr>
          <w:lang w:val="fr-FR"/>
        </w:rPr>
        <w:t xml:space="preserve"> Ministère des affaires culturelles,</w:t>
      </w:r>
      <w:r w:rsidRPr="009468C8">
        <w:rPr>
          <w:lang w:val="fr-FR"/>
        </w:rPr>
        <w:t xml:space="preserve"> 1984, p. </w:t>
      </w:r>
      <w:bookmarkEnd w:id="2"/>
      <w:r w:rsidRPr="009468C8">
        <w:rPr>
          <w:lang w:val="fr-FR"/>
        </w:rPr>
        <w:t>15-25 ;</w:t>
      </w:r>
      <w:r>
        <w:rPr>
          <w:lang w:val="fr-FR"/>
        </w:rPr>
        <w:t xml:space="preserve"> Willem</w:t>
      </w:r>
      <w:r w:rsidRPr="009468C8">
        <w:rPr>
          <w:lang w:val="fr-FR"/>
        </w:rPr>
        <w:t xml:space="preserve"> </w:t>
      </w:r>
      <w:r w:rsidRPr="009468C8">
        <w:rPr>
          <w:smallCaps/>
          <w:lang w:val="fr-FR"/>
        </w:rPr>
        <w:t>Audenaert</w:t>
      </w:r>
      <w:r w:rsidRPr="009468C8">
        <w:rPr>
          <w:lang w:val="fr-FR"/>
        </w:rPr>
        <w:t xml:space="preserve">, </w:t>
      </w:r>
      <w:r w:rsidRPr="009468C8">
        <w:rPr>
          <w:i/>
          <w:lang w:val="fr-FR"/>
        </w:rPr>
        <w:t>Prosopographia Iesuitica Belgica Antiqua: a Biographical Dictionary of the Jesuits in the Low Countries, 1542-1773</w:t>
      </w:r>
      <w:r w:rsidRPr="009468C8">
        <w:rPr>
          <w:lang w:val="fr-FR"/>
        </w:rPr>
        <w:t>, t.</w:t>
      </w:r>
      <w:r>
        <w:rPr>
          <w:lang w:val="fr-FR"/>
        </w:rPr>
        <w:t> </w:t>
      </w:r>
      <w:r w:rsidRPr="009468C8">
        <w:rPr>
          <w:lang w:val="fr-FR"/>
        </w:rPr>
        <w:t xml:space="preserve">2, Louvain, </w:t>
      </w:r>
      <w:r w:rsidRPr="00572382">
        <w:rPr>
          <w:lang w:val="fr-FR"/>
        </w:rPr>
        <w:t xml:space="preserve">Filosofisch en theologisch college s.j., </w:t>
      </w:r>
      <w:r w:rsidRPr="009468C8">
        <w:rPr>
          <w:lang w:val="fr-FR"/>
        </w:rPr>
        <w:t>2000, p. 443.</w:t>
      </w:r>
    </w:p>
  </w:footnote>
  <w:footnote w:id="6">
    <w:p w14:paraId="5AA50E81" w14:textId="29D46364" w:rsidR="006C2965" w:rsidRPr="009468C8" w:rsidRDefault="006C2965" w:rsidP="005A4721">
      <w:pPr>
        <w:pStyle w:val="Notedebasdepage"/>
        <w:jc w:val="both"/>
      </w:pPr>
      <w:r w:rsidRPr="009468C8">
        <w:rPr>
          <w:rStyle w:val="Appelnotedebasdep"/>
        </w:rPr>
        <w:footnoteRef/>
      </w:r>
      <w:r w:rsidRPr="009468C8">
        <w:t xml:space="preserve"> Quelques vestiges luxembourgeois ont été relevés et étudiés par les érudits Abraham Ortelius et Jean Vivianus lors d’un voyage les menant d’Anvers à Francfort en 1575. Le récit de leur voyage sera publié en 1584 (</w:t>
      </w:r>
      <w:bookmarkStart w:id="3" w:name="_Hlk507583536"/>
      <w:r>
        <w:t xml:space="preserve">Abraham </w:t>
      </w:r>
      <w:r w:rsidRPr="009468C8">
        <w:rPr>
          <w:smallCaps/>
        </w:rPr>
        <w:t xml:space="preserve">Ortelius, </w:t>
      </w:r>
      <w:r>
        <w:rPr>
          <w:smallCaps/>
        </w:rPr>
        <w:t>J</w:t>
      </w:r>
      <w:r w:rsidRPr="00572382">
        <w:t>ean</w:t>
      </w:r>
      <w:r>
        <w:rPr>
          <w:smallCaps/>
        </w:rPr>
        <w:t xml:space="preserve"> </w:t>
      </w:r>
      <w:r w:rsidRPr="009468C8">
        <w:rPr>
          <w:smallCaps/>
        </w:rPr>
        <w:t>Vivianus</w:t>
      </w:r>
      <w:r w:rsidRPr="009468C8">
        <w:t xml:space="preserve">, </w:t>
      </w:r>
      <w:r w:rsidRPr="009468C8">
        <w:rPr>
          <w:i/>
        </w:rPr>
        <w:t>Itinerarium per nonnullas Galliae Belgicae partes</w:t>
      </w:r>
      <w:r w:rsidRPr="009468C8">
        <w:t xml:space="preserve">, Anvers, </w:t>
      </w:r>
      <w:r w:rsidRPr="00572382">
        <w:t xml:space="preserve">ex officina Christophori Plantini, </w:t>
      </w:r>
      <w:r w:rsidRPr="009468C8">
        <w:t>1584</w:t>
      </w:r>
      <w:bookmarkEnd w:id="3"/>
      <w:r w:rsidRPr="009468C8">
        <w:t xml:space="preserve">). L’abbé d’Echternach Jean Bertels (1559-1607) est, quant à lui, l’auteur d’une </w:t>
      </w:r>
      <w:r w:rsidRPr="009468C8">
        <w:rPr>
          <w:i/>
        </w:rPr>
        <w:t>Historia Luxemburgensis</w:t>
      </w:r>
      <w:r w:rsidRPr="009468C8">
        <w:t xml:space="preserve"> datée de 1605 (</w:t>
      </w:r>
      <w:r>
        <w:t xml:space="preserve">Jean </w:t>
      </w:r>
      <w:r w:rsidRPr="009468C8">
        <w:rPr>
          <w:smallCaps/>
        </w:rPr>
        <w:t>Bertels</w:t>
      </w:r>
      <w:r w:rsidRPr="009468C8">
        <w:t xml:space="preserve">, </w:t>
      </w:r>
      <w:r w:rsidRPr="009468C8">
        <w:rPr>
          <w:i/>
        </w:rPr>
        <w:t>Historia Luxemburgensis</w:t>
      </w:r>
      <w:r w:rsidRPr="009468C8">
        <w:t xml:space="preserve">, éd. par </w:t>
      </w:r>
      <w:r>
        <w:t xml:space="preserve">Jean-Pierre </w:t>
      </w:r>
      <w:r w:rsidRPr="009468C8">
        <w:rPr>
          <w:smallCaps/>
        </w:rPr>
        <w:t>Brimmeyr,</w:t>
      </w:r>
      <w:r>
        <w:rPr>
          <w:smallCaps/>
        </w:rPr>
        <w:t xml:space="preserve"> M</w:t>
      </w:r>
      <w:r w:rsidRPr="00572382">
        <w:t>athieu</w:t>
      </w:r>
      <w:r w:rsidRPr="009468C8">
        <w:rPr>
          <w:smallCaps/>
        </w:rPr>
        <w:t xml:space="preserve"> Michel</w:t>
      </w:r>
      <w:r w:rsidRPr="009468C8">
        <w:t xml:space="preserve">, Luxembourg, </w:t>
      </w:r>
      <w:r>
        <w:t xml:space="preserve">Buck, </w:t>
      </w:r>
      <w:r w:rsidRPr="009468C8">
        <w:t>1866).</w:t>
      </w:r>
      <w:r w:rsidRPr="009468C8">
        <w:rPr>
          <w:lang w:val="fr-FR"/>
        </w:rPr>
        <w:t xml:space="preserve"> </w:t>
      </w:r>
      <w:r w:rsidRPr="009468C8">
        <w:t xml:space="preserve">Cette étude du passé luxembourgeois repose, pour la période antique, en grande partie sur des recherches étymologiques relatives aux toponymes luxembourgeois. </w:t>
      </w:r>
    </w:p>
  </w:footnote>
  <w:footnote w:id="7">
    <w:p w14:paraId="2B8C7CB9" w14:textId="77777777" w:rsidR="006C2965" w:rsidRPr="009468C8" w:rsidRDefault="006C2965" w:rsidP="00F9559F">
      <w:pPr>
        <w:pStyle w:val="Notedebasdepage"/>
        <w:jc w:val="both"/>
      </w:pPr>
      <w:r w:rsidRPr="009468C8">
        <w:rPr>
          <w:rStyle w:val="Appelnotedebasdep"/>
        </w:rPr>
        <w:footnoteRef/>
      </w:r>
      <w:r w:rsidRPr="009468C8">
        <w:t xml:space="preserve"> </w:t>
      </w:r>
      <w:r>
        <w:t xml:space="preserve">Le manuscrit est conservé </w:t>
      </w:r>
      <w:r w:rsidRPr="009468C8">
        <w:t xml:space="preserve">à la Bibliothèque royale de Belgique (Bruxelles) : </w:t>
      </w:r>
      <w:r w:rsidRPr="00DD7DDE">
        <w:t xml:space="preserve">KBR, </w:t>
      </w:r>
      <w:r w:rsidRPr="00DD7DDE">
        <w:rPr>
          <w:i/>
        </w:rPr>
        <w:t>Manuscrits</w:t>
      </w:r>
      <w:r w:rsidRPr="00DD7DDE">
        <w:t>, ms. 7146.</w:t>
      </w:r>
    </w:p>
  </w:footnote>
  <w:footnote w:id="8">
    <w:p w14:paraId="66744ABA" w14:textId="08071597" w:rsidR="006C2965" w:rsidRPr="009468C8" w:rsidRDefault="006C2965" w:rsidP="005A4721">
      <w:pPr>
        <w:pStyle w:val="Notedebasdepage"/>
        <w:jc w:val="both"/>
      </w:pPr>
      <w:r w:rsidRPr="009468C8">
        <w:rPr>
          <w:rStyle w:val="Appelnotedebasdep"/>
        </w:rPr>
        <w:footnoteRef/>
      </w:r>
      <w:r>
        <w:t xml:space="preserve"> Nicolette</w:t>
      </w:r>
      <w:r w:rsidRPr="009468C8">
        <w:t xml:space="preserve"> </w:t>
      </w:r>
      <w:r w:rsidRPr="009468C8">
        <w:rPr>
          <w:smallCaps/>
        </w:rPr>
        <w:t>Brouet,</w:t>
      </w:r>
      <w:r w:rsidRPr="009468C8">
        <w:t xml:space="preserve"> </w:t>
      </w:r>
      <w:r>
        <w:t>« </w:t>
      </w:r>
      <w:r w:rsidRPr="00572382">
        <w:rPr>
          <w:iCs/>
        </w:rPr>
        <w:t>Alexandre et son frère Jean-Guillaume Wiltheim, historiens de leur région</w:t>
      </w:r>
      <w:r>
        <w:rPr>
          <w:iCs/>
        </w:rPr>
        <w:t> »</w:t>
      </w:r>
      <w:r w:rsidRPr="009468C8">
        <w:t xml:space="preserve">, dans </w:t>
      </w:r>
      <w:r w:rsidRPr="009468C8">
        <w:rPr>
          <w:i/>
          <w:iCs/>
        </w:rPr>
        <w:t>Humanités et humanisme dans la cité des Trévires. Actes du colloque international, 10 et 11 octobre 2003, Athénée de Luxembourg</w:t>
      </w:r>
      <w:r w:rsidRPr="009468C8">
        <w:t xml:space="preserve">, Paris, </w:t>
      </w:r>
      <w:r>
        <w:t xml:space="preserve">Union latine, </w:t>
      </w:r>
      <w:r w:rsidRPr="009468C8">
        <w:t>2004, p.</w:t>
      </w:r>
      <w:r>
        <w:t xml:space="preserve"> 106-120 ; J. </w:t>
      </w:r>
      <w:r w:rsidRPr="003C6317">
        <w:rPr>
          <w:smallCaps/>
          <w:lang w:val="fr-FR"/>
        </w:rPr>
        <w:t xml:space="preserve">Krier, </w:t>
      </w:r>
      <w:r>
        <w:rPr>
          <w:smallCaps/>
          <w:lang w:val="fr-FR"/>
        </w:rPr>
        <w:t xml:space="preserve">E. </w:t>
      </w:r>
      <w:r w:rsidRPr="003C6317">
        <w:rPr>
          <w:smallCaps/>
          <w:lang w:val="fr-FR"/>
        </w:rPr>
        <w:t>Thill</w:t>
      </w:r>
      <w:r w:rsidRPr="003C6317">
        <w:rPr>
          <w:lang w:val="fr-FR"/>
        </w:rPr>
        <w:t xml:space="preserve">, </w:t>
      </w:r>
      <w:r>
        <w:rPr>
          <w:i/>
          <w:iCs/>
          <w:lang w:val="fr-FR"/>
        </w:rPr>
        <w:t>op. cit.</w:t>
      </w:r>
      <w:r w:rsidRPr="003C6317">
        <w:rPr>
          <w:iCs/>
          <w:lang w:val="fr-FR"/>
        </w:rPr>
        <w:t xml:space="preserve">, p. </w:t>
      </w:r>
      <w:r>
        <w:rPr>
          <w:iCs/>
          <w:lang w:val="fr-FR"/>
        </w:rPr>
        <w:t>63.</w:t>
      </w:r>
    </w:p>
  </w:footnote>
  <w:footnote w:id="9">
    <w:p w14:paraId="282C267A" w14:textId="410C19E8" w:rsidR="006C2965" w:rsidRPr="00704D3D" w:rsidRDefault="006C2965" w:rsidP="005A4721">
      <w:pPr>
        <w:pStyle w:val="Notedebasdepage"/>
        <w:jc w:val="both"/>
        <w:rPr>
          <w:lang w:val="fr-FR"/>
        </w:rPr>
      </w:pPr>
      <w:r w:rsidRPr="009468C8">
        <w:rPr>
          <w:rStyle w:val="Appelnotedebasdep"/>
        </w:rPr>
        <w:footnoteRef/>
      </w:r>
      <w:r w:rsidRPr="003C6317">
        <w:rPr>
          <w:lang w:val="nl-NL"/>
        </w:rPr>
        <w:t xml:space="preserve"> </w:t>
      </w:r>
      <w:r>
        <w:rPr>
          <w:lang w:val="nl-NL"/>
        </w:rPr>
        <w:t xml:space="preserve">Jean </w:t>
      </w:r>
      <w:r w:rsidRPr="003C6317">
        <w:rPr>
          <w:smallCaps/>
          <w:lang w:val="nl-NL"/>
        </w:rPr>
        <w:t>Krier</w:t>
      </w:r>
      <w:r w:rsidRPr="003C6317">
        <w:rPr>
          <w:lang w:val="nl-NL"/>
        </w:rPr>
        <w:t>,</w:t>
      </w:r>
      <w:r>
        <w:rPr>
          <w:lang w:val="nl-NL"/>
        </w:rPr>
        <w:t xml:space="preserve"> </w:t>
      </w:r>
      <w:r w:rsidRPr="003E7BA5">
        <w:rPr>
          <w:iCs/>
          <w:lang w:val="nl-NL"/>
        </w:rPr>
        <w:t>«</w:t>
      </w:r>
      <w:r>
        <w:rPr>
          <w:iCs/>
          <w:lang w:val="nl-NL"/>
        </w:rPr>
        <w:t xml:space="preserve"> </w:t>
      </w:r>
      <w:r w:rsidRPr="003E7BA5">
        <w:rPr>
          <w:lang w:val="nl-NL"/>
        </w:rPr>
        <w:t>Die letzten Lebensjahre Alexander Wiltheims und die Niederschrift der Luciliburgensia Romana</w:t>
      </w:r>
      <w:r>
        <w:rPr>
          <w:lang w:val="nl-NL"/>
        </w:rPr>
        <w:t xml:space="preserve"> </w:t>
      </w:r>
      <w:r w:rsidRPr="003E7BA5">
        <w:rPr>
          <w:iCs/>
          <w:lang w:val="nl-NL"/>
        </w:rPr>
        <w:t>»</w:t>
      </w:r>
      <w:r w:rsidRPr="003C6317">
        <w:rPr>
          <w:lang w:val="nl-NL"/>
        </w:rPr>
        <w:t xml:space="preserve">, dans </w:t>
      </w:r>
      <w:r w:rsidRPr="003C6317">
        <w:rPr>
          <w:i/>
          <w:lang w:val="nl-NL"/>
        </w:rPr>
        <w:t xml:space="preserve">Le Luxembourg en Lotharingie. </w:t>
      </w:r>
      <w:r w:rsidRPr="003C6317">
        <w:rPr>
          <w:i/>
        </w:rPr>
        <w:t>Luxemburg im Lotharingischen Raum. Mélanges Paul Margue, Festschrift Paul Margue</w:t>
      </w:r>
      <w:r w:rsidRPr="003C6317">
        <w:t xml:space="preserve">, Luxembourg, </w:t>
      </w:r>
      <w:r>
        <w:t xml:space="preserve">Éditions Saint-Paul, </w:t>
      </w:r>
      <w:r w:rsidRPr="003C6317">
        <w:t>1993, p. 339-344</w:t>
      </w:r>
      <w:r>
        <w:t xml:space="preserve"> </w:t>
      </w:r>
      <w:r w:rsidRPr="003C6317">
        <w:rPr>
          <w:lang w:val="fr-FR"/>
        </w:rPr>
        <w:t>;</w:t>
      </w:r>
      <w:r>
        <w:rPr>
          <w:lang w:val="fr-FR"/>
        </w:rPr>
        <w:t xml:space="preserve"> N.</w:t>
      </w:r>
      <w:r w:rsidRPr="003C6317">
        <w:rPr>
          <w:lang w:val="fr-FR"/>
        </w:rPr>
        <w:t xml:space="preserve"> </w:t>
      </w:r>
      <w:bookmarkStart w:id="5" w:name="_Hlk507491398"/>
      <w:r w:rsidRPr="009468C8">
        <w:rPr>
          <w:smallCaps/>
        </w:rPr>
        <w:t>Brouet,</w:t>
      </w:r>
      <w:r w:rsidRPr="009468C8">
        <w:t xml:space="preserve"> </w:t>
      </w:r>
      <w:r>
        <w:rPr>
          <w:i/>
          <w:iCs/>
        </w:rPr>
        <w:t>op. cit.</w:t>
      </w:r>
      <w:r>
        <w:rPr>
          <w:iCs/>
        </w:rPr>
        <w:t xml:space="preserve">, p. </w:t>
      </w:r>
      <w:bookmarkEnd w:id="5"/>
      <w:r>
        <w:rPr>
          <w:iCs/>
        </w:rPr>
        <w:t>101. </w:t>
      </w:r>
    </w:p>
  </w:footnote>
  <w:footnote w:id="10">
    <w:p w14:paraId="5E026CC3" w14:textId="4AE87554" w:rsidR="006C2965" w:rsidRPr="00525623" w:rsidRDefault="006C2965" w:rsidP="005A4721">
      <w:pPr>
        <w:spacing w:after="0" w:line="240" w:lineRule="auto"/>
        <w:jc w:val="both"/>
        <w:rPr>
          <w:bCs/>
          <w:color w:val="000000"/>
        </w:rPr>
      </w:pPr>
      <w:r w:rsidRPr="003C6317">
        <w:rPr>
          <w:rStyle w:val="Appelnotedebasdep"/>
        </w:rPr>
        <w:footnoteRef/>
      </w:r>
      <w:r w:rsidRPr="003C6317">
        <w:rPr>
          <w:lang w:val="fr-FR"/>
        </w:rPr>
        <w:t xml:space="preserve"> </w:t>
      </w:r>
      <w:r w:rsidRPr="003C6317">
        <w:t>L’œuvre principale de Wiltheim a fait l’objet d’une unique édition, sans trad</w:t>
      </w:r>
      <w:r>
        <w:t>uction du texte latin, en 1842.</w:t>
      </w:r>
      <w:r w:rsidRPr="00525623">
        <w:t xml:space="preserve"> </w:t>
      </w:r>
      <w:r>
        <w:t xml:space="preserve">Alexandre </w:t>
      </w:r>
      <w:r w:rsidRPr="003C6317">
        <w:rPr>
          <w:smallCaps/>
        </w:rPr>
        <w:t>Wiltheim</w:t>
      </w:r>
      <w:r w:rsidRPr="003C6317">
        <w:t xml:space="preserve">, </w:t>
      </w:r>
      <w:r w:rsidRPr="003C6317">
        <w:rPr>
          <w:i/>
          <w:iCs/>
        </w:rPr>
        <w:t>Luciliburgensia sive Luxemburgum romanum</w:t>
      </w:r>
      <w:r w:rsidRPr="003C6317">
        <w:t>, éd. par A</w:t>
      </w:r>
      <w:r>
        <w:t>uguste</w:t>
      </w:r>
      <w:r w:rsidRPr="003C6317">
        <w:t xml:space="preserve"> N</w:t>
      </w:r>
      <w:r w:rsidRPr="003C6317">
        <w:rPr>
          <w:smallCaps/>
        </w:rPr>
        <w:t>eÿen</w:t>
      </w:r>
      <w:r w:rsidRPr="003C6317">
        <w:t>, Luxembourg,</w:t>
      </w:r>
      <w:r>
        <w:t xml:space="preserve"> Kuborn,</w:t>
      </w:r>
      <w:r w:rsidRPr="003C6317">
        <w:t xml:space="preserve"> 1842</w:t>
      </w:r>
      <w:r>
        <w:t xml:space="preserve">. Quelques passages du manuscrit ont été édités ou traduits, de manière plus ou moins scientifique, par Charles-Marie Ternes au cours des années 1960-1980. Par ordre chronologique : Charles-Marie </w:t>
      </w:r>
      <w:r w:rsidRPr="002A2B25">
        <w:rPr>
          <w:smallCaps/>
        </w:rPr>
        <w:t>Ternes</w:t>
      </w:r>
      <w:r w:rsidRPr="002A2B25">
        <w:t xml:space="preserve">, </w:t>
      </w:r>
      <w:r>
        <w:t>« </w:t>
      </w:r>
      <w:r w:rsidRPr="007612B8">
        <w:t>Les voies romaines du Grand-duché de Luxembourg vues par Alexandre Wiltheim</w:t>
      </w:r>
      <w:r>
        <w:t> »</w:t>
      </w:r>
      <w:r w:rsidRPr="002A2B25">
        <w:t>, dans</w:t>
      </w:r>
      <w:r w:rsidRPr="002A2B25">
        <w:rPr>
          <w:i/>
        </w:rPr>
        <w:t xml:space="preserve"> </w:t>
      </w:r>
      <w:r>
        <w:rPr>
          <w:i/>
        </w:rPr>
        <w:t xml:space="preserve">Hémecht. </w:t>
      </w:r>
      <w:r w:rsidRPr="002065AB">
        <w:rPr>
          <w:i/>
        </w:rPr>
        <w:t>Zeitschrift für luxemburger Geschichte. Revue d’histoire luxembourgeoise</w:t>
      </w:r>
      <w:r>
        <w:t xml:space="preserve">, 1968, n° 20/1, p. 99-109 ; Alexandre </w:t>
      </w:r>
      <w:r w:rsidRPr="0043023A">
        <w:rPr>
          <w:bCs/>
          <w:smallCaps/>
          <w:color w:val="000000"/>
        </w:rPr>
        <w:t>Wiltheim</w:t>
      </w:r>
      <w:r w:rsidRPr="0043023A">
        <w:rPr>
          <w:bCs/>
          <w:color w:val="000000"/>
        </w:rPr>
        <w:t xml:space="preserve">, </w:t>
      </w:r>
      <w:r>
        <w:rPr>
          <w:bCs/>
          <w:i/>
          <w:iCs/>
          <w:color w:val="000000"/>
        </w:rPr>
        <w:t>Luxemburgum romanum</w:t>
      </w:r>
      <w:r>
        <w:rPr>
          <w:bCs/>
          <w:color w:val="000000"/>
        </w:rPr>
        <w:t>, livre III, 82-98 et livre IV</w:t>
      </w:r>
      <w:r w:rsidRPr="0043023A">
        <w:rPr>
          <w:bCs/>
          <w:color w:val="000000"/>
        </w:rPr>
        <w:t>,</w:t>
      </w:r>
      <w:r>
        <w:rPr>
          <w:bCs/>
          <w:color w:val="000000"/>
        </w:rPr>
        <w:t xml:space="preserve"> 1-29,</w:t>
      </w:r>
      <w:r w:rsidRPr="0043023A">
        <w:rPr>
          <w:bCs/>
          <w:color w:val="000000"/>
        </w:rPr>
        <w:t xml:space="preserve"> éd</w:t>
      </w:r>
      <w:r>
        <w:rPr>
          <w:bCs/>
          <w:color w:val="000000"/>
        </w:rPr>
        <w:t>.</w:t>
      </w:r>
      <w:r w:rsidRPr="0043023A">
        <w:rPr>
          <w:bCs/>
          <w:color w:val="000000"/>
        </w:rPr>
        <w:t xml:space="preserve"> et trad</w:t>
      </w:r>
      <w:r>
        <w:rPr>
          <w:bCs/>
          <w:color w:val="000000"/>
        </w:rPr>
        <w:t>.</w:t>
      </w:r>
      <w:r w:rsidRPr="0043023A">
        <w:rPr>
          <w:bCs/>
          <w:color w:val="000000"/>
        </w:rPr>
        <w:t xml:space="preserve"> par</w:t>
      </w:r>
      <w:r>
        <w:rPr>
          <w:bCs/>
          <w:color w:val="000000"/>
        </w:rPr>
        <w:t xml:space="preserve"> Charles-Marie</w:t>
      </w:r>
      <w:r w:rsidRPr="0043023A">
        <w:rPr>
          <w:bCs/>
          <w:smallCaps/>
          <w:color w:val="000000"/>
        </w:rPr>
        <w:t xml:space="preserve"> Ternes</w:t>
      </w:r>
      <w:r>
        <w:rPr>
          <w:bCs/>
          <w:color w:val="000000"/>
        </w:rPr>
        <w:t>, dans</w:t>
      </w:r>
      <w:r w:rsidRPr="00142D47">
        <w:rPr>
          <w:color w:val="F56EF8"/>
        </w:rPr>
        <w:t xml:space="preserve"> </w:t>
      </w:r>
      <w:r w:rsidRPr="00ED3F80">
        <w:rPr>
          <w:i/>
        </w:rPr>
        <w:t>Bulletin des antiquités luxembourgeoises</w:t>
      </w:r>
      <w:r>
        <w:t xml:space="preserve">, 1972, n° 3/1, p. 17-20 ; </w:t>
      </w:r>
      <w:r w:rsidRPr="007612B8">
        <w:rPr>
          <w:smallCaps/>
        </w:rPr>
        <w:t>Id.</w:t>
      </w:r>
      <w:r w:rsidRPr="007612B8">
        <w:rPr>
          <w:bCs/>
          <w:smallCaps/>
          <w:color w:val="000000"/>
        </w:rPr>
        <w:t>,</w:t>
      </w:r>
      <w:r w:rsidRPr="0043023A">
        <w:rPr>
          <w:bCs/>
          <w:color w:val="000000"/>
        </w:rPr>
        <w:t xml:space="preserve"> </w:t>
      </w:r>
      <w:r w:rsidRPr="0043023A">
        <w:rPr>
          <w:bCs/>
          <w:i/>
          <w:iCs/>
          <w:color w:val="000000"/>
        </w:rPr>
        <w:t>Luciliburgensia sive Luxemburgum romanum</w:t>
      </w:r>
      <w:r w:rsidRPr="0043023A">
        <w:rPr>
          <w:bCs/>
          <w:color w:val="000000"/>
        </w:rPr>
        <w:t>, livre I, chapitre 7, éd</w:t>
      </w:r>
      <w:r>
        <w:rPr>
          <w:bCs/>
          <w:color w:val="000000"/>
        </w:rPr>
        <w:t>.</w:t>
      </w:r>
      <w:r w:rsidRPr="0043023A">
        <w:rPr>
          <w:bCs/>
          <w:color w:val="000000"/>
        </w:rPr>
        <w:t xml:space="preserve"> et trad</w:t>
      </w:r>
      <w:r>
        <w:rPr>
          <w:bCs/>
          <w:color w:val="000000"/>
        </w:rPr>
        <w:t>.</w:t>
      </w:r>
      <w:r w:rsidRPr="0043023A">
        <w:rPr>
          <w:bCs/>
          <w:color w:val="000000"/>
        </w:rPr>
        <w:t xml:space="preserve"> par</w:t>
      </w:r>
      <w:r>
        <w:rPr>
          <w:bCs/>
          <w:color w:val="000000"/>
        </w:rPr>
        <w:t xml:space="preserve"> Charles-Marie</w:t>
      </w:r>
      <w:r w:rsidRPr="0043023A">
        <w:rPr>
          <w:bCs/>
          <w:smallCaps/>
          <w:color w:val="000000"/>
        </w:rPr>
        <w:t xml:space="preserve"> Ternes</w:t>
      </w:r>
      <w:r w:rsidRPr="0043023A">
        <w:rPr>
          <w:bCs/>
          <w:color w:val="000000"/>
        </w:rPr>
        <w:t>, Luxembour</w:t>
      </w:r>
      <w:r>
        <w:rPr>
          <w:bCs/>
          <w:color w:val="000000"/>
        </w:rPr>
        <w:t xml:space="preserve">g, Centre Alexandre Wiltheim, 1980 (Wiltheimiana, fasc. 1) ; </w:t>
      </w:r>
      <w:r>
        <w:rPr>
          <w:bCs/>
          <w:smallCaps/>
          <w:color w:val="000000"/>
        </w:rPr>
        <w:t>Id.,</w:t>
      </w:r>
      <w:r w:rsidRPr="0043023A">
        <w:rPr>
          <w:bCs/>
          <w:color w:val="000000"/>
        </w:rPr>
        <w:t xml:space="preserve"> </w:t>
      </w:r>
      <w:r w:rsidRPr="0043023A">
        <w:rPr>
          <w:bCs/>
          <w:i/>
          <w:iCs/>
          <w:color w:val="000000"/>
        </w:rPr>
        <w:t>Luciliburgensia sive Luxemburgum romanum</w:t>
      </w:r>
      <w:r>
        <w:rPr>
          <w:bCs/>
          <w:color w:val="000000"/>
        </w:rPr>
        <w:t>, livre I, chapitre 8</w:t>
      </w:r>
      <w:r w:rsidRPr="0043023A">
        <w:rPr>
          <w:bCs/>
          <w:color w:val="000000"/>
        </w:rPr>
        <w:t>, éd</w:t>
      </w:r>
      <w:r>
        <w:rPr>
          <w:bCs/>
          <w:color w:val="000000"/>
        </w:rPr>
        <w:t>.</w:t>
      </w:r>
      <w:r w:rsidRPr="0043023A">
        <w:rPr>
          <w:bCs/>
          <w:color w:val="000000"/>
        </w:rPr>
        <w:t xml:space="preserve"> et trad</w:t>
      </w:r>
      <w:r>
        <w:rPr>
          <w:bCs/>
          <w:color w:val="000000"/>
        </w:rPr>
        <w:t>.</w:t>
      </w:r>
      <w:r w:rsidRPr="0043023A">
        <w:rPr>
          <w:bCs/>
          <w:color w:val="000000"/>
        </w:rPr>
        <w:t xml:space="preserve"> par</w:t>
      </w:r>
      <w:r>
        <w:rPr>
          <w:bCs/>
          <w:color w:val="000000"/>
        </w:rPr>
        <w:t xml:space="preserve"> Charles-Marie</w:t>
      </w:r>
      <w:r w:rsidRPr="0043023A">
        <w:rPr>
          <w:bCs/>
          <w:smallCaps/>
          <w:color w:val="000000"/>
        </w:rPr>
        <w:t xml:space="preserve"> Ternes</w:t>
      </w:r>
      <w:r>
        <w:rPr>
          <w:bCs/>
          <w:color w:val="000000"/>
        </w:rPr>
        <w:t xml:space="preserve">, Luxembourg, Centre Alexandre Wiltheim, 1982 (Wiltheimiana, fasc. 2) ; Charles-Marie </w:t>
      </w:r>
      <w:r w:rsidRPr="00ED2D9F">
        <w:rPr>
          <w:rFonts w:eastAsia="Calibri"/>
          <w:smallCaps/>
        </w:rPr>
        <w:t>Ternes</w:t>
      </w:r>
      <w:r w:rsidRPr="00ED2D9F">
        <w:rPr>
          <w:rFonts w:eastAsia="Calibri"/>
        </w:rPr>
        <w:t>,</w:t>
      </w:r>
      <w:r>
        <w:rPr>
          <w:rFonts w:eastAsia="Calibri"/>
        </w:rPr>
        <w:t xml:space="preserve"> « </w:t>
      </w:r>
      <w:r w:rsidRPr="007612B8">
        <w:rPr>
          <w:rFonts w:eastAsia="Calibri"/>
        </w:rPr>
        <w:t>Les origines de la ville de Luxembourg dans le « Luxemburgum Romanum » d’Alexandre Wiltheim »,</w:t>
      </w:r>
      <w:r>
        <w:rPr>
          <w:rFonts w:eastAsia="Calibri"/>
        </w:rPr>
        <w:t xml:space="preserve"> dans </w:t>
      </w:r>
      <w:r>
        <w:rPr>
          <w:rFonts w:eastAsia="Calibri"/>
          <w:i/>
        </w:rPr>
        <w:t xml:space="preserve">Le Luxembourg en Lotharingie. Luxemburg im Lotharingischen </w:t>
      </w:r>
      <w:r w:rsidRPr="00197239">
        <w:rPr>
          <w:rFonts w:eastAsia="Calibri"/>
          <w:i/>
        </w:rPr>
        <w:t>Raum</w:t>
      </w:r>
      <w:r>
        <w:rPr>
          <w:rFonts w:eastAsia="Calibri"/>
          <w:i/>
        </w:rPr>
        <w:t>. Mélanges Paul Margue, Festschrift Paul Margue</w:t>
      </w:r>
      <w:r>
        <w:rPr>
          <w:rFonts w:eastAsia="Calibri"/>
        </w:rPr>
        <w:t xml:space="preserve">, Luxembourg, </w:t>
      </w:r>
      <w:r w:rsidRPr="007612B8">
        <w:rPr>
          <w:rFonts w:eastAsia="Calibri"/>
        </w:rPr>
        <w:t xml:space="preserve">Éditions Saint-Paul, </w:t>
      </w:r>
      <w:r>
        <w:rPr>
          <w:rFonts w:eastAsia="Calibri"/>
        </w:rPr>
        <w:t xml:space="preserve">1993, </w:t>
      </w:r>
      <w:r w:rsidRPr="00197239">
        <w:rPr>
          <w:rFonts w:eastAsia="Calibri"/>
        </w:rPr>
        <w:t>p</w:t>
      </w:r>
      <w:r>
        <w:rPr>
          <w:rFonts w:eastAsia="Calibri"/>
        </w:rPr>
        <w:t>. 637-654.</w:t>
      </w:r>
    </w:p>
  </w:footnote>
  <w:footnote w:id="11">
    <w:p w14:paraId="24555EF6" w14:textId="2864C14F" w:rsidR="006C2965" w:rsidRPr="00142586" w:rsidRDefault="006C2965" w:rsidP="005A4721">
      <w:pPr>
        <w:pStyle w:val="Notedebasdepage"/>
        <w:jc w:val="both"/>
        <w:rPr>
          <w:lang w:val="nl-NL"/>
        </w:rPr>
      </w:pPr>
      <w:r w:rsidRPr="00CC6FF4">
        <w:rPr>
          <w:rStyle w:val="Appelnotedebasdep"/>
        </w:rPr>
        <w:footnoteRef/>
      </w:r>
      <w:r w:rsidRPr="00142586">
        <w:rPr>
          <w:lang w:val="nl-NL"/>
        </w:rPr>
        <w:t xml:space="preserve"> J. </w:t>
      </w:r>
      <w:r w:rsidRPr="00142586">
        <w:rPr>
          <w:smallCaps/>
          <w:lang w:val="nl-NL"/>
        </w:rPr>
        <w:t>Krier, E. Thill</w:t>
      </w:r>
      <w:r w:rsidRPr="00142586">
        <w:rPr>
          <w:lang w:val="nl-NL"/>
        </w:rPr>
        <w:t xml:space="preserve">, </w:t>
      </w:r>
      <w:r w:rsidRPr="00142586">
        <w:rPr>
          <w:i/>
          <w:iCs/>
          <w:lang w:val="nl-NL"/>
        </w:rPr>
        <w:t>op. cit.</w:t>
      </w:r>
      <w:r w:rsidRPr="00142586">
        <w:rPr>
          <w:iCs/>
          <w:lang w:val="nl-NL"/>
        </w:rPr>
        <w:t xml:space="preserve">, p. 66-67 ; R. </w:t>
      </w:r>
      <w:r w:rsidRPr="00142586">
        <w:rPr>
          <w:smallCaps/>
          <w:lang w:val="nl-NL"/>
        </w:rPr>
        <w:t>Weiller</w:t>
      </w:r>
      <w:r w:rsidRPr="00142586">
        <w:rPr>
          <w:lang w:val="nl-NL"/>
        </w:rPr>
        <w:t xml:space="preserve">, </w:t>
      </w:r>
      <w:r w:rsidRPr="00142586">
        <w:rPr>
          <w:i/>
          <w:lang w:val="nl-NL"/>
        </w:rPr>
        <w:t>op.</w:t>
      </w:r>
      <w:r>
        <w:rPr>
          <w:i/>
          <w:lang w:val="nl-NL"/>
        </w:rPr>
        <w:t xml:space="preserve"> cit.</w:t>
      </w:r>
      <w:r w:rsidRPr="00142586">
        <w:rPr>
          <w:i/>
          <w:lang w:val="nl-NL"/>
        </w:rPr>
        <w:t xml:space="preserve">, </w:t>
      </w:r>
      <w:r w:rsidRPr="00142586">
        <w:rPr>
          <w:lang w:val="nl-NL"/>
        </w:rPr>
        <w:t>p. 21-25.</w:t>
      </w:r>
    </w:p>
  </w:footnote>
  <w:footnote w:id="12">
    <w:p w14:paraId="4CE1C37F" w14:textId="23A52D24" w:rsidR="006C2965" w:rsidRDefault="006C2965" w:rsidP="005A4721">
      <w:pPr>
        <w:pStyle w:val="Notedebasdepage"/>
        <w:jc w:val="both"/>
      </w:pPr>
      <w:r>
        <w:rPr>
          <w:rStyle w:val="Appelnotedebasdep"/>
        </w:rPr>
        <w:footnoteRef/>
      </w:r>
      <w:r>
        <w:t xml:space="preserve"> Il est notamment cité par Jean-Nicolas de Hontheim (1701-1790), dans son </w:t>
      </w:r>
      <w:r w:rsidRPr="00610E4A">
        <w:rPr>
          <w:bCs/>
          <w:i/>
        </w:rPr>
        <w:t>Historia trevirensis diplomatica et pragmatica</w:t>
      </w:r>
      <w:r>
        <w:t xml:space="preserve"> (1750), et par Pierre-Joseph Heylen (1737-1793) dans sa </w:t>
      </w:r>
      <w:r>
        <w:rPr>
          <w:i/>
        </w:rPr>
        <w:t xml:space="preserve">Dissertatio de antiquis romanorum monumentis </w:t>
      </w:r>
      <w:r>
        <w:t xml:space="preserve">(1783). Wiltheim sera également abondamment plagié par le jésuite Jean Bertholet (1688-1755), dans son </w:t>
      </w:r>
      <w:r>
        <w:rPr>
          <w:i/>
        </w:rPr>
        <w:t>Histoire ecclésiastique et civile du duché de Luxembourg</w:t>
      </w:r>
      <w:r>
        <w:t xml:space="preserve"> (1741), ce qui lui vaudra de nombreuses critiques (la détection rapide du plagiat opéré par Bertholet indique par ailleurs que le manuscrit était alors bien connu).</w:t>
      </w:r>
    </w:p>
  </w:footnote>
  <w:footnote w:id="13">
    <w:p w14:paraId="66A0ED04" w14:textId="07A4DEC8" w:rsidR="006C2965" w:rsidRPr="00CC2BAA" w:rsidRDefault="006C2965" w:rsidP="005A4721">
      <w:pPr>
        <w:pStyle w:val="Notedebasdepage"/>
        <w:jc w:val="both"/>
      </w:pPr>
      <w:r>
        <w:rPr>
          <w:rStyle w:val="Appelnotedebasdep"/>
        </w:rPr>
        <w:footnoteRef/>
      </w:r>
      <w:r>
        <w:t xml:space="preserve"> Contrairement à plusieurs de ses contemporains ne s’intéressant qu’à certains types de vestiges, jugés dignes d’intérêt, tels que les inscriptions, les monnaies ou les objets d’arts. L’antiquaire anglais William Burton (1609-1657), contemporain de Wiltheim, qualifie ainsi de « déchets » (</w:t>
      </w:r>
      <w:r w:rsidRPr="00CC2BAA">
        <w:rPr>
          <w:i/>
        </w:rPr>
        <w:t>rubbish</w:t>
      </w:r>
      <w:r>
        <w:t xml:space="preserve">) les vestiges de murs, de pavements ou de voûtes. G. </w:t>
      </w:r>
      <w:r w:rsidRPr="00CC2BAA">
        <w:rPr>
          <w:smallCaps/>
        </w:rPr>
        <w:t>Parry</w:t>
      </w:r>
      <w:r w:rsidRPr="00CC2BAA">
        <w:t xml:space="preserve">, </w:t>
      </w:r>
      <w:r>
        <w:rPr>
          <w:i/>
        </w:rPr>
        <w:t>op. cit.</w:t>
      </w:r>
      <w:r>
        <w:t>, p. 265.</w:t>
      </w:r>
    </w:p>
  </w:footnote>
  <w:footnote w:id="14">
    <w:p w14:paraId="7E4AB425" w14:textId="54AC616A" w:rsidR="006C2965" w:rsidRPr="006E1A49" w:rsidRDefault="006C2965" w:rsidP="005A4721">
      <w:pPr>
        <w:pStyle w:val="Notedebasdepage"/>
        <w:jc w:val="both"/>
        <w:rPr>
          <w:b/>
          <w:color w:val="FF0000"/>
        </w:rPr>
      </w:pPr>
      <w:r w:rsidRPr="0021121F">
        <w:rPr>
          <w:rStyle w:val="Appelnotedebasdep"/>
        </w:rPr>
        <w:footnoteRef/>
      </w:r>
      <w:r w:rsidRPr="0021121F">
        <w:t xml:space="preserve"> Notamment :</w:t>
      </w:r>
      <w:r>
        <w:t xml:space="preserve"> Charles-Marie</w:t>
      </w:r>
      <w:r w:rsidRPr="0021121F">
        <w:rPr>
          <w:lang w:val="fr-FR"/>
        </w:rPr>
        <w:t xml:space="preserve"> </w:t>
      </w:r>
      <w:r w:rsidRPr="0021121F">
        <w:t>T</w:t>
      </w:r>
      <w:r w:rsidRPr="0021121F">
        <w:rPr>
          <w:smallCaps/>
        </w:rPr>
        <w:t>ernes</w:t>
      </w:r>
      <w:r w:rsidRPr="0021121F">
        <w:t xml:space="preserve">, </w:t>
      </w:r>
      <w:r w:rsidRPr="0021121F">
        <w:rPr>
          <w:i/>
        </w:rPr>
        <w:t>Das römische Luxemburg</w:t>
      </w:r>
      <w:r w:rsidRPr="0021121F">
        <w:t xml:space="preserve">, Zürich, </w:t>
      </w:r>
      <w:r w:rsidRPr="001D0A81">
        <w:t xml:space="preserve">Raggi-Verlag, </w:t>
      </w:r>
      <w:r w:rsidRPr="0021121F">
        <w:t xml:space="preserve">1971, p. 7 ; </w:t>
      </w:r>
      <w:r>
        <w:t xml:space="preserve">Jacques </w:t>
      </w:r>
      <w:r w:rsidRPr="0021121F">
        <w:rPr>
          <w:smallCaps/>
          <w:lang w:val="fr-FR"/>
        </w:rPr>
        <w:t>Mersch</w:t>
      </w:r>
      <w:r w:rsidRPr="0021121F">
        <w:rPr>
          <w:lang w:val="fr-FR"/>
        </w:rPr>
        <w:t xml:space="preserve">, </w:t>
      </w:r>
      <w:r w:rsidRPr="0021121F">
        <w:rPr>
          <w:i/>
          <w:lang w:val="fr-FR"/>
        </w:rPr>
        <w:t>La colonne d’Igel. Essai historique et iconographique</w:t>
      </w:r>
      <w:r w:rsidRPr="0021121F">
        <w:rPr>
          <w:lang w:val="fr-FR"/>
        </w:rPr>
        <w:t xml:space="preserve">, Schwebsange, </w:t>
      </w:r>
      <w:r>
        <w:rPr>
          <w:lang w:val="fr-FR"/>
        </w:rPr>
        <w:t xml:space="preserve">Publications mosellanes, </w:t>
      </w:r>
      <w:r w:rsidRPr="0021121F">
        <w:rPr>
          <w:lang w:val="fr-FR"/>
        </w:rPr>
        <w:t>1985, p. 109-135. </w:t>
      </w:r>
      <w:r w:rsidRPr="0021121F">
        <w:t>Voir également les notices wikipédia en français et en allemand consacrées à Alexandre Wiltheim.</w:t>
      </w:r>
    </w:p>
  </w:footnote>
  <w:footnote w:id="15">
    <w:p w14:paraId="4AD35BD7" w14:textId="65BE9F16" w:rsidR="006C2965" w:rsidRDefault="006C2965" w:rsidP="005A4721">
      <w:pPr>
        <w:pStyle w:val="Notedebasdepage"/>
        <w:jc w:val="both"/>
      </w:pPr>
      <w:r>
        <w:rPr>
          <w:rStyle w:val="Appelnotedebasdep"/>
        </w:rPr>
        <w:footnoteRef/>
      </w:r>
      <w:r>
        <w:t xml:space="preserve"> Sur sa vie, voir note 5. Sur sa correspondance : Jean-Claude </w:t>
      </w:r>
      <w:r w:rsidRPr="00845E5D">
        <w:rPr>
          <w:smallCaps/>
          <w:lang w:val="fr-FR"/>
        </w:rPr>
        <w:t>Müller</w:t>
      </w:r>
      <w:r w:rsidRPr="00845E5D">
        <w:rPr>
          <w:lang w:val="fr-FR"/>
        </w:rPr>
        <w:t xml:space="preserve">, </w:t>
      </w:r>
      <w:r>
        <w:rPr>
          <w:lang w:val="fr-FR"/>
        </w:rPr>
        <w:t>« </w:t>
      </w:r>
      <w:r w:rsidRPr="007A32BB">
        <w:rPr>
          <w:lang w:val="fr-FR"/>
        </w:rPr>
        <w:t>La correspondance d’Alexandre Wiltheim S. J.</w:t>
      </w:r>
      <w:r>
        <w:rPr>
          <w:lang w:val="fr-FR"/>
        </w:rPr>
        <w:t> »</w:t>
      </w:r>
      <w:r w:rsidRPr="007A32BB">
        <w:rPr>
          <w:lang w:val="fr-FR"/>
        </w:rPr>
        <w:t>,</w:t>
      </w:r>
      <w:r w:rsidRPr="00845E5D">
        <w:rPr>
          <w:lang w:val="fr-FR"/>
        </w:rPr>
        <w:t xml:space="preserve"> dans </w:t>
      </w:r>
      <w:r w:rsidRPr="00845E5D">
        <w:rPr>
          <w:i/>
          <w:lang w:val="fr-FR"/>
        </w:rPr>
        <w:t>Hémecht. Zeitschrift für luxemburger Geschichte. Revue d’histoire luxembourgeoise</w:t>
      </w:r>
      <w:r>
        <w:rPr>
          <w:lang w:val="fr-FR"/>
        </w:rPr>
        <w:t>, 1984,</w:t>
      </w:r>
      <w:r w:rsidRPr="00845E5D">
        <w:rPr>
          <w:lang w:val="fr-FR"/>
        </w:rPr>
        <w:t xml:space="preserve"> </w:t>
      </w:r>
      <w:r>
        <w:rPr>
          <w:lang w:val="fr-FR"/>
        </w:rPr>
        <w:t>n° 36/1</w:t>
      </w:r>
      <w:r w:rsidRPr="00845E5D">
        <w:rPr>
          <w:lang w:val="fr-FR"/>
        </w:rPr>
        <w:t>,</w:t>
      </w:r>
      <w:r>
        <w:rPr>
          <w:lang w:val="fr-FR"/>
        </w:rPr>
        <w:t xml:space="preserve"> </w:t>
      </w:r>
      <w:r w:rsidRPr="00845E5D">
        <w:rPr>
          <w:lang w:val="fr-FR"/>
        </w:rPr>
        <w:t xml:space="preserve">p. </w:t>
      </w:r>
      <w:r>
        <w:rPr>
          <w:lang w:val="fr-FR"/>
        </w:rPr>
        <w:t>167-23</w:t>
      </w:r>
      <w:r w:rsidRPr="00845E5D">
        <w:rPr>
          <w:lang w:val="fr-FR"/>
        </w:rPr>
        <w:t>2.</w:t>
      </w:r>
    </w:p>
  </w:footnote>
  <w:footnote w:id="16">
    <w:p w14:paraId="627897A4" w14:textId="53364CB1" w:rsidR="006C2965" w:rsidRPr="006E1A49" w:rsidRDefault="006C2965" w:rsidP="005A4721">
      <w:pPr>
        <w:pStyle w:val="Notedebasdepage"/>
        <w:jc w:val="both"/>
        <w:rPr>
          <w:color w:val="FF0000"/>
        </w:rPr>
      </w:pPr>
      <w:r w:rsidRPr="007C6B37">
        <w:rPr>
          <w:rStyle w:val="Appelnotedebasdep"/>
        </w:rPr>
        <w:footnoteRef/>
      </w:r>
      <w:r w:rsidRPr="007C6B37">
        <w:t xml:space="preserve"> </w:t>
      </w:r>
      <w:r>
        <w:t>Comme nous l’avons indiqué en note 10, l</w:t>
      </w:r>
      <w:r w:rsidRPr="007C6B37">
        <w:t xml:space="preserve">es huit livres constituant le texte n’ont jamais fait l’objet d’une traduction, à l’exception de quelques brefs passages traduits dans les années 1970 et 1980 par Charles-Marie Ternes (livre I, chapitres 7 et 8 ; début du livre IV ; sélection d’extraits des livres III et V). Quelques autres brefs extraits ont été traduits par </w:t>
      </w:r>
      <w:r>
        <w:t xml:space="preserve">Georges-François Prat dans son </w:t>
      </w:r>
      <w:r w:rsidRPr="007C6B37">
        <w:rPr>
          <w:i/>
        </w:rPr>
        <w:t>Histoire d’Arlon</w:t>
      </w:r>
      <w:r w:rsidRPr="007C6B37">
        <w:t xml:space="preserve"> (1873).</w:t>
      </w:r>
    </w:p>
  </w:footnote>
  <w:footnote w:id="17">
    <w:p w14:paraId="7E42CE99" w14:textId="10DEEAF8" w:rsidR="006C2965" w:rsidRPr="00C62D59" w:rsidRDefault="006C2965" w:rsidP="00C62D59">
      <w:pPr>
        <w:pStyle w:val="Notedebasdepage"/>
        <w:jc w:val="both"/>
        <w:rPr>
          <w:color w:val="FF0000"/>
        </w:rPr>
      </w:pPr>
      <w:r>
        <w:rPr>
          <w:rStyle w:val="Appelnotedebasdep"/>
        </w:rPr>
        <w:footnoteRef/>
      </w:r>
      <w:r>
        <w:t xml:space="preserve"> C’est notamment le cas de la plupart des travaux publiés par Charles-Marie Ternes. Les auteurs des corpus d’inscriptions antiques découvertes en Belgique (ILB) et au Grand-duché de Luxembourg (IAL) ont également beaucoup utilisé le manuscrit de Wiltheim. </w:t>
      </w:r>
      <w:r w:rsidRPr="00056713">
        <w:t>On notera cependant que d’autres approches du texte ont été envisagées, comme celle d’Andrea Binsfeld qui analyse le texte de Wiltheim dans le cadre d’une réflexion sur la construction d’une « identité » luxembourgeoise :</w:t>
      </w:r>
      <w:r w:rsidRPr="007A32BB">
        <w:t xml:space="preserve"> Andrea </w:t>
      </w:r>
      <w:r w:rsidRPr="00C62D59">
        <w:rPr>
          <w:smallCaps/>
        </w:rPr>
        <w:t>Binsfeld</w:t>
      </w:r>
      <w:r w:rsidRPr="00C62D59">
        <w:t xml:space="preserve">, </w:t>
      </w:r>
      <w:r>
        <w:t>« </w:t>
      </w:r>
      <w:r w:rsidRPr="007A32BB">
        <w:t>Les Trévires vus par le jésuite luxembourgeois Alexandre Wiltheim »,</w:t>
      </w:r>
      <w:r w:rsidRPr="00C62D59">
        <w:t xml:space="preserve"> dans</w:t>
      </w:r>
      <w:r>
        <w:t xml:space="preserve"> Oriane</w:t>
      </w:r>
      <w:r w:rsidRPr="00C62D59">
        <w:t xml:space="preserve"> </w:t>
      </w:r>
      <w:r w:rsidRPr="00C62D59">
        <w:rPr>
          <w:smallCaps/>
        </w:rPr>
        <w:t>Hébert,</w:t>
      </w:r>
      <w:r>
        <w:rPr>
          <w:smallCaps/>
        </w:rPr>
        <w:t xml:space="preserve"> L</w:t>
      </w:r>
      <w:r>
        <w:t>udivine</w:t>
      </w:r>
      <w:r w:rsidRPr="00C62D59">
        <w:rPr>
          <w:smallCaps/>
        </w:rPr>
        <w:t xml:space="preserve"> Pechoux</w:t>
      </w:r>
      <w:r w:rsidRPr="00C62D59">
        <w:t xml:space="preserve"> (dir.</w:t>
      </w:r>
      <w:r>
        <w:t>)</w:t>
      </w:r>
      <w:r w:rsidRPr="00C62D59">
        <w:t xml:space="preserve">, </w:t>
      </w:r>
      <w:r w:rsidRPr="00C62D59">
        <w:rPr>
          <w:i/>
        </w:rPr>
        <w:t>Quand l’usage fait l’image. Les Gaulois, de la manipulation historique à l’archétype</w:t>
      </w:r>
      <w:r w:rsidRPr="00C62D59">
        <w:t xml:space="preserve">, Clermont Ferrand, </w:t>
      </w:r>
      <w:r>
        <w:t xml:space="preserve">Mergoil, </w:t>
      </w:r>
      <w:r w:rsidRPr="00C62D59">
        <w:t>2017, p. 99-108.</w:t>
      </w:r>
    </w:p>
  </w:footnote>
  <w:footnote w:id="18">
    <w:p w14:paraId="7EC37C49" w14:textId="2F808B3A" w:rsidR="006C2965" w:rsidRPr="002D0189" w:rsidRDefault="006C2965" w:rsidP="005A4721">
      <w:pPr>
        <w:pStyle w:val="Notedebasdepage"/>
        <w:jc w:val="both"/>
        <w:rPr>
          <w:color w:val="0070C0"/>
          <w:lang w:val="en-US"/>
        </w:rPr>
      </w:pPr>
      <w:r w:rsidRPr="00523028">
        <w:rPr>
          <w:rStyle w:val="Appelnotedebasdep"/>
        </w:rPr>
        <w:footnoteRef/>
      </w:r>
      <w:r w:rsidRPr="00523028">
        <w:t xml:space="preserve"> </w:t>
      </w:r>
      <w:r>
        <w:t xml:space="preserve">Rosemary Sweet indique </w:t>
      </w:r>
      <w:r w:rsidRPr="00523028">
        <w:t xml:space="preserve">d’ailleurs elle-aussi, à propos des antiquaires anglais du </w:t>
      </w:r>
      <w:r w:rsidR="00A16F45">
        <w:t>XVIII</w:t>
      </w:r>
      <w:r w:rsidRPr="00523028">
        <w:rPr>
          <w:vertAlign w:val="superscript"/>
        </w:rPr>
        <w:t>e</w:t>
      </w:r>
      <w:r w:rsidRPr="00523028">
        <w:t xml:space="preserve"> siècle, que ceux avaient été principalement étudiés par des archéologues cherchant à établir les origines de leur discipline et qu’ils avaient trop peu souvent été replacés dans le contexte intellectuel de leur époque.</w:t>
      </w:r>
      <w:r w:rsidRPr="00523028">
        <w:rPr>
          <w:lang w:val="fr-FR"/>
        </w:rPr>
        <w:t xml:space="preserve"> </w:t>
      </w:r>
      <w:r w:rsidRPr="002D0189">
        <w:rPr>
          <w:lang w:val="en-US"/>
        </w:rPr>
        <w:t>R. S</w:t>
      </w:r>
      <w:r w:rsidRPr="002D0189">
        <w:rPr>
          <w:smallCaps/>
          <w:lang w:val="en-US"/>
        </w:rPr>
        <w:t>weet</w:t>
      </w:r>
      <w:r w:rsidRPr="002D0189">
        <w:rPr>
          <w:lang w:val="en-US"/>
        </w:rPr>
        <w:t xml:space="preserve">, </w:t>
      </w:r>
      <w:r w:rsidRPr="002D0189">
        <w:rPr>
          <w:i/>
          <w:lang w:val="en-US"/>
        </w:rPr>
        <w:t>op. cit.</w:t>
      </w:r>
      <w:r w:rsidRPr="002D0189">
        <w:rPr>
          <w:lang w:val="en-US"/>
        </w:rPr>
        <w:t>, p. XX.</w:t>
      </w:r>
    </w:p>
  </w:footnote>
  <w:footnote w:id="19">
    <w:p w14:paraId="14EFE4E9" w14:textId="17BEBDA6" w:rsidR="006C2965" w:rsidRPr="007B58CB" w:rsidRDefault="006C2965" w:rsidP="005A4721">
      <w:pPr>
        <w:pStyle w:val="Notedebasdepage"/>
        <w:jc w:val="both"/>
        <w:rPr>
          <w:lang w:val="fr-FR"/>
        </w:rPr>
      </w:pPr>
      <w:r w:rsidRPr="00C35D73">
        <w:rPr>
          <w:rStyle w:val="Appelnotedebasdep"/>
        </w:rPr>
        <w:footnoteRef/>
      </w:r>
      <w:r w:rsidRPr="002D0189">
        <w:rPr>
          <w:lang w:val="en-US"/>
        </w:rPr>
        <w:t xml:space="preserve"> « </w:t>
      </w:r>
      <w:r w:rsidRPr="002D0189">
        <w:rPr>
          <w:i/>
          <w:lang w:val="en-US"/>
        </w:rPr>
        <w:t xml:space="preserve">Odio fabularum, quibus Patriam meam deshonestavere indocti homines, hoc Opus susceopi </w:t>
      </w:r>
      <w:r w:rsidRPr="002D0189">
        <w:rPr>
          <w:lang w:val="en-US"/>
        </w:rPr>
        <w:t xml:space="preserve">». </w:t>
      </w:r>
      <w:r>
        <w:rPr>
          <w:lang w:val="fr-FR"/>
        </w:rPr>
        <w:t xml:space="preserve">A. </w:t>
      </w:r>
      <w:r w:rsidRPr="007B58CB">
        <w:rPr>
          <w:smallCaps/>
          <w:lang w:val="fr-FR"/>
        </w:rPr>
        <w:t>Wiltheim</w:t>
      </w:r>
      <w:r w:rsidRPr="007B58CB">
        <w:rPr>
          <w:lang w:val="fr-FR"/>
        </w:rPr>
        <w:t xml:space="preserve">, </w:t>
      </w:r>
      <w:r>
        <w:rPr>
          <w:i/>
          <w:iCs/>
          <w:lang w:val="fr-FR"/>
        </w:rPr>
        <w:t>op. cit.</w:t>
      </w:r>
      <w:r w:rsidRPr="007B58CB">
        <w:rPr>
          <w:iCs/>
          <w:lang w:val="fr-FR"/>
        </w:rPr>
        <w:t>, p. XV.</w:t>
      </w:r>
    </w:p>
  </w:footnote>
  <w:footnote w:id="20">
    <w:p w14:paraId="0046EC41" w14:textId="4D2AC1A3" w:rsidR="006C2965" w:rsidRPr="00037B2D" w:rsidRDefault="006C2965" w:rsidP="005A4721">
      <w:pPr>
        <w:spacing w:after="0" w:line="240" w:lineRule="auto"/>
        <w:jc w:val="both"/>
      </w:pPr>
      <w:r w:rsidRPr="00037B2D">
        <w:rPr>
          <w:rStyle w:val="Appelnotedebasdep"/>
        </w:rPr>
        <w:footnoteRef/>
      </w:r>
      <w:r w:rsidRPr="00037B2D">
        <w:t xml:space="preserve"> Plusieurs de ces étymologies figuraient notamment dans l’</w:t>
      </w:r>
      <w:r w:rsidRPr="00037B2D">
        <w:rPr>
          <w:i/>
        </w:rPr>
        <w:t>Historia Luxemburgensis</w:t>
      </w:r>
      <w:r>
        <w:rPr>
          <w:i/>
        </w:rPr>
        <w:t xml:space="preserve"> </w:t>
      </w:r>
      <w:r>
        <w:t xml:space="preserve">de Jean Bertels (1605). Claude </w:t>
      </w:r>
      <w:r w:rsidRPr="008537BA">
        <w:rPr>
          <w:smallCaps/>
        </w:rPr>
        <w:t>Loutsc</w:t>
      </w:r>
      <w:r>
        <w:rPr>
          <w:smallCaps/>
        </w:rPr>
        <w:t>h</w:t>
      </w:r>
      <w:r>
        <w:t xml:space="preserve">, </w:t>
      </w:r>
      <w:r w:rsidRPr="007A32BB">
        <w:t>« Bertels et les historiens luxembourgeois du XVI</w:t>
      </w:r>
      <w:r w:rsidRPr="007A32BB">
        <w:rPr>
          <w:vertAlign w:val="superscript"/>
        </w:rPr>
        <w:t>e</w:t>
      </w:r>
      <w:r w:rsidRPr="007A32BB">
        <w:t xml:space="preserve"> siècle »,</w:t>
      </w:r>
      <w:r>
        <w:t xml:space="preserve"> dans </w:t>
      </w:r>
      <w:r w:rsidRPr="00845E5D">
        <w:rPr>
          <w:i/>
        </w:rPr>
        <w:t>Hémecht. Zeitschrift für luxemburger Geschichte. Revue d’histoire luxembourgeoise</w:t>
      </w:r>
      <w:r>
        <w:t>, 2006,</w:t>
      </w:r>
      <w:r w:rsidRPr="007A32BB">
        <w:t xml:space="preserve"> </w:t>
      </w:r>
      <w:r>
        <w:t>n° 58/4</w:t>
      </w:r>
      <w:r w:rsidRPr="00845E5D">
        <w:t>, p.</w:t>
      </w:r>
      <w:r>
        <w:t> 476.</w:t>
      </w:r>
    </w:p>
  </w:footnote>
  <w:footnote w:id="21">
    <w:p w14:paraId="4B8C15EF" w14:textId="3332EFC9" w:rsidR="006C2965" w:rsidRPr="002D0189" w:rsidRDefault="006C2965" w:rsidP="005A4721">
      <w:pPr>
        <w:pStyle w:val="Notedebasdepage"/>
        <w:jc w:val="both"/>
      </w:pPr>
      <w:r>
        <w:rPr>
          <w:rStyle w:val="Appelnotedebasdep"/>
        </w:rPr>
        <w:footnoteRef/>
      </w:r>
      <w:r w:rsidRPr="002D0189">
        <w:t xml:space="preserve"> A. </w:t>
      </w:r>
      <w:r w:rsidRPr="002D0189">
        <w:rPr>
          <w:smallCaps/>
        </w:rPr>
        <w:t>Wiltheim</w:t>
      </w:r>
      <w:r w:rsidRPr="002D0189">
        <w:t xml:space="preserve">, </w:t>
      </w:r>
      <w:r w:rsidRPr="002D0189">
        <w:rPr>
          <w:i/>
          <w:iCs/>
        </w:rPr>
        <w:t>op. cit.</w:t>
      </w:r>
      <w:r w:rsidRPr="002D0189">
        <w:rPr>
          <w:iCs/>
        </w:rPr>
        <w:t xml:space="preserve">, notamment p. 92-109. </w:t>
      </w:r>
      <w:r>
        <w:rPr>
          <w:iCs/>
        </w:rPr>
        <w:t xml:space="preserve">Ces sources, publiées au cours du </w:t>
      </w:r>
      <w:r w:rsidR="00A16F45">
        <w:rPr>
          <w:iCs/>
        </w:rPr>
        <w:t>XVI</w:t>
      </w:r>
      <w:r w:rsidRPr="00CC2BAA">
        <w:rPr>
          <w:iCs/>
          <w:vertAlign w:val="superscript"/>
        </w:rPr>
        <w:t>e</w:t>
      </w:r>
      <w:r>
        <w:rPr>
          <w:iCs/>
        </w:rPr>
        <w:t xml:space="preserve"> siècle, furent également abondamment utilisées par les antiquaires anglais. </w:t>
      </w:r>
      <w:r w:rsidRPr="002D0189">
        <w:rPr>
          <w:iCs/>
        </w:rPr>
        <w:t xml:space="preserve">G. </w:t>
      </w:r>
      <w:r w:rsidRPr="002D0189">
        <w:rPr>
          <w:smallCaps/>
        </w:rPr>
        <w:t>Parry</w:t>
      </w:r>
      <w:r w:rsidRPr="002D0189">
        <w:t xml:space="preserve">, </w:t>
      </w:r>
      <w:r w:rsidRPr="002D0189">
        <w:rPr>
          <w:i/>
        </w:rPr>
        <w:t>op. cit.</w:t>
      </w:r>
      <w:r w:rsidRPr="002D0189">
        <w:t>, p. 260-264.</w:t>
      </w:r>
    </w:p>
  </w:footnote>
  <w:footnote w:id="22">
    <w:p w14:paraId="39DBE8FB" w14:textId="0F8D7AA8" w:rsidR="006C2965" w:rsidRPr="002D0189" w:rsidRDefault="006C2965" w:rsidP="005A4721">
      <w:pPr>
        <w:pStyle w:val="Notedebasdepage"/>
        <w:jc w:val="both"/>
      </w:pPr>
      <w:r>
        <w:rPr>
          <w:rStyle w:val="Appelnotedebasdep"/>
        </w:rPr>
        <w:footnoteRef/>
      </w:r>
      <w:r w:rsidRPr="002D0189">
        <w:t xml:space="preserve"> A. </w:t>
      </w:r>
      <w:r w:rsidRPr="002D0189">
        <w:rPr>
          <w:smallCaps/>
        </w:rPr>
        <w:t>Wiltheim</w:t>
      </w:r>
      <w:r w:rsidRPr="002D0189">
        <w:t xml:space="preserve">, </w:t>
      </w:r>
      <w:r w:rsidRPr="002D0189">
        <w:rPr>
          <w:i/>
          <w:iCs/>
        </w:rPr>
        <w:t>op. cit.</w:t>
      </w:r>
      <w:r w:rsidRPr="002D0189">
        <w:rPr>
          <w:iCs/>
        </w:rPr>
        <w:t>, en particulier p. 93.</w:t>
      </w:r>
    </w:p>
  </w:footnote>
  <w:footnote w:id="23">
    <w:p w14:paraId="2984B760" w14:textId="77777777" w:rsidR="00C867F6" w:rsidRPr="00340774" w:rsidRDefault="00C867F6" w:rsidP="00C867F6">
      <w:pPr>
        <w:spacing w:after="0" w:line="240" w:lineRule="auto"/>
        <w:jc w:val="both"/>
      </w:pPr>
      <w:r>
        <w:rPr>
          <w:rStyle w:val="Appelnotedebasdep"/>
        </w:rPr>
        <w:footnoteRef/>
      </w:r>
      <w:r w:rsidRPr="00340774">
        <w:t xml:space="preserve"> Sur le monument d’Igel, v</w:t>
      </w:r>
      <w:r>
        <w:t xml:space="preserve">oir notamment : J. </w:t>
      </w:r>
      <w:r w:rsidRPr="009335AB">
        <w:rPr>
          <w:smallCaps/>
        </w:rPr>
        <w:t>Mersch</w:t>
      </w:r>
      <w:r w:rsidRPr="009335AB">
        <w:t xml:space="preserve">, </w:t>
      </w:r>
      <w:r>
        <w:rPr>
          <w:i/>
        </w:rPr>
        <w:t xml:space="preserve">op. cit. </w:t>
      </w:r>
      <w:r>
        <w:t xml:space="preserve">; Hans </w:t>
      </w:r>
      <w:r w:rsidRPr="00346B87">
        <w:rPr>
          <w:smallCaps/>
        </w:rPr>
        <w:t>Dragendorff,</w:t>
      </w:r>
      <w:r>
        <w:rPr>
          <w:smallCaps/>
        </w:rPr>
        <w:t xml:space="preserve"> </w:t>
      </w:r>
      <w:r w:rsidRPr="00BB17DE">
        <w:t>Emil</w:t>
      </w:r>
      <w:r w:rsidRPr="00346B87">
        <w:rPr>
          <w:smallCaps/>
        </w:rPr>
        <w:t xml:space="preserve"> Krüger</w:t>
      </w:r>
      <w:r w:rsidRPr="00346B87">
        <w:t xml:space="preserve">, </w:t>
      </w:r>
      <w:r w:rsidRPr="00346B87">
        <w:rPr>
          <w:i/>
        </w:rPr>
        <w:t>Das Grabmal von Igel</w:t>
      </w:r>
      <w:r w:rsidRPr="00346B87">
        <w:t>, Trèves,</w:t>
      </w:r>
      <w:r>
        <w:t xml:space="preserve"> Lintz,</w:t>
      </w:r>
      <w:r w:rsidRPr="00346B87">
        <w:t xml:space="preserve"> 1924</w:t>
      </w:r>
      <w:r>
        <w:t xml:space="preserve"> ; Charles-Marie </w:t>
      </w:r>
      <w:bookmarkStart w:id="6" w:name="_Hlk508207751"/>
      <w:r w:rsidRPr="00340774">
        <w:rPr>
          <w:smallCaps/>
        </w:rPr>
        <w:t>Ternes</w:t>
      </w:r>
      <w:r w:rsidRPr="00340774">
        <w:t xml:space="preserve">, </w:t>
      </w:r>
      <w:r>
        <w:t>« </w:t>
      </w:r>
      <w:r w:rsidRPr="00BB17DE">
        <w:t>La colonne d'Igel </w:t>
      </w:r>
      <w:bookmarkEnd w:id="6"/>
      <w:r w:rsidRPr="00BB17DE">
        <w:t>: lecture d'un monument gallo-romain par les modernes</w:t>
      </w:r>
      <w:r>
        <w:t> »</w:t>
      </w:r>
      <w:r w:rsidRPr="00BB17DE">
        <w:t>,</w:t>
      </w:r>
      <w:r>
        <w:t xml:space="preserve"> </w:t>
      </w:r>
      <w:r w:rsidRPr="00161D21">
        <w:t>dans</w:t>
      </w:r>
      <w:r>
        <w:t xml:space="preserve"> Raymond</w:t>
      </w:r>
      <w:r w:rsidRPr="00161D21">
        <w:t xml:space="preserve"> </w:t>
      </w:r>
      <w:r w:rsidRPr="00D734E9">
        <w:rPr>
          <w:smallCaps/>
        </w:rPr>
        <w:t>Chevallier</w:t>
      </w:r>
      <w:r>
        <w:t xml:space="preserve"> (dir.), </w:t>
      </w:r>
      <w:r w:rsidRPr="00D734E9">
        <w:rPr>
          <w:i/>
        </w:rPr>
        <w:t>Présence de l’architecture et de l’urbanisme romains. Hommage à Paul Dufourne</w:t>
      </w:r>
      <w:r>
        <w:rPr>
          <w:i/>
        </w:rPr>
        <w:t>t</w:t>
      </w:r>
      <w:r>
        <w:t xml:space="preserve">, Paris, Les Belles Lettres,1983 </w:t>
      </w:r>
      <w:r w:rsidRPr="009B3141">
        <w:t>(Caesarodunum,</w:t>
      </w:r>
      <w:r>
        <w:t xml:space="preserve"> XVIII bis), p. 357-376.</w:t>
      </w:r>
    </w:p>
  </w:footnote>
  <w:footnote w:id="24">
    <w:p w14:paraId="5796048F" w14:textId="4AA2EB31" w:rsidR="006C2965" w:rsidRPr="001F432D" w:rsidRDefault="006C2965" w:rsidP="005A4721">
      <w:pPr>
        <w:pStyle w:val="Notedebasdepage"/>
        <w:jc w:val="both"/>
        <w:rPr>
          <w:lang w:val="en-US"/>
        </w:rPr>
      </w:pPr>
      <w:r>
        <w:rPr>
          <w:rStyle w:val="Appelnotedebasdep"/>
        </w:rPr>
        <w:footnoteRef/>
      </w:r>
      <w:r w:rsidRPr="001F432D">
        <w:rPr>
          <w:lang w:val="en-US"/>
        </w:rPr>
        <w:t xml:space="preserve"> </w:t>
      </w:r>
      <w:bookmarkStart w:id="7" w:name="_Hlk517172369"/>
      <w:r w:rsidRPr="001F432D">
        <w:rPr>
          <w:lang w:val="en-US"/>
        </w:rPr>
        <w:t xml:space="preserve">A. </w:t>
      </w:r>
      <w:r w:rsidRPr="001F432D">
        <w:rPr>
          <w:smallCaps/>
          <w:lang w:val="en-US"/>
        </w:rPr>
        <w:t xml:space="preserve">Wiltheim, </w:t>
      </w:r>
      <w:r w:rsidRPr="001F432D">
        <w:rPr>
          <w:i/>
          <w:lang w:val="en-US"/>
        </w:rPr>
        <w:t>op. cit.</w:t>
      </w:r>
      <w:r w:rsidRPr="001F432D">
        <w:rPr>
          <w:lang w:val="en-US"/>
        </w:rPr>
        <w:t>,</w:t>
      </w:r>
      <w:r w:rsidRPr="001F432D">
        <w:rPr>
          <w:smallCaps/>
          <w:lang w:val="en-US"/>
        </w:rPr>
        <w:t xml:space="preserve"> </w:t>
      </w:r>
      <w:r w:rsidRPr="001F432D">
        <w:rPr>
          <w:iCs/>
          <w:lang w:val="en-US"/>
        </w:rPr>
        <w:t>p. </w:t>
      </w:r>
      <w:bookmarkEnd w:id="7"/>
      <w:r w:rsidRPr="001F432D">
        <w:rPr>
          <w:iCs/>
          <w:lang w:val="en-US"/>
        </w:rPr>
        <w:t>109.</w:t>
      </w:r>
    </w:p>
  </w:footnote>
  <w:footnote w:id="25">
    <w:p w14:paraId="16DD0EAA" w14:textId="31537C5F" w:rsidR="006C2965" w:rsidRPr="00155A77" w:rsidRDefault="006C2965" w:rsidP="005A4721">
      <w:pPr>
        <w:pStyle w:val="Notedebasdepage"/>
        <w:jc w:val="both"/>
      </w:pPr>
      <w:r>
        <w:rPr>
          <w:rStyle w:val="Appelnotedebasdep"/>
        </w:rPr>
        <w:footnoteRef/>
      </w:r>
      <w:r w:rsidRPr="001F432D">
        <w:rPr>
          <w:lang w:val="en-US"/>
        </w:rPr>
        <w:t xml:space="preserve"> </w:t>
      </w:r>
      <w:r w:rsidRPr="001F432D">
        <w:rPr>
          <w:i/>
          <w:lang w:val="en-US"/>
        </w:rPr>
        <w:t>Ibid.</w:t>
      </w:r>
      <w:r w:rsidRPr="001F432D">
        <w:rPr>
          <w:lang w:val="en-US"/>
        </w:rPr>
        <w:t>,</w:t>
      </w:r>
      <w:r w:rsidRPr="001F432D">
        <w:rPr>
          <w:smallCaps/>
          <w:lang w:val="en-US"/>
        </w:rPr>
        <w:t xml:space="preserve"> </w:t>
      </w:r>
      <w:r w:rsidRPr="001F432D">
        <w:rPr>
          <w:lang w:val="en-US"/>
        </w:rPr>
        <w:t xml:space="preserve">notamment </w:t>
      </w:r>
      <w:r w:rsidRPr="001F432D">
        <w:rPr>
          <w:iCs/>
          <w:lang w:val="en-US"/>
        </w:rPr>
        <w:t xml:space="preserve">p. 147, 149, 269, 270. </w:t>
      </w:r>
      <w:r>
        <w:rPr>
          <w:iCs/>
        </w:rPr>
        <w:t xml:space="preserve">À la page 222, il cite spécifiquement le témoignage de son père relatif à un objet, un témoignage qu’il a gardé en mémoire. </w:t>
      </w:r>
    </w:p>
  </w:footnote>
  <w:footnote w:id="26">
    <w:p w14:paraId="604CA339" w14:textId="77777777" w:rsidR="005254F1" w:rsidRPr="002D0189" w:rsidRDefault="005254F1" w:rsidP="005254F1">
      <w:pPr>
        <w:pStyle w:val="Notedebasdepage"/>
        <w:jc w:val="both"/>
        <w:rPr>
          <w:lang w:val="nl-NL"/>
        </w:rPr>
      </w:pPr>
      <w:r>
        <w:rPr>
          <w:rStyle w:val="Appelnotedebasdep"/>
        </w:rPr>
        <w:footnoteRef/>
      </w:r>
      <w:r w:rsidRPr="00155A77">
        <w:t xml:space="preserve"> </w:t>
      </w:r>
      <w:r w:rsidRPr="0073432B">
        <w:rPr>
          <w:i/>
        </w:rPr>
        <w:t>Ibid.</w:t>
      </w:r>
      <w:r w:rsidRPr="002D0189">
        <w:rPr>
          <w:smallCaps/>
        </w:rPr>
        <w:t xml:space="preserve">, </w:t>
      </w:r>
      <w:r w:rsidRPr="002D0189">
        <w:t xml:space="preserve">notamment </w:t>
      </w:r>
      <w:r w:rsidRPr="002D0189">
        <w:rPr>
          <w:iCs/>
        </w:rPr>
        <w:t>p. </w:t>
      </w:r>
      <w:r w:rsidRPr="00155A77">
        <w:rPr>
          <w:iCs/>
        </w:rPr>
        <w:t>94, 107, 201, 202, 285.</w:t>
      </w:r>
      <w:r>
        <w:rPr>
          <w:iCs/>
        </w:rPr>
        <w:t xml:space="preserve"> Christophe Brouwer avait déjà été abondamment cité par Jean-Guillaume Wiltheim.</w:t>
      </w:r>
      <w:r w:rsidRPr="00BB17DE">
        <w:rPr>
          <w:iCs/>
          <w:color w:val="FF0000"/>
        </w:rPr>
        <w:t xml:space="preserve"> </w:t>
      </w:r>
      <w:r w:rsidRPr="002D0189">
        <w:rPr>
          <w:iCs/>
          <w:lang w:val="nl-NL"/>
        </w:rPr>
        <w:t xml:space="preserve">N. </w:t>
      </w:r>
      <w:r w:rsidRPr="002D0189">
        <w:rPr>
          <w:smallCaps/>
          <w:lang w:val="nl-NL"/>
        </w:rPr>
        <w:t>Brouet,</w:t>
      </w:r>
      <w:r w:rsidRPr="002D0189">
        <w:rPr>
          <w:lang w:val="nl-NL"/>
        </w:rPr>
        <w:t xml:space="preserve"> </w:t>
      </w:r>
      <w:r w:rsidRPr="002D0189">
        <w:rPr>
          <w:i/>
          <w:iCs/>
          <w:lang w:val="nl-NL"/>
        </w:rPr>
        <w:t>op. cit.</w:t>
      </w:r>
      <w:r w:rsidRPr="002D0189">
        <w:rPr>
          <w:iCs/>
          <w:lang w:val="nl-NL"/>
        </w:rPr>
        <w:t>, p. 107-109.</w:t>
      </w:r>
    </w:p>
  </w:footnote>
  <w:footnote w:id="27">
    <w:p w14:paraId="49B7B4A5" w14:textId="219FE11D" w:rsidR="006C2965" w:rsidRPr="002D0189" w:rsidRDefault="006C2965" w:rsidP="005A4721">
      <w:pPr>
        <w:pStyle w:val="Notedebasdepage"/>
        <w:jc w:val="both"/>
        <w:rPr>
          <w:lang w:val="nl-NL"/>
        </w:rPr>
      </w:pPr>
      <w:r>
        <w:rPr>
          <w:rStyle w:val="Appelnotedebasdep"/>
        </w:rPr>
        <w:footnoteRef/>
      </w:r>
      <w:r w:rsidRPr="002D0189">
        <w:rPr>
          <w:lang w:val="nl-NL"/>
        </w:rPr>
        <w:t xml:space="preserve"> A. </w:t>
      </w:r>
      <w:r w:rsidRPr="002D0189">
        <w:rPr>
          <w:smallCaps/>
          <w:lang w:val="nl-NL"/>
        </w:rPr>
        <w:t xml:space="preserve">Wiltheim, </w:t>
      </w:r>
      <w:r w:rsidRPr="002D0189">
        <w:rPr>
          <w:i/>
          <w:lang w:val="nl-NL"/>
        </w:rPr>
        <w:t>op. cit.</w:t>
      </w:r>
      <w:r w:rsidRPr="002D0189">
        <w:rPr>
          <w:lang w:val="nl-NL"/>
        </w:rPr>
        <w:t>,</w:t>
      </w:r>
      <w:r w:rsidRPr="002D0189">
        <w:rPr>
          <w:smallCaps/>
          <w:lang w:val="nl-NL"/>
        </w:rPr>
        <w:t xml:space="preserve"> </w:t>
      </w:r>
      <w:r w:rsidRPr="002D0189">
        <w:rPr>
          <w:lang w:val="nl-NL"/>
        </w:rPr>
        <w:t xml:space="preserve">notamment </w:t>
      </w:r>
      <w:r w:rsidRPr="002D0189">
        <w:rPr>
          <w:iCs/>
          <w:lang w:val="nl-NL"/>
        </w:rPr>
        <w:t>p. 102, 223.</w:t>
      </w:r>
    </w:p>
  </w:footnote>
  <w:footnote w:id="28">
    <w:p w14:paraId="711AB5BD" w14:textId="26D95BF9" w:rsidR="006C2965" w:rsidRPr="00270FE1" w:rsidRDefault="006C2965" w:rsidP="005A4721">
      <w:pPr>
        <w:pStyle w:val="Notedebasdepage"/>
        <w:jc w:val="both"/>
      </w:pPr>
      <w:r>
        <w:rPr>
          <w:rStyle w:val="Appelnotedebasdep"/>
        </w:rPr>
        <w:footnoteRef/>
      </w:r>
      <w:r>
        <w:t xml:space="preserve"> Il en va de même pour le</w:t>
      </w:r>
      <w:r w:rsidRPr="000F2540">
        <w:t xml:space="preserve"> </w:t>
      </w:r>
      <w:r w:rsidRPr="000F2540">
        <w:rPr>
          <w:i/>
        </w:rPr>
        <w:t>Belgium ecclesiasticum et civile</w:t>
      </w:r>
      <w:r w:rsidRPr="000F2540">
        <w:t xml:space="preserve"> (1656) de Gilles Bouchier (1576-1665)</w:t>
      </w:r>
      <w:r>
        <w:t>. J.-Cl.</w:t>
      </w:r>
      <w:r w:rsidRPr="000F2540">
        <w:t xml:space="preserve"> </w:t>
      </w:r>
      <w:r w:rsidRPr="00845E5D">
        <w:rPr>
          <w:smallCaps/>
          <w:lang w:val="fr-FR"/>
        </w:rPr>
        <w:t>Müller</w:t>
      </w:r>
      <w:r w:rsidRPr="00845E5D">
        <w:rPr>
          <w:lang w:val="fr-FR"/>
        </w:rPr>
        <w:t xml:space="preserve">, </w:t>
      </w:r>
      <w:r>
        <w:rPr>
          <w:i/>
          <w:lang w:val="fr-FR"/>
        </w:rPr>
        <w:t>op. cit.</w:t>
      </w:r>
      <w:r>
        <w:rPr>
          <w:lang w:val="fr-FR"/>
        </w:rPr>
        <w:t xml:space="preserve">, p. 199-200 et 212. </w:t>
      </w:r>
    </w:p>
  </w:footnote>
  <w:footnote w:id="29">
    <w:p w14:paraId="40153461" w14:textId="103D00F3" w:rsidR="006C2965" w:rsidRPr="004B0C86" w:rsidRDefault="006C2965" w:rsidP="005A4721">
      <w:pPr>
        <w:pStyle w:val="Notedebasdepage"/>
        <w:jc w:val="both"/>
      </w:pPr>
      <w:r w:rsidRPr="0097408B">
        <w:rPr>
          <w:rStyle w:val="Appelnotedebasdep"/>
        </w:rPr>
        <w:footnoteRef/>
      </w:r>
      <w:r w:rsidRPr="0097408B">
        <w:t xml:space="preserve"> Louis de la Neuveforge († 1697): chevalier, diplomate, conseiller et procureur général du conseil de Luxembourg. </w:t>
      </w:r>
      <w:r>
        <w:t xml:space="preserve">Charles </w:t>
      </w:r>
      <w:r w:rsidRPr="0097408B">
        <w:rPr>
          <w:smallCaps/>
        </w:rPr>
        <w:t>Piot</w:t>
      </w:r>
      <w:r w:rsidRPr="0097408B">
        <w:t xml:space="preserve">, </w:t>
      </w:r>
      <w:r>
        <w:t>« </w:t>
      </w:r>
      <w:r w:rsidRPr="00BB17DE">
        <w:t>De La Neuveforge (Louis)</w:t>
      </w:r>
      <w:r>
        <w:t> »</w:t>
      </w:r>
      <w:r w:rsidRPr="0097408B">
        <w:t xml:space="preserve">, dans </w:t>
      </w:r>
      <w:r w:rsidRPr="0097408B">
        <w:rPr>
          <w:i/>
        </w:rPr>
        <w:t>Biographie nationale</w:t>
      </w:r>
      <w:r w:rsidRPr="0097408B">
        <w:t xml:space="preserve">, t. 5, Bruxelles, </w:t>
      </w:r>
      <w:r w:rsidR="008E454B">
        <w:t>Bruylant Christophe et C</w:t>
      </w:r>
      <w:r w:rsidR="008E454B" w:rsidRPr="008E454B">
        <w:rPr>
          <w:vertAlign w:val="superscript"/>
        </w:rPr>
        <w:t>ie</w:t>
      </w:r>
      <w:r w:rsidR="008E454B">
        <w:t xml:space="preserve">, </w:t>
      </w:r>
      <w:r w:rsidRPr="0097408B">
        <w:t>1876, col. 302-304.</w:t>
      </w:r>
    </w:p>
  </w:footnote>
  <w:footnote w:id="30">
    <w:p w14:paraId="14D99EFF" w14:textId="21DD954B" w:rsidR="006C2965" w:rsidRPr="002D0189" w:rsidRDefault="006C2965" w:rsidP="005A4721">
      <w:pPr>
        <w:pStyle w:val="Notedebasdepage"/>
        <w:jc w:val="both"/>
      </w:pPr>
      <w:r>
        <w:rPr>
          <w:rStyle w:val="Appelnotedebasdep"/>
        </w:rPr>
        <w:footnoteRef/>
      </w:r>
      <w:r w:rsidRPr="002D0189">
        <w:t xml:space="preserve"> A. </w:t>
      </w:r>
      <w:r w:rsidRPr="002D0189">
        <w:rPr>
          <w:smallCaps/>
        </w:rPr>
        <w:t xml:space="preserve">Wiltheim, </w:t>
      </w:r>
      <w:r w:rsidRPr="002D0189">
        <w:rPr>
          <w:i/>
        </w:rPr>
        <w:t>op. cit.</w:t>
      </w:r>
      <w:r w:rsidRPr="002D0189">
        <w:t>,</w:t>
      </w:r>
      <w:r w:rsidRPr="002D0189">
        <w:rPr>
          <w:smallCaps/>
        </w:rPr>
        <w:t xml:space="preserve"> </w:t>
      </w:r>
      <w:r w:rsidRPr="002D0189">
        <w:t xml:space="preserve">notamment </w:t>
      </w:r>
      <w:r w:rsidRPr="002D0189">
        <w:rPr>
          <w:iCs/>
        </w:rPr>
        <w:t>p. 249, 297, 309, 311, 312.</w:t>
      </w:r>
    </w:p>
  </w:footnote>
  <w:footnote w:id="31">
    <w:p w14:paraId="1BCDFB11" w14:textId="42AC399C" w:rsidR="006C2965" w:rsidRPr="002D0189" w:rsidRDefault="006C2965" w:rsidP="005A4721">
      <w:pPr>
        <w:pStyle w:val="Notedebasdepage"/>
        <w:jc w:val="both"/>
      </w:pPr>
      <w:r>
        <w:rPr>
          <w:rStyle w:val="Appelnotedebasdep"/>
        </w:rPr>
        <w:footnoteRef/>
      </w:r>
      <w:r w:rsidRPr="002D0189">
        <w:t xml:space="preserve"> Notamment William Camden (1551-1623) en Angleterre. G. </w:t>
      </w:r>
      <w:r w:rsidRPr="002D0189">
        <w:rPr>
          <w:smallCaps/>
        </w:rPr>
        <w:t>Parry</w:t>
      </w:r>
      <w:r w:rsidRPr="002D0189">
        <w:t xml:space="preserve">, </w:t>
      </w:r>
      <w:r w:rsidRPr="002D0189">
        <w:rPr>
          <w:i/>
        </w:rPr>
        <w:t>op. cit.</w:t>
      </w:r>
      <w:r w:rsidRPr="002D0189">
        <w:t>, p. 3-6, 12, 30.</w:t>
      </w:r>
    </w:p>
  </w:footnote>
  <w:footnote w:id="32">
    <w:p w14:paraId="6965640C" w14:textId="2B4DEF8F" w:rsidR="006C2965" w:rsidRPr="003C08FB" w:rsidRDefault="006C2965" w:rsidP="005A4721">
      <w:pPr>
        <w:pStyle w:val="Notedebasdepage"/>
        <w:jc w:val="both"/>
      </w:pPr>
      <w:r>
        <w:rPr>
          <w:rStyle w:val="Appelnotedebasdep"/>
        </w:rPr>
        <w:footnoteRef/>
      </w:r>
      <w:r w:rsidRPr="003C08FB">
        <w:t xml:space="preserve"> Sur le rapport des r</w:t>
      </w:r>
      <w:r>
        <w:t xml:space="preserve">echerches antiquaires avec les recherches idéologiques, on pourra notamment consulter (pour le cas anglais) : A. </w:t>
      </w:r>
      <w:r w:rsidRPr="00EF6007">
        <w:rPr>
          <w:bCs/>
        </w:rPr>
        <w:t>V</w:t>
      </w:r>
      <w:r w:rsidRPr="00EF6007">
        <w:rPr>
          <w:bCs/>
          <w:smallCaps/>
        </w:rPr>
        <w:t>ine</w:t>
      </w:r>
      <w:r w:rsidRPr="00EF6007">
        <w:rPr>
          <w:bCs/>
        </w:rPr>
        <w:t xml:space="preserve">, </w:t>
      </w:r>
      <w:r>
        <w:rPr>
          <w:bCs/>
          <w:i/>
        </w:rPr>
        <w:t>op. cit.</w:t>
      </w:r>
      <w:r>
        <w:rPr>
          <w:bCs/>
        </w:rPr>
        <w:t>, p. 51-79.</w:t>
      </w:r>
    </w:p>
  </w:footnote>
  <w:footnote w:id="33">
    <w:p w14:paraId="184D228F" w14:textId="6CB9CA5F" w:rsidR="006C2965" w:rsidRDefault="006C2965" w:rsidP="005A4721">
      <w:pPr>
        <w:pStyle w:val="Notedebasdepage"/>
        <w:jc w:val="both"/>
      </w:pPr>
      <w:r>
        <w:rPr>
          <w:rStyle w:val="Appelnotedebasdep"/>
        </w:rPr>
        <w:footnoteRef/>
      </w:r>
      <w:r>
        <w:t xml:space="preserve"> </w:t>
      </w:r>
      <w:r w:rsidRPr="001F432D">
        <w:t xml:space="preserve">A. </w:t>
      </w:r>
      <w:r w:rsidRPr="001F432D">
        <w:rPr>
          <w:smallCaps/>
        </w:rPr>
        <w:t xml:space="preserve">Wiltheim, </w:t>
      </w:r>
      <w:r w:rsidRPr="001F432D">
        <w:rPr>
          <w:i/>
        </w:rPr>
        <w:t>op. cit.</w:t>
      </w:r>
      <w:r w:rsidRPr="001F432D">
        <w:t>,</w:t>
      </w:r>
      <w:r w:rsidRPr="001F432D">
        <w:rPr>
          <w:smallCaps/>
        </w:rPr>
        <w:t xml:space="preserve"> </w:t>
      </w:r>
      <w:r w:rsidRPr="001F432D">
        <w:rPr>
          <w:iCs/>
        </w:rPr>
        <w:t xml:space="preserve">p. </w:t>
      </w:r>
      <w:r w:rsidRPr="00E84A36">
        <w:t>280.</w:t>
      </w:r>
      <w:r>
        <w:rPr>
          <w:color w:val="FF0000"/>
          <w:lang w:val="fr-FR"/>
        </w:rPr>
        <w:t xml:space="preserve"> </w:t>
      </w:r>
    </w:p>
  </w:footnote>
  <w:footnote w:id="34">
    <w:p w14:paraId="75BF1C29" w14:textId="586F30A2" w:rsidR="006C2965" w:rsidRPr="002D0189" w:rsidRDefault="006C2965" w:rsidP="005A4721">
      <w:pPr>
        <w:pStyle w:val="Notedebasdepage"/>
        <w:jc w:val="both"/>
        <w:rPr>
          <w:color w:val="FF0000"/>
        </w:rPr>
      </w:pPr>
      <w:r>
        <w:rPr>
          <w:rStyle w:val="Appelnotedebasdep"/>
        </w:rPr>
        <w:footnoteRef/>
      </w:r>
      <w:r w:rsidRPr="0089229B">
        <w:rPr>
          <w:color w:val="FF0000"/>
        </w:rPr>
        <w:t xml:space="preserve"> </w:t>
      </w:r>
      <w:r w:rsidRPr="0089229B">
        <w:t>« </w:t>
      </w:r>
      <w:r w:rsidRPr="0089229B">
        <w:rPr>
          <w:i/>
        </w:rPr>
        <w:t>Ego indidiosum esse judico, una vocum similitudine tantam conficere velle antiquit</w:t>
      </w:r>
      <w:r>
        <w:rPr>
          <w:i/>
        </w:rPr>
        <w:t>atem</w:t>
      </w:r>
      <w:r w:rsidRPr="0089229B">
        <w:rPr>
          <w:i/>
        </w:rPr>
        <w:t xml:space="preserve"> </w:t>
      </w:r>
      <w:r w:rsidRPr="0089229B">
        <w:t>».</w:t>
      </w:r>
      <w:r w:rsidRPr="0089229B">
        <w:rPr>
          <w:color w:val="FF0000"/>
        </w:rPr>
        <w:t xml:space="preserve"> </w:t>
      </w:r>
      <w:r w:rsidRPr="001F432D">
        <w:rPr>
          <w:i/>
        </w:rPr>
        <w:t>Ibid.</w:t>
      </w:r>
      <w:r w:rsidRPr="001F432D">
        <w:t>,</w:t>
      </w:r>
      <w:r w:rsidRPr="001F432D">
        <w:rPr>
          <w:smallCaps/>
        </w:rPr>
        <w:t xml:space="preserve"> </w:t>
      </w:r>
      <w:r w:rsidRPr="001F432D">
        <w:rPr>
          <w:iCs/>
        </w:rPr>
        <w:t>p. </w:t>
      </w:r>
      <w:r w:rsidRPr="00E84A36">
        <w:t>278.</w:t>
      </w:r>
    </w:p>
  </w:footnote>
  <w:footnote w:id="35">
    <w:p w14:paraId="596A6FB2" w14:textId="299056A7" w:rsidR="006C2965" w:rsidRPr="001F432D" w:rsidRDefault="006C2965" w:rsidP="005A4721">
      <w:pPr>
        <w:pStyle w:val="Notedebasdepage"/>
        <w:jc w:val="both"/>
        <w:rPr>
          <w:color w:val="FF0000"/>
        </w:rPr>
      </w:pPr>
      <w:r>
        <w:rPr>
          <w:rStyle w:val="Appelnotedebasdep"/>
        </w:rPr>
        <w:footnoteRef/>
      </w:r>
      <w:r w:rsidRPr="0029545C">
        <w:t xml:space="preserve"> </w:t>
      </w:r>
      <w:r>
        <w:t>Alexandre Wiltheim</w:t>
      </w:r>
      <w:r w:rsidRPr="004B0C86">
        <w:t xml:space="preserve"> a notamment travaillé, entre 1642 et 1660, à une histoire de l’abbaye Saint-Maximin de Trèves, à partir de ses archives médiévales (</w:t>
      </w:r>
      <w:r w:rsidRPr="004B0C86">
        <w:rPr>
          <w:i/>
        </w:rPr>
        <w:t>Origines et Annales coenobii D. Maximini</w:t>
      </w:r>
      <w:r w:rsidRPr="004B0C86">
        <w:t xml:space="preserve">). Le manuscrit autographe est conservé à la Bibliothèque royale de Bruxelles </w:t>
      </w:r>
      <w:r w:rsidRPr="00F35066">
        <w:t xml:space="preserve">(KBR, manuscrits, ms. 7147). </w:t>
      </w:r>
      <w:r w:rsidRPr="004B0C86">
        <w:t>Il disposait donc de compétences en paléographie médiévale. </w:t>
      </w:r>
      <w:r w:rsidRPr="001F432D">
        <w:t xml:space="preserve">J. </w:t>
      </w:r>
      <w:r w:rsidRPr="001F432D">
        <w:rPr>
          <w:smallCaps/>
        </w:rPr>
        <w:t>Krier, E. Thill</w:t>
      </w:r>
      <w:r w:rsidRPr="001F432D">
        <w:t xml:space="preserve">, </w:t>
      </w:r>
      <w:r w:rsidRPr="001F432D">
        <w:rPr>
          <w:i/>
          <w:iCs/>
        </w:rPr>
        <w:t>op. cit.</w:t>
      </w:r>
      <w:r w:rsidRPr="001F432D">
        <w:rPr>
          <w:iCs/>
        </w:rPr>
        <w:t xml:space="preserve">, p. 78 </w:t>
      </w:r>
      <w:r w:rsidRPr="001F432D">
        <w:t xml:space="preserve">; N. </w:t>
      </w:r>
      <w:r w:rsidRPr="001F432D">
        <w:rPr>
          <w:smallCaps/>
        </w:rPr>
        <w:t>Brouet,</w:t>
      </w:r>
      <w:r w:rsidRPr="001F432D">
        <w:t xml:space="preserve"> </w:t>
      </w:r>
      <w:r w:rsidRPr="001F432D">
        <w:rPr>
          <w:i/>
          <w:iCs/>
        </w:rPr>
        <w:t>op. cit.</w:t>
      </w:r>
      <w:r w:rsidRPr="001F432D">
        <w:rPr>
          <w:iCs/>
        </w:rPr>
        <w:t>, p. 105.</w:t>
      </w:r>
    </w:p>
  </w:footnote>
  <w:footnote w:id="36">
    <w:p w14:paraId="6867622E" w14:textId="76794CA3" w:rsidR="006C2965" w:rsidRPr="0029545C" w:rsidRDefault="006C2965" w:rsidP="005A4721">
      <w:pPr>
        <w:pStyle w:val="Notedebasdepage"/>
        <w:jc w:val="both"/>
      </w:pPr>
      <w:r>
        <w:rPr>
          <w:rStyle w:val="Appelnotedebasdep"/>
        </w:rPr>
        <w:footnoteRef/>
      </w:r>
      <w:r w:rsidRPr="0029545C">
        <w:t xml:space="preserve"> </w:t>
      </w:r>
      <w:r w:rsidRPr="001F432D">
        <w:t xml:space="preserve">A. </w:t>
      </w:r>
      <w:r w:rsidRPr="001F432D">
        <w:rPr>
          <w:smallCaps/>
        </w:rPr>
        <w:t xml:space="preserve">Wiltheim, </w:t>
      </w:r>
      <w:r w:rsidRPr="001F432D">
        <w:rPr>
          <w:i/>
        </w:rPr>
        <w:t>op. cit.</w:t>
      </w:r>
      <w:r w:rsidRPr="001F432D">
        <w:t>,</w:t>
      </w:r>
      <w:r w:rsidRPr="001F432D">
        <w:rPr>
          <w:smallCaps/>
        </w:rPr>
        <w:t xml:space="preserve"> </w:t>
      </w:r>
      <w:r w:rsidRPr="001F432D">
        <w:rPr>
          <w:iCs/>
        </w:rPr>
        <w:t>p. </w:t>
      </w:r>
      <w:r w:rsidRPr="0029545C">
        <w:rPr>
          <w:iCs/>
        </w:rPr>
        <w:t>286.</w:t>
      </w:r>
    </w:p>
  </w:footnote>
  <w:footnote w:id="37">
    <w:p w14:paraId="2E3B6C69" w14:textId="42C8CB77" w:rsidR="006C2965" w:rsidRPr="002D0189" w:rsidRDefault="006C2965" w:rsidP="005A4721">
      <w:pPr>
        <w:pStyle w:val="Notedebasdepage"/>
        <w:jc w:val="both"/>
        <w:rPr>
          <w:lang w:val="en-US"/>
        </w:rPr>
      </w:pPr>
      <w:r w:rsidRPr="00513A03">
        <w:rPr>
          <w:rStyle w:val="Appelnotedebasdep"/>
        </w:rPr>
        <w:footnoteRef/>
      </w:r>
      <w:r w:rsidRPr="00513A03">
        <w:t xml:space="preserve"> Par exemple</w:t>
      </w:r>
      <w:r>
        <w:t xml:space="preserve"> à propos de la « Geronis Villa » (Gérouville).</w:t>
      </w:r>
      <w:r w:rsidRPr="00513A03">
        <w:t xml:space="preserve"> </w:t>
      </w:r>
      <w:r w:rsidRPr="002D0189">
        <w:rPr>
          <w:i/>
          <w:lang w:val="en-US"/>
        </w:rPr>
        <w:t>Ibid.</w:t>
      </w:r>
      <w:r>
        <w:rPr>
          <w:lang w:val="en-US"/>
        </w:rPr>
        <w:t>,</w:t>
      </w:r>
      <w:r>
        <w:rPr>
          <w:smallCaps/>
          <w:lang w:val="en-US"/>
        </w:rPr>
        <w:t xml:space="preserve"> </w:t>
      </w:r>
      <w:r w:rsidRPr="00BB17DE">
        <w:rPr>
          <w:iCs/>
          <w:lang w:val="en-US"/>
        </w:rPr>
        <w:t>p. </w:t>
      </w:r>
      <w:r w:rsidRPr="008076C1">
        <w:rPr>
          <w:iCs/>
          <w:lang w:val="en-US"/>
        </w:rPr>
        <w:t>309.</w:t>
      </w:r>
    </w:p>
  </w:footnote>
  <w:footnote w:id="38">
    <w:p w14:paraId="2B1D8495" w14:textId="3783229F" w:rsidR="006C2965" w:rsidRPr="008076C1" w:rsidRDefault="006C2965" w:rsidP="005A4721">
      <w:pPr>
        <w:pStyle w:val="Notedebasdepage"/>
        <w:jc w:val="both"/>
        <w:rPr>
          <w:lang w:val="en-US"/>
        </w:rPr>
      </w:pPr>
      <w:r>
        <w:rPr>
          <w:rStyle w:val="Appelnotedebasdep"/>
        </w:rPr>
        <w:footnoteRef/>
      </w:r>
      <w:r w:rsidRPr="008076C1">
        <w:rPr>
          <w:lang w:val="en-US"/>
        </w:rPr>
        <w:t xml:space="preserve"> </w:t>
      </w:r>
      <w:r w:rsidRPr="002D0189">
        <w:rPr>
          <w:i/>
          <w:lang w:val="en-US"/>
        </w:rPr>
        <w:t>Ibid.</w:t>
      </w:r>
      <w:r>
        <w:rPr>
          <w:lang w:val="en-US"/>
        </w:rPr>
        <w:t xml:space="preserve">, </w:t>
      </w:r>
      <w:r w:rsidRPr="00BB17DE">
        <w:rPr>
          <w:iCs/>
          <w:lang w:val="en-US"/>
        </w:rPr>
        <w:t>p. </w:t>
      </w:r>
      <w:r w:rsidRPr="008076C1">
        <w:rPr>
          <w:iCs/>
          <w:lang w:val="en-US"/>
        </w:rPr>
        <w:t>286.</w:t>
      </w:r>
    </w:p>
  </w:footnote>
  <w:footnote w:id="39">
    <w:p w14:paraId="267DE676" w14:textId="45C1B5B1" w:rsidR="006C2965" w:rsidRPr="001F432D" w:rsidRDefault="006C2965" w:rsidP="005A4721">
      <w:pPr>
        <w:pStyle w:val="Notedebasdepage"/>
        <w:jc w:val="both"/>
      </w:pPr>
      <w:r>
        <w:rPr>
          <w:rStyle w:val="Appelnotedebasdep"/>
        </w:rPr>
        <w:footnoteRef/>
      </w:r>
      <w:r w:rsidRPr="005C232A">
        <w:rPr>
          <w:lang w:val="en-US"/>
        </w:rPr>
        <w:t xml:space="preserve"> « </w:t>
      </w:r>
      <w:r w:rsidRPr="005C232A">
        <w:rPr>
          <w:i/>
          <w:lang w:val="en-US"/>
        </w:rPr>
        <w:t xml:space="preserve">(…) donec pro explorato constet, inventa ibi Romanae rei </w:t>
      </w:r>
      <w:r>
        <w:rPr>
          <w:i/>
          <w:lang w:val="en-US"/>
        </w:rPr>
        <w:t xml:space="preserve">vestigia </w:t>
      </w:r>
      <w:r w:rsidRPr="005C232A">
        <w:rPr>
          <w:lang w:val="en-US"/>
        </w:rPr>
        <w:t xml:space="preserve">». </w:t>
      </w:r>
      <w:r w:rsidRPr="001F432D">
        <w:rPr>
          <w:i/>
        </w:rPr>
        <w:t>Ibid.</w:t>
      </w:r>
      <w:r w:rsidRPr="001F432D">
        <w:t xml:space="preserve">, </w:t>
      </w:r>
      <w:r w:rsidRPr="00844A10">
        <w:rPr>
          <w:iCs/>
        </w:rPr>
        <w:t>p. 309.</w:t>
      </w:r>
    </w:p>
  </w:footnote>
  <w:footnote w:id="40">
    <w:p w14:paraId="5F5CF813" w14:textId="7EC21EA7" w:rsidR="006C2965" w:rsidRPr="00674CBB" w:rsidRDefault="006C2965" w:rsidP="005A4721">
      <w:pPr>
        <w:pStyle w:val="Notedebasdepage"/>
        <w:jc w:val="both"/>
      </w:pPr>
      <w:r>
        <w:rPr>
          <w:rStyle w:val="Appelnotedebasdep"/>
        </w:rPr>
        <w:footnoteRef/>
      </w:r>
      <w:r w:rsidRPr="00674CBB">
        <w:t xml:space="preserve"> </w:t>
      </w:r>
      <w:r w:rsidRPr="002D0189">
        <w:rPr>
          <w:i/>
        </w:rPr>
        <w:t>Ibid.</w:t>
      </w:r>
      <w:r>
        <w:t xml:space="preserve">, </w:t>
      </w:r>
      <w:r w:rsidRPr="00674CBB">
        <w:rPr>
          <w:iCs/>
        </w:rPr>
        <w:t xml:space="preserve">p. 292-293. Une villa romaine a bien été découverte ultérieurement à Bollendorf mais la validité des </w:t>
      </w:r>
      <w:r>
        <w:rPr>
          <w:iCs/>
        </w:rPr>
        <w:t xml:space="preserve">hypothèses de Wiltheim reste à démontrer. </w:t>
      </w:r>
    </w:p>
  </w:footnote>
  <w:footnote w:id="41">
    <w:p w14:paraId="52407435" w14:textId="76B8B89D" w:rsidR="006C2965" w:rsidRPr="00844A10" w:rsidRDefault="006C2965" w:rsidP="005A4721">
      <w:pPr>
        <w:pStyle w:val="Notedebasdepage"/>
        <w:jc w:val="both"/>
      </w:pPr>
      <w:r>
        <w:rPr>
          <w:rStyle w:val="Appelnotedebasdep"/>
        </w:rPr>
        <w:footnoteRef/>
      </w:r>
      <w:r w:rsidRPr="00674CBB">
        <w:t xml:space="preserve"> </w:t>
      </w:r>
      <w:r w:rsidRPr="0093511B">
        <w:rPr>
          <w:i/>
        </w:rPr>
        <w:t>Ibid.</w:t>
      </w:r>
      <w:r>
        <w:t xml:space="preserve">, </w:t>
      </w:r>
      <w:r w:rsidRPr="00844A10">
        <w:rPr>
          <w:iCs/>
        </w:rPr>
        <w:t>p. 273</w:t>
      </w:r>
      <w:r>
        <w:rPr>
          <w:iCs/>
        </w:rPr>
        <w:t xml:space="preserve"> (</w:t>
      </w:r>
      <w:r w:rsidRPr="00674CBB">
        <w:rPr>
          <w:smallCaps/>
        </w:rPr>
        <w:t>Végèce,</w:t>
      </w:r>
      <w:r w:rsidRPr="00674CBB">
        <w:t xml:space="preserve"> </w:t>
      </w:r>
      <w:r w:rsidRPr="00674CBB">
        <w:rPr>
          <w:i/>
        </w:rPr>
        <w:t>Epitoma rei militar</w:t>
      </w:r>
      <w:r w:rsidRPr="00844A10">
        <w:rPr>
          <w:i/>
        </w:rPr>
        <w:t>is</w:t>
      </w:r>
      <w:r w:rsidRPr="00844A10">
        <w:t>, livre III, chapitre 8</w:t>
      </w:r>
      <w:r>
        <w:t>)</w:t>
      </w:r>
      <w:r w:rsidRPr="00844A10">
        <w:t xml:space="preserve">. </w:t>
      </w:r>
    </w:p>
  </w:footnote>
  <w:footnote w:id="42">
    <w:p w14:paraId="25AFE353" w14:textId="05AE4AB3" w:rsidR="006C2965" w:rsidRPr="00037B2D" w:rsidRDefault="006C2965" w:rsidP="005A4721">
      <w:pPr>
        <w:pStyle w:val="Notedebasdepage"/>
        <w:jc w:val="both"/>
      </w:pPr>
      <w:r>
        <w:rPr>
          <w:rStyle w:val="Appelnotedebasdep"/>
        </w:rPr>
        <w:footnoteRef/>
      </w:r>
      <w:r w:rsidRPr="00B36244">
        <w:rPr>
          <w:lang w:val="nl-NL"/>
        </w:rPr>
        <w:t xml:space="preserve"> Sur Altrier, voir : Franziska </w:t>
      </w:r>
      <w:r w:rsidRPr="00B36244">
        <w:rPr>
          <w:smallCaps/>
          <w:lang w:val="nl-NL"/>
        </w:rPr>
        <w:t>Dövener</w:t>
      </w:r>
      <w:r w:rsidRPr="00B36244">
        <w:rPr>
          <w:lang w:val="nl-NL"/>
        </w:rPr>
        <w:t xml:space="preserve">, « Altrier </w:t>
      </w:r>
      <w:r w:rsidRPr="00B36244">
        <w:rPr>
          <w:i/>
          <w:lang w:val="nl-NL"/>
        </w:rPr>
        <w:t>revisited</w:t>
      </w:r>
      <w:r w:rsidRPr="00B36244">
        <w:rPr>
          <w:lang w:val="nl-NL"/>
        </w:rPr>
        <w:t xml:space="preserve"> – Zum Nachleben einer römischen Siedlung »,</w:t>
      </w:r>
      <w:r w:rsidRPr="00B36244">
        <w:rPr>
          <w:i/>
          <w:lang w:val="nl-NL"/>
        </w:rPr>
        <w:t xml:space="preserve"> Hémecht. </w:t>
      </w:r>
      <w:r w:rsidRPr="00844A10">
        <w:rPr>
          <w:i/>
        </w:rPr>
        <w:t xml:space="preserve">Zeitschrift für luxemburger Geschichte. </w:t>
      </w:r>
      <w:r w:rsidRPr="00845E5D">
        <w:rPr>
          <w:i/>
        </w:rPr>
        <w:t>Revue d’histoire luxembourgeoise</w:t>
      </w:r>
      <w:r>
        <w:t>, 2010,</w:t>
      </w:r>
      <w:r w:rsidRPr="00845E5D">
        <w:t xml:space="preserve"> </w:t>
      </w:r>
      <w:r>
        <w:t>n° 62/1</w:t>
      </w:r>
      <w:r w:rsidRPr="00845E5D">
        <w:t>,</w:t>
      </w:r>
      <w:r>
        <w:t xml:space="preserve"> </w:t>
      </w:r>
      <w:r w:rsidRPr="00845E5D">
        <w:t>p.</w:t>
      </w:r>
      <w:r>
        <w:t> 5-30 (en particulier p. 11). </w:t>
      </w:r>
    </w:p>
  </w:footnote>
  <w:footnote w:id="43">
    <w:p w14:paraId="1ADE1199" w14:textId="56124256" w:rsidR="006C2965" w:rsidRPr="009A5113" w:rsidRDefault="006C2965" w:rsidP="005A4721">
      <w:pPr>
        <w:pStyle w:val="Notedebasdepage"/>
        <w:jc w:val="both"/>
      </w:pPr>
      <w:r w:rsidRPr="009A5113">
        <w:rPr>
          <w:rStyle w:val="Appelnotedebasdep"/>
        </w:rPr>
        <w:footnoteRef/>
      </w:r>
      <w:r w:rsidRPr="00037B2D">
        <w:t xml:space="preserve"> </w:t>
      </w:r>
      <w:r w:rsidRPr="00B36244">
        <w:t xml:space="preserve">A. </w:t>
      </w:r>
      <w:r w:rsidRPr="00B36244">
        <w:rPr>
          <w:smallCaps/>
        </w:rPr>
        <w:t xml:space="preserve">Wiltheim, </w:t>
      </w:r>
      <w:r w:rsidRPr="00B36244">
        <w:rPr>
          <w:i/>
        </w:rPr>
        <w:t>op. cit.</w:t>
      </w:r>
      <w:r w:rsidRPr="00B36244">
        <w:t>,</w:t>
      </w:r>
      <w:r w:rsidRPr="00B36244">
        <w:rPr>
          <w:smallCaps/>
        </w:rPr>
        <w:t xml:space="preserve"> </w:t>
      </w:r>
      <w:r w:rsidRPr="00B36244">
        <w:rPr>
          <w:iCs/>
        </w:rPr>
        <w:t>p. </w:t>
      </w:r>
      <w:r w:rsidRPr="00037B2D">
        <w:rPr>
          <w:iCs/>
        </w:rPr>
        <w:t>276-277, 280.</w:t>
      </w:r>
      <w:r w:rsidRPr="00037B2D">
        <w:rPr>
          <w:rFonts w:eastAsia="Calibri" w:cs="Calibri"/>
          <w:lang w:eastAsia="ar-SA"/>
        </w:rPr>
        <w:t xml:space="preserve"> </w:t>
      </w:r>
      <w:r w:rsidRPr="009A5113">
        <w:rPr>
          <w:rFonts w:eastAsia="Calibri" w:cs="Calibri"/>
          <w:lang w:eastAsia="ar-SA"/>
        </w:rPr>
        <w:t>À l’inverse, certaines étymologies faisant de cet endroit un campement de soldats dalmates sont immédiatement écartées.</w:t>
      </w:r>
      <w:r>
        <w:rPr>
          <w:rFonts w:eastAsia="Calibri" w:cs="Calibri"/>
          <w:lang w:eastAsia="ar-SA"/>
        </w:rPr>
        <w:t> </w:t>
      </w:r>
    </w:p>
  </w:footnote>
  <w:footnote w:id="44">
    <w:p w14:paraId="679CB873" w14:textId="2A910D7F" w:rsidR="006C2965" w:rsidRPr="004B0C86" w:rsidRDefault="006C2965" w:rsidP="005A4721">
      <w:pPr>
        <w:pStyle w:val="Notedebasdepage"/>
        <w:jc w:val="both"/>
      </w:pPr>
      <w:r>
        <w:rPr>
          <w:rStyle w:val="Appelnotedebasdep"/>
        </w:rPr>
        <w:footnoteRef/>
      </w:r>
      <w:r w:rsidRPr="004B0C86">
        <w:t xml:space="preserve"> </w:t>
      </w:r>
      <w:r w:rsidRPr="0093511B">
        <w:rPr>
          <w:i/>
        </w:rPr>
        <w:t>Ibid.</w:t>
      </w:r>
      <w:r w:rsidRPr="0093511B">
        <w:rPr>
          <w:iCs/>
        </w:rPr>
        <w:t>,</w:t>
      </w:r>
      <w:r w:rsidRPr="004B0C86">
        <w:rPr>
          <w:iCs/>
        </w:rPr>
        <w:t xml:space="preserve"> p. 285.</w:t>
      </w:r>
    </w:p>
  </w:footnote>
  <w:footnote w:id="45">
    <w:p w14:paraId="1FCA7D16" w14:textId="4C24B22C" w:rsidR="006C2965" w:rsidRPr="00844A10" w:rsidRDefault="006C2965" w:rsidP="000C00E4">
      <w:pPr>
        <w:pStyle w:val="Notedebasdepage"/>
        <w:jc w:val="both"/>
        <w:rPr>
          <w:lang w:val="en-US"/>
        </w:rPr>
      </w:pPr>
      <w:r>
        <w:rPr>
          <w:rStyle w:val="Appelnotedebasdep"/>
        </w:rPr>
        <w:footnoteRef/>
      </w:r>
      <w:r>
        <w:t xml:space="preserve"> Sur le rôle de l’observation dans la culture scientifique moderne à partir des années 1560, voir notamment : Gianna </w:t>
      </w:r>
      <w:r w:rsidRPr="000C00E4">
        <w:rPr>
          <w:smallCaps/>
        </w:rPr>
        <w:t>Pomata</w:t>
      </w:r>
      <w:r>
        <w:t>, « </w:t>
      </w:r>
      <w:r w:rsidRPr="00B36244">
        <w:t xml:space="preserve">Observations rising. </w:t>
      </w:r>
      <w:r w:rsidRPr="00B36244">
        <w:rPr>
          <w:lang w:val="en-US"/>
        </w:rPr>
        <w:t>Birth of an Epistemic genre, 1500-1650</w:t>
      </w:r>
      <w:r>
        <w:rPr>
          <w:lang w:val="en-US"/>
        </w:rPr>
        <w:t xml:space="preserve"> </w:t>
      </w:r>
      <w:r w:rsidRPr="00B36244">
        <w:rPr>
          <w:rFonts w:eastAsia="Calibri" w:cs="Calibri"/>
          <w:lang w:val="en-US" w:eastAsia="ar-SA"/>
        </w:rPr>
        <w:t>»</w:t>
      </w:r>
      <w:r w:rsidRPr="00844A10">
        <w:rPr>
          <w:lang w:val="en-US"/>
        </w:rPr>
        <w:t>, dans</w:t>
      </w:r>
      <w:r>
        <w:rPr>
          <w:lang w:val="en-US"/>
        </w:rPr>
        <w:t xml:space="preserve"> Lorraine</w:t>
      </w:r>
      <w:r w:rsidRPr="00844A10">
        <w:rPr>
          <w:lang w:val="en-US"/>
        </w:rPr>
        <w:t xml:space="preserve"> </w:t>
      </w:r>
      <w:r w:rsidRPr="00844A10">
        <w:rPr>
          <w:smallCaps/>
          <w:lang w:val="en-US"/>
        </w:rPr>
        <w:t>Daston,</w:t>
      </w:r>
      <w:r>
        <w:rPr>
          <w:smallCaps/>
          <w:lang w:val="en-US"/>
        </w:rPr>
        <w:t xml:space="preserve"> </w:t>
      </w:r>
      <w:r w:rsidRPr="00B36244">
        <w:rPr>
          <w:lang w:val="en-US"/>
        </w:rPr>
        <w:t>Elizabeth</w:t>
      </w:r>
      <w:r w:rsidRPr="00844A10">
        <w:rPr>
          <w:smallCaps/>
          <w:lang w:val="en-US"/>
        </w:rPr>
        <w:t xml:space="preserve"> Lunbeck (</w:t>
      </w:r>
      <w:r>
        <w:rPr>
          <w:lang w:val="en-US"/>
        </w:rPr>
        <w:t>dir</w:t>
      </w:r>
      <w:r w:rsidRPr="00844A10">
        <w:rPr>
          <w:lang w:val="en-US"/>
        </w:rPr>
        <w:t xml:space="preserve">.), </w:t>
      </w:r>
      <w:r w:rsidRPr="00844A10">
        <w:rPr>
          <w:i/>
          <w:lang w:val="en-US"/>
        </w:rPr>
        <w:t>Histories of Scientific Observation</w:t>
      </w:r>
      <w:r w:rsidRPr="00844A10">
        <w:rPr>
          <w:lang w:val="en-US"/>
        </w:rPr>
        <w:t xml:space="preserve">, Chicago, </w:t>
      </w:r>
      <w:r w:rsidRPr="00B36244">
        <w:rPr>
          <w:lang w:val="en-US"/>
        </w:rPr>
        <w:t xml:space="preserve">University of Chicago </w:t>
      </w:r>
      <w:r>
        <w:rPr>
          <w:lang w:val="en-US"/>
        </w:rPr>
        <w:t>P</w:t>
      </w:r>
      <w:r w:rsidRPr="00B36244">
        <w:rPr>
          <w:lang w:val="en-US"/>
        </w:rPr>
        <w:t>res</w:t>
      </w:r>
      <w:r>
        <w:rPr>
          <w:lang w:val="en-US"/>
        </w:rPr>
        <w:t xml:space="preserve">s, </w:t>
      </w:r>
      <w:r w:rsidRPr="00844A10">
        <w:rPr>
          <w:lang w:val="en-US"/>
        </w:rPr>
        <w:t>2011, p. 45-80.</w:t>
      </w:r>
    </w:p>
  </w:footnote>
  <w:footnote w:id="46">
    <w:p w14:paraId="436EDE8A" w14:textId="079BB72E" w:rsidR="006C2965" w:rsidRPr="00A76B41" w:rsidRDefault="006C2965" w:rsidP="005A4721">
      <w:pPr>
        <w:spacing w:after="0" w:line="240" w:lineRule="auto"/>
        <w:jc w:val="both"/>
        <w:rPr>
          <w:rFonts w:eastAsia="Times New Roman"/>
          <w:color w:val="0070C0"/>
          <w:lang w:val="fr-FR"/>
        </w:rPr>
      </w:pPr>
      <w:r w:rsidRPr="00A76B41">
        <w:rPr>
          <w:rStyle w:val="Appelnotedebasdep"/>
        </w:rPr>
        <w:footnoteRef/>
      </w:r>
      <w:r>
        <w:t> </w:t>
      </w:r>
      <w:r w:rsidRPr="00A76B41">
        <w:t>É</w:t>
      </w:r>
      <w:r>
        <w:t>lisabeth</w:t>
      </w:r>
      <w:r w:rsidRPr="00A76B41">
        <w:rPr>
          <w:smallCaps/>
        </w:rPr>
        <w:t xml:space="preserve"> Décultot</w:t>
      </w:r>
      <w:r w:rsidRPr="00A76B41">
        <w:t xml:space="preserve">, </w:t>
      </w:r>
      <w:r w:rsidRPr="00A76B41">
        <w:rPr>
          <w:i/>
        </w:rPr>
        <w:t>Winckelmann et Caylus. Enquête sur les rapports de l’histoire de l’art au savoir antiquaire</w:t>
      </w:r>
      <w:r w:rsidRPr="00A76B41">
        <w:t xml:space="preserve">, dans </w:t>
      </w:r>
      <w:r>
        <w:t xml:space="preserve">Nicholas </w:t>
      </w:r>
      <w:r w:rsidRPr="00A76B41">
        <w:rPr>
          <w:smallCaps/>
        </w:rPr>
        <w:t>Cronk,</w:t>
      </w:r>
      <w:r>
        <w:rPr>
          <w:smallCaps/>
        </w:rPr>
        <w:t xml:space="preserve"> K</w:t>
      </w:r>
      <w:r>
        <w:t>ris</w:t>
      </w:r>
      <w:r w:rsidRPr="00A76B41">
        <w:rPr>
          <w:smallCaps/>
        </w:rPr>
        <w:t xml:space="preserve"> Peeters </w:t>
      </w:r>
      <w:r>
        <w:t>(dir</w:t>
      </w:r>
      <w:r w:rsidRPr="00A76B41">
        <w:t xml:space="preserve">.), </w:t>
      </w:r>
      <w:r w:rsidRPr="00A76B41">
        <w:rPr>
          <w:i/>
        </w:rPr>
        <w:t>Le comte de Caylus. Les arts et les lettres. Actes du colloque international Université d’Anvers (UFSIA) et Voltaire Foundation, Oxford, 26-27 mai 2000</w:t>
      </w:r>
      <w:r w:rsidRPr="00A76B41">
        <w:t xml:space="preserve">, Amsterdam-New York, </w:t>
      </w:r>
      <w:r w:rsidRPr="00D81997">
        <w:t>Rodopi</w:t>
      </w:r>
      <w:r>
        <w:t xml:space="preserve">, </w:t>
      </w:r>
      <w:r w:rsidRPr="00A76B41">
        <w:t>2004, p. 62-65 ;</w:t>
      </w:r>
      <w:r>
        <w:t xml:space="preserve"> Alain</w:t>
      </w:r>
      <w:r w:rsidRPr="00A76B41">
        <w:t xml:space="preserve"> </w:t>
      </w:r>
      <w:r w:rsidRPr="00A76B41">
        <w:rPr>
          <w:smallCaps/>
        </w:rPr>
        <w:t>Schnapp</w:t>
      </w:r>
      <w:r w:rsidRPr="00A76B41">
        <w:t xml:space="preserve">, </w:t>
      </w:r>
      <w:r w:rsidRPr="00D81997">
        <w:t>« La méthode de Caylus »,</w:t>
      </w:r>
      <w:r w:rsidRPr="00A76B41">
        <w:t xml:space="preserve"> </w:t>
      </w:r>
      <w:r w:rsidRPr="00A76B41">
        <w:rPr>
          <w:bCs/>
        </w:rPr>
        <w:t>dans</w:t>
      </w:r>
      <w:r>
        <w:rPr>
          <w:bCs/>
        </w:rPr>
        <w:t xml:space="preserve"> Irène</w:t>
      </w:r>
      <w:r w:rsidRPr="00A76B41">
        <w:rPr>
          <w:bCs/>
        </w:rPr>
        <w:t xml:space="preserve"> </w:t>
      </w:r>
      <w:r w:rsidRPr="00A76B41">
        <w:rPr>
          <w:bCs/>
          <w:smallCaps/>
        </w:rPr>
        <w:t>Aghion</w:t>
      </w:r>
      <w:r w:rsidRPr="00A76B41">
        <w:rPr>
          <w:bCs/>
        </w:rPr>
        <w:t xml:space="preserve"> (dir.</w:t>
      </w:r>
      <w:r>
        <w:rPr>
          <w:bCs/>
        </w:rPr>
        <w:t>)</w:t>
      </w:r>
      <w:r w:rsidRPr="00A76B41">
        <w:rPr>
          <w:bCs/>
        </w:rPr>
        <w:t xml:space="preserve">, </w:t>
      </w:r>
      <w:r w:rsidRPr="00A76B41">
        <w:rPr>
          <w:bCs/>
          <w:i/>
        </w:rPr>
        <w:t>Caylus, mécène du roi. Collectionner les antiquités au XVIII</w:t>
      </w:r>
      <w:r w:rsidRPr="00A76B41">
        <w:rPr>
          <w:bCs/>
          <w:i/>
          <w:vertAlign w:val="superscript"/>
        </w:rPr>
        <w:t>e</w:t>
      </w:r>
      <w:r w:rsidRPr="00A76B41">
        <w:rPr>
          <w:bCs/>
          <w:i/>
        </w:rPr>
        <w:t xml:space="preserve"> siècle</w:t>
      </w:r>
      <w:r w:rsidRPr="00A76B41">
        <w:rPr>
          <w:bCs/>
        </w:rPr>
        <w:t>, Paris,</w:t>
      </w:r>
      <w:r w:rsidRPr="00D81997">
        <w:t xml:space="preserve"> </w:t>
      </w:r>
      <w:r w:rsidRPr="00D81997">
        <w:rPr>
          <w:bCs/>
        </w:rPr>
        <w:t>Institut national d'histoire de l'art</w:t>
      </w:r>
      <w:r>
        <w:rPr>
          <w:bCs/>
        </w:rPr>
        <w:t>,</w:t>
      </w:r>
      <w:r w:rsidRPr="00A76B41">
        <w:rPr>
          <w:bCs/>
        </w:rPr>
        <w:t xml:space="preserve"> 2002, p. 55-56 ; </w:t>
      </w:r>
      <w:r>
        <w:rPr>
          <w:bCs/>
        </w:rPr>
        <w:t xml:space="preserve">Alain </w:t>
      </w:r>
      <w:r w:rsidRPr="00A76B41">
        <w:rPr>
          <w:smallCaps/>
        </w:rPr>
        <w:t>Schnapp</w:t>
      </w:r>
      <w:r w:rsidRPr="00A76B41">
        <w:t>,</w:t>
      </w:r>
      <w:r>
        <w:t> </w:t>
      </w:r>
      <w:r w:rsidRPr="00D81997">
        <w:t>« L’archéologie française entre identité nationale et identité culturelle »</w:t>
      </w:r>
      <w:r w:rsidRPr="00A76B41">
        <w:t>, dans</w:t>
      </w:r>
      <w:r>
        <w:t xml:space="preserve"> Alain</w:t>
      </w:r>
      <w:r w:rsidRPr="00A76B41">
        <w:t xml:space="preserve"> </w:t>
      </w:r>
      <w:r w:rsidRPr="00A76B41">
        <w:rPr>
          <w:smallCaps/>
        </w:rPr>
        <w:t xml:space="preserve">Schnapp </w:t>
      </w:r>
      <w:r w:rsidRPr="00A76B41">
        <w:t>(dir.</w:t>
      </w:r>
      <w:r>
        <w:t>)</w:t>
      </w:r>
      <w:r w:rsidRPr="00A76B41">
        <w:t xml:space="preserve">, </w:t>
      </w:r>
      <w:r w:rsidRPr="00A76B41">
        <w:rPr>
          <w:i/>
        </w:rPr>
        <w:t>Une archéologie du passé récent ?</w:t>
      </w:r>
      <w:r w:rsidRPr="00A76B41">
        <w:t xml:space="preserve">, Paris, </w:t>
      </w:r>
      <w:r w:rsidRPr="00D81997">
        <w:t>Fondation Maison des sciences de l'Homme</w:t>
      </w:r>
      <w:r>
        <w:t xml:space="preserve">, </w:t>
      </w:r>
      <w:r w:rsidRPr="00A76B41">
        <w:t>1997, p. 6.</w:t>
      </w:r>
      <w:r>
        <w:t> </w:t>
      </w:r>
    </w:p>
  </w:footnote>
  <w:footnote w:id="47">
    <w:p w14:paraId="575870D5" w14:textId="5647961B" w:rsidR="006C2965" w:rsidRPr="001F432D" w:rsidRDefault="006C2965" w:rsidP="005A4721">
      <w:pPr>
        <w:pStyle w:val="Notedebasdepage"/>
        <w:jc w:val="both"/>
        <w:rPr>
          <w:lang w:val="en-US"/>
        </w:rPr>
      </w:pPr>
      <w:r w:rsidRPr="009F3BFA">
        <w:rPr>
          <w:rStyle w:val="Appelnotedebasdep"/>
        </w:rPr>
        <w:footnoteRef/>
      </w:r>
      <w:bookmarkStart w:id="8" w:name="_Hlk507666737"/>
      <w:r>
        <w:t xml:space="preserve"> </w:t>
      </w:r>
      <w:r w:rsidRPr="0093511B">
        <w:t xml:space="preserve">A. </w:t>
      </w:r>
      <w:r w:rsidRPr="0093511B">
        <w:rPr>
          <w:smallCaps/>
        </w:rPr>
        <w:t xml:space="preserve">Wiltheim, </w:t>
      </w:r>
      <w:r w:rsidRPr="0093511B">
        <w:rPr>
          <w:i/>
        </w:rPr>
        <w:t>op. cit.</w:t>
      </w:r>
      <w:r w:rsidRPr="0093511B">
        <w:t>,</w:t>
      </w:r>
      <w:r w:rsidRPr="0093511B">
        <w:rPr>
          <w:smallCaps/>
        </w:rPr>
        <w:t xml:space="preserve"> </w:t>
      </w:r>
      <w:r w:rsidRPr="0093511B">
        <w:rPr>
          <w:iCs/>
        </w:rPr>
        <w:t>p. </w:t>
      </w:r>
      <w:bookmarkEnd w:id="8"/>
      <w:r w:rsidRPr="009F3BFA">
        <w:t xml:space="preserve">211, 280 (voir également, entre autres, p. 104, 147, 243, 267, </w:t>
      </w:r>
      <w:r>
        <w:t xml:space="preserve">275, </w:t>
      </w:r>
      <w:r w:rsidRPr="009F3BFA">
        <w:t>277</w:t>
      </w:r>
      <w:r>
        <w:t>, 285, 296, 298</w:t>
      </w:r>
      <w:r w:rsidRPr="009F3BFA">
        <w:t>).</w:t>
      </w:r>
      <w:r>
        <w:t xml:space="preserve"> À l’inverse, une inscription qui n’a pas été vue par l’auteur et donc le texte semble étrange, peut susciter un doute critique. </w:t>
      </w:r>
      <w:r>
        <w:rPr>
          <w:i/>
          <w:iCs/>
          <w:lang w:val="en-US"/>
        </w:rPr>
        <w:t>Ibid.</w:t>
      </w:r>
      <w:r w:rsidRPr="00284FFC">
        <w:rPr>
          <w:iCs/>
          <w:lang w:val="en-US"/>
        </w:rPr>
        <w:t>, p. 245.</w:t>
      </w:r>
    </w:p>
  </w:footnote>
  <w:footnote w:id="48">
    <w:p w14:paraId="7D75A068" w14:textId="468CF854" w:rsidR="006C2965" w:rsidRPr="00A50ADA" w:rsidRDefault="006C2965" w:rsidP="005A4721">
      <w:pPr>
        <w:pStyle w:val="Notedebasdepage"/>
        <w:jc w:val="both"/>
        <w:rPr>
          <w:lang w:val="en-US"/>
        </w:rPr>
      </w:pPr>
      <w:r>
        <w:rPr>
          <w:rStyle w:val="Appelnotedebasdep"/>
        </w:rPr>
        <w:footnoteRef/>
      </w:r>
      <w:r w:rsidRPr="009F3BFA">
        <w:rPr>
          <w:lang w:val="en-US"/>
        </w:rPr>
        <w:t xml:space="preserve"> « </w:t>
      </w:r>
      <w:r w:rsidRPr="009F3BFA">
        <w:rPr>
          <w:i/>
          <w:lang w:val="en-US"/>
        </w:rPr>
        <w:t>Ego quod in scalpturis veterum frequens, opiner (…)</w:t>
      </w:r>
      <w:r w:rsidRPr="009F3BFA">
        <w:rPr>
          <w:lang w:val="en-US"/>
        </w:rPr>
        <w:t xml:space="preserve"> </w:t>
      </w:r>
      <w:r>
        <w:rPr>
          <w:lang w:val="en-US"/>
        </w:rPr>
        <w:t xml:space="preserve">». </w:t>
      </w:r>
      <w:r>
        <w:rPr>
          <w:i/>
          <w:lang w:val="en-US"/>
        </w:rPr>
        <w:t xml:space="preserve">Ibid., </w:t>
      </w:r>
      <w:r w:rsidRPr="00D022E4">
        <w:rPr>
          <w:iCs/>
          <w:lang w:val="en-US"/>
        </w:rPr>
        <w:t>p. </w:t>
      </w:r>
      <w:r>
        <w:rPr>
          <w:iCs/>
          <w:lang w:val="en-US"/>
        </w:rPr>
        <w:t>215.</w:t>
      </w:r>
    </w:p>
  </w:footnote>
  <w:footnote w:id="49">
    <w:p w14:paraId="7C2FF3DA" w14:textId="2C765C7C" w:rsidR="006C2965" w:rsidRPr="00960E23" w:rsidRDefault="006C2965" w:rsidP="005A4721">
      <w:pPr>
        <w:pStyle w:val="Notedebasdepage"/>
        <w:jc w:val="both"/>
        <w:rPr>
          <w:lang w:val="en-US"/>
        </w:rPr>
      </w:pPr>
      <w:r>
        <w:rPr>
          <w:rStyle w:val="Appelnotedebasdep"/>
        </w:rPr>
        <w:footnoteRef/>
      </w:r>
      <w:r w:rsidRPr="00960E23">
        <w:rPr>
          <w:lang w:val="en-US"/>
        </w:rPr>
        <w:t xml:space="preserve"> </w:t>
      </w:r>
      <w:r w:rsidRPr="00356681">
        <w:rPr>
          <w:i/>
          <w:lang w:val="en-US"/>
        </w:rPr>
        <w:t>Ibid.</w:t>
      </w:r>
      <w:r w:rsidRPr="00D022E4">
        <w:rPr>
          <w:iCs/>
          <w:lang w:val="en-US"/>
        </w:rPr>
        <w:t>, p. </w:t>
      </w:r>
      <w:r>
        <w:rPr>
          <w:iCs/>
          <w:lang w:val="en-US"/>
        </w:rPr>
        <w:t>209.</w:t>
      </w:r>
    </w:p>
  </w:footnote>
  <w:footnote w:id="50">
    <w:p w14:paraId="3FE7B14D" w14:textId="1EEB9721" w:rsidR="006C2965" w:rsidRPr="001F432D" w:rsidRDefault="006C2965" w:rsidP="005A4721">
      <w:pPr>
        <w:pStyle w:val="Notedebasdepage"/>
        <w:jc w:val="both"/>
      </w:pPr>
      <w:r>
        <w:rPr>
          <w:rStyle w:val="Appelnotedebasdep"/>
        </w:rPr>
        <w:footnoteRef/>
      </w:r>
      <w:r w:rsidRPr="003F75AE">
        <w:rPr>
          <w:lang w:val="en-US"/>
        </w:rPr>
        <w:t xml:space="preserve"> </w:t>
      </w:r>
      <w:r w:rsidRPr="00203F14">
        <w:rPr>
          <w:lang w:val="en-US"/>
        </w:rPr>
        <w:t>«</w:t>
      </w:r>
      <w:r>
        <w:rPr>
          <w:lang w:val="en-US"/>
        </w:rPr>
        <w:t xml:space="preserve"> </w:t>
      </w:r>
      <w:r w:rsidRPr="00203F14">
        <w:rPr>
          <w:i/>
          <w:lang w:val="en-US"/>
        </w:rPr>
        <w:t>(…)</w:t>
      </w:r>
      <w:r>
        <w:rPr>
          <w:lang w:val="en-US"/>
        </w:rPr>
        <w:t xml:space="preserve"> </w:t>
      </w:r>
      <w:r>
        <w:rPr>
          <w:i/>
          <w:lang w:val="en-US"/>
        </w:rPr>
        <w:t xml:space="preserve">saepe calcata mihi </w:t>
      </w:r>
      <w:r w:rsidRPr="00B84513">
        <w:rPr>
          <w:lang w:val="en-US"/>
        </w:rPr>
        <w:t>»</w:t>
      </w:r>
      <w:r>
        <w:rPr>
          <w:lang w:val="en-US"/>
        </w:rPr>
        <w:t xml:space="preserve">. </w:t>
      </w:r>
      <w:r w:rsidRPr="001F432D">
        <w:rPr>
          <w:i/>
        </w:rPr>
        <w:t>Ibid.</w:t>
      </w:r>
      <w:r w:rsidRPr="001F432D">
        <w:rPr>
          <w:iCs/>
        </w:rPr>
        <w:t>, p. 95.</w:t>
      </w:r>
    </w:p>
  </w:footnote>
  <w:footnote w:id="51">
    <w:p w14:paraId="00224AD1" w14:textId="2545C7B5" w:rsidR="006C2965" w:rsidRPr="00FB5328" w:rsidRDefault="006C2965" w:rsidP="005A4721">
      <w:pPr>
        <w:pStyle w:val="Notedebasdepage"/>
        <w:jc w:val="both"/>
      </w:pPr>
      <w:r>
        <w:rPr>
          <w:rStyle w:val="Appelnotedebasdep"/>
        </w:rPr>
        <w:footnoteRef/>
      </w:r>
      <w:r w:rsidRPr="00356681">
        <w:t xml:space="preserve"> </w:t>
      </w:r>
      <w:r w:rsidRPr="00356681">
        <w:rPr>
          <w:i/>
        </w:rPr>
        <w:t>Ibid</w:t>
      </w:r>
      <w:r w:rsidRPr="00356681">
        <w:t>., p. 294 (voir également p</w:t>
      </w:r>
      <w:r>
        <w:t>. 265).</w:t>
      </w:r>
    </w:p>
  </w:footnote>
  <w:footnote w:id="52">
    <w:p w14:paraId="1AFF54A5" w14:textId="33B76F6F" w:rsidR="006C2965" w:rsidRDefault="006C2965" w:rsidP="005A4721">
      <w:pPr>
        <w:pStyle w:val="Notedebasdepage"/>
        <w:jc w:val="both"/>
      </w:pPr>
      <w:r>
        <w:rPr>
          <w:rStyle w:val="Appelnotedebasdep"/>
        </w:rPr>
        <w:footnoteRef/>
      </w:r>
      <w:r w:rsidRPr="005B4E0F">
        <w:t xml:space="preserve"> Christophe Wiltheim (1604</w:t>
      </w:r>
      <w:r>
        <w:t xml:space="preserve">-1659) fut professeur et aumônier militaire. Comme de nombreux membres de la famille Wiltheim, il a intégré l’ordre jésuite (en 1628). J. </w:t>
      </w:r>
      <w:r w:rsidRPr="004B0C86">
        <w:rPr>
          <w:smallCaps/>
        </w:rPr>
        <w:t>Krier,</w:t>
      </w:r>
      <w:r>
        <w:rPr>
          <w:smallCaps/>
        </w:rPr>
        <w:t xml:space="preserve"> E.</w:t>
      </w:r>
      <w:r w:rsidRPr="004B0C86">
        <w:rPr>
          <w:smallCaps/>
        </w:rPr>
        <w:t xml:space="preserve"> Thill</w:t>
      </w:r>
      <w:r w:rsidRPr="004B0C86">
        <w:t xml:space="preserve">, </w:t>
      </w:r>
      <w:r>
        <w:rPr>
          <w:i/>
          <w:iCs/>
        </w:rPr>
        <w:t>op. cit.</w:t>
      </w:r>
      <w:r w:rsidRPr="004B0C86">
        <w:rPr>
          <w:iCs/>
        </w:rPr>
        <w:t>, p.</w:t>
      </w:r>
      <w:r>
        <w:rPr>
          <w:iCs/>
        </w:rPr>
        <w:t xml:space="preserve"> 39</w:t>
      </w:r>
      <w:r>
        <w:t xml:space="preserve"> ; Auguste </w:t>
      </w:r>
      <w:r w:rsidRPr="00F32867">
        <w:rPr>
          <w:smallCaps/>
        </w:rPr>
        <w:t>Neÿen</w:t>
      </w:r>
      <w:r>
        <w:t xml:space="preserve">, </w:t>
      </w:r>
      <w:r w:rsidRPr="00F32867">
        <w:rPr>
          <w:i/>
        </w:rPr>
        <w:t>Notice historique sur la famille de Wiltheim</w:t>
      </w:r>
      <w:r>
        <w:t>, Luxembourg, Kuborn, 1842, p. 19. </w:t>
      </w:r>
    </w:p>
  </w:footnote>
  <w:footnote w:id="53">
    <w:p w14:paraId="7E88A0E4" w14:textId="2CEDAFDC" w:rsidR="006C2965" w:rsidRPr="002C6E5C" w:rsidRDefault="006C2965" w:rsidP="005A4721">
      <w:pPr>
        <w:pStyle w:val="Notedebasdepage"/>
        <w:jc w:val="both"/>
        <w:rPr>
          <w:lang w:val="nl-NL"/>
        </w:rPr>
      </w:pPr>
      <w:r w:rsidRPr="002C6E5C">
        <w:rPr>
          <w:rStyle w:val="Appelnotedebasdep"/>
        </w:rPr>
        <w:footnoteRef/>
      </w:r>
      <w:r w:rsidRPr="00F14793">
        <w:t xml:space="preserve"> H. </w:t>
      </w:r>
      <w:r w:rsidRPr="00F14793">
        <w:rPr>
          <w:smallCaps/>
        </w:rPr>
        <w:t>Dragendorff, E. Krüger</w:t>
      </w:r>
      <w:r w:rsidRPr="00F14793">
        <w:t xml:space="preserve">, </w:t>
      </w:r>
      <w:r w:rsidRPr="00F14793">
        <w:rPr>
          <w:i/>
        </w:rPr>
        <w:t>op. cit.</w:t>
      </w:r>
      <w:r w:rsidRPr="00F14793">
        <w:t>, p. 6-8 ; H</w:t>
      </w:r>
      <w:r>
        <w:t>enner</w:t>
      </w:r>
      <w:r w:rsidRPr="00F14793">
        <w:t xml:space="preserve"> </w:t>
      </w:r>
      <w:r w:rsidRPr="00F14793">
        <w:rPr>
          <w:bCs/>
          <w:smallCaps/>
        </w:rPr>
        <w:t>von Hesberg</w:t>
      </w:r>
      <w:r w:rsidRPr="00F14793">
        <w:rPr>
          <w:bCs/>
        </w:rPr>
        <w:t xml:space="preserve">, </w:t>
      </w:r>
      <w:r w:rsidRPr="00F14793">
        <w:t>« </w:t>
      </w:r>
      <w:r w:rsidRPr="00F14793">
        <w:rPr>
          <w:bCs/>
        </w:rPr>
        <w:t>Antike Architektur im mittelalterliche Stadtkontext</w:t>
      </w:r>
      <w:r w:rsidRPr="00F14793">
        <w:rPr>
          <w:bCs/>
          <w:i/>
        </w:rPr>
        <w:t> </w:t>
      </w:r>
      <w:r w:rsidRPr="00F14793">
        <w:t>»</w:t>
      </w:r>
      <w:r w:rsidRPr="00F14793">
        <w:rPr>
          <w:bCs/>
        </w:rPr>
        <w:t xml:space="preserve">, dans Dietrich </w:t>
      </w:r>
      <w:r w:rsidRPr="00F14793">
        <w:rPr>
          <w:bCs/>
          <w:smallCaps/>
        </w:rPr>
        <w:t xml:space="preserve">Boschung, </w:t>
      </w:r>
      <w:r w:rsidRPr="00F14793">
        <w:rPr>
          <w:bCs/>
        </w:rPr>
        <w:t>Susanne</w:t>
      </w:r>
      <w:r w:rsidRPr="00F14793">
        <w:rPr>
          <w:bCs/>
          <w:smallCaps/>
        </w:rPr>
        <w:t xml:space="preserve"> Wittekind</w:t>
      </w:r>
      <w:r w:rsidRPr="00F14793">
        <w:rPr>
          <w:bCs/>
        </w:rPr>
        <w:t xml:space="preserve"> (</w:t>
      </w:r>
      <w:r>
        <w:rPr>
          <w:bCs/>
        </w:rPr>
        <w:t>dir</w:t>
      </w:r>
      <w:r w:rsidRPr="00F14793">
        <w:rPr>
          <w:bCs/>
        </w:rPr>
        <w:t xml:space="preserve">.), </w:t>
      </w:r>
      <w:r w:rsidRPr="00F14793">
        <w:rPr>
          <w:bCs/>
          <w:i/>
        </w:rPr>
        <w:t xml:space="preserve">Persistenz und Rezeption. </w:t>
      </w:r>
      <w:r w:rsidRPr="002C6E5C">
        <w:rPr>
          <w:bCs/>
          <w:i/>
          <w:lang w:val="nl-NL"/>
        </w:rPr>
        <w:t>Weiterverwendung, Wiederverwendung und Neuinterpreation antiker Werke im Mittelalter</w:t>
      </w:r>
      <w:r w:rsidRPr="002C6E5C">
        <w:rPr>
          <w:bCs/>
          <w:lang w:val="nl-NL"/>
        </w:rPr>
        <w:t xml:space="preserve">, Wiesbaden, </w:t>
      </w:r>
      <w:r w:rsidRPr="00F14793">
        <w:rPr>
          <w:bCs/>
          <w:lang w:val="nl-NL"/>
        </w:rPr>
        <w:t>Reichert</w:t>
      </w:r>
      <w:r>
        <w:rPr>
          <w:bCs/>
          <w:lang w:val="nl-NL"/>
        </w:rPr>
        <w:t>,</w:t>
      </w:r>
      <w:r w:rsidRPr="00F14793">
        <w:rPr>
          <w:bCs/>
          <w:lang w:val="nl-NL"/>
        </w:rPr>
        <w:t xml:space="preserve"> </w:t>
      </w:r>
      <w:r w:rsidRPr="002C6E5C">
        <w:rPr>
          <w:bCs/>
          <w:lang w:val="nl-NL"/>
        </w:rPr>
        <w:t xml:space="preserve">2008, p. 51 ; </w:t>
      </w:r>
      <w:r>
        <w:rPr>
          <w:bCs/>
          <w:lang w:val="nl-NL"/>
        </w:rPr>
        <w:t xml:space="preserve">J. </w:t>
      </w:r>
      <w:r w:rsidRPr="002C6E5C">
        <w:rPr>
          <w:smallCaps/>
          <w:lang w:val="nl-NL"/>
        </w:rPr>
        <w:t>Mersch</w:t>
      </w:r>
      <w:r w:rsidRPr="002C6E5C">
        <w:rPr>
          <w:lang w:val="nl-NL"/>
        </w:rPr>
        <w:t xml:space="preserve">, </w:t>
      </w:r>
      <w:r>
        <w:rPr>
          <w:i/>
          <w:lang w:val="nl-NL"/>
        </w:rPr>
        <w:t>op. cit.</w:t>
      </w:r>
      <w:r w:rsidRPr="002C6E5C">
        <w:rPr>
          <w:lang w:val="nl-NL"/>
        </w:rPr>
        <w:t>, p.</w:t>
      </w:r>
      <w:r>
        <w:rPr>
          <w:lang w:val="nl-NL"/>
        </w:rPr>
        <w:t> </w:t>
      </w:r>
      <w:r w:rsidRPr="002C6E5C">
        <w:rPr>
          <w:lang w:val="nl-NL"/>
        </w:rPr>
        <w:t>49.</w:t>
      </w:r>
    </w:p>
  </w:footnote>
  <w:footnote w:id="54">
    <w:p w14:paraId="194D1EF6" w14:textId="655C08C3" w:rsidR="006C2965" w:rsidRPr="00951FB6" w:rsidRDefault="006C2965" w:rsidP="005A4721">
      <w:pPr>
        <w:pStyle w:val="Notedebasdepage"/>
        <w:jc w:val="both"/>
      </w:pPr>
      <w:r>
        <w:rPr>
          <w:rStyle w:val="Appelnotedebasdep"/>
        </w:rPr>
        <w:footnoteRef/>
      </w:r>
      <w:r w:rsidRPr="00951FB6">
        <w:t xml:space="preserve"> A. </w:t>
      </w:r>
      <w:r w:rsidRPr="00951FB6">
        <w:rPr>
          <w:smallCaps/>
        </w:rPr>
        <w:t>Ortelius, J. Vivianus</w:t>
      </w:r>
      <w:r w:rsidRPr="00951FB6">
        <w:t xml:space="preserve">, </w:t>
      </w:r>
      <w:r w:rsidRPr="00951FB6">
        <w:rPr>
          <w:i/>
        </w:rPr>
        <w:t>op. cit.</w:t>
      </w:r>
      <w:r w:rsidRPr="00951FB6">
        <w:t>, p. 52-53.</w:t>
      </w:r>
    </w:p>
  </w:footnote>
  <w:footnote w:id="55">
    <w:p w14:paraId="137A4D15" w14:textId="0CE4EB9D" w:rsidR="006C2965" w:rsidRPr="00710E2F" w:rsidRDefault="006C2965">
      <w:pPr>
        <w:pStyle w:val="Notedebasdepage"/>
      </w:pPr>
      <w:r>
        <w:rPr>
          <w:rStyle w:val="Appelnotedebasdep"/>
        </w:rPr>
        <w:footnoteRef/>
      </w:r>
      <w:r>
        <w:t xml:space="preserve"> Comme l’a déjà noté Charles-Marie Ternes : Ch.-M. </w:t>
      </w:r>
      <w:r w:rsidRPr="00340774">
        <w:rPr>
          <w:smallCaps/>
        </w:rPr>
        <w:t>Ternes</w:t>
      </w:r>
      <w:r w:rsidRPr="00340774">
        <w:t xml:space="preserve">, </w:t>
      </w:r>
      <w:r>
        <w:rPr>
          <w:i/>
        </w:rPr>
        <w:t>La colonne d'Igel…</w:t>
      </w:r>
      <w:r>
        <w:t>, p. 360.</w:t>
      </w:r>
    </w:p>
  </w:footnote>
  <w:footnote w:id="56">
    <w:p w14:paraId="531C3F51" w14:textId="2E801569" w:rsidR="006C2965" w:rsidRPr="00A50ADA" w:rsidRDefault="006C2965" w:rsidP="005A4721">
      <w:pPr>
        <w:pStyle w:val="Notedebasdepage"/>
        <w:jc w:val="both"/>
        <w:rPr>
          <w:lang w:val="en-US"/>
        </w:rPr>
      </w:pPr>
      <w:r>
        <w:rPr>
          <w:rStyle w:val="Appelnotedebasdep"/>
        </w:rPr>
        <w:footnoteRef/>
      </w:r>
      <w:r w:rsidRPr="00A50ADA">
        <w:rPr>
          <w:lang w:val="en-US"/>
        </w:rPr>
        <w:t xml:space="preserve"> </w:t>
      </w:r>
      <w:r w:rsidRPr="00BB17DE">
        <w:rPr>
          <w:lang w:val="en-US"/>
        </w:rPr>
        <w:t>A.</w:t>
      </w:r>
      <w:r>
        <w:rPr>
          <w:lang w:val="en-US"/>
        </w:rPr>
        <w:t xml:space="preserve"> </w:t>
      </w:r>
      <w:r w:rsidRPr="00BB17DE">
        <w:rPr>
          <w:smallCaps/>
          <w:lang w:val="en-US"/>
        </w:rPr>
        <w:t>Wiltheim</w:t>
      </w:r>
      <w:r>
        <w:rPr>
          <w:smallCaps/>
          <w:lang w:val="en-US"/>
        </w:rPr>
        <w:t xml:space="preserve">, </w:t>
      </w:r>
      <w:r w:rsidRPr="00BB17DE">
        <w:rPr>
          <w:i/>
          <w:lang w:val="en-US"/>
        </w:rPr>
        <w:t>op. cit.</w:t>
      </w:r>
      <w:r w:rsidRPr="00BB17DE">
        <w:rPr>
          <w:lang w:val="en-US"/>
        </w:rPr>
        <w:t>,</w:t>
      </w:r>
      <w:r>
        <w:rPr>
          <w:smallCaps/>
          <w:lang w:val="en-US"/>
        </w:rPr>
        <w:t xml:space="preserve"> </w:t>
      </w:r>
      <w:r w:rsidRPr="00BB17DE">
        <w:rPr>
          <w:iCs/>
          <w:lang w:val="en-US"/>
        </w:rPr>
        <w:t>p</w:t>
      </w:r>
      <w:r w:rsidRPr="00D861E3">
        <w:rPr>
          <w:iCs/>
          <w:lang w:val="en-US"/>
        </w:rPr>
        <w:t>. </w:t>
      </w:r>
      <w:r>
        <w:rPr>
          <w:iCs/>
          <w:lang w:val="en-US"/>
        </w:rPr>
        <w:t>207-218.</w:t>
      </w:r>
    </w:p>
  </w:footnote>
  <w:footnote w:id="57">
    <w:p w14:paraId="0FAC866A" w14:textId="5BA64465" w:rsidR="006C2965" w:rsidRPr="00D861E3" w:rsidRDefault="006C2965" w:rsidP="005A4721">
      <w:pPr>
        <w:pStyle w:val="Notedebasdepage"/>
        <w:jc w:val="both"/>
        <w:rPr>
          <w:lang w:val="en-US"/>
        </w:rPr>
      </w:pPr>
      <w:r>
        <w:rPr>
          <w:rStyle w:val="Appelnotedebasdep"/>
        </w:rPr>
        <w:footnoteRef/>
      </w:r>
      <w:r>
        <w:rPr>
          <w:lang w:val="en-US"/>
        </w:rPr>
        <w:t xml:space="preserve"> </w:t>
      </w:r>
      <w:r w:rsidRPr="004F51DC">
        <w:rPr>
          <w:i/>
          <w:lang w:val="en-US"/>
        </w:rPr>
        <w:t>Ibid.</w:t>
      </w:r>
      <w:r w:rsidRPr="00D861E3">
        <w:rPr>
          <w:iCs/>
          <w:lang w:val="en-US"/>
        </w:rPr>
        <w:t>, notamment p. 156,</w:t>
      </w:r>
      <w:r>
        <w:rPr>
          <w:iCs/>
          <w:lang w:val="en-US"/>
        </w:rPr>
        <w:t xml:space="preserve"> </w:t>
      </w:r>
      <w:r w:rsidRPr="00D861E3">
        <w:rPr>
          <w:iCs/>
          <w:lang w:val="en-US"/>
        </w:rPr>
        <w:t>282, 308, 315, 316.</w:t>
      </w:r>
    </w:p>
  </w:footnote>
  <w:footnote w:id="58">
    <w:p w14:paraId="0B65A4DB" w14:textId="77777777" w:rsidR="006C2965" w:rsidRPr="00D861E3" w:rsidRDefault="006C2965" w:rsidP="006C2965">
      <w:pPr>
        <w:pStyle w:val="Notedebasdepage"/>
        <w:jc w:val="both"/>
        <w:rPr>
          <w:lang w:val="en-US"/>
        </w:rPr>
      </w:pPr>
      <w:r>
        <w:rPr>
          <w:rStyle w:val="Appelnotedebasdep"/>
        </w:rPr>
        <w:footnoteRef/>
      </w:r>
      <w:r w:rsidRPr="00D861E3">
        <w:rPr>
          <w:lang w:val="en-US"/>
        </w:rPr>
        <w:t xml:space="preserve"> </w:t>
      </w:r>
      <w:r w:rsidRPr="004F51DC">
        <w:rPr>
          <w:i/>
          <w:lang w:val="en-US"/>
        </w:rPr>
        <w:t>Ibid.</w:t>
      </w:r>
      <w:r>
        <w:rPr>
          <w:lang w:val="en-US"/>
        </w:rPr>
        <w:t xml:space="preserve">, </w:t>
      </w:r>
      <w:r w:rsidRPr="00D861E3">
        <w:rPr>
          <w:iCs/>
          <w:lang w:val="en-US"/>
        </w:rPr>
        <w:t>p. 280, 294-295.</w:t>
      </w:r>
    </w:p>
  </w:footnote>
  <w:footnote w:id="59">
    <w:p w14:paraId="6A7A8C59" w14:textId="63063278" w:rsidR="006C2965" w:rsidRPr="00D861E3" w:rsidRDefault="006C2965" w:rsidP="005A4721">
      <w:pPr>
        <w:pStyle w:val="Notedebasdepage"/>
        <w:jc w:val="both"/>
        <w:rPr>
          <w:lang w:val="en-US"/>
        </w:rPr>
      </w:pPr>
      <w:r>
        <w:rPr>
          <w:rStyle w:val="Appelnotedebasdep"/>
        </w:rPr>
        <w:footnoteRef/>
      </w:r>
      <w:r w:rsidRPr="00D861E3">
        <w:rPr>
          <w:lang w:val="en-US"/>
        </w:rPr>
        <w:t xml:space="preserve"> </w:t>
      </w:r>
      <w:r w:rsidRPr="004F51DC">
        <w:rPr>
          <w:i/>
          <w:lang w:val="en-US"/>
        </w:rPr>
        <w:t>Ibid.</w:t>
      </w:r>
      <w:r>
        <w:rPr>
          <w:lang w:val="en-US"/>
        </w:rPr>
        <w:t xml:space="preserve">, </w:t>
      </w:r>
      <w:r>
        <w:rPr>
          <w:iCs/>
          <w:lang w:val="en-US"/>
        </w:rPr>
        <w:t xml:space="preserve">notamment </w:t>
      </w:r>
      <w:r w:rsidRPr="00D861E3">
        <w:rPr>
          <w:iCs/>
          <w:lang w:val="en-US"/>
        </w:rPr>
        <w:t>p. </w:t>
      </w:r>
      <w:r>
        <w:rPr>
          <w:iCs/>
          <w:lang w:val="en-US"/>
        </w:rPr>
        <w:t>157, 177-198, 215, 225, 245,</w:t>
      </w:r>
      <w:r w:rsidRPr="00D861E3">
        <w:rPr>
          <w:iCs/>
          <w:lang w:val="en-US"/>
        </w:rPr>
        <w:t xml:space="preserve"> </w:t>
      </w:r>
      <w:r>
        <w:rPr>
          <w:iCs/>
          <w:lang w:val="en-US"/>
        </w:rPr>
        <w:t>267, 274, 282, 296, 318.</w:t>
      </w:r>
    </w:p>
  </w:footnote>
  <w:footnote w:id="60">
    <w:p w14:paraId="5C62DF0E" w14:textId="3D8BBE39" w:rsidR="006C2965" w:rsidRPr="00D861E3" w:rsidRDefault="006C2965" w:rsidP="005A4721">
      <w:pPr>
        <w:pStyle w:val="Notedebasdepage"/>
        <w:jc w:val="both"/>
        <w:rPr>
          <w:lang w:val="en-US"/>
        </w:rPr>
      </w:pPr>
      <w:r>
        <w:rPr>
          <w:rStyle w:val="Appelnotedebasdep"/>
        </w:rPr>
        <w:footnoteRef/>
      </w:r>
      <w:r>
        <w:rPr>
          <w:lang w:val="en-US"/>
        </w:rPr>
        <w:t xml:space="preserve"> Peter</w:t>
      </w:r>
      <w:r w:rsidRPr="00D861E3">
        <w:rPr>
          <w:lang w:val="en-US"/>
        </w:rPr>
        <w:t xml:space="preserve"> </w:t>
      </w:r>
      <w:r w:rsidRPr="00D861E3">
        <w:rPr>
          <w:bCs/>
          <w:smallCaps/>
          <w:lang w:val="en-US"/>
        </w:rPr>
        <w:t>Noelke</w:t>
      </w:r>
      <w:r w:rsidRPr="00D861E3">
        <w:rPr>
          <w:bCs/>
          <w:lang w:val="en-US"/>
        </w:rPr>
        <w:t>,</w:t>
      </w:r>
      <w:r>
        <w:rPr>
          <w:bCs/>
          <w:lang w:val="en-US"/>
        </w:rPr>
        <w:t xml:space="preserve"> Uta</w:t>
      </w:r>
      <w:r w:rsidRPr="00D861E3">
        <w:rPr>
          <w:bCs/>
          <w:lang w:val="en-US"/>
        </w:rPr>
        <w:t xml:space="preserve"> </w:t>
      </w:r>
      <w:r w:rsidRPr="00D861E3">
        <w:rPr>
          <w:bCs/>
          <w:smallCaps/>
          <w:lang w:val="en-US"/>
        </w:rPr>
        <w:t>Schmidt-Clausen,</w:t>
      </w:r>
      <w:r>
        <w:rPr>
          <w:bCs/>
          <w:smallCaps/>
          <w:lang w:val="en-US"/>
        </w:rPr>
        <w:t xml:space="preserve"> P</w:t>
      </w:r>
      <w:r w:rsidRPr="00F14793">
        <w:rPr>
          <w:bCs/>
          <w:lang w:val="en-US"/>
        </w:rPr>
        <w:t xml:space="preserve">eter </w:t>
      </w:r>
      <w:r w:rsidRPr="00D861E3">
        <w:rPr>
          <w:bCs/>
          <w:smallCaps/>
          <w:lang w:val="en-US"/>
        </w:rPr>
        <w:t>Pauly</w:t>
      </w:r>
      <w:r w:rsidRPr="00D861E3">
        <w:rPr>
          <w:bCs/>
          <w:lang w:val="en-US"/>
        </w:rPr>
        <w:t>,</w:t>
      </w:r>
      <w:r w:rsidRPr="00F14793">
        <w:rPr>
          <w:bCs/>
          <w:lang w:val="en-US"/>
        </w:rPr>
        <w:t xml:space="preserve"> </w:t>
      </w:r>
      <w:r w:rsidRPr="00F14793">
        <w:rPr>
          <w:lang w:val="en-US"/>
        </w:rPr>
        <w:t>«</w:t>
      </w:r>
      <w:r w:rsidRPr="00F14793">
        <w:rPr>
          <w:bCs/>
          <w:lang w:val="en-US"/>
        </w:rPr>
        <w:t xml:space="preserve">Kölner Antikensammlungen und –Studien vom Humanismus bis zur Aufklärung und ihr Kontext im Deutschen Sprachraum </w:t>
      </w:r>
      <w:r w:rsidRPr="00F14793">
        <w:rPr>
          <w:lang w:val="en-US"/>
        </w:rPr>
        <w:t>»</w:t>
      </w:r>
      <w:r w:rsidRPr="00F14793">
        <w:rPr>
          <w:bCs/>
          <w:lang w:val="en-US"/>
        </w:rPr>
        <w:t xml:space="preserve">, </w:t>
      </w:r>
      <w:r w:rsidRPr="00D861E3">
        <w:rPr>
          <w:bCs/>
          <w:i/>
          <w:lang w:val="en-US"/>
        </w:rPr>
        <w:t>Kölner Jahrbuch</w:t>
      </w:r>
      <w:r w:rsidRPr="00D861E3">
        <w:rPr>
          <w:bCs/>
          <w:lang w:val="en-US"/>
        </w:rPr>
        <w:t xml:space="preserve">, 2016, </w:t>
      </w:r>
      <w:r>
        <w:rPr>
          <w:bCs/>
          <w:lang w:val="en-US"/>
        </w:rPr>
        <w:t>n°</w:t>
      </w:r>
      <w:r w:rsidRPr="00D861E3">
        <w:rPr>
          <w:bCs/>
          <w:lang w:val="en-US"/>
        </w:rPr>
        <w:t xml:space="preserve"> 49, p. </w:t>
      </w:r>
      <w:r>
        <w:rPr>
          <w:bCs/>
          <w:lang w:val="en-US"/>
        </w:rPr>
        <w:t>572-575</w:t>
      </w:r>
      <w:r w:rsidRPr="00D861E3">
        <w:rPr>
          <w:bCs/>
          <w:lang w:val="en-US"/>
        </w:rPr>
        <w:t>.</w:t>
      </w:r>
    </w:p>
  </w:footnote>
  <w:footnote w:id="61">
    <w:p w14:paraId="11165305" w14:textId="38903039" w:rsidR="006C2965" w:rsidRPr="00E420BA" w:rsidRDefault="006C2965" w:rsidP="005A4721">
      <w:pPr>
        <w:pStyle w:val="Notedebasdepage"/>
        <w:jc w:val="both"/>
        <w:rPr>
          <w:lang w:val="fr-FR"/>
        </w:rPr>
      </w:pPr>
      <w:r>
        <w:rPr>
          <w:rStyle w:val="Appelnotedebasdep"/>
        </w:rPr>
        <w:footnoteRef/>
      </w:r>
      <w:r w:rsidRPr="00E420BA">
        <w:rPr>
          <w:lang w:val="fr-FR"/>
        </w:rPr>
        <w:t xml:space="preserve"> </w:t>
      </w:r>
      <w:r>
        <w:t>C’est n</w:t>
      </w:r>
      <w:r w:rsidRPr="00E420BA">
        <w:t xml:space="preserve">otamment </w:t>
      </w:r>
      <w:r>
        <w:t xml:space="preserve">le cas </w:t>
      </w:r>
      <w:r w:rsidRPr="00E420BA">
        <w:t>lorsqu’il remarque que le monument d’Igel est situé à proximité d’une voie romaine, élément rentrant en compte dans son interprétation</w:t>
      </w:r>
      <w:r>
        <w:t>.</w:t>
      </w:r>
      <w:r w:rsidRPr="00E420BA">
        <w:rPr>
          <w:lang w:val="fr-FR"/>
        </w:rPr>
        <w:t xml:space="preserve"> </w:t>
      </w:r>
      <w:r w:rsidRPr="001F432D">
        <w:rPr>
          <w:lang w:val="fr-FR"/>
        </w:rPr>
        <w:t xml:space="preserve">A. </w:t>
      </w:r>
      <w:r w:rsidRPr="001F432D">
        <w:rPr>
          <w:smallCaps/>
          <w:lang w:val="fr-FR"/>
        </w:rPr>
        <w:t xml:space="preserve">Wiltheim, </w:t>
      </w:r>
      <w:r w:rsidRPr="001F432D">
        <w:rPr>
          <w:i/>
          <w:lang w:val="fr-FR"/>
        </w:rPr>
        <w:t>op. cit.</w:t>
      </w:r>
      <w:r w:rsidRPr="001F432D">
        <w:rPr>
          <w:lang w:val="fr-FR"/>
        </w:rPr>
        <w:t>,</w:t>
      </w:r>
      <w:r w:rsidRPr="001F432D">
        <w:rPr>
          <w:smallCaps/>
          <w:lang w:val="fr-FR"/>
        </w:rPr>
        <w:t xml:space="preserve"> </w:t>
      </w:r>
      <w:r w:rsidRPr="001F432D">
        <w:rPr>
          <w:iCs/>
          <w:lang w:val="fr-FR"/>
        </w:rPr>
        <w:t>p. 104, 201.</w:t>
      </w:r>
    </w:p>
  </w:footnote>
  <w:footnote w:id="62">
    <w:p w14:paraId="1C8EE7A5" w14:textId="46793620" w:rsidR="006C2965" w:rsidRPr="00514A48" w:rsidRDefault="006C2965" w:rsidP="005A4721">
      <w:pPr>
        <w:pStyle w:val="Notedebasdepage"/>
        <w:jc w:val="both"/>
        <w:rPr>
          <w:lang w:val="fr-FR"/>
        </w:rPr>
      </w:pPr>
      <w:r>
        <w:rPr>
          <w:rStyle w:val="Appelnotedebasdep"/>
        </w:rPr>
        <w:footnoteRef/>
      </w:r>
      <w:r>
        <w:rPr>
          <w:smallCaps/>
          <w:lang w:val="fr-FR"/>
        </w:rPr>
        <w:t xml:space="preserve"> </w:t>
      </w:r>
      <w:r w:rsidRPr="004F51DC">
        <w:rPr>
          <w:i/>
          <w:lang w:val="fr-FR"/>
        </w:rPr>
        <w:t>Ibid.</w:t>
      </w:r>
      <w:r w:rsidRPr="004F51DC">
        <w:rPr>
          <w:i/>
          <w:iCs/>
          <w:lang w:val="fr-FR"/>
        </w:rPr>
        <w:t>,</w:t>
      </w:r>
      <w:r w:rsidRPr="00514A48">
        <w:rPr>
          <w:iCs/>
          <w:lang w:val="fr-FR"/>
        </w:rPr>
        <w:t xml:space="preserve"> p. 273, 276.</w:t>
      </w:r>
    </w:p>
  </w:footnote>
  <w:footnote w:id="63">
    <w:p w14:paraId="31595A37" w14:textId="43056F1D" w:rsidR="006C2965" w:rsidRPr="004F51DC" w:rsidRDefault="006C2965" w:rsidP="005A4721">
      <w:pPr>
        <w:pStyle w:val="Notedebasdepage"/>
        <w:jc w:val="both"/>
        <w:rPr>
          <w:lang w:val="fr-FR"/>
        </w:rPr>
      </w:pPr>
      <w:r>
        <w:rPr>
          <w:rStyle w:val="Appelnotedebasdep"/>
        </w:rPr>
        <w:footnoteRef/>
      </w:r>
      <w:r w:rsidRPr="00514A48">
        <w:rPr>
          <w:lang w:val="fr-FR"/>
        </w:rPr>
        <w:t xml:space="preserve"> « </w:t>
      </w:r>
      <w:r w:rsidRPr="00514A48">
        <w:rPr>
          <w:i/>
          <w:lang w:val="fr-FR"/>
        </w:rPr>
        <w:t xml:space="preserve">Detecta quoque balnei vestigia fodientibus meo iussu operius, spe eruendae alicuius Antiquitatis </w:t>
      </w:r>
      <w:r w:rsidRPr="00514A48">
        <w:rPr>
          <w:lang w:val="fr-FR"/>
        </w:rPr>
        <w:t xml:space="preserve">». </w:t>
      </w:r>
      <w:r w:rsidRPr="00F14793">
        <w:rPr>
          <w:i/>
        </w:rPr>
        <w:t>Ibid.</w:t>
      </w:r>
      <w:r w:rsidRPr="00F14793">
        <w:t xml:space="preserve">, </w:t>
      </w:r>
      <w:r w:rsidRPr="00514A48">
        <w:rPr>
          <w:iCs/>
        </w:rPr>
        <w:t>p. 275.</w:t>
      </w:r>
    </w:p>
  </w:footnote>
  <w:footnote w:id="64">
    <w:p w14:paraId="4BE6CF70" w14:textId="7263A00D" w:rsidR="006C2965" w:rsidRPr="004B0C86" w:rsidRDefault="006C2965" w:rsidP="005A4721">
      <w:pPr>
        <w:pStyle w:val="Notedebasdepage"/>
        <w:jc w:val="both"/>
      </w:pPr>
      <w:r>
        <w:rPr>
          <w:rStyle w:val="Appelnotedebasdep"/>
        </w:rPr>
        <w:footnoteRef/>
      </w:r>
      <w:r w:rsidRPr="004B0C86">
        <w:t xml:space="preserve"> </w:t>
      </w:r>
      <w:r w:rsidRPr="00E97782">
        <w:rPr>
          <w:i/>
        </w:rPr>
        <w:t>Ibid.</w:t>
      </w:r>
      <w:r w:rsidRPr="004B0C86">
        <w:rPr>
          <w:iCs/>
        </w:rPr>
        <w:t>, p. 277.</w:t>
      </w:r>
    </w:p>
  </w:footnote>
  <w:footnote w:id="65">
    <w:p w14:paraId="18806EBA" w14:textId="61BCD611" w:rsidR="006C2965" w:rsidRPr="00304AC4" w:rsidRDefault="006C2965" w:rsidP="005A4721">
      <w:pPr>
        <w:spacing w:after="0" w:line="240" w:lineRule="auto"/>
        <w:jc w:val="both"/>
        <w:rPr>
          <w:rFonts w:eastAsia="Calibri"/>
        </w:rPr>
      </w:pPr>
      <w:r>
        <w:rPr>
          <w:rStyle w:val="Appelnotedebasdep"/>
        </w:rPr>
        <w:footnoteRef/>
      </w:r>
      <w:r>
        <w:t xml:space="preserve"> Les dessins de Wiltheim ont été assez peu étudiés dans le détail. Certains auteurs en ont néanmoins commenté quelques-uns : J. </w:t>
      </w:r>
      <w:r w:rsidRPr="004B0C86">
        <w:rPr>
          <w:smallCaps/>
        </w:rPr>
        <w:t>Krier,</w:t>
      </w:r>
      <w:r>
        <w:rPr>
          <w:smallCaps/>
        </w:rPr>
        <w:t xml:space="preserve"> E.</w:t>
      </w:r>
      <w:r w:rsidRPr="004B0C86">
        <w:rPr>
          <w:smallCaps/>
        </w:rPr>
        <w:t xml:space="preserve"> Thill</w:t>
      </w:r>
      <w:r w:rsidRPr="004B0C86">
        <w:t xml:space="preserve">, </w:t>
      </w:r>
      <w:r>
        <w:rPr>
          <w:i/>
          <w:iCs/>
        </w:rPr>
        <w:t>op. cit.</w:t>
      </w:r>
      <w:r w:rsidRPr="004B0C86">
        <w:rPr>
          <w:iCs/>
        </w:rPr>
        <w:t>, p.</w:t>
      </w:r>
      <w:r>
        <w:rPr>
          <w:iCs/>
        </w:rPr>
        <w:t xml:space="preserve"> 71 ;</w:t>
      </w:r>
      <w:r>
        <w:t xml:space="preserve"> H. </w:t>
      </w:r>
      <w:r w:rsidRPr="00346B87">
        <w:rPr>
          <w:smallCaps/>
        </w:rPr>
        <w:t>Dragendorff,</w:t>
      </w:r>
      <w:r>
        <w:rPr>
          <w:smallCaps/>
        </w:rPr>
        <w:t xml:space="preserve"> E.</w:t>
      </w:r>
      <w:r w:rsidRPr="00346B87">
        <w:rPr>
          <w:smallCaps/>
        </w:rPr>
        <w:t xml:space="preserve"> Krüger</w:t>
      </w:r>
      <w:r w:rsidRPr="00346B87">
        <w:t xml:space="preserve">, </w:t>
      </w:r>
      <w:r>
        <w:rPr>
          <w:i/>
        </w:rPr>
        <w:t>op. cit.</w:t>
      </w:r>
      <w:r>
        <w:t xml:space="preserve">, p. 20-21 ; Jean </w:t>
      </w:r>
      <w:r w:rsidRPr="00E32961">
        <w:rPr>
          <w:rFonts w:eastAsia="Calibri"/>
          <w:smallCaps/>
        </w:rPr>
        <w:t>Krier</w:t>
      </w:r>
      <w:r w:rsidRPr="00E32961">
        <w:rPr>
          <w:rFonts w:eastAsia="Calibri"/>
        </w:rPr>
        <w:t xml:space="preserve">, </w:t>
      </w:r>
      <w:r w:rsidRPr="00DC3430">
        <w:rPr>
          <w:rFonts w:eastAsia="Calibri"/>
        </w:rPr>
        <w:t>« Étude du manuscrit Wiltheim de Baslieux. Partie I : archéologie »,</w:t>
      </w:r>
      <w:r w:rsidRPr="00E32961">
        <w:rPr>
          <w:rFonts w:eastAsia="Calibri"/>
        </w:rPr>
        <w:t xml:space="preserve"> </w:t>
      </w:r>
      <w:r w:rsidRPr="00262C10">
        <w:rPr>
          <w:lang w:val="fr-FR"/>
        </w:rPr>
        <w:t>dans</w:t>
      </w:r>
      <w:r>
        <w:rPr>
          <w:lang w:val="fr-FR"/>
        </w:rPr>
        <w:t xml:space="preserve"> Jean</w:t>
      </w:r>
      <w:r w:rsidRPr="00262C10">
        <w:rPr>
          <w:lang w:val="fr-FR"/>
        </w:rPr>
        <w:t xml:space="preserve"> </w:t>
      </w:r>
      <w:r w:rsidRPr="00262C10">
        <w:rPr>
          <w:smallCaps/>
          <w:lang w:val="fr-FR"/>
        </w:rPr>
        <w:t>Krier,</w:t>
      </w:r>
      <w:r>
        <w:rPr>
          <w:smallCaps/>
          <w:lang w:val="fr-FR"/>
        </w:rPr>
        <w:t xml:space="preserve"> </w:t>
      </w:r>
      <w:r w:rsidRPr="00572382">
        <w:rPr>
          <w:lang w:val="fr-FR"/>
        </w:rPr>
        <w:t xml:space="preserve">Raymond </w:t>
      </w:r>
      <w:r w:rsidRPr="00262C10">
        <w:rPr>
          <w:smallCaps/>
          <w:lang w:val="fr-FR"/>
        </w:rPr>
        <w:t>Weiller</w:t>
      </w:r>
      <w:r w:rsidRPr="00262C10">
        <w:rPr>
          <w:lang w:val="fr-FR"/>
        </w:rPr>
        <w:t xml:space="preserve"> </w:t>
      </w:r>
      <w:r>
        <w:rPr>
          <w:lang w:val="fr-FR"/>
        </w:rPr>
        <w:t>(</w:t>
      </w:r>
      <w:r w:rsidRPr="00262C10">
        <w:rPr>
          <w:lang w:val="fr-FR"/>
        </w:rPr>
        <w:t>dir.</w:t>
      </w:r>
      <w:r>
        <w:rPr>
          <w:lang w:val="fr-FR"/>
        </w:rPr>
        <w:t>)</w:t>
      </w:r>
      <w:r w:rsidRPr="00262C10">
        <w:rPr>
          <w:lang w:val="fr-FR"/>
        </w:rPr>
        <w:t xml:space="preserve">, </w:t>
      </w:r>
      <w:r w:rsidRPr="00262C10">
        <w:rPr>
          <w:i/>
          <w:lang w:val="fr-FR"/>
        </w:rPr>
        <w:t>Le manuscrit Wiltheim de Baslieux</w:t>
      </w:r>
      <w:r>
        <w:rPr>
          <w:lang w:val="fr-FR"/>
        </w:rPr>
        <w:t xml:space="preserve">, </w:t>
      </w:r>
      <w:r w:rsidRPr="009468C8">
        <w:rPr>
          <w:lang w:val="fr-FR"/>
        </w:rPr>
        <w:t>Luxembourg,</w:t>
      </w:r>
      <w:r>
        <w:rPr>
          <w:lang w:val="fr-FR"/>
        </w:rPr>
        <w:t xml:space="preserve"> Ministère des affaires culturelles,</w:t>
      </w:r>
      <w:r w:rsidRPr="009468C8">
        <w:rPr>
          <w:lang w:val="fr-FR"/>
        </w:rPr>
        <w:t xml:space="preserve"> 1984</w:t>
      </w:r>
      <w:r>
        <w:rPr>
          <w:rFonts w:eastAsia="Calibri"/>
        </w:rPr>
        <w:t xml:space="preserve">, p. 30-32 ; J. </w:t>
      </w:r>
      <w:r w:rsidRPr="00295B22">
        <w:rPr>
          <w:smallCaps/>
          <w:lang w:val="fr-FR"/>
        </w:rPr>
        <w:t>Mersch</w:t>
      </w:r>
      <w:r w:rsidRPr="00295B22">
        <w:rPr>
          <w:lang w:val="fr-FR"/>
        </w:rPr>
        <w:t xml:space="preserve">, </w:t>
      </w:r>
      <w:r>
        <w:rPr>
          <w:i/>
          <w:lang w:val="fr-FR"/>
        </w:rPr>
        <w:t>op. cit.</w:t>
      </w:r>
      <w:r w:rsidRPr="00295B22">
        <w:rPr>
          <w:lang w:val="fr-FR"/>
        </w:rPr>
        <w:t>, p.</w:t>
      </w:r>
      <w:r>
        <w:rPr>
          <w:lang w:val="fr-FR"/>
        </w:rPr>
        <w:t xml:space="preserve"> 110-116.</w:t>
      </w:r>
    </w:p>
  </w:footnote>
  <w:footnote w:id="66">
    <w:p w14:paraId="4B98BB50" w14:textId="5F3D319E" w:rsidR="006C2965" w:rsidRDefault="006C2965" w:rsidP="00642E6F">
      <w:pPr>
        <w:pStyle w:val="Notedebasdepage"/>
      </w:pPr>
      <w:r>
        <w:rPr>
          <w:rStyle w:val="Appelnotedebasdep"/>
        </w:rPr>
        <w:footnoteRef/>
      </w:r>
      <w:r>
        <w:t xml:space="preserve"> Comme on peut le voir à propos du monument d’Igel : J. </w:t>
      </w:r>
      <w:r w:rsidRPr="00295B22">
        <w:rPr>
          <w:smallCaps/>
          <w:lang w:val="fr-FR"/>
        </w:rPr>
        <w:t>Mersch</w:t>
      </w:r>
      <w:r w:rsidRPr="00295B22">
        <w:rPr>
          <w:lang w:val="fr-FR"/>
        </w:rPr>
        <w:t xml:space="preserve">, </w:t>
      </w:r>
      <w:r>
        <w:rPr>
          <w:i/>
          <w:lang w:val="fr-FR"/>
        </w:rPr>
        <w:t>op. cit.</w:t>
      </w:r>
      <w:r w:rsidRPr="00295B22">
        <w:rPr>
          <w:lang w:val="fr-FR"/>
        </w:rPr>
        <w:t>, p.</w:t>
      </w:r>
      <w:r>
        <w:rPr>
          <w:lang w:val="fr-FR"/>
        </w:rPr>
        <w:t xml:space="preserve"> 111-113.</w:t>
      </w:r>
    </w:p>
  </w:footnote>
  <w:footnote w:id="67">
    <w:p w14:paraId="51DFD0C0" w14:textId="403680E8" w:rsidR="006C2965" w:rsidRDefault="006C2965" w:rsidP="005A4721">
      <w:pPr>
        <w:pStyle w:val="Notedebasdepage"/>
        <w:jc w:val="both"/>
      </w:pPr>
      <w:r>
        <w:rPr>
          <w:rStyle w:val="Appelnotedebasdep"/>
        </w:rPr>
        <w:footnoteRef/>
      </w:r>
      <w:r>
        <w:t xml:space="preserve"> </w:t>
      </w:r>
      <w:r w:rsidRPr="00E97782">
        <w:t xml:space="preserve">A. </w:t>
      </w:r>
      <w:r w:rsidRPr="00E97782">
        <w:rPr>
          <w:smallCaps/>
        </w:rPr>
        <w:t xml:space="preserve">Wiltheim, </w:t>
      </w:r>
      <w:r w:rsidRPr="00E97782">
        <w:rPr>
          <w:i/>
        </w:rPr>
        <w:t>op. cit.</w:t>
      </w:r>
      <w:r w:rsidRPr="00E97782">
        <w:t>,</w:t>
      </w:r>
      <w:r w:rsidRPr="00E97782">
        <w:rPr>
          <w:smallCaps/>
        </w:rPr>
        <w:t xml:space="preserve"> </w:t>
      </w:r>
      <w:r w:rsidRPr="00E97782">
        <w:rPr>
          <w:iCs/>
        </w:rPr>
        <w:t>p. </w:t>
      </w:r>
      <w:r>
        <w:rPr>
          <w:iCs/>
        </w:rPr>
        <w:t xml:space="preserve">266, 284 </w:t>
      </w:r>
      <w:r>
        <w:rPr>
          <w:smallCaps/>
        </w:rPr>
        <w:t>(</w:t>
      </w:r>
      <w:r>
        <w:t>voir également, entre autres,</w:t>
      </w:r>
      <w:r>
        <w:rPr>
          <w:iCs/>
        </w:rPr>
        <w:t xml:space="preserve"> </w:t>
      </w:r>
      <w:r w:rsidRPr="0013709E">
        <w:rPr>
          <w:iCs/>
        </w:rPr>
        <w:t>p. </w:t>
      </w:r>
      <w:r>
        <w:rPr>
          <w:iCs/>
        </w:rPr>
        <w:t xml:space="preserve">208, 209, </w:t>
      </w:r>
      <w:r w:rsidRPr="0013709E">
        <w:rPr>
          <w:iCs/>
        </w:rPr>
        <w:t>211</w:t>
      </w:r>
      <w:r>
        <w:rPr>
          <w:iCs/>
        </w:rPr>
        <w:t>, 212, 215, 218, 244, 270, 276, 317).</w:t>
      </w:r>
    </w:p>
  </w:footnote>
  <w:footnote w:id="68">
    <w:p w14:paraId="6E766D96" w14:textId="569F0D92" w:rsidR="006C2965" w:rsidRPr="00310A10" w:rsidRDefault="006C2965" w:rsidP="005A4721">
      <w:pPr>
        <w:spacing w:after="0" w:line="240" w:lineRule="auto"/>
        <w:jc w:val="both"/>
        <w:rPr>
          <w:rFonts w:eastAsia="Times New Roman"/>
          <w:lang w:val="fr-FR"/>
        </w:rPr>
      </w:pPr>
      <w:r>
        <w:rPr>
          <w:rStyle w:val="Appelnotedebasdep"/>
        </w:rPr>
        <w:footnoteRef/>
      </w:r>
      <w:r>
        <w:t xml:space="preserve"> Les antiquaires travaillaient fréquemment en réseaux, communiquant à leurs pairs leurs découvertes et leurs questionnemen</w:t>
      </w:r>
      <w:r w:rsidRPr="00861077">
        <w:t xml:space="preserve">ts. </w:t>
      </w:r>
      <w:r>
        <w:t xml:space="preserve">Wiltheim a lui-même bénéficié de ces échanges, comme en témoigne sa correspondance avec </w:t>
      </w:r>
      <w:r w:rsidRPr="00310A10">
        <w:t>l’antiquaire Jea</w:t>
      </w:r>
      <w:r>
        <w:t>n-Jacques Chifflet (1588-1660)</w:t>
      </w:r>
      <w:r>
        <w:rPr>
          <w:color w:val="FF0000"/>
        </w:rPr>
        <w:t xml:space="preserve"> </w:t>
      </w:r>
      <w:r>
        <w:t>ou avec</w:t>
      </w:r>
      <w:r w:rsidRPr="00310A10">
        <w:t xml:space="preserve"> les jésuites Jacques Gamans (1605-1685) et Jacques Vignier (1603-1669).</w:t>
      </w:r>
      <w:r w:rsidRPr="00310A10">
        <w:rPr>
          <w:smallCaps/>
          <w:lang w:val="fr-FR"/>
        </w:rPr>
        <w:t xml:space="preserve"> </w:t>
      </w:r>
      <w:r>
        <w:rPr>
          <w:smallCaps/>
          <w:lang w:val="fr-FR"/>
        </w:rPr>
        <w:t>J.- C</w:t>
      </w:r>
      <w:r w:rsidRPr="00AF2476">
        <w:rPr>
          <w:lang w:val="fr-FR"/>
        </w:rPr>
        <w:t>l</w:t>
      </w:r>
      <w:r>
        <w:rPr>
          <w:smallCaps/>
          <w:lang w:val="fr-FR"/>
        </w:rPr>
        <w:t xml:space="preserve">. </w:t>
      </w:r>
      <w:r w:rsidRPr="00845E5D">
        <w:rPr>
          <w:smallCaps/>
          <w:lang w:val="fr-FR"/>
        </w:rPr>
        <w:t>Müller</w:t>
      </w:r>
      <w:r w:rsidRPr="00845E5D">
        <w:rPr>
          <w:lang w:val="fr-FR"/>
        </w:rPr>
        <w:t xml:space="preserve">, </w:t>
      </w:r>
      <w:r>
        <w:rPr>
          <w:i/>
          <w:lang w:val="fr-FR"/>
        </w:rPr>
        <w:t>op. cit.</w:t>
      </w:r>
      <w:r>
        <w:rPr>
          <w:lang w:val="fr-FR"/>
        </w:rPr>
        <w:t xml:space="preserve">, p. 183, 203-204, 206, 212. </w:t>
      </w:r>
      <w:r>
        <w:t xml:space="preserve">De nombreuses correspondances d’antiquaires ont fait l’objet de recherches (notamment Peiresc et Séguier pour la France). </w:t>
      </w:r>
      <w:r>
        <w:rPr>
          <w:lang w:val="fr-FR"/>
        </w:rPr>
        <w:t xml:space="preserve">Sur l’aspect coopératif de la recherche antiquaire, voir notamment : Pierre </w:t>
      </w:r>
      <w:r w:rsidRPr="00310A10">
        <w:rPr>
          <w:rFonts w:eastAsia="Times New Roman" w:cs="Calibri"/>
          <w:smallCaps/>
          <w:szCs w:val="22"/>
          <w:lang w:eastAsia="fr-FR"/>
        </w:rPr>
        <w:t>Pinon,</w:t>
      </w:r>
      <w:r w:rsidRPr="00310A10">
        <w:rPr>
          <w:rFonts w:eastAsia="Times New Roman" w:cs="Calibri"/>
          <w:szCs w:val="22"/>
          <w:lang w:eastAsia="fr-FR"/>
        </w:rPr>
        <w:t xml:space="preserve"> </w:t>
      </w:r>
      <w:r w:rsidRPr="00310A10">
        <w:rPr>
          <w:rFonts w:eastAsia="Times New Roman" w:cs="Calibri"/>
          <w:i/>
          <w:szCs w:val="22"/>
          <w:lang w:eastAsia="fr-FR"/>
        </w:rPr>
        <w:t>La Gaule retrouvée</w:t>
      </w:r>
      <w:r w:rsidRPr="00310A10">
        <w:rPr>
          <w:rFonts w:eastAsia="Times New Roman" w:cs="Calibri"/>
          <w:szCs w:val="22"/>
          <w:lang w:eastAsia="fr-FR"/>
        </w:rPr>
        <w:t xml:space="preserve">, Paris, </w:t>
      </w:r>
      <w:r>
        <w:rPr>
          <w:rFonts w:eastAsia="Times New Roman" w:cs="Calibri"/>
          <w:szCs w:val="22"/>
          <w:lang w:eastAsia="fr-FR"/>
        </w:rPr>
        <w:t xml:space="preserve">Gallimard, </w:t>
      </w:r>
      <w:r w:rsidRPr="00310A10">
        <w:rPr>
          <w:rFonts w:eastAsia="Times New Roman" w:cs="Calibri"/>
          <w:szCs w:val="22"/>
          <w:lang w:eastAsia="fr-FR"/>
        </w:rPr>
        <w:t>1999, p. 24</w:t>
      </w:r>
      <w:r>
        <w:rPr>
          <w:rFonts w:eastAsia="Times New Roman" w:cs="Calibri"/>
          <w:szCs w:val="22"/>
          <w:lang w:eastAsia="fr-FR"/>
        </w:rPr>
        <w:t xml:space="preserve">-25 ; G. </w:t>
      </w:r>
      <w:r w:rsidRPr="00CC2BAA">
        <w:rPr>
          <w:smallCaps/>
        </w:rPr>
        <w:t>Parry</w:t>
      </w:r>
      <w:r w:rsidRPr="00CC2BAA">
        <w:t xml:space="preserve">, </w:t>
      </w:r>
      <w:r>
        <w:rPr>
          <w:i/>
        </w:rPr>
        <w:t>op. cit.</w:t>
      </w:r>
      <w:r>
        <w:t xml:space="preserve">, p. 6 ; A. </w:t>
      </w:r>
      <w:r w:rsidRPr="00EF6007">
        <w:rPr>
          <w:bCs/>
        </w:rPr>
        <w:t>V</w:t>
      </w:r>
      <w:r w:rsidRPr="00EF6007">
        <w:rPr>
          <w:bCs/>
          <w:smallCaps/>
        </w:rPr>
        <w:t>ine</w:t>
      </w:r>
      <w:r w:rsidRPr="00EF6007">
        <w:rPr>
          <w:bCs/>
        </w:rPr>
        <w:t xml:space="preserve">, </w:t>
      </w:r>
      <w:r>
        <w:rPr>
          <w:bCs/>
          <w:i/>
        </w:rPr>
        <w:t>op. cit.</w:t>
      </w:r>
      <w:r>
        <w:rPr>
          <w:bCs/>
        </w:rPr>
        <w:t>, p. 82-83</w:t>
      </w:r>
      <w:r w:rsidRPr="00310A10">
        <w:rPr>
          <w:rFonts w:eastAsia="Times New Roman" w:cs="Calibri"/>
          <w:szCs w:val="22"/>
          <w:lang w:eastAsia="fr-FR"/>
        </w:rPr>
        <w:t>.</w:t>
      </w:r>
      <w:r>
        <w:t xml:space="preserve"> Plus généralement, voir également : Corinne </w:t>
      </w:r>
      <w:r w:rsidRPr="008B0034">
        <w:rPr>
          <w:rFonts w:eastAsia="Calibri" w:cs="Times New Roman"/>
          <w:smallCaps/>
        </w:rPr>
        <w:t>Bonnet</w:t>
      </w:r>
      <w:r w:rsidRPr="008B0034">
        <w:rPr>
          <w:rFonts w:eastAsia="Calibri" w:cs="Times New Roman"/>
        </w:rPr>
        <w:t>,</w:t>
      </w:r>
      <w:r>
        <w:rPr>
          <w:rFonts w:eastAsia="Calibri" w:cs="Times New Roman"/>
        </w:rPr>
        <w:t xml:space="preserve"> Véronique</w:t>
      </w:r>
      <w:r w:rsidRPr="008B0034">
        <w:rPr>
          <w:rFonts w:eastAsia="Calibri" w:cs="Times New Roman"/>
        </w:rPr>
        <w:t xml:space="preserve"> </w:t>
      </w:r>
      <w:r w:rsidRPr="008B0034">
        <w:rPr>
          <w:rFonts w:eastAsia="Calibri" w:cs="Times New Roman"/>
          <w:smallCaps/>
        </w:rPr>
        <w:t>Krings</w:t>
      </w:r>
      <w:r>
        <w:rPr>
          <w:rFonts w:eastAsia="Calibri" w:cs="Times New Roman"/>
          <w:smallCaps/>
        </w:rPr>
        <w:t xml:space="preserve"> </w:t>
      </w:r>
      <w:r>
        <w:rPr>
          <w:rFonts w:eastAsia="Calibri" w:cs="Times New Roman"/>
        </w:rPr>
        <w:t>(dir.)</w:t>
      </w:r>
      <w:r w:rsidRPr="008B0034">
        <w:rPr>
          <w:rFonts w:eastAsia="Calibri" w:cs="Times New Roman"/>
        </w:rPr>
        <w:t xml:space="preserve">, </w:t>
      </w:r>
      <w:r w:rsidRPr="008B0034">
        <w:rPr>
          <w:rFonts w:eastAsia="Calibri" w:cs="Times New Roman"/>
          <w:i/>
        </w:rPr>
        <w:t>S'écrire et écrire sur l'Antiquité</w:t>
      </w:r>
      <w:r>
        <w:rPr>
          <w:rFonts w:eastAsia="Calibri" w:cs="Times New Roman"/>
          <w:i/>
        </w:rPr>
        <w:t xml:space="preserve"> </w:t>
      </w:r>
      <w:r w:rsidRPr="008B0034">
        <w:rPr>
          <w:rFonts w:eastAsia="Calibri" w:cs="Times New Roman"/>
          <w:i/>
        </w:rPr>
        <w:t>: l'apport des correspondances à l'histoire des travaux scientifiques</w:t>
      </w:r>
      <w:r w:rsidRPr="008B0034">
        <w:rPr>
          <w:rFonts w:eastAsia="Calibri" w:cs="Times New Roman"/>
        </w:rPr>
        <w:t>, Grenoble, Millon, 2008.</w:t>
      </w:r>
    </w:p>
  </w:footnote>
  <w:footnote w:id="69">
    <w:p w14:paraId="1C7E9E7E" w14:textId="08C9F66B" w:rsidR="006C2965" w:rsidRDefault="006C2965" w:rsidP="005A4721">
      <w:pPr>
        <w:pStyle w:val="Notedebasdepage"/>
        <w:jc w:val="both"/>
      </w:pPr>
      <w:r w:rsidRPr="00183BD3">
        <w:rPr>
          <w:rStyle w:val="Appelnotedebasdep"/>
        </w:rPr>
        <w:footnoteRef/>
      </w:r>
      <w:r w:rsidRPr="00183BD3">
        <w:t xml:space="preserve"> </w:t>
      </w:r>
      <w:r>
        <w:t xml:space="preserve">R. </w:t>
      </w:r>
      <w:r w:rsidRPr="00183BD3">
        <w:rPr>
          <w:lang w:val="fr-FR"/>
        </w:rPr>
        <w:t>S</w:t>
      </w:r>
      <w:r w:rsidRPr="00183BD3">
        <w:rPr>
          <w:smallCaps/>
          <w:lang w:val="fr-FR"/>
        </w:rPr>
        <w:t>weet</w:t>
      </w:r>
      <w:r w:rsidRPr="00183BD3">
        <w:rPr>
          <w:lang w:val="fr-FR"/>
        </w:rPr>
        <w:t xml:space="preserve">, </w:t>
      </w:r>
      <w:r>
        <w:rPr>
          <w:i/>
          <w:lang w:val="fr-FR"/>
        </w:rPr>
        <w:t>op. cit.</w:t>
      </w:r>
      <w:r w:rsidRPr="00183BD3">
        <w:rPr>
          <w:lang w:val="fr-FR"/>
        </w:rPr>
        <w:t>, p. </w:t>
      </w:r>
      <w:r>
        <w:rPr>
          <w:lang w:val="fr-FR"/>
        </w:rPr>
        <w:t>277-286 et surtout p. 301-306.</w:t>
      </w:r>
    </w:p>
  </w:footnote>
  <w:footnote w:id="70">
    <w:p w14:paraId="708DA074" w14:textId="3EDFCFAA" w:rsidR="006C2965" w:rsidRPr="00844A10" w:rsidRDefault="006C2965" w:rsidP="005A4721">
      <w:pPr>
        <w:pStyle w:val="Notedebasdepage"/>
        <w:jc w:val="both"/>
        <w:rPr>
          <w:lang w:val="en-US"/>
        </w:rPr>
      </w:pPr>
      <w:r>
        <w:rPr>
          <w:rStyle w:val="Appelnotedebasdep"/>
        </w:rPr>
        <w:footnoteRef/>
      </w:r>
      <w:r w:rsidRPr="00844A10">
        <w:rPr>
          <w:lang w:val="en-US"/>
        </w:rPr>
        <w:t xml:space="preserve"> </w:t>
      </w:r>
      <w:r w:rsidRPr="00BB17DE">
        <w:rPr>
          <w:lang w:val="en-US"/>
        </w:rPr>
        <w:t>A.</w:t>
      </w:r>
      <w:r>
        <w:rPr>
          <w:lang w:val="en-US"/>
        </w:rPr>
        <w:t xml:space="preserve"> </w:t>
      </w:r>
      <w:r w:rsidRPr="00BB17DE">
        <w:rPr>
          <w:smallCaps/>
          <w:lang w:val="en-US"/>
        </w:rPr>
        <w:t>Wiltheim</w:t>
      </w:r>
      <w:r>
        <w:rPr>
          <w:smallCaps/>
          <w:lang w:val="en-US"/>
        </w:rPr>
        <w:t xml:space="preserve">, </w:t>
      </w:r>
      <w:r w:rsidRPr="00BB17DE">
        <w:rPr>
          <w:i/>
          <w:lang w:val="en-US"/>
        </w:rPr>
        <w:t>op. cit.</w:t>
      </w:r>
      <w:r w:rsidRPr="00BB17DE">
        <w:rPr>
          <w:lang w:val="en-US"/>
        </w:rPr>
        <w:t>,</w:t>
      </w:r>
      <w:r>
        <w:rPr>
          <w:smallCaps/>
          <w:lang w:val="en-US"/>
        </w:rPr>
        <w:t xml:space="preserve"> </w:t>
      </w:r>
      <w:r w:rsidRPr="00BB17DE">
        <w:rPr>
          <w:iCs/>
          <w:lang w:val="en-US"/>
        </w:rPr>
        <w:t>p.</w:t>
      </w:r>
      <w:r w:rsidRPr="00844A10">
        <w:rPr>
          <w:iCs/>
          <w:lang w:val="en-US"/>
        </w:rPr>
        <w:t> 276.</w:t>
      </w:r>
    </w:p>
  </w:footnote>
  <w:footnote w:id="71">
    <w:p w14:paraId="17D32718" w14:textId="481F2F23" w:rsidR="006C2965" w:rsidRPr="00D91FA3" w:rsidRDefault="006C2965" w:rsidP="00674CBB">
      <w:pPr>
        <w:pStyle w:val="Notedebasdepage"/>
        <w:jc w:val="both"/>
      </w:pPr>
      <w:r>
        <w:rPr>
          <w:rStyle w:val="Appelnotedebasdep"/>
        </w:rPr>
        <w:footnoteRef/>
      </w:r>
      <w:r w:rsidRPr="001F432D">
        <w:rPr>
          <w:lang w:val="en-US"/>
        </w:rPr>
        <w:t xml:space="preserve"> </w:t>
      </w:r>
      <w:r w:rsidRPr="001F432D">
        <w:rPr>
          <w:i/>
          <w:lang w:val="en-US"/>
        </w:rPr>
        <w:t>Ibid.</w:t>
      </w:r>
      <w:r w:rsidRPr="001F432D">
        <w:rPr>
          <w:lang w:val="en-US"/>
        </w:rPr>
        <w:t>,</w:t>
      </w:r>
      <w:r w:rsidRPr="001F432D">
        <w:rPr>
          <w:smallCaps/>
          <w:lang w:val="en-US"/>
        </w:rPr>
        <w:t xml:space="preserve"> </w:t>
      </w:r>
      <w:r w:rsidRPr="001F432D">
        <w:rPr>
          <w:iCs/>
          <w:lang w:val="en-US"/>
        </w:rPr>
        <w:t xml:space="preserve">p. 204. </w:t>
      </w:r>
      <w:r>
        <w:rPr>
          <w:iCs/>
        </w:rPr>
        <w:t xml:space="preserve">Sur les scènes de banquets représentées sur ces reliefs (qui ne sont pas liées au </w:t>
      </w:r>
      <w:r w:rsidRPr="00674CBB">
        <w:rPr>
          <w:i/>
          <w:iCs/>
        </w:rPr>
        <w:t>lectisternium</w:t>
      </w:r>
      <w:r>
        <w:rPr>
          <w:iCs/>
        </w:rPr>
        <w:t xml:space="preserve">), voir notamment : David </w:t>
      </w:r>
      <w:r w:rsidRPr="00674CBB">
        <w:rPr>
          <w:iCs/>
          <w:smallCaps/>
        </w:rPr>
        <w:t>Colling</w:t>
      </w:r>
      <w:r>
        <w:rPr>
          <w:iCs/>
        </w:rPr>
        <w:t xml:space="preserve">, </w:t>
      </w:r>
      <w:r w:rsidRPr="00D91FA3">
        <w:rPr>
          <w:iCs/>
        </w:rPr>
        <w:t xml:space="preserve">« Les scènes de banquet funéraire ou </w:t>
      </w:r>
      <w:r w:rsidRPr="00D91FA3">
        <w:rPr>
          <w:i/>
          <w:iCs/>
        </w:rPr>
        <w:t>Totenmahlreliefs</w:t>
      </w:r>
      <w:r w:rsidRPr="00D91FA3">
        <w:rPr>
          <w:iCs/>
        </w:rPr>
        <w:t xml:space="preserve"> originaires d'Arlon »,</w:t>
      </w:r>
      <w:r>
        <w:rPr>
          <w:iCs/>
        </w:rPr>
        <w:t xml:space="preserve"> </w:t>
      </w:r>
      <w:r w:rsidRPr="00674CBB">
        <w:rPr>
          <w:i/>
          <w:iCs/>
        </w:rPr>
        <w:t xml:space="preserve">Bulletin trimestriel de l'Institut Archéologique du </w:t>
      </w:r>
      <w:r>
        <w:rPr>
          <w:i/>
          <w:iCs/>
        </w:rPr>
        <w:t>Luxembourg</w:t>
      </w:r>
      <w:r>
        <w:rPr>
          <w:iCs/>
        </w:rPr>
        <w:t>, 2011, n° 87/</w:t>
      </w:r>
      <w:r w:rsidRPr="00674CBB">
        <w:rPr>
          <w:iCs/>
        </w:rPr>
        <w:t>4, p. 155-176</w:t>
      </w:r>
      <w:r>
        <w:rPr>
          <w:iCs/>
        </w:rPr>
        <w:t xml:space="preserve"> ; Peter </w:t>
      </w:r>
      <w:r>
        <w:t>N</w:t>
      </w:r>
      <w:r>
        <w:rPr>
          <w:smallCaps/>
        </w:rPr>
        <w:t>oelke</w:t>
      </w:r>
      <w:r>
        <w:t xml:space="preserve">, Bernd </w:t>
      </w:r>
      <w:r w:rsidRPr="00674CBB">
        <w:rPr>
          <w:smallCaps/>
        </w:rPr>
        <w:t>Kibilka</w:t>
      </w:r>
      <w:r>
        <w:t>, Dorothée K</w:t>
      </w:r>
      <w:r w:rsidRPr="00674CBB">
        <w:rPr>
          <w:smallCaps/>
        </w:rPr>
        <w:t>emper</w:t>
      </w:r>
      <w:r>
        <w:t xml:space="preserve">, </w:t>
      </w:r>
      <w:r>
        <w:rPr>
          <w:lang w:val="fr-FR"/>
        </w:rPr>
        <w:t xml:space="preserve">« </w:t>
      </w:r>
      <w:r w:rsidRPr="00D91FA3">
        <w:t>Zu den Grabreliefs mit Darstellung des convivium coniugale im romischen Germanien und im benachbarten Gallien</w:t>
      </w:r>
      <w:r>
        <w:t xml:space="preserve"> </w:t>
      </w:r>
      <w:r>
        <w:rPr>
          <w:lang w:val="fr-FR"/>
        </w:rPr>
        <w:t>»</w:t>
      </w:r>
      <w:r>
        <w:t xml:space="preserve">, dans </w:t>
      </w:r>
      <w:r w:rsidRPr="00674CBB">
        <w:rPr>
          <w:i/>
        </w:rPr>
        <w:t>Bonner Jahrbücher</w:t>
      </w:r>
      <w:r>
        <w:t>, 2005, n° 205, p. 155-241.</w:t>
      </w:r>
    </w:p>
  </w:footnote>
  <w:footnote w:id="72">
    <w:p w14:paraId="274BDCB7" w14:textId="1E5E0FD7" w:rsidR="006C2965" w:rsidRPr="00295B22" w:rsidRDefault="006C2965" w:rsidP="005A4721">
      <w:pPr>
        <w:pStyle w:val="Notedebasdepage"/>
        <w:jc w:val="both"/>
        <w:rPr>
          <w:lang w:val="fr-FR"/>
        </w:rPr>
      </w:pPr>
      <w:r>
        <w:rPr>
          <w:rStyle w:val="Appelnotedebasdep"/>
        </w:rPr>
        <w:footnoteRef/>
      </w:r>
      <w:r>
        <w:rPr>
          <w:lang w:val="fr-FR"/>
        </w:rPr>
        <w:t> </w:t>
      </w:r>
      <w:r w:rsidRPr="005705B7">
        <w:rPr>
          <w:lang w:val="fr-FR"/>
        </w:rPr>
        <w:t xml:space="preserve">Sur la </w:t>
      </w:r>
      <w:r>
        <w:rPr>
          <w:lang w:val="fr-FR"/>
        </w:rPr>
        <w:t xml:space="preserve">pratique de la comparaison, de la collecte de sources et sur le </w:t>
      </w:r>
      <w:r w:rsidRPr="005705B7">
        <w:rPr>
          <w:lang w:val="fr-FR"/>
        </w:rPr>
        <w:t>corpus</w:t>
      </w:r>
      <w:r>
        <w:rPr>
          <w:lang w:val="fr-FR"/>
        </w:rPr>
        <w:t xml:space="preserve"> de Gruter</w:t>
      </w:r>
      <w:r w:rsidRPr="005705B7">
        <w:rPr>
          <w:lang w:val="fr-FR"/>
        </w:rPr>
        <w:t>, voir notamment</w:t>
      </w:r>
      <w:r>
        <w:rPr>
          <w:lang w:val="fr-FR"/>
        </w:rPr>
        <w:t> </w:t>
      </w:r>
      <w:r w:rsidRPr="005705B7">
        <w:rPr>
          <w:lang w:val="fr-FR"/>
        </w:rPr>
        <w:t>:</w:t>
      </w:r>
      <w:r>
        <w:rPr>
          <w:lang w:val="fr-FR"/>
        </w:rPr>
        <w:t xml:space="preserve"> W.</w:t>
      </w:r>
      <w:r w:rsidRPr="005705B7">
        <w:rPr>
          <w:lang w:val="fr-FR"/>
        </w:rPr>
        <w:t xml:space="preserve"> </w:t>
      </w:r>
      <w:r w:rsidRPr="005705B7">
        <w:rPr>
          <w:bCs/>
          <w:lang w:val="fr-FR"/>
        </w:rPr>
        <w:t>S</w:t>
      </w:r>
      <w:r w:rsidRPr="005705B7">
        <w:rPr>
          <w:bCs/>
          <w:smallCaps/>
          <w:lang w:val="fr-FR"/>
        </w:rPr>
        <w:t>tenhouse</w:t>
      </w:r>
      <w:r w:rsidRPr="005705B7">
        <w:rPr>
          <w:bCs/>
          <w:lang w:val="fr-FR"/>
        </w:rPr>
        <w:t xml:space="preserve">, </w:t>
      </w:r>
      <w:r>
        <w:rPr>
          <w:bCs/>
          <w:i/>
          <w:lang w:val="fr-FR"/>
        </w:rPr>
        <w:t>op. cit.</w:t>
      </w:r>
      <w:r w:rsidRPr="00295B22">
        <w:rPr>
          <w:lang w:val="fr-FR"/>
        </w:rPr>
        <w:t>, p.</w:t>
      </w:r>
      <w:r w:rsidRPr="00295B22">
        <w:rPr>
          <w:b/>
          <w:lang w:val="fr-FR"/>
        </w:rPr>
        <w:t> </w:t>
      </w:r>
      <w:r w:rsidRPr="00295B22">
        <w:rPr>
          <w:lang w:val="fr-FR"/>
        </w:rPr>
        <w:t>303-305.</w:t>
      </w:r>
    </w:p>
  </w:footnote>
  <w:footnote w:id="73">
    <w:p w14:paraId="002801A2" w14:textId="45E6950F" w:rsidR="006C2965" w:rsidRPr="00514A48" w:rsidRDefault="006C2965" w:rsidP="005A4721">
      <w:pPr>
        <w:pStyle w:val="Notedebasdepage"/>
        <w:jc w:val="both"/>
        <w:rPr>
          <w:lang w:val="en-US"/>
        </w:rPr>
      </w:pPr>
      <w:r>
        <w:rPr>
          <w:rStyle w:val="Appelnotedebasdep"/>
        </w:rPr>
        <w:footnoteRef/>
      </w:r>
      <w:r w:rsidRPr="00514A48">
        <w:rPr>
          <w:lang w:val="en-US"/>
        </w:rPr>
        <w:t xml:space="preserve"> </w:t>
      </w:r>
      <w:r w:rsidRPr="00514A48">
        <w:rPr>
          <w:i/>
          <w:lang w:val="en-US"/>
        </w:rPr>
        <w:t>CIL</w:t>
      </w:r>
      <w:r w:rsidRPr="00514A48">
        <w:rPr>
          <w:lang w:val="en-US"/>
        </w:rPr>
        <w:t xml:space="preserve"> XIII, 1984 et 1895. </w:t>
      </w:r>
      <w:r w:rsidRPr="00BB17DE">
        <w:rPr>
          <w:lang w:val="en-US"/>
        </w:rPr>
        <w:t>A.</w:t>
      </w:r>
      <w:r>
        <w:rPr>
          <w:lang w:val="en-US"/>
        </w:rPr>
        <w:t xml:space="preserve"> </w:t>
      </w:r>
      <w:r w:rsidRPr="00BB17DE">
        <w:rPr>
          <w:smallCaps/>
          <w:lang w:val="en-US"/>
        </w:rPr>
        <w:t>Wiltheim</w:t>
      </w:r>
      <w:r>
        <w:rPr>
          <w:smallCaps/>
          <w:lang w:val="en-US"/>
        </w:rPr>
        <w:t xml:space="preserve">, </w:t>
      </w:r>
      <w:r w:rsidRPr="00BB17DE">
        <w:rPr>
          <w:i/>
          <w:lang w:val="en-US"/>
        </w:rPr>
        <w:t>op. cit.</w:t>
      </w:r>
      <w:r w:rsidRPr="00BB17DE">
        <w:rPr>
          <w:lang w:val="en-US"/>
        </w:rPr>
        <w:t>,</w:t>
      </w:r>
      <w:r>
        <w:rPr>
          <w:smallCaps/>
          <w:lang w:val="en-US"/>
        </w:rPr>
        <w:t xml:space="preserve"> </w:t>
      </w:r>
      <w:r w:rsidRPr="00BB17DE">
        <w:rPr>
          <w:iCs/>
          <w:lang w:val="en-US"/>
        </w:rPr>
        <w:t>p.</w:t>
      </w:r>
      <w:r w:rsidRPr="00514A48">
        <w:rPr>
          <w:iCs/>
          <w:lang w:val="en-US"/>
        </w:rPr>
        <w:t> 247, 296.</w:t>
      </w:r>
    </w:p>
  </w:footnote>
  <w:footnote w:id="74">
    <w:p w14:paraId="3998BA10" w14:textId="0046942D" w:rsidR="006C2965" w:rsidRPr="001F432D" w:rsidRDefault="006C2965" w:rsidP="005A4721">
      <w:pPr>
        <w:pStyle w:val="Notedebasdepage"/>
        <w:jc w:val="both"/>
      </w:pPr>
      <w:r>
        <w:rPr>
          <w:rStyle w:val="Appelnotedebasdep"/>
        </w:rPr>
        <w:footnoteRef/>
      </w:r>
      <w:r w:rsidRPr="00514A48">
        <w:rPr>
          <w:lang w:val="en-US"/>
        </w:rPr>
        <w:t xml:space="preserve"> </w:t>
      </w:r>
      <w:r>
        <w:rPr>
          <w:i/>
          <w:lang w:val="en-US"/>
        </w:rPr>
        <w:t>Ibid.</w:t>
      </w:r>
      <w:r>
        <w:rPr>
          <w:lang w:val="en-US"/>
        </w:rPr>
        <w:t>,</w:t>
      </w:r>
      <w:r w:rsidRPr="00BB17DE">
        <w:rPr>
          <w:iCs/>
          <w:lang w:val="en-US"/>
        </w:rPr>
        <w:t> </w:t>
      </w:r>
      <w:r w:rsidRPr="00514A48">
        <w:rPr>
          <w:iCs/>
          <w:lang w:val="en-US"/>
        </w:rPr>
        <w:t xml:space="preserve">p. 232, 251, 311. </w:t>
      </w:r>
      <w:r>
        <w:rPr>
          <w:iCs/>
        </w:rPr>
        <w:t xml:space="preserve">Le </w:t>
      </w:r>
      <w:r w:rsidRPr="00092458">
        <w:rPr>
          <w:i/>
          <w:iCs/>
        </w:rPr>
        <w:t>De Militia romana</w:t>
      </w:r>
      <w:r>
        <w:rPr>
          <w:iCs/>
        </w:rPr>
        <w:t xml:space="preserve"> (1598) de Juste Lipse est également cité en p. 272.</w:t>
      </w:r>
    </w:p>
  </w:footnote>
  <w:footnote w:id="75">
    <w:p w14:paraId="1F818BB9" w14:textId="77777777" w:rsidR="00DA1666" w:rsidRPr="001F432D" w:rsidRDefault="00DA1666" w:rsidP="00DA1666">
      <w:pPr>
        <w:pStyle w:val="Notedebasdepage"/>
        <w:jc w:val="both"/>
      </w:pPr>
      <w:r>
        <w:rPr>
          <w:rStyle w:val="Appelnotedebasdep"/>
        </w:rPr>
        <w:footnoteRef/>
      </w:r>
      <w:r w:rsidRPr="00F07633">
        <w:rPr>
          <w:lang w:val="nl-BE"/>
        </w:rPr>
        <w:t xml:space="preserve"> Georg P</w:t>
      </w:r>
      <w:r w:rsidRPr="00F07633">
        <w:rPr>
          <w:smallCaps/>
          <w:lang w:val="nl-BE"/>
        </w:rPr>
        <w:t>etzl</w:t>
      </w:r>
      <w:r w:rsidRPr="00F07633">
        <w:rPr>
          <w:lang w:val="nl-BE"/>
        </w:rPr>
        <w:t xml:space="preserve">, </w:t>
      </w:r>
      <w:r w:rsidRPr="00F07633">
        <w:rPr>
          <w:i/>
          <w:lang w:val="nl-BE"/>
        </w:rPr>
        <w:t>Die Inschriften von Smyrna</w:t>
      </w:r>
      <w:r w:rsidRPr="00F07633">
        <w:rPr>
          <w:lang w:val="nl-BE"/>
        </w:rPr>
        <w:t xml:space="preserve">, Bonn, </w:t>
      </w:r>
      <w:r>
        <w:rPr>
          <w:lang w:val="nl-BE"/>
        </w:rPr>
        <w:t xml:space="preserve">Habelt, </w:t>
      </w:r>
      <w:r w:rsidRPr="00F07633">
        <w:rPr>
          <w:lang w:val="nl-BE"/>
        </w:rPr>
        <w:t xml:space="preserve">1982, n° 539. </w:t>
      </w:r>
      <w:r w:rsidRPr="001F432D">
        <w:t xml:space="preserve">A. </w:t>
      </w:r>
      <w:r w:rsidRPr="001F432D">
        <w:rPr>
          <w:smallCaps/>
        </w:rPr>
        <w:t xml:space="preserve">Wiltheim, </w:t>
      </w:r>
      <w:r w:rsidRPr="001F432D">
        <w:rPr>
          <w:i/>
        </w:rPr>
        <w:t>op. cit.</w:t>
      </w:r>
      <w:r w:rsidRPr="001F432D">
        <w:t>,</w:t>
      </w:r>
      <w:r w:rsidRPr="001F432D">
        <w:rPr>
          <w:smallCaps/>
        </w:rPr>
        <w:t xml:space="preserve"> </w:t>
      </w:r>
      <w:r w:rsidRPr="001F432D">
        <w:rPr>
          <w:iCs/>
        </w:rPr>
        <w:t xml:space="preserve">p. 204. </w:t>
      </w:r>
    </w:p>
  </w:footnote>
  <w:footnote w:id="76">
    <w:p w14:paraId="58A1F34C" w14:textId="77777777" w:rsidR="00D021EB" w:rsidRPr="00AF2476" w:rsidRDefault="00D021EB" w:rsidP="00D021EB">
      <w:pPr>
        <w:pStyle w:val="Notedebasdepage"/>
        <w:rPr>
          <w:iCs/>
        </w:rPr>
      </w:pPr>
      <w:r>
        <w:rPr>
          <w:rStyle w:val="Appelnotedebasdep"/>
        </w:rPr>
        <w:footnoteRef/>
      </w:r>
      <w:r w:rsidRPr="001F432D">
        <w:t xml:space="preserve"> </w:t>
      </w:r>
      <w:r w:rsidRPr="001F432D">
        <w:rPr>
          <w:i/>
          <w:iCs/>
        </w:rPr>
        <w:t>CIL</w:t>
      </w:r>
      <w:r w:rsidRPr="001F432D">
        <w:rPr>
          <w:iCs/>
        </w:rPr>
        <w:t xml:space="preserve"> XIII, n° 6431, 6432, 6668, 6742. </w:t>
      </w:r>
      <w:r w:rsidRPr="00AF2476">
        <w:t xml:space="preserve">A. </w:t>
      </w:r>
      <w:r w:rsidRPr="00AF2476">
        <w:rPr>
          <w:smallCaps/>
        </w:rPr>
        <w:t xml:space="preserve">Wiltheim, </w:t>
      </w:r>
      <w:r w:rsidRPr="00AF2476">
        <w:rPr>
          <w:i/>
        </w:rPr>
        <w:t>op. cit.</w:t>
      </w:r>
      <w:r w:rsidRPr="00AF2476">
        <w:t>,</w:t>
      </w:r>
      <w:r w:rsidRPr="00AF2476">
        <w:rPr>
          <w:smallCaps/>
        </w:rPr>
        <w:t xml:space="preserve"> </w:t>
      </w:r>
      <w:r w:rsidRPr="00AF2476">
        <w:rPr>
          <w:iCs/>
        </w:rPr>
        <w:t>p</w:t>
      </w:r>
      <w:r w:rsidRPr="00F07633">
        <w:rPr>
          <w:iCs/>
        </w:rPr>
        <w:t>. 233.</w:t>
      </w:r>
    </w:p>
  </w:footnote>
  <w:footnote w:id="77">
    <w:p w14:paraId="3A7A21C2" w14:textId="77777777" w:rsidR="00D021EB" w:rsidRPr="00BF5F58" w:rsidRDefault="00D021EB" w:rsidP="00D021EB">
      <w:pPr>
        <w:pStyle w:val="Notedebasdepage"/>
        <w:jc w:val="both"/>
        <w:rPr>
          <w:iCs/>
          <w:lang w:val="nl-NL"/>
        </w:rPr>
      </w:pPr>
      <w:r>
        <w:rPr>
          <w:rStyle w:val="Appelnotedebasdep"/>
        </w:rPr>
        <w:footnoteRef/>
      </w:r>
      <w:r w:rsidRPr="00ED2E71">
        <w:rPr>
          <w:lang w:val="fr-FR"/>
        </w:rPr>
        <w:t xml:space="preserve"> </w:t>
      </w:r>
      <w:r w:rsidRPr="006B063B">
        <w:rPr>
          <w:iCs/>
        </w:rPr>
        <w:t xml:space="preserve">La lettre de Jacques Gamans est </w:t>
      </w:r>
      <w:r>
        <w:rPr>
          <w:iCs/>
        </w:rPr>
        <w:t>conservée</w:t>
      </w:r>
      <w:r w:rsidRPr="006B063B">
        <w:rPr>
          <w:iCs/>
        </w:rPr>
        <w:t xml:space="preserve"> :</w:t>
      </w:r>
      <w:r>
        <w:rPr>
          <w:iCs/>
        </w:rPr>
        <w:t xml:space="preserve"> J.-Cl.</w:t>
      </w:r>
      <w:r w:rsidRPr="006B063B">
        <w:rPr>
          <w:iCs/>
        </w:rPr>
        <w:t xml:space="preserve"> </w:t>
      </w:r>
      <w:r w:rsidRPr="00BF5F58">
        <w:rPr>
          <w:iCs/>
          <w:lang w:val="nl-NL"/>
        </w:rPr>
        <w:t>M</w:t>
      </w:r>
      <w:r w:rsidRPr="00BF5F58">
        <w:rPr>
          <w:iCs/>
          <w:smallCaps/>
          <w:lang w:val="nl-NL"/>
        </w:rPr>
        <w:t>üller</w:t>
      </w:r>
      <w:r w:rsidRPr="00BF5F58">
        <w:rPr>
          <w:iCs/>
          <w:lang w:val="nl-NL"/>
        </w:rPr>
        <w:t xml:space="preserve">, </w:t>
      </w:r>
      <w:r w:rsidRPr="00BF5F58">
        <w:rPr>
          <w:i/>
          <w:iCs/>
          <w:lang w:val="nl-NL"/>
        </w:rPr>
        <w:t>op. cit.</w:t>
      </w:r>
      <w:r w:rsidRPr="00BF5F58">
        <w:rPr>
          <w:iCs/>
          <w:lang w:val="nl-NL"/>
        </w:rPr>
        <w:t>, p. 203-204.</w:t>
      </w:r>
    </w:p>
  </w:footnote>
  <w:footnote w:id="78">
    <w:p w14:paraId="192DD2BF" w14:textId="4F91C903" w:rsidR="006C2965" w:rsidRPr="001F432D" w:rsidRDefault="006C2965" w:rsidP="005A4721">
      <w:pPr>
        <w:pStyle w:val="Notedebasdepage"/>
        <w:jc w:val="both"/>
        <w:rPr>
          <w:lang w:val="nl-NL"/>
        </w:rPr>
      </w:pPr>
      <w:r>
        <w:rPr>
          <w:rStyle w:val="Appelnotedebasdep"/>
        </w:rPr>
        <w:footnoteRef/>
      </w:r>
      <w:r w:rsidRPr="001F432D">
        <w:rPr>
          <w:iCs/>
          <w:lang w:val="nl-NL"/>
        </w:rPr>
        <w:t xml:space="preserve"> </w:t>
      </w:r>
      <w:r w:rsidRPr="001F432D">
        <w:rPr>
          <w:i/>
          <w:iCs/>
          <w:lang w:val="nl-NL"/>
        </w:rPr>
        <w:t>Ibid.</w:t>
      </w:r>
      <w:r w:rsidRPr="001F432D">
        <w:rPr>
          <w:iCs/>
          <w:lang w:val="nl-NL"/>
        </w:rPr>
        <w:t>, p. 206, 208.</w:t>
      </w:r>
    </w:p>
  </w:footnote>
  <w:footnote w:id="79">
    <w:p w14:paraId="2286DE0F" w14:textId="2D552F24" w:rsidR="006C2965" w:rsidRDefault="006C2965" w:rsidP="005A4721">
      <w:pPr>
        <w:pStyle w:val="Notedebasdepage"/>
        <w:jc w:val="both"/>
      </w:pPr>
      <w:r>
        <w:rPr>
          <w:rStyle w:val="Appelnotedebasdep"/>
        </w:rPr>
        <w:footnoteRef/>
      </w:r>
      <w:r>
        <w:t xml:space="preserve"> </w:t>
      </w:r>
      <w:r w:rsidRPr="001F432D">
        <w:t xml:space="preserve">A. </w:t>
      </w:r>
      <w:r w:rsidRPr="001F432D">
        <w:rPr>
          <w:smallCaps/>
        </w:rPr>
        <w:t xml:space="preserve">Wiltheim, </w:t>
      </w:r>
      <w:r w:rsidRPr="001F432D">
        <w:rPr>
          <w:i/>
        </w:rPr>
        <w:t>op. cit.</w:t>
      </w:r>
      <w:r w:rsidRPr="001F432D">
        <w:t>,</w:t>
      </w:r>
      <w:r w:rsidRPr="001F432D">
        <w:rPr>
          <w:smallCaps/>
        </w:rPr>
        <w:t xml:space="preserve"> </w:t>
      </w:r>
      <w:r w:rsidRPr="001F432D">
        <w:rPr>
          <w:iCs/>
        </w:rPr>
        <w:t>p</w:t>
      </w:r>
      <w:r w:rsidRPr="005B4E0F">
        <w:rPr>
          <w:iCs/>
        </w:rPr>
        <w:t>. </w:t>
      </w:r>
      <w:r>
        <w:rPr>
          <w:iCs/>
        </w:rPr>
        <w:t>177, 297-299.</w:t>
      </w:r>
    </w:p>
  </w:footnote>
  <w:footnote w:id="80">
    <w:p w14:paraId="7AA0F231" w14:textId="1F8554E6" w:rsidR="006C2965" w:rsidRPr="00AA7587" w:rsidRDefault="006C2965" w:rsidP="00ED2E71">
      <w:pPr>
        <w:pStyle w:val="Notedebasdepage"/>
        <w:jc w:val="both"/>
      </w:pPr>
      <w:r>
        <w:rPr>
          <w:rStyle w:val="Appelnotedebasdep"/>
        </w:rPr>
        <w:footnoteRef/>
      </w:r>
      <w:r>
        <w:t xml:space="preserve"> </w:t>
      </w:r>
      <w:r w:rsidRPr="0098038D">
        <w:rPr>
          <w:smallCaps/>
        </w:rPr>
        <w:t>Pline</w:t>
      </w:r>
      <w:r>
        <w:t xml:space="preserve">, </w:t>
      </w:r>
      <w:r w:rsidRPr="000D0A79">
        <w:rPr>
          <w:i/>
        </w:rPr>
        <w:t>Histoire naturelle</w:t>
      </w:r>
      <w:r>
        <w:t>, XXXV, XLVI, 1 et 5. Sur l’</w:t>
      </w:r>
      <w:r>
        <w:rPr>
          <w:i/>
        </w:rPr>
        <w:t xml:space="preserve">opus signinum </w:t>
      </w:r>
      <w:r>
        <w:t xml:space="preserve">que mentionne Wiltheim à partir de Pline (s’inspirant lui-même fortement de Vitruve), voir : Pierre </w:t>
      </w:r>
      <w:r w:rsidRPr="00AA7587">
        <w:rPr>
          <w:smallCaps/>
        </w:rPr>
        <w:t>Gros</w:t>
      </w:r>
      <w:r>
        <w:t>, « </w:t>
      </w:r>
      <w:r w:rsidRPr="006D44B6">
        <w:t>L’</w:t>
      </w:r>
      <w:r w:rsidRPr="006D44B6">
        <w:rPr>
          <w:i/>
        </w:rPr>
        <w:t xml:space="preserve">opus signinum </w:t>
      </w:r>
      <w:r w:rsidRPr="006D44B6">
        <w:t>selon Vitruve et dans la terminologie archéologique contemporaine »</w:t>
      </w:r>
      <w:r>
        <w:t xml:space="preserve">, dans Pierre </w:t>
      </w:r>
      <w:r w:rsidRPr="00AA7587">
        <w:rPr>
          <w:smallCaps/>
        </w:rPr>
        <w:t>Gros</w:t>
      </w:r>
      <w:r>
        <w:t xml:space="preserve">, </w:t>
      </w:r>
      <w:r w:rsidRPr="00AA7587">
        <w:rPr>
          <w:i/>
        </w:rPr>
        <w:t>Vitruve et la tradition des traités d’architecture. Fabrica et ratiocinatio</w:t>
      </w:r>
      <w:r>
        <w:t>, Rome, É</w:t>
      </w:r>
      <w:r w:rsidRPr="006D44B6">
        <w:t>cole française de Rome</w:t>
      </w:r>
      <w:r>
        <w:t>,</w:t>
      </w:r>
      <w:r w:rsidRPr="006D44B6">
        <w:t xml:space="preserve"> </w:t>
      </w:r>
      <w:r>
        <w:t>2006 (Collection de l’École française de Rome, 366), p. 473-484.</w:t>
      </w:r>
    </w:p>
  </w:footnote>
  <w:footnote w:id="81">
    <w:p w14:paraId="09D80170" w14:textId="58F93326" w:rsidR="006C2965" w:rsidRPr="00626BAC" w:rsidRDefault="006C2965" w:rsidP="005A4721">
      <w:pPr>
        <w:spacing w:after="0" w:line="240" w:lineRule="auto"/>
        <w:jc w:val="both"/>
      </w:pPr>
      <w:r>
        <w:rPr>
          <w:rStyle w:val="Appelnotedebasdep"/>
        </w:rPr>
        <w:footnoteRef/>
      </w:r>
      <w:r>
        <w:t xml:space="preserve"> Gérard </w:t>
      </w:r>
      <w:r w:rsidRPr="00AF506D">
        <w:rPr>
          <w:smallCaps/>
        </w:rPr>
        <w:t>Coulon</w:t>
      </w:r>
      <w:r w:rsidRPr="00AF506D">
        <w:t xml:space="preserve">, </w:t>
      </w:r>
      <w:r w:rsidRPr="00AF506D">
        <w:rPr>
          <w:i/>
        </w:rPr>
        <w:t>Les voies romaines en Gaule</w:t>
      </w:r>
      <w:r w:rsidRPr="00AF506D">
        <w:t xml:space="preserve">, s. l. [Paris], </w:t>
      </w:r>
      <w:r>
        <w:t xml:space="preserve">Errance, </w:t>
      </w:r>
      <w:r w:rsidRPr="00AF506D">
        <w:t>2007 (Collec</w:t>
      </w:r>
      <w:r>
        <w:t>tion Promenades archéologiques</w:t>
      </w:r>
      <w:r w:rsidRPr="00626BAC">
        <w:t>), p. 70 ;</w:t>
      </w:r>
      <w:r>
        <w:t xml:space="preserve"> Pierre</w:t>
      </w:r>
      <w:r w:rsidRPr="00626BAC">
        <w:t xml:space="preserve"> </w:t>
      </w:r>
      <w:r w:rsidRPr="003B67D3">
        <w:rPr>
          <w:smallCaps/>
        </w:rPr>
        <w:t>Fustier</w:t>
      </w:r>
      <w:r w:rsidRPr="003B67D3">
        <w:t xml:space="preserve">, </w:t>
      </w:r>
      <w:r w:rsidRPr="003B67D3">
        <w:rPr>
          <w:i/>
        </w:rPr>
        <w:t>La route. Voies antiques. Chemins anciens. Chaussées modernes</w:t>
      </w:r>
      <w:r w:rsidRPr="003B67D3">
        <w:t xml:space="preserve">, Paris, </w:t>
      </w:r>
      <w:r>
        <w:t xml:space="preserve">Picard, </w:t>
      </w:r>
      <w:r w:rsidRPr="003B67D3">
        <w:t>1968</w:t>
      </w:r>
      <w:r>
        <w:t xml:space="preserve">, </w:t>
      </w:r>
      <w:r w:rsidRPr="00626BAC">
        <w:t>p. 27 ;</w:t>
      </w:r>
      <w:r>
        <w:t xml:space="preserve"> Victor Wolfgang</w:t>
      </w:r>
      <w:r w:rsidRPr="00626BAC">
        <w:t xml:space="preserve"> </w:t>
      </w:r>
      <w:r w:rsidRPr="00986425">
        <w:rPr>
          <w:smallCaps/>
        </w:rPr>
        <w:t>Von Hagen</w:t>
      </w:r>
      <w:r>
        <w:t xml:space="preserve">, </w:t>
      </w:r>
      <w:r w:rsidRPr="00986425">
        <w:rPr>
          <w:i/>
        </w:rPr>
        <w:t>Les voies romaines</w:t>
      </w:r>
      <w:r>
        <w:t xml:space="preserve">, Paris, Hachette, 1967, </w:t>
      </w:r>
      <w:r w:rsidRPr="00626BAC">
        <w:t>p. 15.</w:t>
      </w:r>
    </w:p>
  </w:footnote>
  <w:footnote w:id="82">
    <w:p w14:paraId="2F1E7486" w14:textId="34254807" w:rsidR="006C2965" w:rsidRPr="005A03BE" w:rsidRDefault="006C2965" w:rsidP="005A4721">
      <w:pPr>
        <w:spacing w:after="0" w:line="240" w:lineRule="auto"/>
        <w:jc w:val="both"/>
        <w:rPr>
          <w:lang w:val="fr-FR"/>
        </w:rPr>
      </w:pPr>
      <w:r>
        <w:rPr>
          <w:rStyle w:val="Appelnotedebasdep"/>
        </w:rPr>
        <w:footnoteRef/>
      </w:r>
      <w:r>
        <w:t xml:space="preserve"> </w:t>
      </w:r>
      <w:r w:rsidRPr="00626BAC">
        <w:t>Cette confrontation des monuments antiques avec le texte de Vitruve fut principalement mise en place par Leon Battista Alberti (1404-1472).</w:t>
      </w:r>
      <w:r>
        <w:t xml:space="preserve"> </w:t>
      </w:r>
      <w:r w:rsidRPr="00B34573">
        <w:rPr>
          <w:lang w:val="en-US"/>
        </w:rPr>
        <w:t>Br</w:t>
      </w:r>
      <w:r>
        <w:rPr>
          <w:lang w:val="en-US"/>
        </w:rPr>
        <w:t>uce</w:t>
      </w:r>
      <w:r w:rsidRPr="00B34573">
        <w:rPr>
          <w:lang w:val="en-US"/>
        </w:rPr>
        <w:t xml:space="preserve"> </w:t>
      </w:r>
      <w:r>
        <w:rPr>
          <w:rFonts w:cs="Calibri"/>
          <w:smallCaps/>
          <w:szCs w:val="22"/>
          <w:lang w:val="en-US" w:eastAsia="fr-FR"/>
        </w:rPr>
        <w:t>Trigger</w:t>
      </w:r>
      <w:r>
        <w:rPr>
          <w:rFonts w:cs="Calibri"/>
          <w:szCs w:val="22"/>
          <w:lang w:val="en-US" w:eastAsia="fr-FR"/>
        </w:rPr>
        <w:t xml:space="preserve">, </w:t>
      </w:r>
      <w:r>
        <w:rPr>
          <w:rFonts w:cs="Calibri"/>
          <w:i/>
          <w:szCs w:val="22"/>
          <w:lang w:val="en-US" w:eastAsia="fr-FR"/>
        </w:rPr>
        <w:t>A History of Archaeological Thought</w:t>
      </w:r>
      <w:r>
        <w:rPr>
          <w:rFonts w:cs="Calibri"/>
          <w:szCs w:val="22"/>
          <w:lang w:val="en-US" w:eastAsia="fr-FR"/>
        </w:rPr>
        <w:t xml:space="preserve">, </w:t>
      </w:r>
      <w:bookmarkStart w:id="9" w:name="_Hlk485660495"/>
      <w:r>
        <w:rPr>
          <w:rFonts w:cs="Calibri"/>
          <w:szCs w:val="22"/>
          <w:lang w:val="en-US" w:eastAsia="fr-FR"/>
        </w:rPr>
        <w:t>2</w:t>
      </w:r>
      <w:r>
        <w:rPr>
          <w:rFonts w:cs="Calibri"/>
          <w:szCs w:val="22"/>
          <w:vertAlign w:val="superscript"/>
          <w:lang w:val="en-US" w:eastAsia="fr-FR"/>
        </w:rPr>
        <w:t>e</w:t>
      </w:r>
      <w:r>
        <w:rPr>
          <w:rFonts w:cs="Calibri"/>
          <w:szCs w:val="22"/>
          <w:lang w:val="en-US" w:eastAsia="fr-FR"/>
        </w:rPr>
        <w:t xml:space="preserve"> éd., Cambridge, </w:t>
      </w:r>
      <w:r w:rsidRPr="00B34573">
        <w:rPr>
          <w:rFonts w:cs="Calibri"/>
          <w:szCs w:val="22"/>
          <w:lang w:val="en-US" w:eastAsia="fr-FR"/>
        </w:rPr>
        <w:t>Cambridge University Press</w:t>
      </w:r>
      <w:r>
        <w:rPr>
          <w:rFonts w:cs="Calibri"/>
          <w:szCs w:val="22"/>
          <w:lang w:val="en-US" w:eastAsia="fr-FR"/>
        </w:rPr>
        <w:t>,</w:t>
      </w:r>
      <w:r w:rsidRPr="00B34573">
        <w:rPr>
          <w:rFonts w:cs="Calibri"/>
          <w:szCs w:val="22"/>
          <w:lang w:val="en-US" w:eastAsia="fr-FR"/>
        </w:rPr>
        <w:t xml:space="preserve"> </w:t>
      </w:r>
      <w:r>
        <w:rPr>
          <w:rFonts w:cs="Calibri"/>
          <w:szCs w:val="22"/>
          <w:lang w:val="en-US" w:eastAsia="fr-FR"/>
        </w:rPr>
        <w:t>2006</w:t>
      </w:r>
      <w:bookmarkEnd w:id="9"/>
      <w:r>
        <w:rPr>
          <w:rFonts w:cs="Calibri"/>
          <w:szCs w:val="22"/>
          <w:lang w:val="en-US" w:eastAsia="fr-FR"/>
        </w:rPr>
        <w:t xml:space="preserve">, p. 54 ; William </w:t>
      </w:r>
      <w:r w:rsidRPr="002267C6">
        <w:rPr>
          <w:bCs/>
          <w:lang w:val="en-GB"/>
        </w:rPr>
        <w:t>S</w:t>
      </w:r>
      <w:r w:rsidRPr="00B126F4">
        <w:rPr>
          <w:bCs/>
          <w:smallCaps/>
          <w:lang w:val="en-GB"/>
        </w:rPr>
        <w:t>tenhouse</w:t>
      </w:r>
      <w:r w:rsidRPr="002267C6">
        <w:rPr>
          <w:bCs/>
          <w:lang w:val="en-GB"/>
        </w:rPr>
        <w:t xml:space="preserve">, </w:t>
      </w:r>
      <w:r>
        <w:rPr>
          <w:bCs/>
          <w:i/>
          <w:lang w:val="en-GB"/>
        </w:rPr>
        <w:t>Reading Inscriptions and Writing Ancient History: H</w:t>
      </w:r>
      <w:r w:rsidRPr="002267C6">
        <w:rPr>
          <w:bCs/>
          <w:i/>
          <w:lang w:val="en-GB"/>
        </w:rPr>
        <w:t>isto</w:t>
      </w:r>
      <w:r>
        <w:rPr>
          <w:bCs/>
          <w:i/>
          <w:lang w:val="en-GB"/>
        </w:rPr>
        <w:t>rical Scholarship in the L</w:t>
      </w:r>
      <w:r w:rsidRPr="002267C6">
        <w:rPr>
          <w:bCs/>
          <w:i/>
          <w:lang w:val="en-GB"/>
        </w:rPr>
        <w:t>ate Renaissance</w:t>
      </w:r>
      <w:r>
        <w:rPr>
          <w:bCs/>
          <w:lang w:val="en-GB"/>
        </w:rPr>
        <w:t xml:space="preserve">, Londres, </w:t>
      </w:r>
      <w:r w:rsidRPr="00B34573">
        <w:rPr>
          <w:bCs/>
          <w:lang w:val="en-GB"/>
        </w:rPr>
        <w:t xml:space="preserve">University of London. </w:t>
      </w:r>
      <w:r w:rsidRPr="00B34573">
        <w:rPr>
          <w:bCs/>
        </w:rPr>
        <w:t>Institute of classical studies, 2005, p. 23 ; Sa</w:t>
      </w:r>
      <w:r>
        <w:rPr>
          <w:bCs/>
        </w:rPr>
        <w:t>bine</w:t>
      </w:r>
      <w:r w:rsidRPr="00B34573">
        <w:t xml:space="preserve"> </w:t>
      </w:r>
      <w:r w:rsidRPr="00B34573">
        <w:rPr>
          <w:smallCaps/>
        </w:rPr>
        <w:t>Forero-Mendoza</w:t>
      </w:r>
      <w:r w:rsidRPr="00B34573">
        <w:t xml:space="preserve">, </w:t>
      </w:r>
      <w:r w:rsidRPr="00B34573">
        <w:rPr>
          <w:i/>
        </w:rPr>
        <w:t xml:space="preserve">Le temps des ruines. </w:t>
      </w:r>
      <w:r w:rsidRPr="00DC3851">
        <w:rPr>
          <w:i/>
        </w:rPr>
        <w:t>Le goût des ruines et les formes de la conscience historique à la Renaissance</w:t>
      </w:r>
      <w:r>
        <w:t xml:space="preserve">, Seyssel, Champ vallon, 2002, </w:t>
      </w:r>
      <w:r w:rsidRPr="005A03BE">
        <w:rPr>
          <w:lang w:val="fr-FR"/>
        </w:rPr>
        <w:t>p. 78-82.</w:t>
      </w:r>
    </w:p>
  </w:footnote>
  <w:footnote w:id="83">
    <w:p w14:paraId="3D8C6700" w14:textId="7C2A14CC" w:rsidR="006C2965" w:rsidRPr="005A03BE" w:rsidRDefault="006C2965" w:rsidP="005A4721">
      <w:pPr>
        <w:spacing w:after="0" w:line="240" w:lineRule="auto"/>
        <w:jc w:val="both"/>
        <w:rPr>
          <w:bCs/>
        </w:rPr>
      </w:pPr>
      <w:r>
        <w:rPr>
          <w:rStyle w:val="Appelnotedebasdep"/>
        </w:rPr>
        <w:footnoteRef/>
      </w:r>
      <w:r>
        <w:t xml:space="preserve"> Frédérique </w:t>
      </w:r>
      <w:r w:rsidRPr="00785CBE">
        <w:rPr>
          <w:bCs/>
          <w:smallCaps/>
        </w:rPr>
        <w:t>Lemerle</w:t>
      </w:r>
      <w:r w:rsidRPr="00F94DF6">
        <w:rPr>
          <w:bCs/>
        </w:rPr>
        <w:t xml:space="preserve">, </w:t>
      </w:r>
      <w:r w:rsidRPr="00785CBE">
        <w:rPr>
          <w:bCs/>
          <w:i/>
        </w:rPr>
        <w:t>La Renaissance et les antiquités de la Gaule : l’architecture gallo-romaine vue par les architectes, antiquaires et voyageurs des guerres d’Italie à la Fronde</w:t>
      </w:r>
      <w:r>
        <w:rPr>
          <w:bCs/>
        </w:rPr>
        <w:t xml:space="preserve">, Turnhout, Brepols, 2005, p. 130 ; Gérard </w:t>
      </w:r>
      <w:r w:rsidRPr="005A03BE">
        <w:rPr>
          <w:smallCaps/>
        </w:rPr>
        <w:t>Coulon</w:t>
      </w:r>
      <w:r w:rsidRPr="005A03BE">
        <w:t xml:space="preserve">, </w:t>
      </w:r>
      <w:r>
        <w:rPr>
          <w:i/>
        </w:rPr>
        <w:t>op. cit.</w:t>
      </w:r>
      <w:r>
        <w:t>, p. 70.</w:t>
      </w:r>
    </w:p>
  </w:footnote>
  <w:footnote w:id="84">
    <w:p w14:paraId="25FB3EDF" w14:textId="474073E9" w:rsidR="006C2965" w:rsidRPr="00626BAC" w:rsidRDefault="006C2965" w:rsidP="005A4721">
      <w:pPr>
        <w:pStyle w:val="Notedebasdepage"/>
        <w:jc w:val="both"/>
      </w:pPr>
      <w:r w:rsidRPr="00050949">
        <w:rPr>
          <w:rStyle w:val="Appelnotedebasdep"/>
        </w:rPr>
        <w:footnoteRef/>
      </w:r>
      <w:r w:rsidRPr="00626BAC">
        <w:t xml:space="preserve"> </w:t>
      </w:r>
      <w:r w:rsidRPr="001F432D">
        <w:t xml:space="preserve">A. </w:t>
      </w:r>
      <w:r w:rsidRPr="001F432D">
        <w:rPr>
          <w:smallCaps/>
        </w:rPr>
        <w:t xml:space="preserve">Wiltheim, </w:t>
      </w:r>
      <w:r w:rsidRPr="001F432D">
        <w:rPr>
          <w:i/>
        </w:rPr>
        <w:t>op. cit.</w:t>
      </w:r>
      <w:r w:rsidRPr="001F432D">
        <w:t>,</w:t>
      </w:r>
      <w:r w:rsidRPr="001F432D">
        <w:rPr>
          <w:smallCaps/>
        </w:rPr>
        <w:t xml:space="preserve"> </w:t>
      </w:r>
      <w:r w:rsidRPr="00626BAC">
        <w:rPr>
          <w:iCs/>
        </w:rPr>
        <w:t>p. 95-96.</w:t>
      </w:r>
    </w:p>
  </w:footnote>
  <w:footnote w:id="85">
    <w:p w14:paraId="1582F4F9" w14:textId="1A10A02B" w:rsidR="006C2965" w:rsidRPr="00626BAC" w:rsidRDefault="006C2965" w:rsidP="005A4721">
      <w:pPr>
        <w:pStyle w:val="Notedebasdepage"/>
        <w:jc w:val="both"/>
      </w:pPr>
      <w:r>
        <w:rPr>
          <w:rStyle w:val="Appelnotedebasdep"/>
        </w:rPr>
        <w:footnoteRef/>
      </w:r>
      <w:r w:rsidRPr="00626BAC">
        <w:rPr>
          <w:color w:val="FF0000"/>
        </w:rPr>
        <w:t xml:space="preserve"> </w:t>
      </w:r>
      <w:r w:rsidRPr="00626BAC">
        <w:t xml:space="preserve">« </w:t>
      </w:r>
      <w:r w:rsidRPr="00626BAC">
        <w:rPr>
          <w:i/>
        </w:rPr>
        <w:t>Eustachius Wilthemius, Praeses, et Christophorus Binsfeldius, Senator, Historiae et Antiquitatum nostrarum amantes (…)</w:t>
      </w:r>
      <w:r w:rsidRPr="00626BAC">
        <w:t xml:space="preserve"> ».</w:t>
      </w:r>
      <w:r>
        <w:t xml:space="preserve"> </w:t>
      </w:r>
      <w:r>
        <w:rPr>
          <w:i/>
        </w:rPr>
        <w:t>Ibid.</w:t>
      </w:r>
      <w:r w:rsidRPr="00626BAC">
        <w:rPr>
          <w:iCs/>
        </w:rPr>
        <w:t>, p. 96.</w:t>
      </w:r>
      <w:r>
        <w:rPr>
          <w:iCs/>
        </w:rPr>
        <w:t xml:space="preserve"> Christophe Binsfeld, dont les dates de naissance et de décès sont inconnues, était l’époux de la sœur d’Alexandre Wiltheim, Marie. Juriste de formation, il semble avoir joui de l’estime de son beau-frère en ce qui concerne l’étude des antiquités. Auguste </w:t>
      </w:r>
      <w:r>
        <w:rPr>
          <w:iCs/>
          <w:smallCaps/>
        </w:rPr>
        <w:t>Neÿ</w:t>
      </w:r>
      <w:r w:rsidRPr="00F07633">
        <w:rPr>
          <w:iCs/>
          <w:smallCaps/>
        </w:rPr>
        <w:t>en</w:t>
      </w:r>
      <w:r>
        <w:rPr>
          <w:iCs/>
        </w:rPr>
        <w:t xml:space="preserve">, </w:t>
      </w:r>
      <w:r w:rsidRPr="00F07633">
        <w:rPr>
          <w:i/>
          <w:iCs/>
        </w:rPr>
        <w:t>Biographie luxembourgeoise</w:t>
      </w:r>
      <w:r>
        <w:rPr>
          <w:iCs/>
        </w:rPr>
        <w:t xml:space="preserve">, t. 1, Luxembourg, </w:t>
      </w:r>
      <w:r w:rsidRPr="00B34573">
        <w:rPr>
          <w:iCs/>
        </w:rPr>
        <w:t>Pierre Bruck</w:t>
      </w:r>
      <w:r>
        <w:rPr>
          <w:iCs/>
        </w:rPr>
        <w:t xml:space="preserve">, 1860, p. 71. </w:t>
      </w:r>
    </w:p>
  </w:footnote>
  <w:footnote w:id="86">
    <w:p w14:paraId="6D882153" w14:textId="6F844B5B" w:rsidR="006C2965" w:rsidRPr="00F07633" w:rsidRDefault="006C2965" w:rsidP="005A4721">
      <w:pPr>
        <w:pStyle w:val="Notedebasdepage"/>
        <w:jc w:val="both"/>
        <w:rPr>
          <w:lang w:val="en-US"/>
        </w:rPr>
      </w:pPr>
      <w:r w:rsidRPr="005B12BF">
        <w:rPr>
          <w:rStyle w:val="Appelnotedebasdep"/>
        </w:rPr>
        <w:footnoteRef/>
      </w:r>
      <w:r w:rsidRPr="005B12BF">
        <w:t xml:space="preserve"> « </w:t>
      </w:r>
      <w:r w:rsidRPr="005B12BF">
        <w:rPr>
          <w:i/>
        </w:rPr>
        <w:t>Erat prae manibus Berg</w:t>
      </w:r>
      <w:r>
        <w:rPr>
          <w:i/>
        </w:rPr>
        <w:t xml:space="preserve">ierii Liber. (…) </w:t>
      </w:r>
      <w:r w:rsidRPr="005B12BF">
        <w:rPr>
          <w:i/>
        </w:rPr>
        <w:t>Alia insuper observata nobis, a Bergierio vel neglecta, vel non notata, certe non tradita</w:t>
      </w:r>
      <w:r w:rsidRPr="005B12BF">
        <w:t> ».</w:t>
      </w:r>
      <w:r>
        <w:t xml:space="preserve"> </w:t>
      </w:r>
      <w:r w:rsidRPr="00BB17DE">
        <w:rPr>
          <w:lang w:val="en-US"/>
        </w:rPr>
        <w:t>A.</w:t>
      </w:r>
      <w:r>
        <w:rPr>
          <w:lang w:val="en-US"/>
        </w:rPr>
        <w:t xml:space="preserve"> </w:t>
      </w:r>
      <w:r w:rsidRPr="00BB17DE">
        <w:rPr>
          <w:smallCaps/>
          <w:lang w:val="en-US"/>
        </w:rPr>
        <w:t>Wiltheim</w:t>
      </w:r>
      <w:r>
        <w:rPr>
          <w:smallCaps/>
          <w:lang w:val="en-US"/>
        </w:rPr>
        <w:t xml:space="preserve">, </w:t>
      </w:r>
      <w:r w:rsidRPr="00BB17DE">
        <w:rPr>
          <w:i/>
          <w:lang w:val="en-US"/>
        </w:rPr>
        <w:t>op. cit.</w:t>
      </w:r>
      <w:r w:rsidRPr="00BB17DE">
        <w:rPr>
          <w:lang w:val="en-US"/>
        </w:rPr>
        <w:t>,</w:t>
      </w:r>
      <w:r w:rsidRPr="00F07633">
        <w:rPr>
          <w:iCs/>
          <w:lang w:val="en-US"/>
        </w:rPr>
        <w:t xml:space="preserve"> p. 96.</w:t>
      </w:r>
    </w:p>
  </w:footnote>
  <w:footnote w:id="87">
    <w:p w14:paraId="32A28A9F" w14:textId="3729782D" w:rsidR="006C2965" w:rsidRPr="00F07633" w:rsidRDefault="006C2965" w:rsidP="005A4721">
      <w:pPr>
        <w:pStyle w:val="Notedebasdepage"/>
        <w:jc w:val="both"/>
        <w:rPr>
          <w:lang w:val="en-US"/>
        </w:rPr>
      </w:pPr>
      <w:r>
        <w:rPr>
          <w:rStyle w:val="Appelnotedebasdep"/>
        </w:rPr>
        <w:footnoteRef/>
      </w:r>
      <w:r w:rsidRPr="00F07633">
        <w:rPr>
          <w:lang w:val="en-US"/>
        </w:rPr>
        <w:t xml:space="preserve"> </w:t>
      </w:r>
      <w:r w:rsidRPr="00A22E3F">
        <w:rPr>
          <w:i/>
          <w:lang w:val="en-US"/>
        </w:rPr>
        <w:t>Ibid.</w:t>
      </w:r>
      <w:r>
        <w:rPr>
          <w:lang w:val="en-US"/>
        </w:rPr>
        <w:t xml:space="preserve">, </w:t>
      </w:r>
      <w:r w:rsidRPr="00F07633">
        <w:rPr>
          <w:iCs/>
          <w:lang w:val="en-US"/>
        </w:rPr>
        <w:t>p. 267-268.</w:t>
      </w:r>
    </w:p>
  </w:footnote>
  <w:footnote w:id="88">
    <w:p w14:paraId="0DB238F4" w14:textId="26D26F71" w:rsidR="006C2965" w:rsidRPr="00FB5328" w:rsidRDefault="006C2965" w:rsidP="005A4721">
      <w:pPr>
        <w:pStyle w:val="Notedebasdepage"/>
        <w:jc w:val="both"/>
        <w:rPr>
          <w:lang w:val="en-US"/>
        </w:rPr>
      </w:pPr>
      <w:r>
        <w:rPr>
          <w:rStyle w:val="Appelnotedebasdep"/>
        </w:rPr>
        <w:footnoteRef/>
      </w:r>
      <w:r w:rsidRPr="00FB5328">
        <w:rPr>
          <w:lang w:val="en-US"/>
        </w:rPr>
        <w:t xml:space="preserve"> </w:t>
      </w:r>
      <w:r w:rsidRPr="00A22E3F">
        <w:rPr>
          <w:i/>
          <w:lang w:val="en-US"/>
        </w:rPr>
        <w:t>Ibid.</w:t>
      </w:r>
      <w:r>
        <w:rPr>
          <w:lang w:val="en-US"/>
        </w:rPr>
        <w:t xml:space="preserve">, </w:t>
      </w:r>
      <w:r w:rsidRPr="00F07633">
        <w:rPr>
          <w:iCs/>
          <w:lang w:val="en-US"/>
        </w:rPr>
        <w:t>p.</w:t>
      </w:r>
      <w:r w:rsidRPr="00FB5328">
        <w:rPr>
          <w:iCs/>
          <w:lang w:val="en-US"/>
        </w:rPr>
        <w:t xml:space="preserve"> 220-221.</w:t>
      </w:r>
    </w:p>
  </w:footnote>
  <w:footnote w:id="89">
    <w:p w14:paraId="69E52C4B" w14:textId="3C68F144" w:rsidR="006C2965" w:rsidRPr="00A22E3F" w:rsidRDefault="006C2965" w:rsidP="005A4721">
      <w:pPr>
        <w:pStyle w:val="Notedebasdepage"/>
        <w:jc w:val="both"/>
        <w:rPr>
          <w:lang w:val="en-US"/>
        </w:rPr>
      </w:pPr>
      <w:r>
        <w:rPr>
          <w:rStyle w:val="Appelnotedebasdep"/>
        </w:rPr>
        <w:footnoteRef/>
      </w:r>
      <w:r w:rsidRPr="00A22E3F">
        <w:rPr>
          <w:lang w:val="en-US"/>
        </w:rPr>
        <w:t xml:space="preserve"> </w:t>
      </w:r>
      <w:r w:rsidRPr="00A22E3F">
        <w:rPr>
          <w:i/>
          <w:lang w:val="en-US"/>
        </w:rPr>
        <w:t>Ibid.</w:t>
      </w:r>
      <w:r>
        <w:rPr>
          <w:lang w:val="en-US"/>
        </w:rPr>
        <w:t xml:space="preserve">, </w:t>
      </w:r>
      <w:r w:rsidRPr="00F07633">
        <w:rPr>
          <w:iCs/>
          <w:lang w:val="en-US"/>
        </w:rPr>
        <w:t>p</w:t>
      </w:r>
      <w:r w:rsidRPr="00A22E3F">
        <w:rPr>
          <w:iCs/>
          <w:lang w:val="en-US"/>
        </w:rPr>
        <w:t>. 280-281.</w:t>
      </w:r>
    </w:p>
  </w:footnote>
  <w:footnote w:id="90">
    <w:p w14:paraId="66E79404" w14:textId="6CB5AB48" w:rsidR="006C2965" w:rsidRDefault="006C2965" w:rsidP="005A4721">
      <w:pPr>
        <w:pStyle w:val="Notedebasdepage"/>
        <w:jc w:val="both"/>
      </w:pPr>
      <w:r>
        <w:rPr>
          <w:rStyle w:val="Appelnotedebasdep"/>
        </w:rPr>
        <w:footnoteRef/>
      </w:r>
      <w:r>
        <w:t xml:space="preserve"> Le monument d’Igel est daté du milieu du III</w:t>
      </w:r>
      <w:r w:rsidRPr="002C6E5C">
        <w:rPr>
          <w:vertAlign w:val="superscript"/>
        </w:rPr>
        <w:t>e</w:t>
      </w:r>
      <w:r>
        <w:t xml:space="preserve"> siècle, les remparts d’Arlon de la fin du III</w:t>
      </w:r>
      <w:r w:rsidRPr="00D13A82">
        <w:rPr>
          <w:vertAlign w:val="superscript"/>
        </w:rPr>
        <w:t>e</w:t>
      </w:r>
      <w:r>
        <w:t xml:space="preserve"> ou du début du IV</w:t>
      </w:r>
      <w:r w:rsidRPr="00D13A82">
        <w:rPr>
          <w:vertAlign w:val="superscript"/>
        </w:rPr>
        <w:t>e</w:t>
      </w:r>
      <w:r>
        <w:t xml:space="preserve"> siècle, et le site d’Altrier, ou du moins ses environs immédiats, furent occupés jusqu’au V</w:t>
      </w:r>
      <w:r w:rsidRPr="008971C1">
        <w:rPr>
          <w:vertAlign w:val="superscript"/>
        </w:rPr>
        <w:t>e</w:t>
      </w:r>
      <w:r>
        <w:t xml:space="preserve"> siècle. J. </w:t>
      </w:r>
      <w:r w:rsidRPr="00295B22">
        <w:rPr>
          <w:smallCaps/>
          <w:lang w:val="fr-FR"/>
        </w:rPr>
        <w:t>Mersch</w:t>
      </w:r>
      <w:r w:rsidRPr="00295B22">
        <w:rPr>
          <w:lang w:val="fr-FR"/>
        </w:rPr>
        <w:t xml:space="preserve">, </w:t>
      </w:r>
      <w:r>
        <w:rPr>
          <w:i/>
          <w:lang w:val="fr-FR"/>
        </w:rPr>
        <w:t>op. cit.</w:t>
      </w:r>
      <w:r w:rsidRPr="00295B22">
        <w:rPr>
          <w:lang w:val="fr-FR"/>
        </w:rPr>
        <w:t>, p. 1</w:t>
      </w:r>
      <w:r>
        <w:rPr>
          <w:lang w:val="fr-FR"/>
        </w:rPr>
        <w:t xml:space="preserve">8 ; Joseph </w:t>
      </w:r>
      <w:r w:rsidRPr="00D13A82">
        <w:rPr>
          <w:smallCaps/>
          <w:lang w:val="fr-FR"/>
        </w:rPr>
        <w:t>Mer</w:t>
      </w:r>
      <w:r>
        <w:rPr>
          <w:smallCaps/>
          <w:lang w:val="fr-FR"/>
        </w:rPr>
        <w:t>tens</w:t>
      </w:r>
      <w:r>
        <w:rPr>
          <w:lang w:val="fr-FR"/>
        </w:rPr>
        <w:t xml:space="preserve">, </w:t>
      </w:r>
      <w:r>
        <w:rPr>
          <w:i/>
          <w:lang w:val="fr-FR"/>
        </w:rPr>
        <w:t xml:space="preserve">Le rempart romain </w:t>
      </w:r>
      <w:r w:rsidRPr="008971C1">
        <w:rPr>
          <w:i/>
          <w:lang w:val="fr-FR"/>
        </w:rPr>
        <w:t>d’Arlon</w:t>
      </w:r>
      <w:r>
        <w:rPr>
          <w:lang w:val="fr-FR"/>
        </w:rPr>
        <w:t xml:space="preserve">, Bruxelles, </w:t>
      </w:r>
      <w:r w:rsidRPr="00F912B9">
        <w:rPr>
          <w:lang w:val="fr-FR"/>
        </w:rPr>
        <w:t>Service national des fouilles</w:t>
      </w:r>
      <w:r>
        <w:rPr>
          <w:lang w:val="fr-FR"/>
        </w:rPr>
        <w:t xml:space="preserve">, 1973 (Archaeologicum Belgii Speculum, VII), </w:t>
      </w:r>
      <w:r w:rsidRPr="00D13A82">
        <w:rPr>
          <w:lang w:val="fr-FR"/>
        </w:rPr>
        <w:t>p</w:t>
      </w:r>
      <w:r>
        <w:rPr>
          <w:lang w:val="fr-FR"/>
        </w:rPr>
        <w:t xml:space="preserve">. 14 ; Ch.-M. </w:t>
      </w:r>
      <w:r w:rsidRPr="008971C1">
        <w:rPr>
          <w:smallCaps/>
          <w:lang w:val="fr-FR"/>
        </w:rPr>
        <w:t>Ternes</w:t>
      </w:r>
      <w:r>
        <w:rPr>
          <w:lang w:val="fr-FR"/>
        </w:rPr>
        <w:t xml:space="preserve">, </w:t>
      </w:r>
      <w:r w:rsidRPr="008971C1">
        <w:rPr>
          <w:i/>
          <w:lang w:val="fr-FR"/>
        </w:rPr>
        <w:t>Das römische Luxemburg…</w:t>
      </w:r>
      <w:r>
        <w:rPr>
          <w:lang w:val="fr-FR"/>
        </w:rPr>
        <w:t>, p. 171.</w:t>
      </w:r>
    </w:p>
  </w:footnote>
  <w:footnote w:id="91">
    <w:p w14:paraId="3DFA6BEA" w14:textId="59C67F82" w:rsidR="006C2965" w:rsidRPr="002C6E5C" w:rsidRDefault="006C2965" w:rsidP="005A4721">
      <w:pPr>
        <w:pStyle w:val="Notedebasdepage"/>
        <w:jc w:val="both"/>
      </w:pPr>
      <w:r>
        <w:rPr>
          <w:rStyle w:val="Appelnotedebasdep"/>
        </w:rPr>
        <w:footnoteRef/>
      </w:r>
      <w:r>
        <w:t xml:space="preserve"> C’est par exemple le cas de Bernard de Montfaucon (Jean-Marie </w:t>
      </w:r>
      <w:r w:rsidRPr="005705B7">
        <w:rPr>
          <w:smallCaps/>
        </w:rPr>
        <w:t>Pailler</w:t>
      </w:r>
      <w:r w:rsidRPr="005705B7">
        <w:t xml:space="preserve">, </w:t>
      </w:r>
      <w:r>
        <w:t>« </w:t>
      </w:r>
      <w:r w:rsidRPr="00F912B9">
        <w:t xml:space="preserve">L’“archéologue” par-delà les frontières : </w:t>
      </w:r>
      <w:r w:rsidRPr="00F912B9">
        <w:rPr>
          <w:i/>
        </w:rPr>
        <w:t>L’Antiquité expliquée</w:t>
      </w:r>
      <w:r>
        <w:t> »</w:t>
      </w:r>
      <w:r w:rsidRPr="005705B7">
        <w:t>, dans</w:t>
      </w:r>
      <w:r>
        <w:t xml:space="preserve"> Daniel-Odon</w:t>
      </w:r>
      <w:r w:rsidRPr="005705B7">
        <w:t xml:space="preserve"> </w:t>
      </w:r>
      <w:r w:rsidRPr="005705B7">
        <w:rPr>
          <w:smallCaps/>
        </w:rPr>
        <w:t>Hurel,</w:t>
      </w:r>
      <w:r>
        <w:rPr>
          <w:smallCaps/>
        </w:rPr>
        <w:t xml:space="preserve"> </w:t>
      </w:r>
      <w:r w:rsidRPr="00F912B9">
        <w:t>Raymond</w:t>
      </w:r>
      <w:r w:rsidRPr="005705B7">
        <w:rPr>
          <w:smallCaps/>
        </w:rPr>
        <w:t xml:space="preserve"> Rogé</w:t>
      </w:r>
      <w:r w:rsidRPr="005705B7">
        <w:t xml:space="preserve"> (dir.</w:t>
      </w:r>
      <w:r>
        <w:t>)</w:t>
      </w:r>
      <w:r w:rsidRPr="005705B7">
        <w:t xml:space="preserve">, </w:t>
      </w:r>
      <w:r w:rsidRPr="005705B7">
        <w:rPr>
          <w:i/>
        </w:rPr>
        <w:t>Dom Bernard de Montfaucon. Actes du colloque de Carcassonne – Octobre 1996</w:t>
      </w:r>
      <w:r w:rsidRPr="005705B7">
        <w:t xml:space="preserve">, vol. 1, </w:t>
      </w:r>
      <w:r>
        <w:t xml:space="preserve">s. l., </w:t>
      </w:r>
      <w:r w:rsidRPr="00F912B9">
        <w:t>Fontenelle, 1998</w:t>
      </w:r>
      <w:r>
        <w:t xml:space="preserve">, </w:t>
      </w:r>
      <w:r w:rsidRPr="005705B7">
        <w:t>p. 237).</w:t>
      </w:r>
      <w:r>
        <w:t xml:space="preserve"> Ce constat doit cependant être nuancé, en particulier pour le </w:t>
      </w:r>
      <w:r w:rsidR="00A16F45">
        <w:t>XVIII</w:t>
      </w:r>
      <w:r w:rsidRPr="002C6E5C">
        <w:rPr>
          <w:vertAlign w:val="superscript"/>
        </w:rPr>
        <w:t>e</w:t>
      </w:r>
      <w:r>
        <w:t xml:space="preserve"> siècle : Mouza </w:t>
      </w:r>
      <w:r w:rsidRPr="002C6E5C">
        <w:rPr>
          <w:smallCaps/>
        </w:rPr>
        <w:t>Raskolnikoff</w:t>
      </w:r>
      <w:r>
        <w:rPr>
          <w:smallCaps/>
        </w:rPr>
        <w:t>,</w:t>
      </w:r>
      <w:r w:rsidRPr="002C6E5C">
        <w:t xml:space="preserve"> </w:t>
      </w:r>
      <w:r w:rsidRPr="002C6E5C">
        <w:rPr>
          <w:i/>
        </w:rPr>
        <w:t>Histoire romaine et critique historique dans l’Europe des Lumières</w:t>
      </w:r>
      <w:r w:rsidRPr="002C6E5C">
        <w:t xml:space="preserve">, </w:t>
      </w:r>
      <w:r>
        <w:t>Rome-</w:t>
      </w:r>
      <w:r w:rsidRPr="002C6E5C">
        <w:t xml:space="preserve">Strasbourg, </w:t>
      </w:r>
      <w:r w:rsidRPr="00546D6D">
        <w:t>École française de Rome</w:t>
      </w:r>
      <w:r>
        <w:t>,</w:t>
      </w:r>
      <w:r w:rsidRPr="00546D6D">
        <w:t xml:space="preserve"> </w:t>
      </w:r>
      <w:r w:rsidRPr="002C6E5C">
        <w:t>1992, p. 1-2.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D13A3F"/>
    <w:multiLevelType w:val="hybridMultilevel"/>
    <w:tmpl w:val="6C7AE1F4"/>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7334669F"/>
    <w:multiLevelType w:val="hybridMultilevel"/>
    <w:tmpl w:val="518A74C6"/>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7BD744C8"/>
    <w:multiLevelType w:val="hybridMultilevel"/>
    <w:tmpl w:val="F0BC0366"/>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7E0A1A98"/>
    <w:multiLevelType w:val="hybridMultilevel"/>
    <w:tmpl w:val="EAF2E4A6"/>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3628"/>
    <w:rsid w:val="00016532"/>
    <w:rsid w:val="00021E72"/>
    <w:rsid w:val="000354BB"/>
    <w:rsid w:val="00037B2D"/>
    <w:rsid w:val="00047302"/>
    <w:rsid w:val="00050949"/>
    <w:rsid w:val="00054C66"/>
    <w:rsid w:val="00056713"/>
    <w:rsid w:val="00056A0E"/>
    <w:rsid w:val="00060541"/>
    <w:rsid w:val="000608FE"/>
    <w:rsid w:val="00061850"/>
    <w:rsid w:val="00067799"/>
    <w:rsid w:val="00076773"/>
    <w:rsid w:val="000855FF"/>
    <w:rsid w:val="00092458"/>
    <w:rsid w:val="000A12A5"/>
    <w:rsid w:val="000B348B"/>
    <w:rsid w:val="000B7BF0"/>
    <w:rsid w:val="000C00E4"/>
    <w:rsid w:val="000D0A79"/>
    <w:rsid w:val="000D2A6F"/>
    <w:rsid w:val="000E24EF"/>
    <w:rsid w:val="000E45D6"/>
    <w:rsid w:val="000E5584"/>
    <w:rsid w:val="000E678F"/>
    <w:rsid w:val="000F028A"/>
    <w:rsid w:val="000F2540"/>
    <w:rsid w:val="000F4139"/>
    <w:rsid w:val="00103F70"/>
    <w:rsid w:val="00110AFC"/>
    <w:rsid w:val="00124936"/>
    <w:rsid w:val="00131033"/>
    <w:rsid w:val="00131E82"/>
    <w:rsid w:val="0013709E"/>
    <w:rsid w:val="00142586"/>
    <w:rsid w:val="00155A77"/>
    <w:rsid w:val="00165766"/>
    <w:rsid w:val="00171672"/>
    <w:rsid w:val="001721A4"/>
    <w:rsid w:val="00183BD3"/>
    <w:rsid w:val="001A0F0A"/>
    <w:rsid w:val="001B7D85"/>
    <w:rsid w:val="001C41A1"/>
    <w:rsid w:val="001C6A1A"/>
    <w:rsid w:val="001D0A81"/>
    <w:rsid w:val="001E37DC"/>
    <w:rsid w:val="001F432D"/>
    <w:rsid w:val="001F4A27"/>
    <w:rsid w:val="001F5240"/>
    <w:rsid w:val="00200253"/>
    <w:rsid w:val="00203F14"/>
    <w:rsid w:val="00206CE9"/>
    <w:rsid w:val="0021121F"/>
    <w:rsid w:val="00247494"/>
    <w:rsid w:val="00257C26"/>
    <w:rsid w:val="00262BAF"/>
    <w:rsid w:val="00262C10"/>
    <w:rsid w:val="00270FE1"/>
    <w:rsid w:val="00276C95"/>
    <w:rsid w:val="00284FFC"/>
    <w:rsid w:val="002861C1"/>
    <w:rsid w:val="0029545C"/>
    <w:rsid w:val="00295B22"/>
    <w:rsid w:val="002A1E8D"/>
    <w:rsid w:val="002C008A"/>
    <w:rsid w:val="002C6E5C"/>
    <w:rsid w:val="002D0189"/>
    <w:rsid w:val="002D67EF"/>
    <w:rsid w:val="002F34B8"/>
    <w:rsid w:val="002F3914"/>
    <w:rsid w:val="002F7AD2"/>
    <w:rsid w:val="003007E8"/>
    <w:rsid w:val="00304AC4"/>
    <w:rsid w:val="00310A10"/>
    <w:rsid w:val="0034041D"/>
    <w:rsid w:val="00340774"/>
    <w:rsid w:val="00353B92"/>
    <w:rsid w:val="00356681"/>
    <w:rsid w:val="00363502"/>
    <w:rsid w:val="00363E31"/>
    <w:rsid w:val="00370ABC"/>
    <w:rsid w:val="0037189D"/>
    <w:rsid w:val="00374F0B"/>
    <w:rsid w:val="00376C5C"/>
    <w:rsid w:val="003774E2"/>
    <w:rsid w:val="00383989"/>
    <w:rsid w:val="00390DDE"/>
    <w:rsid w:val="00391FA6"/>
    <w:rsid w:val="003937FE"/>
    <w:rsid w:val="003964B2"/>
    <w:rsid w:val="003A01E9"/>
    <w:rsid w:val="003A5CFF"/>
    <w:rsid w:val="003B714E"/>
    <w:rsid w:val="003C08FB"/>
    <w:rsid w:val="003C6317"/>
    <w:rsid w:val="003D04CC"/>
    <w:rsid w:val="003E54D3"/>
    <w:rsid w:val="003E7BA5"/>
    <w:rsid w:val="003F52EC"/>
    <w:rsid w:val="003F75AE"/>
    <w:rsid w:val="004069F5"/>
    <w:rsid w:val="00407009"/>
    <w:rsid w:val="00420BBF"/>
    <w:rsid w:val="0042110A"/>
    <w:rsid w:val="00426803"/>
    <w:rsid w:val="00427B19"/>
    <w:rsid w:val="00442456"/>
    <w:rsid w:val="00456E65"/>
    <w:rsid w:val="004740F9"/>
    <w:rsid w:val="00474A66"/>
    <w:rsid w:val="00480077"/>
    <w:rsid w:val="00482E13"/>
    <w:rsid w:val="00497EFC"/>
    <w:rsid w:val="004B0C86"/>
    <w:rsid w:val="004C2FDA"/>
    <w:rsid w:val="004D39D2"/>
    <w:rsid w:val="004E1015"/>
    <w:rsid w:val="004F1638"/>
    <w:rsid w:val="004F51DC"/>
    <w:rsid w:val="00501D4D"/>
    <w:rsid w:val="00503335"/>
    <w:rsid w:val="00503BE8"/>
    <w:rsid w:val="00506346"/>
    <w:rsid w:val="00511AC8"/>
    <w:rsid w:val="00513A03"/>
    <w:rsid w:val="00514A48"/>
    <w:rsid w:val="005206EC"/>
    <w:rsid w:val="00520783"/>
    <w:rsid w:val="0052223B"/>
    <w:rsid w:val="00523028"/>
    <w:rsid w:val="005254F1"/>
    <w:rsid w:val="00525623"/>
    <w:rsid w:val="00531D60"/>
    <w:rsid w:val="00536AA4"/>
    <w:rsid w:val="005417CB"/>
    <w:rsid w:val="00546D6D"/>
    <w:rsid w:val="00554981"/>
    <w:rsid w:val="00557A8D"/>
    <w:rsid w:val="005638EE"/>
    <w:rsid w:val="0056435E"/>
    <w:rsid w:val="00565EAB"/>
    <w:rsid w:val="005705B7"/>
    <w:rsid w:val="00572382"/>
    <w:rsid w:val="00573066"/>
    <w:rsid w:val="00584FF0"/>
    <w:rsid w:val="00585D0A"/>
    <w:rsid w:val="0059711C"/>
    <w:rsid w:val="005A03BE"/>
    <w:rsid w:val="005A4721"/>
    <w:rsid w:val="005A660C"/>
    <w:rsid w:val="005A6871"/>
    <w:rsid w:val="005B12BF"/>
    <w:rsid w:val="005B2210"/>
    <w:rsid w:val="005B3850"/>
    <w:rsid w:val="005B4E0F"/>
    <w:rsid w:val="005C232A"/>
    <w:rsid w:val="005C3CB0"/>
    <w:rsid w:val="005D1CFD"/>
    <w:rsid w:val="005D3382"/>
    <w:rsid w:val="005F043E"/>
    <w:rsid w:val="005F1944"/>
    <w:rsid w:val="005F31E4"/>
    <w:rsid w:val="005F6B76"/>
    <w:rsid w:val="00602F89"/>
    <w:rsid w:val="0061323B"/>
    <w:rsid w:val="00615368"/>
    <w:rsid w:val="00626BAC"/>
    <w:rsid w:val="00642E6F"/>
    <w:rsid w:val="006549D2"/>
    <w:rsid w:val="00654B75"/>
    <w:rsid w:val="00654F16"/>
    <w:rsid w:val="00656FFF"/>
    <w:rsid w:val="00660082"/>
    <w:rsid w:val="00674CBB"/>
    <w:rsid w:val="00676670"/>
    <w:rsid w:val="006B063B"/>
    <w:rsid w:val="006B1467"/>
    <w:rsid w:val="006B736C"/>
    <w:rsid w:val="006B7D4E"/>
    <w:rsid w:val="006C0523"/>
    <w:rsid w:val="006C2965"/>
    <w:rsid w:val="006D2303"/>
    <w:rsid w:val="006D44B6"/>
    <w:rsid w:val="006E1A49"/>
    <w:rsid w:val="00704D3D"/>
    <w:rsid w:val="007100B5"/>
    <w:rsid w:val="00710E2F"/>
    <w:rsid w:val="00717581"/>
    <w:rsid w:val="0073432B"/>
    <w:rsid w:val="007612B8"/>
    <w:rsid w:val="0076363D"/>
    <w:rsid w:val="00773847"/>
    <w:rsid w:val="007833A9"/>
    <w:rsid w:val="00791B38"/>
    <w:rsid w:val="007957A4"/>
    <w:rsid w:val="007A0409"/>
    <w:rsid w:val="007A32BB"/>
    <w:rsid w:val="007B58CB"/>
    <w:rsid w:val="007C6B37"/>
    <w:rsid w:val="007D7A12"/>
    <w:rsid w:val="007F0C92"/>
    <w:rsid w:val="00800A4F"/>
    <w:rsid w:val="008076C1"/>
    <w:rsid w:val="00813197"/>
    <w:rsid w:val="00844A10"/>
    <w:rsid w:val="0084533B"/>
    <w:rsid w:val="00861077"/>
    <w:rsid w:val="00863628"/>
    <w:rsid w:val="00871793"/>
    <w:rsid w:val="0087345C"/>
    <w:rsid w:val="00875480"/>
    <w:rsid w:val="0089229B"/>
    <w:rsid w:val="008971C1"/>
    <w:rsid w:val="008A279F"/>
    <w:rsid w:val="008A2F4E"/>
    <w:rsid w:val="008B0034"/>
    <w:rsid w:val="008C1E7A"/>
    <w:rsid w:val="008D5CFB"/>
    <w:rsid w:val="008E1D5F"/>
    <w:rsid w:val="008E454B"/>
    <w:rsid w:val="008F0A4D"/>
    <w:rsid w:val="008F5359"/>
    <w:rsid w:val="008F68BC"/>
    <w:rsid w:val="008F75C6"/>
    <w:rsid w:val="00900380"/>
    <w:rsid w:val="009006B1"/>
    <w:rsid w:val="009327FC"/>
    <w:rsid w:val="0093511B"/>
    <w:rsid w:val="009468C8"/>
    <w:rsid w:val="00947D82"/>
    <w:rsid w:val="00951FB6"/>
    <w:rsid w:val="00956479"/>
    <w:rsid w:val="00960E23"/>
    <w:rsid w:val="00961738"/>
    <w:rsid w:val="00963054"/>
    <w:rsid w:val="00966C38"/>
    <w:rsid w:val="0097408B"/>
    <w:rsid w:val="0098038D"/>
    <w:rsid w:val="00993699"/>
    <w:rsid w:val="00996964"/>
    <w:rsid w:val="009A0804"/>
    <w:rsid w:val="009A13EB"/>
    <w:rsid w:val="009A5113"/>
    <w:rsid w:val="009B2C69"/>
    <w:rsid w:val="009B5FE9"/>
    <w:rsid w:val="009B64BC"/>
    <w:rsid w:val="009D2312"/>
    <w:rsid w:val="009E16C7"/>
    <w:rsid w:val="009E3964"/>
    <w:rsid w:val="009E6CB5"/>
    <w:rsid w:val="009F3858"/>
    <w:rsid w:val="009F3BFA"/>
    <w:rsid w:val="00A010DF"/>
    <w:rsid w:val="00A11752"/>
    <w:rsid w:val="00A1370F"/>
    <w:rsid w:val="00A16F45"/>
    <w:rsid w:val="00A22E3F"/>
    <w:rsid w:val="00A37F4F"/>
    <w:rsid w:val="00A50ADA"/>
    <w:rsid w:val="00A64430"/>
    <w:rsid w:val="00A75BEE"/>
    <w:rsid w:val="00A76B41"/>
    <w:rsid w:val="00AA0C38"/>
    <w:rsid w:val="00AA58B3"/>
    <w:rsid w:val="00AA7587"/>
    <w:rsid w:val="00AC0CF1"/>
    <w:rsid w:val="00AC48D0"/>
    <w:rsid w:val="00AD1A39"/>
    <w:rsid w:val="00AD2682"/>
    <w:rsid w:val="00AD5F4D"/>
    <w:rsid w:val="00AE19A7"/>
    <w:rsid w:val="00AF2476"/>
    <w:rsid w:val="00AF57E4"/>
    <w:rsid w:val="00B17CF7"/>
    <w:rsid w:val="00B211A3"/>
    <w:rsid w:val="00B34573"/>
    <w:rsid w:val="00B36244"/>
    <w:rsid w:val="00B36C9E"/>
    <w:rsid w:val="00B3797F"/>
    <w:rsid w:val="00B84513"/>
    <w:rsid w:val="00BA4AE1"/>
    <w:rsid w:val="00BB17DE"/>
    <w:rsid w:val="00BB4497"/>
    <w:rsid w:val="00BE5DDA"/>
    <w:rsid w:val="00BF1E15"/>
    <w:rsid w:val="00BF5355"/>
    <w:rsid w:val="00BF5F58"/>
    <w:rsid w:val="00C028DC"/>
    <w:rsid w:val="00C07209"/>
    <w:rsid w:val="00C13E12"/>
    <w:rsid w:val="00C20E7C"/>
    <w:rsid w:val="00C35D73"/>
    <w:rsid w:val="00C40DF4"/>
    <w:rsid w:val="00C52049"/>
    <w:rsid w:val="00C62D59"/>
    <w:rsid w:val="00C7565E"/>
    <w:rsid w:val="00C823C5"/>
    <w:rsid w:val="00C867F6"/>
    <w:rsid w:val="00C90539"/>
    <w:rsid w:val="00CA1800"/>
    <w:rsid w:val="00CA641B"/>
    <w:rsid w:val="00CB01AA"/>
    <w:rsid w:val="00CC2BAA"/>
    <w:rsid w:val="00CC5E62"/>
    <w:rsid w:val="00CC6FF4"/>
    <w:rsid w:val="00CC7E11"/>
    <w:rsid w:val="00CD3F25"/>
    <w:rsid w:val="00CF3DE8"/>
    <w:rsid w:val="00CF5452"/>
    <w:rsid w:val="00D007CA"/>
    <w:rsid w:val="00D021EB"/>
    <w:rsid w:val="00D022E4"/>
    <w:rsid w:val="00D0437F"/>
    <w:rsid w:val="00D07B8A"/>
    <w:rsid w:val="00D13A82"/>
    <w:rsid w:val="00D1518D"/>
    <w:rsid w:val="00D437D5"/>
    <w:rsid w:val="00D642F8"/>
    <w:rsid w:val="00D717DD"/>
    <w:rsid w:val="00D72F62"/>
    <w:rsid w:val="00D75798"/>
    <w:rsid w:val="00D81997"/>
    <w:rsid w:val="00D861E3"/>
    <w:rsid w:val="00D91FA3"/>
    <w:rsid w:val="00DA1666"/>
    <w:rsid w:val="00DC3430"/>
    <w:rsid w:val="00DD26A3"/>
    <w:rsid w:val="00DD6E89"/>
    <w:rsid w:val="00DD7DDE"/>
    <w:rsid w:val="00DE27F5"/>
    <w:rsid w:val="00E02A4D"/>
    <w:rsid w:val="00E02B43"/>
    <w:rsid w:val="00E04608"/>
    <w:rsid w:val="00E151AB"/>
    <w:rsid w:val="00E420BA"/>
    <w:rsid w:val="00E67077"/>
    <w:rsid w:val="00E7000F"/>
    <w:rsid w:val="00E84A36"/>
    <w:rsid w:val="00E91AA2"/>
    <w:rsid w:val="00E9716C"/>
    <w:rsid w:val="00E97782"/>
    <w:rsid w:val="00EA062B"/>
    <w:rsid w:val="00EB3B30"/>
    <w:rsid w:val="00EC4C45"/>
    <w:rsid w:val="00ED2E71"/>
    <w:rsid w:val="00ED46E6"/>
    <w:rsid w:val="00ED66CB"/>
    <w:rsid w:val="00EF251E"/>
    <w:rsid w:val="00EF6007"/>
    <w:rsid w:val="00F07633"/>
    <w:rsid w:val="00F07792"/>
    <w:rsid w:val="00F13BE4"/>
    <w:rsid w:val="00F14793"/>
    <w:rsid w:val="00F14935"/>
    <w:rsid w:val="00F15C00"/>
    <w:rsid w:val="00F24244"/>
    <w:rsid w:val="00F32867"/>
    <w:rsid w:val="00F35066"/>
    <w:rsid w:val="00F400CD"/>
    <w:rsid w:val="00F54027"/>
    <w:rsid w:val="00F912B9"/>
    <w:rsid w:val="00F9559F"/>
    <w:rsid w:val="00F95B45"/>
    <w:rsid w:val="00FA61A3"/>
    <w:rsid w:val="00FB1750"/>
    <w:rsid w:val="00FB5328"/>
    <w:rsid w:val="00FC1227"/>
    <w:rsid w:val="00FC6666"/>
    <w:rsid w:val="00FE42F6"/>
    <w:rsid w:val="00FF49C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77A0A"/>
  <w15:chartTrackingRefBased/>
  <w15:docId w15:val="{8186FBEC-F635-480F-A2E3-FCB288336D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Garamond" w:eastAsiaTheme="minorHAnsi" w:hAnsi="Garamond" w:cstheme="minorBidi"/>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06346"/>
    <w:pPr>
      <w:ind w:left="720"/>
      <w:contextualSpacing/>
    </w:pPr>
  </w:style>
  <w:style w:type="character" w:styleId="Appelnotedebasdep">
    <w:name w:val="footnote reference"/>
    <w:uiPriority w:val="99"/>
    <w:semiHidden/>
    <w:unhideWhenUsed/>
    <w:rsid w:val="005C3CB0"/>
    <w:rPr>
      <w:vertAlign w:val="superscript"/>
    </w:rPr>
  </w:style>
  <w:style w:type="paragraph" w:styleId="Notedebasdepage">
    <w:name w:val="footnote text"/>
    <w:basedOn w:val="Normal"/>
    <w:link w:val="NotedebasdepageCar"/>
    <w:uiPriority w:val="99"/>
    <w:unhideWhenUsed/>
    <w:rsid w:val="00EF251E"/>
    <w:pPr>
      <w:spacing w:after="0" w:line="240" w:lineRule="auto"/>
    </w:pPr>
  </w:style>
  <w:style w:type="character" w:customStyle="1" w:styleId="NotedebasdepageCar">
    <w:name w:val="Note de bas de page Car"/>
    <w:basedOn w:val="Policepardfaut"/>
    <w:link w:val="Notedebasdepage"/>
    <w:uiPriority w:val="99"/>
    <w:rsid w:val="00EF251E"/>
    <w:rPr>
      <w:sz w:val="20"/>
      <w:szCs w:val="20"/>
    </w:rPr>
  </w:style>
  <w:style w:type="paragraph" w:styleId="NormalWeb">
    <w:name w:val="Normal (Web)"/>
    <w:basedOn w:val="Normal"/>
    <w:uiPriority w:val="99"/>
    <w:semiHidden/>
    <w:unhideWhenUsed/>
    <w:rsid w:val="006E1A49"/>
    <w:rPr>
      <w:rFonts w:ascii="Times New Roman" w:hAnsi="Times New Roman" w:cs="Times New Roman"/>
      <w:sz w:val="24"/>
      <w:szCs w:val="24"/>
    </w:rPr>
  </w:style>
  <w:style w:type="character" w:customStyle="1" w:styleId="Absatz-Standardschriftart">
    <w:name w:val="Absatz-Standardschriftart"/>
    <w:rsid w:val="00CC6FF4"/>
  </w:style>
  <w:style w:type="paragraph" w:styleId="En-tte">
    <w:name w:val="header"/>
    <w:basedOn w:val="Normal"/>
    <w:link w:val="En-tteCar"/>
    <w:uiPriority w:val="99"/>
    <w:unhideWhenUsed/>
    <w:rsid w:val="0021121F"/>
    <w:pPr>
      <w:tabs>
        <w:tab w:val="center" w:pos="4536"/>
        <w:tab w:val="right" w:pos="9072"/>
      </w:tabs>
      <w:spacing w:after="0" w:line="240" w:lineRule="auto"/>
    </w:pPr>
  </w:style>
  <w:style w:type="character" w:customStyle="1" w:styleId="En-tteCar">
    <w:name w:val="En-tête Car"/>
    <w:basedOn w:val="Policepardfaut"/>
    <w:link w:val="En-tte"/>
    <w:uiPriority w:val="99"/>
    <w:rsid w:val="0021121F"/>
  </w:style>
  <w:style w:type="paragraph" w:styleId="Pieddepage">
    <w:name w:val="footer"/>
    <w:basedOn w:val="Normal"/>
    <w:link w:val="PieddepageCar"/>
    <w:uiPriority w:val="99"/>
    <w:unhideWhenUsed/>
    <w:rsid w:val="0021121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1121F"/>
  </w:style>
  <w:style w:type="paragraph" w:styleId="Textedebulles">
    <w:name w:val="Balloon Text"/>
    <w:basedOn w:val="Normal"/>
    <w:link w:val="TextedebullesCar"/>
    <w:uiPriority w:val="99"/>
    <w:semiHidden/>
    <w:unhideWhenUsed/>
    <w:rsid w:val="005A4721"/>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A4721"/>
    <w:rPr>
      <w:rFonts w:ascii="Segoe UI" w:hAnsi="Segoe UI" w:cs="Segoe UI"/>
      <w:sz w:val="18"/>
      <w:szCs w:val="18"/>
    </w:rPr>
  </w:style>
  <w:style w:type="character" w:styleId="Lienhypertexte">
    <w:name w:val="Hyperlink"/>
    <w:basedOn w:val="Policepardfaut"/>
    <w:uiPriority w:val="99"/>
    <w:unhideWhenUsed/>
    <w:rsid w:val="00D1518D"/>
    <w:rPr>
      <w:color w:val="0563C1" w:themeColor="hyperlink"/>
      <w:u w:val="single"/>
    </w:rPr>
  </w:style>
  <w:style w:type="character" w:styleId="Mentionnonrsolue">
    <w:name w:val="Unresolved Mention"/>
    <w:basedOn w:val="Policepardfaut"/>
    <w:uiPriority w:val="99"/>
    <w:semiHidden/>
    <w:unhideWhenUsed/>
    <w:rsid w:val="00D151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781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ivier.latteur@unamur.b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2F0981-EB3A-476A-990E-CEB413ED1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5202</Words>
  <Characters>28616</Characters>
  <Application>Microsoft Office Word</Application>
  <DocSecurity>0</DocSecurity>
  <Lines>238</Lines>
  <Paragraphs>67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L.</dc:creator>
  <cp:keywords/>
  <dc:description/>
  <cp:lastModifiedBy>Olivier L.</cp:lastModifiedBy>
  <cp:revision>2</cp:revision>
  <cp:lastPrinted>2018-03-06T14:31:00Z</cp:lastPrinted>
  <dcterms:created xsi:type="dcterms:W3CDTF">2019-02-08T10:44:00Z</dcterms:created>
  <dcterms:modified xsi:type="dcterms:W3CDTF">2019-02-08T10:44:00Z</dcterms:modified>
</cp:coreProperties>
</file>