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3212A" w14:textId="4A822324" w:rsidR="008B3E89" w:rsidRPr="009C6F4B" w:rsidRDefault="008B3E89" w:rsidP="007E75CC">
      <w:pPr>
        <w:jc w:val="center"/>
        <w:rPr>
          <w:rFonts w:eastAsia="Times New Roman" w:cs="Times New Roman"/>
          <w:b/>
          <w:bCs/>
          <w:caps/>
          <w:lang w:eastAsia="fr-FR"/>
        </w:rPr>
      </w:pPr>
      <w:r w:rsidRPr="009C6F4B">
        <w:rPr>
          <w:rFonts w:eastAsia="Times New Roman" w:cs="Times New Roman"/>
          <w:b/>
          <w:bCs/>
          <w:caps/>
          <w:lang w:eastAsia="fr-FR"/>
        </w:rPr>
        <w:t>Dire le droit ou rendre justice ? Regard</w:t>
      </w:r>
      <w:r w:rsidR="00BC4218" w:rsidRPr="009C6F4B">
        <w:rPr>
          <w:rFonts w:eastAsia="Times New Roman" w:cs="Times New Roman"/>
          <w:b/>
          <w:bCs/>
          <w:caps/>
          <w:lang w:eastAsia="fr-FR"/>
        </w:rPr>
        <w:t xml:space="preserve"> </w:t>
      </w:r>
      <w:r w:rsidRPr="009C6F4B">
        <w:rPr>
          <w:rFonts w:eastAsia="Times New Roman" w:cs="Times New Roman"/>
          <w:b/>
          <w:bCs/>
          <w:caps/>
          <w:lang w:eastAsia="fr-FR"/>
        </w:rPr>
        <w:t>sur la politique judiciaire de la Cour européenne des droits de l’Homme</w:t>
      </w:r>
    </w:p>
    <w:p w14:paraId="63EC29BD" w14:textId="77777777" w:rsidR="00E65475" w:rsidRPr="009C6F4B" w:rsidRDefault="00E65475" w:rsidP="007E75CC">
      <w:pPr>
        <w:jc w:val="center"/>
        <w:rPr>
          <w:rFonts w:eastAsia="Times New Roman" w:cs="Times New Roman"/>
          <w:b/>
          <w:bCs/>
          <w:lang w:eastAsia="fr-FR"/>
        </w:rPr>
      </w:pPr>
    </w:p>
    <w:p w14:paraId="760A1D8F" w14:textId="77777777" w:rsidR="00E65475" w:rsidRDefault="00E65475" w:rsidP="007E75CC">
      <w:pPr>
        <w:jc w:val="center"/>
        <w:rPr>
          <w:rFonts w:eastAsia="Times New Roman" w:cs="Times New Roman"/>
          <w:smallCaps/>
          <w:lang w:eastAsia="fr-FR"/>
        </w:rPr>
      </w:pPr>
      <w:r w:rsidRPr="008D2B9D">
        <w:rPr>
          <w:rFonts w:eastAsia="Times New Roman" w:cs="Times New Roman"/>
          <w:lang w:eastAsia="fr-FR"/>
        </w:rPr>
        <w:t xml:space="preserve">Sébastien </w:t>
      </w:r>
      <w:r w:rsidRPr="009C6F4B">
        <w:rPr>
          <w:rFonts w:eastAsia="Times New Roman" w:cs="Times New Roman"/>
          <w:smallCaps/>
          <w:lang w:eastAsia="fr-FR"/>
        </w:rPr>
        <w:t>Van Drooghenbroeck</w:t>
      </w:r>
    </w:p>
    <w:p w14:paraId="4F4605A5" w14:textId="77777777" w:rsidR="00797D56" w:rsidRPr="008D2B9D" w:rsidRDefault="00797D56" w:rsidP="007E75CC">
      <w:pPr>
        <w:jc w:val="center"/>
        <w:rPr>
          <w:rFonts w:eastAsia="Times New Roman" w:cs="Times New Roman"/>
          <w:lang w:eastAsia="fr-FR"/>
        </w:rPr>
      </w:pPr>
    </w:p>
    <w:p w14:paraId="7D1CF859" w14:textId="77777777" w:rsidR="00E65475" w:rsidRPr="008D2B9D" w:rsidRDefault="00E65475" w:rsidP="007E75CC">
      <w:pPr>
        <w:jc w:val="center"/>
        <w:rPr>
          <w:rFonts w:eastAsia="Times New Roman" w:cs="Times New Roman"/>
          <w:lang w:eastAsia="fr-FR"/>
        </w:rPr>
      </w:pPr>
      <w:r w:rsidRPr="008D2B9D">
        <w:rPr>
          <w:rFonts w:eastAsia="Times New Roman" w:cs="Times New Roman"/>
          <w:lang w:eastAsia="fr-FR"/>
        </w:rPr>
        <w:t>Professeur ordinaire à l’UCLouvain-Saint Louis Bruxelles</w:t>
      </w:r>
    </w:p>
    <w:p w14:paraId="5B7062D8" w14:textId="77777777" w:rsidR="00E65475" w:rsidRPr="008D2B9D" w:rsidRDefault="00E65475" w:rsidP="007E75CC">
      <w:pPr>
        <w:jc w:val="center"/>
        <w:rPr>
          <w:rFonts w:eastAsia="Times New Roman" w:cs="Times New Roman"/>
          <w:lang w:eastAsia="fr-FR"/>
        </w:rPr>
      </w:pPr>
      <w:r w:rsidRPr="008D2B9D">
        <w:rPr>
          <w:rFonts w:eastAsia="Times New Roman" w:cs="Times New Roman"/>
          <w:lang w:eastAsia="fr-FR"/>
        </w:rPr>
        <w:t>Professeur invité à l’Université Paris Panthéon Assas</w:t>
      </w:r>
    </w:p>
    <w:p w14:paraId="018CE3B2" w14:textId="77777777" w:rsidR="00E65475" w:rsidRPr="008D2B9D" w:rsidRDefault="00E65475" w:rsidP="007E75CC">
      <w:pPr>
        <w:jc w:val="center"/>
        <w:rPr>
          <w:rFonts w:eastAsia="Times New Roman" w:cs="Times New Roman"/>
          <w:lang w:eastAsia="fr-FR"/>
        </w:rPr>
      </w:pPr>
      <w:r w:rsidRPr="008D2B9D">
        <w:rPr>
          <w:rFonts w:eastAsia="Times New Roman" w:cs="Times New Roman"/>
          <w:lang w:eastAsia="fr-FR"/>
        </w:rPr>
        <w:t>Assesseur au Conseil d’état</w:t>
      </w:r>
    </w:p>
    <w:p w14:paraId="1507D45F" w14:textId="77777777" w:rsidR="00A430CF" w:rsidRPr="008D2B9D" w:rsidRDefault="00A430CF" w:rsidP="007E75CC">
      <w:pPr>
        <w:jc w:val="center"/>
        <w:rPr>
          <w:rFonts w:eastAsia="Times New Roman" w:cs="Times New Roman"/>
          <w:lang w:eastAsia="fr-FR"/>
        </w:rPr>
      </w:pPr>
    </w:p>
    <w:p w14:paraId="6A80C9AF" w14:textId="77777777" w:rsidR="00A430CF" w:rsidRPr="008D2B9D" w:rsidRDefault="00A430CF" w:rsidP="007E75CC">
      <w:pPr>
        <w:jc w:val="center"/>
        <w:rPr>
          <w:rFonts w:eastAsia="Times New Roman" w:cs="Times New Roman"/>
          <w:i/>
          <w:lang w:eastAsia="fr-FR"/>
        </w:rPr>
      </w:pPr>
    </w:p>
    <w:p w14:paraId="19EC1736" w14:textId="77777777" w:rsidR="007E75CC" w:rsidRPr="008D2B9D" w:rsidRDefault="007E75CC" w:rsidP="007E75CC">
      <w:pPr>
        <w:rPr>
          <w:rFonts w:eastAsia="Times New Roman" w:cs="Times New Roman"/>
          <w:i/>
          <w:iCs/>
          <w:lang w:eastAsia="fr-FR"/>
        </w:rPr>
      </w:pPr>
    </w:p>
    <w:p w14:paraId="01BCFB78" w14:textId="77777777" w:rsidR="007E75CC" w:rsidRPr="008D2B9D" w:rsidRDefault="007E75CC" w:rsidP="007E75CC">
      <w:pPr>
        <w:rPr>
          <w:rFonts w:eastAsia="Times New Roman" w:cs="Times New Roman"/>
          <w:i/>
          <w:iCs/>
          <w:lang w:eastAsia="fr-FR"/>
        </w:rPr>
      </w:pPr>
    </w:p>
    <w:p w14:paraId="07F2A510" w14:textId="168B1434" w:rsidR="007E75CC" w:rsidRDefault="007E75CC" w:rsidP="007E75CC">
      <w:pPr>
        <w:rPr>
          <w:rFonts w:eastAsia="Times New Roman" w:cs="Times New Roman"/>
          <w:lang w:eastAsia="fr-FR"/>
        </w:rPr>
      </w:pPr>
      <w:r w:rsidRPr="009C6F4B">
        <w:rPr>
          <w:rFonts w:eastAsia="Times New Roman" w:cs="Times New Roman"/>
          <w:lang w:eastAsia="fr-FR"/>
        </w:rPr>
        <w:t>CONTENU</w:t>
      </w:r>
    </w:p>
    <w:p w14:paraId="7092C9A2" w14:textId="584265F2" w:rsidR="00E31717" w:rsidRDefault="00E31717" w:rsidP="007E75CC">
      <w:pPr>
        <w:rPr>
          <w:rFonts w:eastAsia="Times New Roman" w:cs="Times New Roman"/>
          <w:lang w:eastAsia="fr-FR"/>
        </w:rPr>
      </w:pPr>
    </w:p>
    <w:p w14:paraId="4BB379AC" w14:textId="64D0A166" w:rsidR="00E31717" w:rsidRPr="008D2B9D" w:rsidRDefault="00E31717" w:rsidP="00E31717">
      <w:pPr>
        <w:rPr>
          <w:rFonts w:eastAsia="Times New Roman" w:cs="Times New Roman"/>
          <w:i/>
          <w:iCs/>
          <w:lang w:eastAsia="fr-FR"/>
        </w:rPr>
      </w:pPr>
      <w:r w:rsidRPr="008D2B9D">
        <w:rPr>
          <w:rFonts w:eastAsia="Times New Roman" w:cs="Times New Roman"/>
          <w:i/>
          <w:iCs/>
          <w:lang w:eastAsia="fr-FR"/>
        </w:rPr>
        <w:t>Classiquement, la mission de la Cour européenne des droits de l’Homme a été présentée comme consistant à trancher les litiges (</w:t>
      </w:r>
      <w:r>
        <w:rPr>
          <w:rFonts w:eastAsia="Times New Roman" w:cs="Times New Roman"/>
          <w:i/>
          <w:iCs/>
          <w:lang w:eastAsia="fr-FR"/>
        </w:rPr>
        <w:t>“</w:t>
      </w:r>
      <w:r w:rsidRPr="008D2B9D">
        <w:rPr>
          <w:rFonts w:eastAsia="Times New Roman" w:cs="Times New Roman"/>
          <w:i/>
          <w:iCs/>
          <w:lang w:eastAsia="fr-FR"/>
        </w:rPr>
        <w:t>Rendre justice</w:t>
      </w:r>
      <w:r>
        <w:rPr>
          <w:rFonts w:eastAsia="Times New Roman" w:cs="Times New Roman"/>
          <w:i/>
          <w:iCs/>
          <w:lang w:eastAsia="fr-FR"/>
        </w:rPr>
        <w:t>”</w:t>
      </w:r>
      <w:r w:rsidRPr="008D2B9D">
        <w:rPr>
          <w:rFonts w:eastAsia="Times New Roman" w:cs="Times New Roman"/>
          <w:i/>
          <w:iCs/>
          <w:lang w:eastAsia="fr-FR"/>
        </w:rPr>
        <w:t>) et à développer l’interprétation du droit conventionnel (</w:t>
      </w:r>
      <w:r>
        <w:rPr>
          <w:rFonts w:eastAsia="Times New Roman" w:cs="Times New Roman"/>
          <w:i/>
          <w:iCs/>
          <w:lang w:eastAsia="fr-FR"/>
        </w:rPr>
        <w:t>“</w:t>
      </w:r>
      <w:r w:rsidRPr="008D2B9D">
        <w:rPr>
          <w:rFonts w:eastAsia="Times New Roman" w:cs="Times New Roman"/>
          <w:i/>
          <w:iCs/>
          <w:lang w:eastAsia="fr-FR"/>
        </w:rPr>
        <w:t>Dire le droit</w:t>
      </w:r>
      <w:r>
        <w:rPr>
          <w:rFonts w:eastAsia="Times New Roman" w:cs="Times New Roman"/>
          <w:i/>
          <w:iCs/>
          <w:lang w:eastAsia="fr-FR"/>
        </w:rPr>
        <w:t>”</w:t>
      </w:r>
      <w:r w:rsidRPr="008D2B9D">
        <w:rPr>
          <w:rFonts w:eastAsia="Times New Roman" w:cs="Times New Roman"/>
          <w:i/>
          <w:iCs/>
          <w:lang w:eastAsia="fr-FR"/>
        </w:rPr>
        <w:t xml:space="preserve">). La distribution pratique entre ces deux rôles a cependant évolué, et fait aujourd’hui l’objet d’une </w:t>
      </w:r>
      <w:r>
        <w:rPr>
          <w:rFonts w:eastAsia="Times New Roman" w:cs="Times New Roman"/>
          <w:i/>
          <w:iCs/>
          <w:lang w:eastAsia="fr-FR"/>
        </w:rPr>
        <w:t>“</w:t>
      </w:r>
      <w:r w:rsidRPr="008D2B9D">
        <w:rPr>
          <w:rFonts w:eastAsia="Times New Roman" w:cs="Times New Roman"/>
          <w:i/>
          <w:iCs/>
          <w:lang w:eastAsia="fr-FR"/>
        </w:rPr>
        <w:t>politique judiciaire</w:t>
      </w:r>
      <w:r>
        <w:rPr>
          <w:rFonts w:eastAsia="Times New Roman" w:cs="Times New Roman"/>
          <w:i/>
          <w:iCs/>
          <w:lang w:eastAsia="fr-FR"/>
        </w:rPr>
        <w:t>”</w:t>
      </w:r>
      <w:r w:rsidRPr="008D2B9D">
        <w:rPr>
          <w:rFonts w:eastAsia="Times New Roman" w:cs="Times New Roman"/>
          <w:i/>
          <w:iCs/>
          <w:lang w:eastAsia="fr-FR"/>
        </w:rPr>
        <w:t>, assumée comme telle, mais suscitant d’âpres discussions.</w:t>
      </w:r>
      <w:r>
        <w:rPr>
          <w:rFonts w:eastAsia="Times New Roman" w:cs="Times New Roman"/>
          <w:i/>
          <w:iCs/>
          <w:lang w:eastAsia="fr-FR"/>
        </w:rPr>
        <w:t xml:space="preserve"> Dans les affaires Burmych et autres et Turan et autres</w:t>
      </w:r>
      <w:r w:rsidR="001F7692">
        <w:rPr>
          <w:rFonts w:eastAsia="Times New Roman" w:cs="Times New Roman"/>
          <w:i/>
          <w:iCs/>
          <w:lang w:eastAsia="fr-FR"/>
        </w:rPr>
        <w:t>, la Cour a,</w:t>
      </w:r>
      <w:r>
        <w:rPr>
          <w:rFonts w:eastAsia="Times New Roman" w:cs="Times New Roman"/>
          <w:i/>
          <w:iCs/>
          <w:lang w:eastAsia="fr-FR"/>
        </w:rPr>
        <w:t xml:space="preserve"> de manière spectaculaire, renoncé à rendre (totalement) justice aux victimes d’atteintes à leur droits, en </w:t>
      </w:r>
      <w:r w:rsidR="001F7692">
        <w:rPr>
          <w:rFonts w:eastAsia="Times New Roman" w:cs="Times New Roman"/>
          <w:i/>
          <w:iCs/>
          <w:lang w:eastAsia="fr-FR"/>
        </w:rPr>
        <w:t>prétextant en substance du caractère « chronophage » de pareille tâche. La montagne d’affaires russes actuellement pendantes d</w:t>
      </w:r>
      <w:r w:rsidR="00FA2794">
        <w:rPr>
          <w:rFonts w:eastAsia="Times New Roman" w:cs="Times New Roman"/>
          <w:i/>
          <w:iCs/>
          <w:lang w:eastAsia="fr-FR"/>
        </w:rPr>
        <w:t>ans le prétoire strasbourgeois</w:t>
      </w:r>
      <w:r w:rsidR="001F7692">
        <w:rPr>
          <w:rFonts w:eastAsia="Times New Roman" w:cs="Times New Roman"/>
          <w:i/>
          <w:iCs/>
          <w:lang w:eastAsia="fr-FR"/>
        </w:rPr>
        <w:t xml:space="preserve"> confronte à un dilemme du même type : le système conventionnel gagne-t-il</w:t>
      </w:r>
      <w:r w:rsidR="00FA2794">
        <w:rPr>
          <w:rFonts w:eastAsia="Times New Roman" w:cs="Times New Roman"/>
          <w:i/>
          <w:iCs/>
          <w:lang w:eastAsia="fr-FR"/>
        </w:rPr>
        <w:t xml:space="preserve"> vraiment</w:t>
      </w:r>
      <w:r w:rsidR="001F7692">
        <w:rPr>
          <w:rFonts w:eastAsia="Times New Roman" w:cs="Times New Roman"/>
          <w:i/>
          <w:iCs/>
          <w:lang w:eastAsia="fr-FR"/>
        </w:rPr>
        <w:t xml:space="preserve"> quelque chose à s’épuiser à gravir celle-ci ?</w:t>
      </w:r>
    </w:p>
    <w:p w14:paraId="064DCD7C" w14:textId="77777777" w:rsidR="00E31717" w:rsidRPr="009C6F4B" w:rsidRDefault="00E31717" w:rsidP="007E75CC">
      <w:pPr>
        <w:rPr>
          <w:rFonts w:eastAsia="Times New Roman" w:cs="Times New Roman"/>
          <w:lang w:eastAsia="fr-FR"/>
        </w:rPr>
      </w:pPr>
    </w:p>
    <w:p w14:paraId="6B9E2952" w14:textId="77777777" w:rsidR="007E75CC" w:rsidRPr="009C6F4B" w:rsidRDefault="007E75CC" w:rsidP="009C6F4B">
      <w:pPr>
        <w:rPr>
          <w:rFonts w:eastAsia="Times New Roman" w:cs="Times New Roman"/>
          <w:lang w:eastAsia="fr-FR"/>
        </w:rPr>
      </w:pPr>
    </w:p>
    <w:p w14:paraId="73C25CB7" w14:textId="77777777" w:rsidR="00334786" w:rsidRPr="008D2B9D" w:rsidRDefault="00334786" w:rsidP="007E75CC">
      <w:pPr>
        <w:rPr>
          <w:rFonts w:cs="Times New Roman"/>
        </w:rPr>
      </w:pPr>
    </w:p>
    <w:p w14:paraId="74E5A709" w14:textId="77777777" w:rsidR="007E75CC" w:rsidRPr="008D2B9D" w:rsidRDefault="007E75CC">
      <w:pPr>
        <w:rPr>
          <w:rFonts w:cs="Times New Roman"/>
        </w:rPr>
      </w:pPr>
      <w:r w:rsidRPr="008D2B9D">
        <w:rPr>
          <w:rFonts w:cs="Times New Roman"/>
        </w:rPr>
        <w:br w:type="page"/>
      </w:r>
    </w:p>
    <w:p w14:paraId="6E6039BB" w14:textId="1BBB8229" w:rsidR="007E75CC" w:rsidRPr="008D2B9D" w:rsidRDefault="007E75CC" w:rsidP="009C6F4B">
      <w:pPr>
        <w:pStyle w:val="Titre1"/>
      </w:pPr>
      <w:r w:rsidRPr="008D2B9D">
        <w:rPr>
          <w:szCs w:val="24"/>
        </w:rPr>
        <w:lastRenderedPageBreak/>
        <w:t xml:space="preserve">I. </w:t>
      </w:r>
      <w:r w:rsidR="006039BC">
        <w:rPr>
          <w:szCs w:val="24"/>
        </w:rPr>
        <w:t>Introduction</w:t>
      </w:r>
    </w:p>
    <w:p w14:paraId="4A9BBE2B" w14:textId="77777777" w:rsidR="007E75CC" w:rsidRPr="008D2B9D" w:rsidRDefault="007E75CC" w:rsidP="007E75CC">
      <w:pPr>
        <w:rPr>
          <w:rFonts w:cs="Times New Roman"/>
        </w:rPr>
      </w:pPr>
    </w:p>
    <w:p w14:paraId="026BC7FA" w14:textId="6F0740B0" w:rsidR="008B3E89" w:rsidRPr="008D2B9D" w:rsidRDefault="007E75CC" w:rsidP="007E75CC">
      <w:pPr>
        <w:rPr>
          <w:rFonts w:cs="Times New Roman"/>
        </w:rPr>
      </w:pPr>
      <w:r w:rsidRPr="009C6F4B">
        <w:rPr>
          <w:rFonts w:cs="Times New Roman"/>
          <w:b/>
          <w:bCs/>
        </w:rPr>
        <w:t>1.</w:t>
      </w:r>
      <w:r w:rsidRPr="008D2B9D">
        <w:rPr>
          <w:rFonts w:cs="Times New Roman"/>
        </w:rPr>
        <w:t xml:space="preserve"> </w:t>
      </w:r>
      <w:r w:rsidR="008B3E89" w:rsidRPr="008D2B9D">
        <w:rPr>
          <w:rFonts w:cs="Times New Roman"/>
        </w:rPr>
        <w:t>Evoquant l’ouvrage de Walter Van Gerven dans sa Mercuriale prononcée le 1</w:t>
      </w:r>
      <w:r w:rsidR="008B3E89" w:rsidRPr="008D2B9D">
        <w:rPr>
          <w:rFonts w:cs="Times New Roman"/>
          <w:vertAlign w:val="superscript"/>
        </w:rPr>
        <w:t>er</w:t>
      </w:r>
      <w:r w:rsidR="008B3E89" w:rsidRPr="008D2B9D">
        <w:rPr>
          <w:rFonts w:cs="Times New Roman"/>
        </w:rPr>
        <w:t xml:space="preserve"> décembre 1975, le Procureur général près la Cour de cassation F</w:t>
      </w:r>
      <w:r w:rsidR="008617E8">
        <w:rPr>
          <w:rFonts w:cs="Times New Roman"/>
        </w:rPr>
        <w:t>rédéric</w:t>
      </w:r>
      <w:r w:rsidR="008B3E89" w:rsidRPr="008D2B9D">
        <w:rPr>
          <w:rFonts w:cs="Times New Roman"/>
        </w:rPr>
        <w:t xml:space="preserve"> Dumon</w:t>
      </w:r>
      <w:r w:rsidR="00F7685E" w:rsidRPr="008D2B9D">
        <w:rPr>
          <w:rStyle w:val="Appelnotedebasdep"/>
          <w:rFonts w:cs="Times New Roman"/>
        </w:rPr>
        <w:footnoteReference w:id="1"/>
      </w:r>
      <w:r w:rsidR="008B3E89" w:rsidRPr="008D2B9D">
        <w:rPr>
          <w:rFonts w:cs="Times New Roman"/>
        </w:rPr>
        <w:t xml:space="preserve"> écrivait ceci</w:t>
      </w:r>
      <w:r w:rsidR="008D2B9D" w:rsidRPr="008D2B9D">
        <w:rPr>
          <w:rFonts w:cs="Times New Roman"/>
        </w:rPr>
        <w:t>:</w:t>
      </w:r>
    </w:p>
    <w:p w14:paraId="7BE38015" w14:textId="77777777" w:rsidR="008B3E89" w:rsidRPr="008D2B9D" w:rsidRDefault="008B3E89" w:rsidP="007E75CC">
      <w:pPr>
        <w:rPr>
          <w:rFonts w:cs="Times New Roman"/>
        </w:rPr>
      </w:pPr>
    </w:p>
    <w:p w14:paraId="61B5A3A9" w14:textId="168322FC" w:rsidR="008B3E89" w:rsidRPr="009C6F4B" w:rsidRDefault="008617E8" w:rsidP="009C6F4B">
      <w:pPr>
        <w:rPr>
          <w:rFonts w:cs="Times New Roman"/>
          <w:i/>
          <w:iCs/>
        </w:rPr>
      </w:pPr>
      <w:r w:rsidRPr="009C6F4B">
        <w:rPr>
          <w:rFonts w:cs="Times New Roman"/>
          <w:i/>
          <w:iCs/>
        </w:rPr>
        <w:t>“</w:t>
      </w:r>
      <w:r w:rsidR="00F7685E" w:rsidRPr="009C6F4B">
        <w:rPr>
          <w:rFonts w:cs="Times New Roman"/>
          <w:i/>
          <w:iCs/>
        </w:rPr>
        <w:t>Dans un ouvrage de grand mérite (…), mais qui contient, toutefois, quelques passages dangereux car ils sont de nature à créer la confusion entre la mission du législateur et celle du juge, l’auteur du traité remarquable ‘Beginselen van belgisch privaat recht. Algemeen deel’</w:t>
      </w:r>
      <w:r w:rsidR="0015099F" w:rsidRPr="009C6F4B">
        <w:rPr>
          <w:rFonts w:cs="Times New Roman"/>
          <w:i/>
          <w:iCs/>
        </w:rPr>
        <w:t xml:space="preserve"> écrit</w:t>
      </w:r>
      <w:r w:rsidR="008D2B9D" w:rsidRPr="009C6F4B">
        <w:rPr>
          <w:rFonts w:cs="Times New Roman"/>
          <w:i/>
          <w:iCs/>
        </w:rPr>
        <w:t>:</w:t>
      </w:r>
      <w:r w:rsidR="0015099F" w:rsidRPr="009C6F4B">
        <w:rPr>
          <w:rFonts w:cs="Times New Roman"/>
          <w:i/>
          <w:iCs/>
        </w:rPr>
        <w:t xml:space="preserve"> ‘le juriste (mais quel juriste) ne peut, dans ses options, se laisser contraindre par la règle, par la loi, il doit, au contraire, garder ses distances, son indépendance…. Le choix d’une règle déterminée plutôt que d’une autre, au titre de guide, pour la solution d’un cas précis</w:t>
      </w:r>
      <w:r w:rsidR="00274A6D" w:rsidRPr="009C6F4B">
        <w:rPr>
          <w:rFonts w:cs="Times New Roman"/>
          <w:i/>
          <w:iCs/>
        </w:rPr>
        <w:t>, n’est pas davantage le résultat d’une nécessité qui s’impose à la volonté (…)</w:t>
      </w:r>
      <w:r w:rsidR="00E65475" w:rsidRPr="009C6F4B">
        <w:rPr>
          <w:rFonts w:cs="Times New Roman"/>
          <w:i/>
          <w:iCs/>
        </w:rPr>
        <w:t>’ (…) Il poursuit en affirmant ‘que de nombreux litiges obligent les juristes à apprécier les intérêts et les valeurs qui sont en question, ce qui indiquera la règle qu’il faut choisir’.</w:t>
      </w:r>
    </w:p>
    <w:p w14:paraId="105468E2" w14:textId="77777777" w:rsidR="00E65475" w:rsidRPr="009C6F4B" w:rsidRDefault="00E65475" w:rsidP="009C6F4B">
      <w:pPr>
        <w:rPr>
          <w:rFonts w:cs="Times New Roman"/>
          <w:i/>
          <w:iCs/>
        </w:rPr>
      </w:pPr>
    </w:p>
    <w:p w14:paraId="11485B74" w14:textId="3FE1DB4A" w:rsidR="00E65475" w:rsidRPr="009C6F4B" w:rsidRDefault="00E65475" w:rsidP="009C6F4B">
      <w:pPr>
        <w:rPr>
          <w:rFonts w:cs="Times New Roman"/>
          <w:i/>
          <w:iCs/>
        </w:rPr>
      </w:pPr>
      <w:r w:rsidRPr="009C6F4B">
        <w:rPr>
          <w:rFonts w:cs="Times New Roman"/>
          <w:i/>
          <w:iCs/>
        </w:rPr>
        <w:t>Il me parait évident qu’ainsi sont manifestement confondues la mission du législateur et celle des magistrats</w:t>
      </w:r>
      <w:r w:rsidR="008617E8" w:rsidRPr="009C6F4B">
        <w:rPr>
          <w:rFonts w:cs="Times New Roman"/>
          <w:i/>
          <w:iCs/>
        </w:rPr>
        <w:t>”</w:t>
      </w:r>
      <w:r w:rsidRPr="009C6F4B">
        <w:rPr>
          <w:rFonts w:cs="Times New Roman"/>
          <w:i/>
          <w:iCs/>
        </w:rPr>
        <w:t>.</w:t>
      </w:r>
    </w:p>
    <w:p w14:paraId="1FE93135" w14:textId="77777777" w:rsidR="008B3E89" w:rsidRPr="008D2B9D" w:rsidRDefault="008B3E89" w:rsidP="007E75CC">
      <w:pPr>
        <w:rPr>
          <w:rFonts w:cs="Times New Roman"/>
        </w:rPr>
      </w:pPr>
    </w:p>
    <w:p w14:paraId="50117D58" w14:textId="54ABEC7F" w:rsidR="00BA400F" w:rsidRPr="008D2B9D" w:rsidRDefault="00BA400F" w:rsidP="007E75CC">
      <w:pPr>
        <w:rPr>
          <w:rFonts w:cs="Times New Roman"/>
        </w:rPr>
      </w:pPr>
      <w:r w:rsidRPr="008D2B9D">
        <w:rPr>
          <w:rFonts w:cs="Times New Roman"/>
        </w:rPr>
        <w:t>L</w:t>
      </w:r>
      <w:r w:rsidR="00F76456" w:rsidRPr="008D2B9D">
        <w:rPr>
          <w:rFonts w:cs="Times New Roman"/>
        </w:rPr>
        <w:t>’un des</w:t>
      </w:r>
      <w:r w:rsidRPr="008D2B9D">
        <w:rPr>
          <w:rFonts w:cs="Times New Roman"/>
        </w:rPr>
        <w:t xml:space="preserve"> passage</w:t>
      </w:r>
      <w:r w:rsidR="00F76456" w:rsidRPr="008D2B9D">
        <w:rPr>
          <w:rFonts w:cs="Times New Roman"/>
        </w:rPr>
        <w:t>s</w:t>
      </w:r>
      <w:r w:rsidRPr="008D2B9D">
        <w:rPr>
          <w:rFonts w:cs="Times New Roman"/>
        </w:rPr>
        <w:t xml:space="preserve"> le</w:t>
      </w:r>
      <w:r w:rsidR="00F76456" w:rsidRPr="008D2B9D">
        <w:rPr>
          <w:rFonts w:cs="Times New Roman"/>
        </w:rPr>
        <w:t>s</w:t>
      </w:r>
      <w:r w:rsidRPr="008D2B9D">
        <w:rPr>
          <w:rFonts w:cs="Times New Roman"/>
        </w:rPr>
        <w:t xml:space="preserve"> plus </w:t>
      </w:r>
      <w:r w:rsidR="008617E8">
        <w:rPr>
          <w:rFonts w:cs="Times New Roman"/>
        </w:rPr>
        <w:t>“</w:t>
      </w:r>
      <w:r w:rsidRPr="008D2B9D">
        <w:rPr>
          <w:rFonts w:cs="Times New Roman"/>
        </w:rPr>
        <w:t>dangereux</w:t>
      </w:r>
      <w:r w:rsidR="008617E8">
        <w:rPr>
          <w:rFonts w:cs="Times New Roman"/>
        </w:rPr>
        <w:t>”</w:t>
      </w:r>
      <w:r w:rsidRPr="008D2B9D">
        <w:rPr>
          <w:rFonts w:cs="Times New Roman"/>
        </w:rPr>
        <w:t xml:space="preserve"> était sans doute le suivant</w:t>
      </w:r>
      <w:r w:rsidR="008D2B9D" w:rsidRPr="008D2B9D">
        <w:rPr>
          <w:rFonts w:cs="Times New Roman"/>
        </w:rPr>
        <w:t>:</w:t>
      </w:r>
    </w:p>
    <w:p w14:paraId="4A02708F" w14:textId="77777777" w:rsidR="00BA400F" w:rsidRPr="008D2B9D" w:rsidRDefault="00BA400F" w:rsidP="007E75CC">
      <w:pPr>
        <w:rPr>
          <w:rFonts w:cs="Times New Roman"/>
        </w:rPr>
      </w:pPr>
    </w:p>
    <w:p w14:paraId="5AA504C0" w14:textId="2DB8ADBE" w:rsidR="00BA400F" w:rsidRPr="009C6F4B" w:rsidRDefault="008617E8" w:rsidP="009C6F4B">
      <w:pPr>
        <w:rPr>
          <w:rFonts w:cs="Times New Roman"/>
          <w:i/>
          <w:iCs/>
        </w:rPr>
      </w:pPr>
      <w:r w:rsidRPr="009C6F4B">
        <w:rPr>
          <w:rFonts w:cs="Times New Roman"/>
          <w:i/>
          <w:iCs/>
        </w:rPr>
        <w:t>“</w:t>
      </w:r>
      <w:r w:rsidR="00F76456" w:rsidRPr="009C6F4B">
        <w:rPr>
          <w:rFonts w:cs="Times New Roman"/>
          <w:i/>
          <w:iCs/>
        </w:rPr>
        <w:t>Nous avons tenté de décrire le mode de raisonnement du juriste, en particulier celui du juge, et souligné le fait que tout praticien, consciemment ou non, suit une politique lorsqu’il dit le droit, dans la mesure où il effectue un choix entre des valeurs alternatives</w:t>
      </w:r>
      <w:r w:rsidRPr="009C6F4B">
        <w:rPr>
          <w:rFonts w:cs="Times New Roman"/>
          <w:i/>
          <w:iCs/>
        </w:rPr>
        <w:t>"</w:t>
      </w:r>
      <w:r w:rsidR="00E65475" w:rsidRPr="009C6F4B">
        <w:rPr>
          <w:rStyle w:val="Appelnotedebasdep"/>
          <w:rFonts w:cs="Times New Roman"/>
          <w:i/>
          <w:iCs/>
        </w:rPr>
        <w:footnoteReference w:id="2"/>
      </w:r>
      <w:r w:rsidR="00F76456" w:rsidRPr="009C6F4B">
        <w:rPr>
          <w:rFonts w:cs="Times New Roman"/>
          <w:i/>
          <w:iCs/>
        </w:rPr>
        <w:t>.</w:t>
      </w:r>
    </w:p>
    <w:p w14:paraId="07B41BAF" w14:textId="77777777" w:rsidR="008B3E89" w:rsidRPr="008D2B9D" w:rsidRDefault="008B3E89" w:rsidP="007E75CC">
      <w:pPr>
        <w:rPr>
          <w:rFonts w:cs="Times New Roman"/>
        </w:rPr>
      </w:pPr>
    </w:p>
    <w:p w14:paraId="2396CB90" w14:textId="12394381" w:rsidR="00C023F7" w:rsidRPr="008D2B9D" w:rsidRDefault="008617E8" w:rsidP="007E75CC">
      <w:pPr>
        <w:rPr>
          <w:rFonts w:cs="Times New Roman"/>
        </w:rPr>
      </w:pPr>
      <w:r w:rsidRPr="009C6F4B">
        <w:rPr>
          <w:rFonts w:cs="Times New Roman"/>
          <w:b/>
          <w:bCs/>
        </w:rPr>
        <w:t>2.</w:t>
      </w:r>
      <w:r>
        <w:rPr>
          <w:rFonts w:cs="Times New Roman"/>
        </w:rPr>
        <w:t xml:space="preserve"> </w:t>
      </w:r>
      <w:r w:rsidR="008B3E89" w:rsidRPr="008D2B9D">
        <w:rPr>
          <w:rFonts w:cs="Times New Roman"/>
        </w:rPr>
        <w:t xml:space="preserve">Aujourd’hui, l’analyse de Van Gerven sur la dimension proprement politique de l’interprétation des règles de droit – en ce sens qu’elle est le théâtre de véritables </w:t>
      </w:r>
      <w:r>
        <w:rPr>
          <w:rFonts w:cs="Times New Roman"/>
        </w:rPr>
        <w:t>“</w:t>
      </w:r>
      <w:r w:rsidR="008B3E89" w:rsidRPr="008D2B9D">
        <w:rPr>
          <w:rFonts w:cs="Times New Roman"/>
        </w:rPr>
        <w:t>choix</w:t>
      </w:r>
      <w:r>
        <w:rPr>
          <w:rFonts w:cs="Times New Roman"/>
        </w:rPr>
        <w:t>”</w:t>
      </w:r>
      <w:r w:rsidR="008B3E89" w:rsidRPr="008D2B9D">
        <w:rPr>
          <w:rFonts w:cs="Times New Roman"/>
        </w:rPr>
        <w:t xml:space="preserve"> </w:t>
      </w:r>
      <w:r w:rsidR="00C023F7" w:rsidRPr="008D2B9D">
        <w:rPr>
          <w:rFonts w:cs="Times New Roman"/>
        </w:rPr>
        <w:t>–</w:t>
      </w:r>
      <w:r w:rsidR="008B3E89" w:rsidRPr="008D2B9D">
        <w:rPr>
          <w:rFonts w:cs="Times New Roman"/>
        </w:rPr>
        <w:t xml:space="preserve"> a cessé de choquer</w:t>
      </w:r>
      <w:r w:rsidR="00BA400F" w:rsidRPr="008D2B9D">
        <w:rPr>
          <w:rFonts w:cs="Times New Roman"/>
        </w:rPr>
        <w:t xml:space="preserve">, et </w:t>
      </w:r>
      <w:r w:rsidR="00BA400F" w:rsidRPr="008D2B9D">
        <w:rPr>
          <w:rFonts w:cs="Times New Roman"/>
          <w:i/>
        </w:rPr>
        <w:t xml:space="preserve">a fortiori </w:t>
      </w:r>
      <w:r w:rsidR="00BA400F" w:rsidRPr="008D2B9D">
        <w:rPr>
          <w:rFonts w:cs="Times New Roman"/>
        </w:rPr>
        <w:t>d’effrayer</w:t>
      </w:r>
      <w:r w:rsidR="008B3E89" w:rsidRPr="008D2B9D">
        <w:rPr>
          <w:rFonts w:cs="Times New Roman"/>
        </w:rPr>
        <w:t>. Elle est presque devenue banale.</w:t>
      </w:r>
      <w:r w:rsidR="00C023F7" w:rsidRPr="008D2B9D">
        <w:rPr>
          <w:rFonts w:cs="Times New Roman"/>
        </w:rPr>
        <w:t xml:space="preserve"> </w:t>
      </w:r>
    </w:p>
    <w:p w14:paraId="6B0C159F" w14:textId="77777777" w:rsidR="00C023F7" w:rsidRPr="008D2B9D" w:rsidRDefault="00C023F7" w:rsidP="007E75CC">
      <w:pPr>
        <w:rPr>
          <w:rFonts w:cs="Times New Roman"/>
        </w:rPr>
      </w:pPr>
    </w:p>
    <w:p w14:paraId="49A66B73" w14:textId="04247629" w:rsidR="008B3E89" w:rsidRPr="008D2B9D" w:rsidRDefault="00C023F7" w:rsidP="007E75CC">
      <w:pPr>
        <w:rPr>
          <w:rFonts w:cs="Times New Roman"/>
        </w:rPr>
      </w:pPr>
      <w:r w:rsidRPr="008D2B9D">
        <w:rPr>
          <w:rFonts w:cs="Times New Roman"/>
        </w:rPr>
        <w:t xml:space="preserve">Dans le droit de la Convention européenne des droits de l’Homme, </w:t>
      </w:r>
      <w:r w:rsidRPr="008D2B9D">
        <w:rPr>
          <w:rFonts w:cs="Times New Roman"/>
          <w:i/>
          <w:iCs/>
        </w:rPr>
        <w:t>anno</w:t>
      </w:r>
      <w:r w:rsidRPr="008D2B9D">
        <w:rPr>
          <w:rFonts w:cs="Times New Roman"/>
        </w:rPr>
        <w:t xml:space="preserve"> 2023, il ne se trouvera plus grand monde, dans ou hors des murs de la Cour, pour soutenir l’idée que la Convention présenterait un </w:t>
      </w:r>
      <w:r w:rsidR="008617E8">
        <w:rPr>
          <w:rFonts w:cs="Times New Roman"/>
        </w:rPr>
        <w:t>“</w:t>
      </w:r>
      <w:r w:rsidRPr="008D2B9D">
        <w:rPr>
          <w:rFonts w:cs="Times New Roman"/>
        </w:rPr>
        <w:t>sens clair</w:t>
      </w:r>
      <w:r w:rsidR="008617E8">
        <w:rPr>
          <w:rFonts w:cs="Times New Roman"/>
        </w:rPr>
        <w:t>”</w:t>
      </w:r>
      <w:r w:rsidRPr="008D2B9D">
        <w:rPr>
          <w:rFonts w:cs="Times New Roman"/>
        </w:rPr>
        <w:t>, et dénier corrélativement la légitimité d’une grande part de co-détermination prétorienne de</w:t>
      </w:r>
      <w:r w:rsidR="00190720" w:rsidRPr="008D2B9D">
        <w:rPr>
          <w:rFonts w:cs="Times New Roman"/>
        </w:rPr>
        <w:t xml:space="preserve"> ses</w:t>
      </w:r>
      <w:r w:rsidRPr="008D2B9D">
        <w:rPr>
          <w:rFonts w:cs="Times New Roman"/>
        </w:rPr>
        <w:t xml:space="preserve"> prescrits. La question y est de moins en moins celle du </w:t>
      </w:r>
      <w:r w:rsidR="008617E8">
        <w:rPr>
          <w:rFonts w:cs="Times New Roman"/>
        </w:rPr>
        <w:t>“</w:t>
      </w:r>
      <w:r w:rsidRPr="008D2B9D">
        <w:rPr>
          <w:rFonts w:cs="Times New Roman"/>
        </w:rPr>
        <w:t>si</w:t>
      </w:r>
      <w:r w:rsidR="008617E8">
        <w:rPr>
          <w:rFonts w:cs="Times New Roman"/>
        </w:rPr>
        <w:t>”</w:t>
      </w:r>
      <w:r w:rsidRPr="008D2B9D">
        <w:rPr>
          <w:rFonts w:cs="Times New Roman"/>
        </w:rPr>
        <w:t xml:space="preserve">, voire même du </w:t>
      </w:r>
      <w:r w:rsidR="008617E8">
        <w:rPr>
          <w:rFonts w:cs="Times New Roman"/>
        </w:rPr>
        <w:t>“</w:t>
      </w:r>
      <w:r w:rsidRPr="008D2B9D">
        <w:rPr>
          <w:rFonts w:cs="Times New Roman"/>
        </w:rPr>
        <w:t>comment</w:t>
      </w:r>
      <w:r w:rsidR="008617E8">
        <w:rPr>
          <w:rFonts w:cs="Times New Roman"/>
        </w:rPr>
        <w:t>”</w:t>
      </w:r>
      <w:r w:rsidRPr="008D2B9D">
        <w:rPr>
          <w:rFonts w:cs="Times New Roman"/>
        </w:rPr>
        <w:t xml:space="preserve">, mais plutôt celle du </w:t>
      </w:r>
      <w:r w:rsidR="008617E8">
        <w:rPr>
          <w:rFonts w:cs="Times New Roman"/>
        </w:rPr>
        <w:t>“</w:t>
      </w:r>
      <w:r w:rsidRPr="008D2B9D">
        <w:rPr>
          <w:rFonts w:cs="Times New Roman"/>
        </w:rPr>
        <w:t>jusqu’où</w:t>
      </w:r>
      <w:r w:rsidR="008617E8">
        <w:rPr>
          <w:rFonts w:cs="Times New Roman"/>
        </w:rPr>
        <w:t>”</w:t>
      </w:r>
      <w:r w:rsidRPr="008D2B9D">
        <w:rPr>
          <w:rFonts w:cs="Times New Roman"/>
        </w:rPr>
        <w:t xml:space="preserve"> interpréter.</w:t>
      </w:r>
    </w:p>
    <w:p w14:paraId="1074E9D4" w14:textId="77777777" w:rsidR="00C023F7" w:rsidRPr="008D2B9D" w:rsidRDefault="00C023F7" w:rsidP="007E75CC">
      <w:pPr>
        <w:rPr>
          <w:rFonts w:cs="Times New Roman"/>
        </w:rPr>
      </w:pPr>
    </w:p>
    <w:p w14:paraId="703B35B1" w14:textId="6C3C9F15" w:rsidR="00C023F7" w:rsidRPr="008D2B9D" w:rsidRDefault="008617E8" w:rsidP="007E75CC">
      <w:pPr>
        <w:rPr>
          <w:rFonts w:cs="Times New Roman"/>
          <w:iCs/>
        </w:rPr>
      </w:pPr>
      <w:r w:rsidRPr="009C6F4B">
        <w:rPr>
          <w:rFonts w:cs="Times New Roman"/>
          <w:b/>
          <w:bCs/>
        </w:rPr>
        <w:t>3.</w:t>
      </w:r>
      <w:r>
        <w:rPr>
          <w:rFonts w:cs="Times New Roman"/>
        </w:rPr>
        <w:t xml:space="preserve"> </w:t>
      </w:r>
      <w:r w:rsidR="00C023F7" w:rsidRPr="008D2B9D">
        <w:rPr>
          <w:rFonts w:cs="Times New Roman"/>
        </w:rPr>
        <w:t>S’il semble ainsi avoir quitté la question de l’interprétation,</w:t>
      </w:r>
      <w:r w:rsidR="00BC4218" w:rsidRPr="008D2B9D">
        <w:rPr>
          <w:rFonts w:cs="Times New Roman"/>
        </w:rPr>
        <w:t xml:space="preserve"> </w:t>
      </w:r>
      <w:r w:rsidR="00C023F7" w:rsidRPr="008D2B9D">
        <w:rPr>
          <w:rFonts w:cs="Times New Roman"/>
        </w:rPr>
        <w:t xml:space="preserve">le débat sur la </w:t>
      </w:r>
      <w:r>
        <w:rPr>
          <w:rFonts w:cs="Times New Roman"/>
        </w:rPr>
        <w:t>“</w:t>
      </w:r>
      <w:r w:rsidR="00C023F7" w:rsidRPr="008D2B9D">
        <w:rPr>
          <w:rFonts w:cs="Times New Roman"/>
        </w:rPr>
        <w:t>politique du juge</w:t>
      </w:r>
      <w:r>
        <w:rPr>
          <w:rFonts w:cs="Times New Roman"/>
        </w:rPr>
        <w:t>”</w:t>
      </w:r>
      <w:r w:rsidR="00C023F7" w:rsidRPr="008D2B9D">
        <w:rPr>
          <w:rFonts w:cs="Times New Roman"/>
        </w:rPr>
        <w:t xml:space="preserve"> ne s’est cependant pas éteint à Strasbourg, et connaît une effervescence importante autour d’une question plus </w:t>
      </w:r>
      <w:r>
        <w:rPr>
          <w:rFonts w:cs="Times New Roman"/>
        </w:rPr>
        <w:t>“</w:t>
      </w:r>
      <w:r w:rsidR="00C023F7" w:rsidRPr="008D2B9D">
        <w:rPr>
          <w:rFonts w:cs="Times New Roman"/>
          <w:i/>
          <w:iCs/>
        </w:rPr>
        <w:t>meta</w:t>
      </w:r>
      <w:r>
        <w:rPr>
          <w:rFonts w:cs="Times New Roman"/>
          <w:i/>
          <w:iCs/>
        </w:rPr>
        <w:t>”</w:t>
      </w:r>
      <w:r w:rsidR="00C023F7" w:rsidRPr="008D2B9D">
        <w:rPr>
          <w:rFonts w:cs="Times New Roman"/>
        </w:rPr>
        <w:t xml:space="preserve"> relative au sens même et aux finalités de la mission confiée à la Cour. Traditionnellement, celle-ci était présentée de manière duale</w:t>
      </w:r>
      <w:r w:rsidR="008D2B9D" w:rsidRPr="008D2B9D">
        <w:rPr>
          <w:rFonts w:cs="Times New Roman"/>
        </w:rPr>
        <w:t>:</w:t>
      </w:r>
      <w:r w:rsidR="00C023F7" w:rsidRPr="008D2B9D">
        <w:rPr>
          <w:rFonts w:cs="Times New Roman"/>
        </w:rPr>
        <w:t xml:space="preserve"> </w:t>
      </w:r>
      <w:r>
        <w:rPr>
          <w:rFonts w:cs="Times New Roman"/>
        </w:rPr>
        <w:t>“</w:t>
      </w:r>
      <w:r w:rsidR="00C023F7" w:rsidRPr="008D2B9D">
        <w:rPr>
          <w:rFonts w:cs="Times New Roman"/>
        </w:rPr>
        <w:t>dire le droit</w:t>
      </w:r>
      <w:r>
        <w:rPr>
          <w:rFonts w:cs="Times New Roman"/>
        </w:rPr>
        <w:t>”</w:t>
      </w:r>
      <w:r w:rsidR="00C023F7" w:rsidRPr="008D2B9D">
        <w:rPr>
          <w:rFonts w:cs="Times New Roman"/>
        </w:rPr>
        <w:t xml:space="preserve"> </w:t>
      </w:r>
      <w:r w:rsidR="00C023F7" w:rsidRPr="008D2B9D">
        <w:rPr>
          <w:rFonts w:cs="Times New Roman"/>
          <w:i/>
        </w:rPr>
        <w:t xml:space="preserve">et </w:t>
      </w:r>
      <w:r>
        <w:rPr>
          <w:rFonts w:cs="Times New Roman"/>
          <w:i/>
        </w:rPr>
        <w:t>“</w:t>
      </w:r>
      <w:r w:rsidR="00C023F7" w:rsidRPr="008D2B9D">
        <w:rPr>
          <w:rFonts w:cs="Times New Roman"/>
          <w:iCs/>
        </w:rPr>
        <w:t>rendre justi</w:t>
      </w:r>
      <w:r w:rsidR="0094700D" w:rsidRPr="008D2B9D">
        <w:rPr>
          <w:rFonts w:cs="Times New Roman"/>
          <w:iCs/>
        </w:rPr>
        <w:t>c</w:t>
      </w:r>
      <w:r w:rsidR="00C023F7" w:rsidRPr="008D2B9D">
        <w:rPr>
          <w:rFonts w:cs="Times New Roman"/>
          <w:iCs/>
        </w:rPr>
        <w:t>e</w:t>
      </w:r>
      <w:r>
        <w:rPr>
          <w:rFonts w:cs="Times New Roman"/>
          <w:iCs/>
        </w:rPr>
        <w:t>”</w:t>
      </w:r>
      <w:r w:rsidR="00645070" w:rsidRPr="008D2B9D">
        <w:rPr>
          <w:rStyle w:val="Appelnotedebasdep"/>
          <w:rFonts w:cs="Times New Roman"/>
          <w:iCs/>
        </w:rPr>
        <w:footnoteReference w:id="3"/>
      </w:r>
      <w:r w:rsidR="00C023F7" w:rsidRPr="008D2B9D">
        <w:rPr>
          <w:rFonts w:cs="Times New Roman"/>
          <w:iCs/>
        </w:rPr>
        <w:t xml:space="preserve"> </w:t>
      </w:r>
      <w:r w:rsidR="00C023F7" w:rsidRPr="008D2B9D">
        <w:rPr>
          <w:rFonts w:cs="Times New Roman"/>
          <w:b/>
          <w:bCs/>
          <w:iCs/>
        </w:rPr>
        <w:t>(I</w:t>
      </w:r>
      <w:r w:rsidR="008D2B9D">
        <w:rPr>
          <w:rFonts w:cs="Times New Roman"/>
          <w:b/>
          <w:bCs/>
          <w:iCs/>
        </w:rPr>
        <w:t>I</w:t>
      </w:r>
      <w:r w:rsidR="00C023F7" w:rsidRPr="008D2B9D">
        <w:rPr>
          <w:rFonts w:cs="Times New Roman"/>
          <w:b/>
          <w:bCs/>
          <w:iCs/>
        </w:rPr>
        <w:t>)</w:t>
      </w:r>
      <w:r w:rsidR="00C023F7" w:rsidRPr="008D2B9D">
        <w:rPr>
          <w:rFonts w:cs="Times New Roman"/>
          <w:iCs/>
        </w:rPr>
        <w:t xml:space="preserve">. Aujourd’hui, </w:t>
      </w:r>
      <w:r w:rsidR="0094700D" w:rsidRPr="008D2B9D">
        <w:rPr>
          <w:rFonts w:cs="Times New Roman"/>
          <w:iCs/>
        </w:rPr>
        <w:t xml:space="preserve">la pression qu’exerce </w:t>
      </w:r>
      <w:r w:rsidR="00DD6262" w:rsidRPr="008D2B9D">
        <w:rPr>
          <w:rFonts w:cs="Times New Roman"/>
          <w:iCs/>
        </w:rPr>
        <w:t>son arriéré</w:t>
      </w:r>
      <w:r w:rsidR="0094700D" w:rsidRPr="008D2B9D">
        <w:rPr>
          <w:rFonts w:cs="Times New Roman"/>
          <w:iCs/>
        </w:rPr>
        <w:t xml:space="preserve"> sur la Cour conduit </w:t>
      </w:r>
      <w:r w:rsidR="00DD6262" w:rsidRPr="008D2B9D">
        <w:rPr>
          <w:rFonts w:cs="Times New Roman"/>
          <w:iCs/>
        </w:rPr>
        <w:t xml:space="preserve">à devoir envisager les choses, non plus sur le mode </w:t>
      </w:r>
      <w:r w:rsidR="00DD6262" w:rsidRPr="008D2B9D">
        <w:rPr>
          <w:rFonts w:cs="Times New Roman"/>
          <w:i/>
          <w:iCs/>
        </w:rPr>
        <w:t xml:space="preserve">cumulatif </w:t>
      </w:r>
      <w:r w:rsidR="00DD6262" w:rsidRPr="008D2B9D">
        <w:rPr>
          <w:rFonts w:cs="Times New Roman"/>
          <w:iCs/>
        </w:rPr>
        <w:t xml:space="preserve">– </w:t>
      </w:r>
      <w:r w:rsidR="00DD6262" w:rsidRPr="008D2B9D">
        <w:rPr>
          <w:rFonts w:cs="Times New Roman"/>
          <w:i/>
          <w:iCs/>
        </w:rPr>
        <w:t xml:space="preserve">et, et </w:t>
      </w:r>
      <w:r w:rsidR="00DD6262" w:rsidRPr="008D2B9D">
        <w:rPr>
          <w:rFonts w:cs="Times New Roman"/>
          <w:iCs/>
        </w:rPr>
        <w:t xml:space="preserve">–, mais bien sur le mode </w:t>
      </w:r>
      <w:r w:rsidR="00DD6262" w:rsidRPr="008D2B9D">
        <w:rPr>
          <w:rFonts w:cs="Times New Roman"/>
          <w:i/>
          <w:iCs/>
        </w:rPr>
        <w:t>alternatif</w:t>
      </w:r>
      <w:r w:rsidR="008D2B9D" w:rsidRPr="008D2B9D">
        <w:rPr>
          <w:rFonts w:cs="Times New Roman"/>
          <w:i/>
          <w:iCs/>
        </w:rPr>
        <w:t>:</w:t>
      </w:r>
      <w:r w:rsidR="00DD6262" w:rsidRPr="008D2B9D">
        <w:rPr>
          <w:rFonts w:cs="Times New Roman"/>
          <w:iCs/>
        </w:rPr>
        <w:t xml:space="preserve"> faute de temps, ce sera – en tous cas prioritairement </w:t>
      </w:r>
      <w:r w:rsidR="0015099F" w:rsidRPr="008D2B9D">
        <w:rPr>
          <w:rFonts w:cs="Times New Roman"/>
          <w:iCs/>
        </w:rPr>
        <w:t>–</w:t>
      </w:r>
      <w:r w:rsidR="00DD6262" w:rsidRPr="008D2B9D">
        <w:rPr>
          <w:rFonts w:cs="Times New Roman"/>
          <w:iCs/>
        </w:rPr>
        <w:t xml:space="preserve"> </w:t>
      </w:r>
      <w:r>
        <w:rPr>
          <w:rFonts w:cs="Times New Roman"/>
          <w:iCs/>
        </w:rPr>
        <w:t>“</w:t>
      </w:r>
      <w:r w:rsidR="00DD6262" w:rsidRPr="008D2B9D">
        <w:rPr>
          <w:rFonts w:cs="Times New Roman"/>
          <w:iCs/>
        </w:rPr>
        <w:t>dire le droit</w:t>
      </w:r>
      <w:r>
        <w:rPr>
          <w:rFonts w:cs="Times New Roman"/>
          <w:iCs/>
        </w:rPr>
        <w:t>”</w:t>
      </w:r>
      <w:r w:rsidR="00DD6262" w:rsidRPr="008D2B9D">
        <w:rPr>
          <w:rFonts w:cs="Times New Roman"/>
          <w:iCs/>
        </w:rPr>
        <w:t xml:space="preserve"> </w:t>
      </w:r>
      <w:r w:rsidR="00DD6262" w:rsidRPr="008D2B9D">
        <w:rPr>
          <w:rFonts w:cs="Times New Roman"/>
          <w:i/>
          <w:iCs/>
        </w:rPr>
        <w:t xml:space="preserve">ou </w:t>
      </w:r>
      <w:r>
        <w:rPr>
          <w:rFonts w:cs="Times New Roman"/>
          <w:iCs/>
        </w:rPr>
        <w:t>“</w:t>
      </w:r>
      <w:r w:rsidR="00DD6262" w:rsidRPr="008D2B9D">
        <w:rPr>
          <w:rFonts w:cs="Times New Roman"/>
          <w:iCs/>
        </w:rPr>
        <w:t>rendre justice</w:t>
      </w:r>
      <w:r>
        <w:rPr>
          <w:rFonts w:cs="Times New Roman"/>
          <w:iCs/>
        </w:rPr>
        <w:t>”</w:t>
      </w:r>
      <w:r w:rsidR="00DD6262" w:rsidRPr="008D2B9D">
        <w:rPr>
          <w:rFonts w:cs="Times New Roman"/>
          <w:iCs/>
        </w:rPr>
        <w:t xml:space="preserve">. Avec, à la clef, un véritable </w:t>
      </w:r>
      <w:r>
        <w:rPr>
          <w:rFonts w:cs="Times New Roman"/>
          <w:iCs/>
        </w:rPr>
        <w:t>“</w:t>
      </w:r>
      <w:r w:rsidR="00DD6262" w:rsidRPr="008D2B9D">
        <w:rPr>
          <w:rFonts w:cs="Times New Roman"/>
          <w:iCs/>
        </w:rPr>
        <w:t>choix</w:t>
      </w:r>
      <w:r>
        <w:rPr>
          <w:rFonts w:cs="Times New Roman"/>
          <w:iCs/>
        </w:rPr>
        <w:t>”</w:t>
      </w:r>
      <w:r w:rsidR="00DD6262" w:rsidRPr="008D2B9D">
        <w:rPr>
          <w:rFonts w:cs="Times New Roman"/>
          <w:iCs/>
        </w:rPr>
        <w:t xml:space="preserve"> véritablement </w:t>
      </w:r>
      <w:r>
        <w:rPr>
          <w:rFonts w:cs="Times New Roman"/>
          <w:iCs/>
        </w:rPr>
        <w:t>“</w:t>
      </w:r>
      <w:r w:rsidR="00DD6262" w:rsidRPr="008D2B9D">
        <w:rPr>
          <w:rFonts w:cs="Times New Roman"/>
          <w:iCs/>
        </w:rPr>
        <w:t>politique</w:t>
      </w:r>
      <w:r>
        <w:rPr>
          <w:rFonts w:cs="Times New Roman"/>
          <w:iCs/>
        </w:rPr>
        <w:t>”</w:t>
      </w:r>
      <w:r w:rsidR="00DD6262" w:rsidRPr="008D2B9D">
        <w:rPr>
          <w:rFonts w:cs="Times New Roman"/>
          <w:iCs/>
        </w:rPr>
        <w:t xml:space="preserve">, qui peut être – et est au demeurant – le terrain </w:t>
      </w:r>
      <w:r w:rsidR="00DD6262" w:rsidRPr="008D2B9D">
        <w:rPr>
          <w:rFonts w:cs="Times New Roman"/>
          <w:iCs/>
        </w:rPr>
        <w:lastRenderedPageBreak/>
        <w:t xml:space="preserve">de controverses </w:t>
      </w:r>
      <w:r w:rsidR="00BA400F" w:rsidRPr="008D2B9D">
        <w:rPr>
          <w:rFonts w:cs="Times New Roman"/>
          <w:iCs/>
        </w:rPr>
        <w:t xml:space="preserve">aussi </w:t>
      </w:r>
      <w:r w:rsidR="00DD6262" w:rsidRPr="008D2B9D">
        <w:rPr>
          <w:rFonts w:cs="Times New Roman"/>
          <w:iCs/>
        </w:rPr>
        <w:t>acharnées</w:t>
      </w:r>
      <w:r w:rsidR="00BA400F" w:rsidRPr="008D2B9D">
        <w:rPr>
          <w:rFonts w:cs="Times New Roman"/>
          <w:iCs/>
        </w:rPr>
        <w:t xml:space="preserve"> que déchirantes</w:t>
      </w:r>
      <w:r w:rsidR="00DD6262" w:rsidRPr="008D2B9D">
        <w:rPr>
          <w:rFonts w:cs="Times New Roman"/>
          <w:iCs/>
        </w:rPr>
        <w:t xml:space="preserve">. Les affaires </w:t>
      </w:r>
      <w:r w:rsidR="00DD6262" w:rsidRPr="008D2B9D">
        <w:rPr>
          <w:rFonts w:cs="Times New Roman"/>
          <w:i/>
          <w:iCs/>
        </w:rPr>
        <w:t xml:space="preserve">Burmych </w:t>
      </w:r>
      <w:r w:rsidR="00DD6262" w:rsidRPr="008D2B9D">
        <w:rPr>
          <w:rFonts w:cs="Times New Roman"/>
          <w:b/>
          <w:bCs/>
          <w:iCs/>
        </w:rPr>
        <w:t>(II</w:t>
      </w:r>
      <w:r w:rsidR="008D2B9D">
        <w:rPr>
          <w:rFonts w:cs="Times New Roman"/>
          <w:b/>
          <w:bCs/>
          <w:iCs/>
        </w:rPr>
        <w:t>I</w:t>
      </w:r>
      <w:r w:rsidR="00DD6262" w:rsidRPr="008D2B9D">
        <w:rPr>
          <w:rFonts w:cs="Times New Roman"/>
          <w:b/>
          <w:bCs/>
          <w:iCs/>
        </w:rPr>
        <w:t>)</w:t>
      </w:r>
      <w:r w:rsidR="00DD6262" w:rsidRPr="008D2B9D">
        <w:rPr>
          <w:rFonts w:cs="Times New Roman"/>
          <w:i/>
          <w:iCs/>
        </w:rPr>
        <w:t xml:space="preserve"> </w:t>
      </w:r>
      <w:r w:rsidR="00DD6262" w:rsidRPr="008D2B9D">
        <w:rPr>
          <w:rFonts w:cs="Times New Roman"/>
          <w:iCs/>
        </w:rPr>
        <w:t xml:space="preserve">et </w:t>
      </w:r>
      <w:r w:rsidR="00DD6262" w:rsidRPr="008D2B9D">
        <w:rPr>
          <w:rFonts w:cs="Times New Roman"/>
          <w:i/>
          <w:iCs/>
        </w:rPr>
        <w:t xml:space="preserve">Turan et autres </w:t>
      </w:r>
      <w:r w:rsidR="00DD6262" w:rsidRPr="008D2B9D">
        <w:rPr>
          <w:rFonts w:cs="Times New Roman"/>
          <w:b/>
          <w:bCs/>
          <w:iCs/>
        </w:rPr>
        <w:t>(I</w:t>
      </w:r>
      <w:r w:rsidR="008D2B9D">
        <w:rPr>
          <w:rFonts w:cs="Times New Roman"/>
          <w:b/>
          <w:bCs/>
          <w:iCs/>
        </w:rPr>
        <w:t>V</w:t>
      </w:r>
      <w:r w:rsidR="00DD6262" w:rsidRPr="008D2B9D">
        <w:rPr>
          <w:rFonts w:cs="Times New Roman"/>
          <w:b/>
          <w:bCs/>
          <w:iCs/>
        </w:rPr>
        <w:t>)</w:t>
      </w:r>
      <w:r w:rsidR="00DD6262" w:rsidRPr="008D2B9D">
        <w:rPr>
          <w:rFonts w:cs="Times New Roman"/>
          <w:iCs/>
        </w:rPr>
        <w:t xml:space="preserve"> ont été l’occasion de jeter une lumière crue sur l’existence de ces choix, et </w:t>
      </w:r>
      <w:r w:rsidR="0015099F" w:rsidRPr="008D2B9D">
        <w:rPr>
          <w:rFonts w:cs="Times New Roman"/>
          <w:iCs/>
        </w:rPr>
        <w:t>–</w:t>
      </w:r>
      <w:r w:rsidR="00DD6262" w:rsidRPr="008D2B9D">
        <w:rPr>
          <w:rFonts w:cs="Times New Roman"/>
          <w:iCs/>
        </w:rPr>
        <w:t xml:space="preserve"> autre thème très </w:t>
      </w:r>
      <w:r w:rsidR="00DD6262" w:rsidRPr="009C6F4B">
        <w:rPr>
          <w:rFonts w:cs="Times New Roman"/>
          <w:i/>
        </w:rPr>
        <w:t>vangervenien</w:t>
      </w:r>
      <w:r w:rsidR="00DD6262" w:rsidRPr="008D2B9D">
        <w:rPr>
          <w:rFonts w:cs="Times New Roman"/>
          <w:iCs/>
        </w:rPr>
        <w:t> </w:t>
      </w:r>
      <w:r w:rsidR="0015099F" w:rsidRPr="008D2B9D">
        <w:rPr>
          <w:rStyle w:val="Appelnotedebasdep"/>
          <w:rFonts w:cs="Times New Roman"/>
          <w:iCs/>
        </w:rPr>
        <w:footnoteReference w:id="4"/>
      </w:r>
      <w:r w:rsidR="00DD6262" w:rsidRPr="008D2B9D">
        <w:rPr>
          <w:rFonts w:cs="Times New Roman"/>
          <w:iCs/>
        </w:rPr>
        <w:t xml:space="preserve"> – le </w:t>
      </w:r>
      <w:r>
        <w:rPr>
          <w:rFonts w:cs="Times New Roman"/>
          <w:iCs/>
        </w:rPr>
        <w:t>“</w:t>
      </w:r>
      <w:r w:rsidR="00DD6262" w:rsidRPr="008D2B9D">
        <w:rPr>
          <w:rFonts w:cs="Times New Roman"/>
          <w:iCs/>
        </w:rPr>
        <w:t>conséquentialisme</w:t>
      </w:r>
      <w:r>
        <w:rPr>
          <w:rFonts w:cs="Times New Roman"/>
          <w:iCs/>
        </w:rPr>
        <w:t>”</w:t>
      </w:r>
      <w:r w:rsidR="00DD6262" w:rsidRPr="008D2B9D">
        <w:rPr>
          <w:rFonts w:cs="Times New Roman"/>
          <w:iCs/>
        </w:rPr>
        <w:t xml:space="preserve"> dont la Cour faisait montre dans </w:t>
      </w:r>
      <w:r w:rsidR="00BA400F" w:rsidRPr="008D2B9D">
        <w:rPr>
          <w:rFonts w:cs="Times New Roman"/>
          <w:iCs/>
        </w:rPr>
        <w:t>leur</w:t>
      </w:r>
      <w:r w:rsidR="00DD6262" w:rsidRPr="008D2B9D">
        <w:rPr>
          <w:rFonts w:cs="Times New Roman"/>
          <w:iCs/>
        </w:rPr>
        <w:t xml:space="preserve"> traitement. Le sort des innombrables affaires russes actuellement en instance au Palais des droits de l’Homme confronte également à ce</w:t>
      </w:r>
      <w:r w:rsidR="009A7595" w:rsidRPr="008D2B9D">
        <w:rPr>
          <w:rFonts w:cs="Times New Roman"/>
          <w:iCs/>
        </w:rPr>
        <w:t>s</w:t>
      </w:r>
      <w:r w:rsidR="00DD6262" w:rsidRPr="008D2B9D">
        <w:rPr>
          <w:rFonts w:cs="Times New Roman"/>
          <w:iCs/>
        </w:rPr>
        <w:t xml:space="preserve"> dilemme</w:t>
      </w:r>
      <w:r w:rsidR="009A7595" w:rsidRPr="008D2B9D">
        <w:rPr>
          <w:rFonts w:cs="Times New Roman"/>
          <w:iCs/>
        </w:rPr>
        <w:t xml:space="preserve">s </w:t>
      </w:r>
      <w:r w:rsidR="009A7595" w:rsidRPr="008D2B9D">
        <w:rPr>
          <w:rFonts w:cs="Times New Roman"/>
          <w:b/>
          <w:bCs/>
          <w:iCs/>
        </w:rPr>
        <w:t>(V)</w:t>
      </w:r>
      <w:r w:rsidR="00190720" w:rsidRPr="008D2B9D">
        <w:rPr>
          <w:rFonts w:cs="Times New Roman"/>
          <w:b/>
          <w:bCs/>
          <w:iCs/>
        </w:rPr>
        <w:t>.</w:t>
      </w:r>
    </w:p>
    <w:p w14:paraId="2A87B2AD" w14:textId="77777777" w:rsidR="00274A6D" w:rsidRPr="008D2B9D" w:rsidRDefault="00274A6D" w:rsidP="007E75CC">
      <w:pPr>
        <w:rPr>
          <w:rFonts w:cs="Times New Roman"/>
          <w:iCs/>
        </w:rPr>
      </w:pPr>
    </w:p>
    <w:p w14:paraId="32DE5590" w14:textId="3620C487" w:rsidR="00274A6D" w:rsidRPr="008D2B9D" w:rsidRDefault="008D2B9D" w:rsidP="009C6F4B">
      <w:pPr>
        <w:pStyle w:val="Titre1"/>
      </w:pPr>
      <w:r w:rsidRPr="008D2B9D">
        <w:rPr>
          <w:szCs w:val="24"/>
        </w:rPr>
        <w:t xml:space="preserve">II. </w:t>
      </w:r>
      <w:r w:rsidR="00274A6D" w:rsidRPr="008D2B9D">
        <w:rPr>
          <w:szCs w:val="24"/>
        </w:rPr>
        <w:t>Les deux finalités du litige strasbourgeois</w:t>
      </w:r>
    </w:p>
    <w:p w14:paraId="136B3AA5" w14:textId="224EA821" w:rsidR="00813256" w:rsidRPr="008D2B9D" w:rsidRDefault="008617E8" w:rsidP="007E75CC">
      <w:pPr>
        <w:spacing w:before="60" w:after="40"/>
        <w:rPr>
          <w:rFonts w:cs="Times New Roman"/>
          <w:shd w:val="clear" w:color="auto" w:fill="FFFFFF"/>
        </w:rPr>
      </w:pPr>
      <w:r w:rsidRPr="009C6F4B">
        <w:rPr>
          <w:rFonts w:cs="Times New Roman"/>
          <w:b/>
          <w:bCs/>
          <w:shd w:val="clear" w:color="auto" w:fill="FFFFFF"/>
        </w:rPr>
        <w:t xml:space="preserve">4. </w:t>
      </w:r>
      <w:r>
        <w:rPr>
          <w:rFonts w:cs="Times New Roman"/>
          <w:shd w:val="clear" w:color="auto" w:fill="FFFFFF"/>
        </w:rPr>
        <w:t>“</w:t>
      </w:r>
      <w:r w:rsidR="00813256" w:rsidRPr="009C6F4B">
        <w:rPr>
          <w:rFonts w:cs="Times New Roman"/>
          <w:i/>
          <w:iCs/>
          <w:shd w:val="clear" w:color="auto" w:fill="FFFFFF"/>
        </w:rPr>
        <w:t>Dire le droit applicable à toutes les hypothèses semblables</w:t>
      </w:r>
      <w:r>
        <w:rPr>
          <w:rFonts w:cs="Times New Roman"/>
          <w:shd w:val="clear" w:color="auto" w:fill="FFFFFF"/>
        </w:rPr>
        <w:t>”</w:t>
      </w:r>
      <w:r w:rsidR="00813256" w:rsidRPr="008D2B9D">
        <w:rPr>
          <w:rStyle w:val="Appelnotedebasdep"/>
          <w:rFonts w:cs="Times New Roman"/>
          <w:shd w:val="clear" w:color="auto" w:fill="FFFFFF"/>
        </w:rPr>
        <w:footnoteReference w:id="5"/>
      </w:r>
      <w:r w:rsidR="00813256" w:rsidRPr="008D2B9D">
        <w:rPr>
          <w:rFonts w:cs="Times New Roman"/>
          <w:shd w:val="clear" w:color="auto" w:fill="FFFFFF"/>
        </w:rPr>
        <w:t xml:space="preserve">. Cette définition de la fonction de juger pourra apparaître relativement banale. Elle n’en a pas moins le mérite de rappeler la double finalité que, à des degrés divers, toute décision de justice est appelée à assumer. </w:t>
      </w:r>
      <w:r w:rsidR="00813256" w:rsidRPr="008D2B9D">
        <w:rPr>
          <w:rFonts w:cs="Times New Roman"/>
          <w:i/>
          <w:shd w:val="clear" w:color="auto" w:fill="FFFFFF"/>
        </w:rPr>
        <w:t xml:space="preserve">Finalité de court terme </w:t>
      </w:r>
      <w:r w:rsidR="00813256" w:rsidRPr="008D2B9D">
        <w:rPr>
          <w:rFonts w:cs="Times New Roman"/>
          <w:shd w:val="clear" w:color="auto" w:fill="FFFFFF"/>
        </w:rPr>
        <w:t xml:space="preserve">déployée dans une temporalité essentiellement rétrospective et présente, tout d’abord. Il s’agit, par l’énoncé d’une norme ponctuelle formant le dispositif de la décision considérée, de dissiper la situation d’incertitude que constitue le litige particulier présidant à cette décision, et de </w:t>
      </w:r>
      <w:r>
        <w:rPr>
          <w:rFonts w:cs="Times New Roman"/>
          <w:shd w:val="clear" w:color="auto" w:fill="FFFFFF"/>
        </w:rPr>
        <w:t>“</w:t>
      </w:r>
      <w:r w:rsidR="00813256" w:rsidRPr="008D2B9D">
        <w:rPr>
          <w:rFonts w:cs="Times New Roman"/>
          <w:shd w:val="clear" w:color="auto" w:fill="FFFFFF"/>
        </w:rPr>
        <w:t>rendre justice</w:t>
      </w:r>
      <w:r>
        <w:rPr>
          <w:rFonts w:cs="Times New Roman"/>
          <w:shd w:val="clear" w:color="auto" w:fill="FFFFFF"/>
        </w:rPr>
        <w:t>”</w:t>
      </w:r>
      <w:r w:rsidR="00813256" w:rsidRPr="008D2B9D">
        <w:rPr>
          <w:rFonts w:cs="Times New Roman"/>
          <w:shd w:val="clear" w:color="auto" w:fill="FFFFFF"/>
        </w:rPr>
        <w:t xml:space="preserve"> à ceux et celles qu’elle met aux prises. Le produit de cette première finalité du jugement est ce que l’on appellera le </w:t>
      </w:r>
      <w:r>
        <w:rPr>
          <w:rFonts w:cs="Times New Roman"/>
          <w:shd w:val="clear" w:color="auto" w:fill="FFFFFF"/>
        </w:rPr>
        <w:t>“</w:t>
      </w:r>
      <w:r w:rsidR="00813256" w:rsidRPr="008D2B9D">
        <w:rPr>
          <w:rFonts w:cs="Times New Roman"/>
          <w:shd w:val="clear" w:color="auto" w:fill="FFFFFF"/>
        </w:rPr>
        <w:t>contentieux</w:t>
      </w:r>
      <w:r>
        <w:rPr>
          <w:rFonts w:cs="Times New Roman"/>
          <w:shd w:val="clear" w:color="auto" w:fill="FFFFFF"/>
        </w:rPr>
        <w:t>”</w:t>
      </w:r>
      <w:r w:rsidR="00813256" w:rsidRPr="008D2B9D">
        <w:rPr>
          <w:rFonts w:cs="Times New Roman"/>
          <w:shd w:val="clear" w:color="auto" w:fill="FFFFFF"/>
        </w:rPr>
        <w:t>. Comme le relève cependant A</w:t>
      </w:r>
      <w:r w:rsidR="008D2B9D">
        <w:rPr>
          <w:rFonts w:cs="Times New Roman"/>
          <w:shd w:val="clear" w:color="auto" w:fill="FFFFFF"/>
        </w:rPr>
        <w:t>lain</w:t>
      </w:r>
      <w:r w:rsidR="00813256" w:rsidRPr="008D2B9D">
        <w:rPr>
          <w:rFonts w:cs="Times New Roman"/>
          <w:shd w:val="clear" w:color="auto" w:fill="FFFFFF"/>
        </w:rPr>
        <w:t xml:space="preserve"> Sériaux</w:t>
      </w:r>
      <w:r w:rsidR="00813256" w:rsidRPr="008D2B9D">
        <w:rPr>
          <w:rStyle w:val="Appelnotedebasdep"/>
          <w:rFonts w:cs="Times New Roman"/>
          <w:shd w:val="clear" w:color="auto" w:fill="FFFFFF"/>
        </w:rPr>
        <w:footnoteReference w:id="6"/>
      </w:r>
      <w:r w:rsidR="00813256" w:rsidRPr="008D2B9D">
        <w:rPr>
          <w:rFonts w:cs="Times New Roman"/>
          <w:shd w:val="clear" w:color="auto" w:fill="FFFFFF"/>
        </w:rPr>
        <w:t xml:space="preserve">, l’office du juge ne s’épuise pas dans cette finalité de court terme consistant à </w:t>
      </w:r>
      <w:r>
        <w:rPr>
          <w:rFonts w:cs="Times New Roman"/>
          <w:shd w:val="clear" w:color="auto" w:fill="FFFFFF"/>
        </w:rPr>
        <w:t>“</w:t>
      </w:r>
      <w:r w:rsidR="00813256" w:rsidRPr="009C6F4B">
        <w:rPr>
          <w:rFonts w:cs="Times New Roman"/>
          <w:i/>
          <w:iCs/>
          <w:shd w:val="clear" w:color="auto" w:fill="FFFFFF"/>
        </w:rPr>
        <w:t>dire le droit pour le prochain</w:t>
      </w:r>
      <w:r>
        <w:rPr>
          <w:rFonts w:cs="Times New Roman"/>
          <w:shd w:val="clear" w:color="auto" w:fill="FFFFFF"/>
        </w:rPr>
        <w:t>”</w:t>
      </w:r>
      <w:r w:rsidR="00813256" w:rsidRPr="008D2B9D">
        <w:rPr>
          <w:rFonts w:cs="Times New Roman"/>
          <w:shd w:val="clear" w:color="auto" w:fill="FFFFFF"/>
        </w:rPr>
        <w:t xml:space="preserve">, identifié aux parties en litige. En tranchant tel litige déterminé, la décision de justice, à des degrés variables, poursuit également, hors du cadre du procès et dans la durée, </w:t>
      </w:r>
      <w:r w:rsidR="00813256" w:rsidRPr="008D2B9D">
        <w:rPr>
          <w:rFonts w:cs="Times New Roman"/>
          <w:i/>
          <w:shd w:val="clear" w:color="auto" w:fill="FFFFFF"/>
        </w:rPr>
        <w:t xml:space="preserve">une finalité de long terme, prospective. </w:t>
      </w:r>
      <w:r w:rsidR="00813256" w:rsidRPr="008D2B9D">
        <w:rPr>
          <w:rFonts w:cs="Times New Roman"/>
          <w:shd w:val="clear" w:color="auto" w:fill="FFFFFF"/>
        </w:rPr>
        <w:t xml:space="preserve">Cette seconde finalité, consistant à </w:t>
      </w:r>
      <w:r>
        <w:rPr>
          <w:rFonts w:cs="Times New Roman"/>
          <w:i/>
          <w:iCs/>
          <w:shd w:val="clear" w:color="auto" w:fill="FFFFFF"/>
        </w:rPr>
        <w:t>“</w:t>
      </w:r>
      <w:r w:rsidR="00813256" w:rsidRPr="008D2B9D">
        <w:rPr>
          <w:rFonts w:cs="Times New Roman"/>
          <w:i/>
          <w:iCs/>
          <w:shd w:val="clear" w:color="auto" w:fill="FFFFFF"/>
        </w:rPr>
        <w:t>dire le droit pour le lointain</w:t>
      </w:r>
      <w:r>
        <w:rPr>
          <w:rFonts w:cs="Times New Roman"/>
          <w:i/>
          <w:iCs/>
          <w:shd w:val="clear" w:color="auto" w:fill="FFFFFF"/>
        </w:rPr>
        <w:t>”</w:t>
      </w:r>
      <w:r w:rsidR="00813256" w:rsidRPr="008D2B9D">
        <w:rPr>
          <w:rFonts w:cs="Times New Roman"/>
          <w:i/>
          <w:iCs/>
          <w:shd w:val="clear" w:color="auto" w:fill="FFFFFF"/>
        </w:rPr>
        <w:t>,</w:t>
      </w:r>
      <w:r w:rsidR="00813256" w:rsidRPr="008D2B9D">
        <w:rPr>
          <w:rFonts w:cs="Times New Roman"/>
          <w:shd w:val="clear" w:color="auto" w:fill="FFFFFF"/>
        </w:rPr>
        <w:t xml:space="preserve"> procède du rappel et de la systématisation, par la motivation de la décision de justice, des règles et principes généraux et abstraits que la décision concrétise par voie d’interprétation, et dont le champ d’application couvre toutes les hypothèses semblables à celle qui forme la trame du litige particulier soumis </w:t>
      </w:r>
      <w:r w:rsidR="00813256" w:rsidRPr="008D2B9D">
        <w:rPr>
          <w:rFonts w:cs="Times New Roman"/>
          <w:i/>
          <w:shd w:val="clear" w:color="auto" w:fill="FFFFFF"/>
        </w:rPr>
        <w:t xml:space="preserve">hic et nunc </w:t>
      </w:r>
      <w:r w:rsidR="00813256" w:rsidRPr="008D2B9D">
        <w:rPr>
          <w:rFonts w:cs="Times New Roman"/>
          <w:shd w:val="clear" w:color="auto" w:fill="FFFFFF"/>
        </w:rPr>
        <w:t xml:space="preserve">par les parties. Envisagé sous cet angle, le produit de l’activité de juger prendra le nom de </w:t>
      </w:r>
      <w:r>
        <w:rPr>
          <w:rFonts w:cs="Times New Roman"/>
          <w:shd w:val="clear" w:color="auto" w:fill="FFFFFF"/>
        </w:rPr>
        <w:t>“</w:t>
      </w:r>
      <w:r w:rsidR="00813256" w:rsidRPr="008D2B9D">
        <w:rPr>
          <w:rFonts w:cs="Times New Roman"/>
          <w:shd w:val="clear" w:color="auto" w:fill="FFFFFF"/>
        </w:rPr>
        <w:t>jurisprudence</w:t>
      </w:r>
      <w:r>
        <w:rPr>
          <w:rFonts w:cs="Times New Roman"/>
          <w:shd w:val="clear" w:color="auto" w:fill="FFFFFF"/>
        </w:rPr>
        <w:t>”</w:t>
      </w:r>
      <w:r w:rsidR="00813256" w:rsidRPr="008D2B9D">
        <w:rPr>
          <w:rFonts w:cs="Times New Roman"/>
          <w:shd w:val="clear" w:color="auto" w:fill="FFFFFF"/>
        </w:rPr>
        <w:t>.</w:t>
      </w:r>
    </w:p>
    <w:p w14:paraId="0F1D22B2" w14:textId="77777777" w:rsidR="008617E8" w:rsidRDefault="008617E8" w:rsidP="007E75CC">
      <w:pPr>
        <w:spacing w:before="60" w:after="40"/>
        <w:rPr>
          <w:rFonts w:cs="Times New Roman"/>
          <w:shd w:val="clear" w:color="auto" w:fill="FFFFFF"/>
        </w:rPr>
      </w:pPr>
    </w:p>
    <w:p w14:paraId="13B585A4" w14:textId="1A6C8BDA" w:rsidR="00813256" w:rsidRPr="008D2B9D" w:rsidRDefault="008617E8" w:rsidP="007E75CC">
      <w:pPr>
        <w:spacing w:before="60" w:after="40"/>
        <w:rPr>
          <w:rFonts w:cs="Times New Roman"/>
          <w:shd w:val="clear" w:color="auto" w:fill="FFFFFF"/>
        </w:rPr>
      </w:pPr>
      <w:r w:rsidRPr="009C6F4B">
        <w:rPr>
          <w:rFonts w:cs="Times New Roman"/>
          <w:b/>
          <w:bCs/>
          <w:shd w:val="clear" w:color="auto" w:fill="FFFFFF"/>
        </w:rPr>
        <w:t>5.</w:t>
      </w:r>
      <w:r>
        <w:rPr>
          <w:rFonts w:cs="Times New Roman"/>
          <w:shd w:val="clear" w:color="auto" w:fill="FFFFFF"/>
        </w:rPr>
        <w:t xml:space="preserve"> “</w:t>
      </w:r>
      <w:r w:rsidR="00813256" w:rsidRPr="009C6F4B">
        <w:rPr>
          <w:rFonts w:cs="Times New Roman"/>
          <w:i/>
          <w:iCs/>
          <w:shd w:val="clear" w:color="auto" w:fill="FFFFFF"/>
        </w:rPr>
        <w:t>Dire le droit et rendre la</w:t>
      </w:r>
      <w:r w:rsidR="00813256" w:rsidRPr="008D2B9D">
        <w:rPr>
          <w:rFonts w:cs="Times New Roman"/>
          <w:shd w:val="clear" w:color="auto" w:fill="FFFFFF"/>
        </w:rPr>
        <w:t xml:space="preserve"> justice</w:t>
      </w:r>
      <w:r>
        <w:rPr>
          <w:rFonts w:cs="Times New Roman"/>
          <w:shd w:val="clear" w:color="auto" w:fill="FFFFFF"/>
        </w:rPr>
        <w:t>”</w:t>
      </w:r>
      <w:r w:rsidR="00813256" w:rsidRPr="008D2B9D">
        <w:rPr>
          <w:rStyle w:val="Appelnotedebasdep"/>
          <w:rFonts w:cs="Times New Roman"/>
          <w:shd w:val="clear" w:color="auto" w:fill="FFFFFF"/>
        </w:rPr>
        <w:footnoteReference w:id="7"/>
      </w:r>
      <w:r w:rsidR="00813256" w:rsidRPr="008D2B9D">
        <w:rPr>
          <w:rFonts w:cs="Times New Roman"/>
          <w:shd w:val="clear" w:color="auto" w:fill="FFFFFF"/>
        </w:rPr>
        <w:t xml:space="preserve"> ; </w:t>
      </w:r>
      <w:r>
        <w:rPr>
          <w:rFonts w:cs="Times New Roman"/>
          <w:shd w:val="clear" w:color="auto" w:fill="FFFFFF"/>
        </w:rPr>
        <w:t>“</w:t>
      </w:r>
      <w:r w:rsidR="00813256" w:rsidRPr="008D2B9D">
        <w:rPr>
          <w:rFonts w:cs="Times New Roman"/>
          <w:shd w:val="clear" w:color="auto" w:fill="FFFFFF"/>
        </w:rPr>
        <w:t>interpréter</w:t>
      </w:r>
      <w:r>
        <w:rPr>
          <w:rFonts w:cs="Times New Roman"/>
          <w:shd w:val="clear" w:color="auto" w:fill="FFFFFF"/>
        </w:rPr>
        <w:t>”</w:t>
      </w:r>
      <w:r w:rsidR="00813256" w:rsidRPr="008D2B9D">
        <w:rPr>
          <w:rFonts w:cs="Times New Roman"/>
          <w:shd w:val="clear" w:color="auto" w:fill="FFFFFF"/>
        </w:rPr>
        <w:t xml:space="preserve"> la Convention et l’ </w:t>
      </w:r>
      <w:r>
        <w:rPr>
          <w:rFonts w:cs="Times New Roman"/>
          <w:shd w:val="clear" w:color="auto" w:fill="FFFFFF"/>
        </w:rPr>
        <w:t>”</w:t>
      </w:r>
      <w:r w:rsidR="00813256" w:rsidRPr="008D2B9D">
        <w:rPr>
          <w:rFonts w:cs="Times New Roman"/>
          <w:shd w:val="clear" w:color="auto" w:fill="FFFFFF"/>
        </w:rPr>
        <w:t>appliquer</w:t>
      </w:r>
      <w:r>
        <w:rPr>
          <w:rFonts w:cs="Times New Roman"/>
          <w:shd w:val="clear" w:color="auto" w:fill="FFFFFF"/>
        </w:rPr>
        <w:t>”</w:t>
      </w:r>
      <w:r w:rsidR="008D2B9D" w:rsidRPr="008D2B9D">
        <w:rPr>
          <w:rFonts w:cs="Times New Roman"/>
          <w:shd w:val="clear" w:color="auto" w:fill="FFFFFF"/>
        </w:rPr>
        <w:t>:</w:t>
      </w:r>
      <w:r w:rsidR="00813256" w:rsidRPr="008D2B9D">
        <w:rPr>
          <w:rFonts w:cs="Times New Roman"/>
          <w:shd w:val="clear" w:color="auto" w:fill="FFFFFF"/>
        </w:rPr>
        <w:t xml:space="preserve"> cette double finalité a été rappelée à </w:t>
      </w:r>
      <w:r w:rsidR="00190720" w:rsidRPr="008D2B9D">
        <w:rPr>
          <w:rFonts w:cs="Times New Roman"/>
          <w:shd w:val="clear" w:color="auto" w:fill="FFFFFF"/>
        </w:rPr>
        <w:t>plus d’une</w:t>
      </w:r>
      <w:r w:rsidR="00813256" w:rsidRPr="008D2B9D">
        <w:rPr>
          <w:rFonts w:cs="Times New Roman"/>
          <w:shd w:val="clear" w:color="auto" w:fill="FFFFFF"/>
        </w:rPr>
        <w:t xml:space="preserve"> reprise dans les annales strasbourgeoises. Reprenant les termes de l’arrêt </w:t>
      </w:r>
      <w:r w:rsidR="00813256" w:rsidRPr="008D2B9D">
        <w:rPr>
          <w:rFonts w:cs="Times New Roman"/>
          <w:i/>
          <w:shd w:val="clear" w:color="auto" w:fill="FFFFFF"/>
        </w:rPr>
        <w:t>Irlande c. Royaume-Uni</w:t>
      </w:r>
      <w:r w:rsidR="00813256" w:rsidRPr="008D2B9D">
        <w:rPr>
          <w:rStyle w:val="Appelnotedebasdep"/>
          <w:rFonts w:cs="Times New Roman"/>
          <w:shd w:val="clear" w:color="auto" w:fill="FFFFFF"/>
        </w:rPr>
        <w:footnoteReference w:id="8"/>
      </w:r>
      <w:r w:rsidR="00813256" w:rsidRPr="008D2B9D">
        <w:rPr>
          <w:rFonts w:cs="Times New Roman"/>
          <w:i/>
          <w:shd w:val="clear" w:color="auto" w:fill="FFFFFF"/>
        </w:rPr>
        <w:t xml:space="preserve">, </w:t>
      </w:r>
      <w:r w:rsidR="00813256" w:rsidRPr="008D2B9D">
        <w:rPr>
          <w:rFonts w:cs="Times New Roman"/>
          <w:shd w:val="clear" w:color="auto" w:fill="FFFFFF"/>
        </w:rPr>
        <w:t xml:space="preserve">la Cour, dans l’affaire </w:t>
      </w:r>
      <w:r w:rsidR="00813256" w:rsidRPr="008D2B9D">
        <w:rPr>
          <w:rFonts w:cs="Times New Roman"/>
          <w:i/>
          <w:shd w:val="clear" w:color="auto" w:fill="FFFFFF"/>
        </w:rPr>
        <w:t xml:space="preserve">Jeronovics c. Lettonie </w:t>
      </w:r>
      <w:r w:rsidR="00813256" w:rsidRPr="008D2B9D">
        <w:rPr>
          <w:rFonts w:cs="Times New Roman"/>
          <w:shd w:val="clear" w:color="auto" w:fill="FFFFFF"/>
        </w:rPr>
        <w:t>tranchée le 5 juillet 2016, énon</w:t>
      </w:r>
      <w:r w:rsidR="00EC45F1" w:rsidRPr="008D2B9D">
        <w:rPr>
          <w:rFonts w:cs="Times New Roman"/>
          <w:shd w:val="clear" w:color="auto" w:fill="FFFFFF"/>
        </w:rPr>
        <w:t xml:space="preserve">çait </w:t>
      </w:r>
      <w:r w:rsidR="00813256" w:rsidRPr="008D2B9D">
        <w:rPr>
          <w:rFonts w:cs="Times New Roman"/>
          <w:shd w:val="clear" w:color="auto" w:fill="FFFFFF"/>
        </w:rPr>
        <w:t>en ce sens que ses arrêts</w:t>
      </w:r>
      <w:r w:rsidR="008D2B9D" w:rsidRPr="008D2B9D">
        <w:rPr>
          <w:rFonts w:cs="Times New Roman"/>
          <w:shd w:val="clear" w:color="auto" w:fill="FFFFFF"/>
        </w:rPr>
        <w:t>:</w:t>
      </w:r>
    </w:p>
    <w:p w14:paraId="35D492CF" w14:textId="77777777" w:rsidR="009414A3" w:rsidRPr="008D2B9D" w:rsidRDefault="009414A3" w:rsidP="007E75CC">
      <w:pPr>
        <w:spacing w:before="60" w:after="40"/>
        <w:rPr>
          <w:rFonts w:eastAsia="Times New Roman" w:cs="Times New Roman"/>
          <w:color w:val="000000"/>
          <w:shd w:val="clear" w:color="auto" w:fill="FFFFFF"/>
        </w:rPr>
      </w:pPr>
    </w:p>
    <w:p w14:paraId="3710EBD0" w14:textId="5005E348" w:rsidR="00813256" w:rsidRPr="009C6F4B" w:rsidRDefault="008617E8" w:rsidP="009C6F4B">
      <w:pPr>
        <w:spacing w:before="60" w:after="40"/>
        <w:rPr>
          <w:rFonts w:eastAsia="Times New Roman" w:cs="Times New Roman"/>
          <w:color w:val="000000"/>
          <w:shd w:val="clear" w:color="auto" w:fill="FFFFFF"/>
        </w:rPr>
      </w:pPr>
      <w:r>
        <w:rPr>
          <w:rFonts w:eastAsia="Times New Roman" w:cs="Times New Roman"/>
          <w:color w:val="000000"/>
          <w:shd w:val="clear" w:color="auto" w:fill="FFFFFF"/>
        </w:rPr>
        <w:t>“</w:t>
      </w:r>
      <w:r w:rsidR="00813256" w:rsidRPr="009C6F4B">
        <w:rPr>
          <w:rFonts w:eastAsia="Times New Roman" w:cs="Times New Roman"/>
          <w:i/>
          <w:iCs/>
          <w:color w:val="000000"/>
          <w:shd w:val="clear" w:color="auto" w:fill="FFFFFF"/>
        </w:rPr>
        <w:t xml:space="preserve">servent non seulement à trancher les cas dont elle est saisie, mais plus largement à clarifier, sauvegarder et développer les normes de la Convention et à contribuer de la sorte au respect, par les États, des engagements qu’ils ont assumés en leur qualité de Parties contractantes. Si le système mis en place par la Convention a pour objet fondamental d’offrir un recours aux particuliers, il a également pour but de trancher, dans l’intérêt général, des questions qui relèvent de l’ordre public, en élevant les normes de protection des droits de l’homme et en </w:t>
      </w:r>
      <w:r w:rsidR="00813256" w:rsidRPr="009C6F4B">
        <w:rPr>
          <w:rFonts w:eastAsia="Times New Roman" w:cs="Times New Roman"/>
          <w:i/>
          <w:iCs/>
          <w:color w:val="000000"/>
          <w:shd w:val="clear" w:color="auto" w:fill="FFFFFF"/>
        </w:rPr>
        <w:lastRenderedPageBreak/>
        <w:t>étendant la jurisprudence dans ce domaine à l’ensemble de la communauté des États parties à la Convention</w:t>
      </w:r>
      <w:r>
        <w:rPr>
          <w:rFonts w:eastAsia="Times New Roman" w:cs="Times New Roman"/>
          <w:color w:val="000000"/>
          <w:shd w:val="clear" w:color="auto" w:fill="FFFFFF"/>
        </w:rPr>
        <w:t>”</w:t>
      </w:r>
      <w:r w:rsidR="00813256" w:rsidRPr="009C6F4B">
        <w:rPr>
          <w:rStyle w:val="Appelnotedebasdep"/>
          <w:rFonts w:eastAsia="Times New Roman" w:cs="Times New Roman"/>
          <w:color w:val="000000"/>
          <w:shd w:val="clear" w:color="auto" w:fill="FFFFFF"/>
        </w:rPr>
        <w:footnoteReference w:id="9"/>
      </w:r>
      <w:r w:rsidR="00813256" w:rsidRPr="009C6F4B">
        <w:rPr>
          <w:rFonts w:eastAsia="Times New Roman" w:cs="Times New Roman"/>
          <w:color w:val="000000"/>
          <w:shd w:val="clear" w:color="auto" w:fill="FFFFFF"/>
        </w:rPr>
        <w:t>.</w:t>
      </w:r>
    </w:p>
    <w:p w14:paraId="1F335186" w14:textId="77777777" w:rsidR="00EC45F1" w:rsidRPr="008D2B9D" w:rsidRDefault="00EC45F1" w:rsidP="009C6F4B">
      <w:pPr>
        <w:spacing w:before="60" w:after="40"/>
        <w:rPr>
          <w:rFonts w:eastAsia="Times New Roman" w:cs="Times New Roman"/>
          <w:color w:val="000000"/>
          <w:shd w:val="clear" w:color="auto" w:fill="FFFFFF"/>
        </w:rPr>
      </w:pPr>
    </w:p>
    <w:p w14:paraId="0ECB35AF" w14:textId="2D9ADCA1" w:rsidR="009414A3" w:rsidRPr="008D2B9D" w:rsidRDefault="00EC45F1" w:rsidP="007E75CC">
      <w:pPr>
        <w:spacing w:before="60" w:after="40"/>
        <w:rPr>
          <w:rFonts w:eastAsia="Times New Roman" w:cs="Times New Roman"/>
          <w:color w:val="000000"/>
          <w:shd w:val="clear" w:color="auto" w:fill="FFFFFF"/>
        </w:rPr>
      </w:pPr>
      <w:r w:rsidRPr="008D2B9D">
        <w:rPr>
          <w:rFonts w:eastAsia="Times New Roman" w:cs="Times New Roman"/>
          <w:color w:val="000000"/>
          <w:shd w:val="clear" w:color="auto" w:fill="FFFFFF"/>
        </w:rPr>
        <w:t xml:space="preserve">L’extrait précité insiste assez clairement sur la </w:t>
      </w:r>
      <w:r w:rsidRPr="008D2B9D">
        <w:rPr>
          <w:rFonts w:eastAsia="Times New Roman" w:cs="Times New Roman"/>
          <w:i/>
          <w:iCs/>
          <w:color w:val="000000"/>
          <w:shd w:val="clear" w:color="auto" w:fill="FFFFFF"/>
        </w:rPr>
        <w:t>complémentarité</w:t>
      </w:r>
      <w:r w:rsidRPr="008D2B9D">
        <w:rPr>
          <w:rFonts w:eastAsia="Times New Roman" w:cs="Times New Roman"/>
          <w:color w:val="000000"/>
          <w:shd w:val="clear" w:color="auto" w:fill="FFFFFF"/>
        </w:rPr>
        <w:t xml:space="preserve"> des tâches ainsi entrevues. La finalité de long terme – </w:t>
      </w:r>
      <w:r w:rsidR="008617E8">
        <w:rPr>
          <w:rFonts w:eastAsia="Times New Roman" w:cs="Times New Roman"/>
          <w:color w:val="000000"/>
          <w:shd w:val="clear" w:color="auto" w:fill="FFFFFF"/>
        </w:rPr>
        <w:t>“</w:t>
      </w:r>
      <w:r w:rsidRPr="008D2B9D">
        <w:rPr>
          <w:rFonts w:eastAsia="Times New Roman" w:cs="Times New Roman"/>
          <w:color w:val="000000"/>
          <w:shd w:val="clear" w:color="auto" w:fill="FFFFFF"/>
        </w:rPr>
        <w:t xml:space="preserve">clarifier, sauvegarder </w:t>
      </w:r>
      <w:r w:rsidR="00F93F36" w:rsidRPr="008D2B9D">
        <w:rPr>
          <w:rFonts w:eastAsia="Times New Roman" w:cs="Times New Roman"/>
          <w:color w:val="000000"/>
          <w:shd w:val="clear" w:color="auto" w:fill="FFFFFF"/>
        </w:rPr>
        <w:t>et développer</w:t>
      </w:r>
      <w:r w:rsidR="008617E8">
        <w:rPr>
          <w:rFonts w:eastAsia="Times New Roman" w:cs="Times New Roman"/>
          <w:color w:val="000000"/>
          <w:shd w:val="clear" w:color="auto" w:fill="FFFFFF"/>
        </w:rPr>
        <w:t>”</w:t>
      </w:r>
      <w:r w:rsidR="00F93F36" w:rsidRPr="008D2B9D">
        <w:rPr>
          <w:rFonts w:eastAsia="Times New Roman" w:cs="Times New Roman"/>
          <w:color w:val="000000"/>
          <w:shd w:val="clear" w:color="auto" w:fill="FFFFFF"/>
        </w:rPr>
        <w:t xml:space="preserve"> le Droit – </w:t>
      </w:r>
      <w:r w:rsidR="00F93F36" w:rsidRPr="008D2B9D">
        <w:rPr>
          <w:rFonts w:eastAsia="Times New Roman" w:cs="Times New Roman"/>
          <w:i/>
          <w:iCs/>
          <w:color w:val="000000"/>
          <w:shd w:val="clear" w:color="auto" w:fill="FFFFFF"/>
        </w:rPr>
        <w:t>complète</w:t>
      </w:r>
      <w:r w:rsidR="00F93F36" w:rsidRPr="008D2B9D">
        <w:rPr>
          <w:rFonts w:eastAsia="Times New Roman" w:cs="Times New Roman"/>
          <w:color w:val="000000"/>
          <w:shd w:val="clear" w:color="auto" w:fill="FFFFFF"/>
        </w:rPr>
        <w:t xml:space="preserve"> et </w:t>
      </w:r>
      <w:r w:rsidR="008617E8">
        <w:rPr>
          <w:rFonts w:eastAsia="Times New Roman" w:cs="Times New Roman"/>
          <w:color w:val="000000"/>
          <w:shd w:val="clear" w:color="auto" w:fill="FFFFFF"/>
        </w:rPr>
        <w:t>“</w:t>
      </w:r>
      <w:r w:rsidR="00F93F36" w:rsidRPr="008D2B9D">
        <w:rPr>
          <w:rFonts w:eastAsia="Times New Roman" w:cs="Times New Roman"/>
          <w:i/>
          <w:iCs/>
          <w:color w:val="000000"/>
          <w:shd w:val="clear" w:color="auto" w:fill="FFFFFF"/>
        </w:rPr>
        <w:t>supplémente</w:t>
      </w:r>
      <w:r w:rsidR="008617E8">
        <w:rPr>
          <w:rFonts w:eastAsia="Times New Roman" w:cs="Times New Roman"/>
          <w:color w:val="000000"/>
          <w:shd w:val="clear" w:color="auto" w:fill="FFFFFF"/>
        </w:rPr>
        <w:t>”</w:t>
      </w:r>
      <w:r w:rsidR="00F93F36" w:rsidRPr="008D2B9D">
        <w:rPr>
          <w:rFonts w:eastAsia="Times New Roman" w:cs="Times New Roman"/>
          <w:color w:val="000000"/>
          <w:shd w:val="clear" w:color="auto" w:fill="FFFFFF"/>
        </w:rPr>
        <w:t xml:space="preserve"> la finalité de court terme – trancher le litige, rendre justice au requérant –, mais ne la </w:t>
      </w:r>
      <w:r w:rsidR="00F93F36" w:rsidRPr="008D2B9D">
        <w:rPr>
          <w:rFonts w:eastAsia="Times New Roman" w:cs="Times New Roman"/>
          <w:i/>
          <w:iCs/>
          <w:color w:val="000000"/>
          <w:shd w:val="clear" w:color="auto" w:fill="FFFFFF"/>
        </w:rPr>
        <w:t xml:space="preserve">supplante </w:t>
      </w:r>
      <w:r w:rsidR="00F93F36" w:rsidRPr="008D2B9D">
        <w:rPr>
          <w:rFonts w:eastAsia="Times New Roman" w:cs="Times New Roman"/>
          <w:color w:val="000000"/>
          <w:shd w:val="clear" w:color="auto" w:fill="FFFFFF"/>
        </w:rPr>
        <w:t>pas. Les dispositions conventionnelles dédiées à la radiation des requêtes du rôle – par exemple en cas de règlement amiable – s’inscrive</w:t>
      </w:r>
      <w:r w:rsidR="008617E8">
        <w:rPr>
          <w:rFonts w:eastAsia="Times New Roman" w:cs="Times New Roman"/>
          <w:color w:val="000000"/>
          <w:shd w:val="clear" w:color="auto" w:fill="FFFFFF"/>
        </w:rPr>
        <w:t>nt</w:t>
      </w:r>
      <w:r w:rsidR="00F93F36" w:rsidRPr="008D2B9D">
        <w:rPr>
          <w:rFonts w:eastAsia="Times New Roman" w:cs="Times New Roman"/>
          <w:color w:val="000000"/>
          <w:shd w:val="clear" w:color="auto" w:fill="FFFFFF"/>
        </w:rPr>
        <w:t xml:space="preserve"> dans cette philosophie</w:t>
      </w:r>
      <w:r w:rsidR="009414A3" w:rsidRPr="008D2B9D">
        <w:rPr>
          <w:rStyle w:val="Appelnotedebasdep"/>
          <w:rFonts w:eastAsia="Times New Roman" w:cs="Times New Roman"/>
          <w:color w:val="000000"/>
          <w:shd w:val="clear" w:color="auto" w:fill="FFFFFF"/>
        </w:rPr>
        <w:footnoteReference w:id="10"/>
      </w:r>
      <w:r w:rsidR="00F93F36" w:rsidRPr="008D2B9D">
        <w:rPr>
          <w:rFonts w:eastAsia="Times New Roman" w:cs="Times New Roman"/>
          <w:color w:val="000000"/>
          <w:shd w:val="clear" w:color="auto" w:fill="FFFFFF"/>
        </w:rPr>
        <w:t>.</w:t>
      </w:r>
    </w:p>
    <w:p w14:paraId="24D7304D" w14:textId="77777777" w:rsidR="009414A3" w:rsidRPr="008D2B9D" w:rsidRDefault="009414A3" w:rsidP="007E75CC">
      <w:pPr>
        <w:spacing w:before="60" w:after="40"/>
        <w:rPr>
          <w:rFonts w:eastAsia="Times New Roman" w:cs="Times New Roman"/>
          <w:color w:val="000000"/>
          <w:shd w:val="clear" w:color="auto" w:fill="FFFFFF"/>
        </w:rPr>
      </w:pPr>
    </w:p>
    <w:p w14:paraId="6E64B683" w14:textId="0033AA9E" w:rsidR="009414A3" w:rsidRPr="008D2B9D" w:rsidRDefault="00F93F36" w:rsidP="007E75CC">
      <w:pPr>
        <w:spacing w:before="60" w:after="40"/>
        <w:rPr>
          <w:rFonts w:eastAsia="Times New Roman" w:cs="Times New Roman"/>
        </w:rPr>
      </w:pPr>
      <w:r w:rsidRPr="008D2B9D">
        <w:rPr>
          <w:rFonts w:eastAsia="Times New Roman" w:cs="Times New Roman"/>
        </w:rPr>
        <w:t>Tel est l’horizon global. Sur le plan pratique cependant, l</w:t>
      </w:r>
      <w:r w:rsidR="00813256" w:rsidRPr="008D2B9D">
        <w:rPr>
          <w:rFonts w:eastAsia="Times New Roman" w:cs="Times New Roman"/>
        </w:rPr>
        <w:t>a balance réalisée</w:t>
      </w:r>
      <w:r w:rsidRPr="008D2B9D">
        <w:rPr>
          <w:rFonts w:eastAsia="Times New Roman" w:cs="Times New Roman"/>
        </w:rPr>
        <w:t xml:space="preserve"> </w:t>
      </w:r>
      <w:r w:rsidRPr="008D2B9D">
        <w:rPr>
          <w:rFonts w:eastAsia="Times New Roman" w:cs="Times New Roman"/>
          <w:i/>
        </w:rPr>
        <w:t>in concreto</w:t>
      </w:r>
      <w:r w:rsidR="00813256" w:rsidRPr="008D2B9D">
        <w:rPr>
          <w:rFonts w:eastAsia="Times New Roman" w:cs="Times New Roman"/>
        </w:rPr>
        <w:t xml:space="preserve"> entre ces deux finalités de la </w:t>
      </w:r>
      <w:r w:rsidR="00813256" w:rsidRPr="008D2B9D">
        <w:rPr>
          <w:rFonts w:eastAsia="Times New Roman" w:cs="Times New Roman"/>
          <w:i/>
        </w:rPr>
        <w:t xml:space="preserve">jurisdictio </w:t>
      </w:r>
      <w:r w:rsidR="00813256" w:rsidRPr="008D2B9D">
        <w:rPr>
          <w:rFonts w:eastAsia="Times New Roman" w:cs="Times New Roman"/>
        </w:rPr>
        <w:t xml:space="preserve">européenne n’est pas </w:t>
      </w:r>
      <w:r w:rsidR="00190720" w:rsidRPr="008D2B9D">
        <w:rPr>
          <w:rFonts w:eastAsia="Times New Roman" w:cs="Times New Roman"/>
        </w:rPr>
        <w:t>totalement</w:t>
      </w:r>
      <w:r w:rsidR="00813256" w:rsidRPr="008D2B9D">
        <w:rPr>
          <w:rFonts w:eastAsia="Times New Roman" w:cs="Times New Roman"/>
        </w:rPr>
        <w:t xml:space="preserve"> statique et a, au demeurant, vu son fléau se déplacer au cours de l’Histoire.</w:t>
      </w:r>
      <w:r w:rsidR="00487C98" w:rsidRPr="008D2B9D">
        <w:rPr>
          <w:rFonts w:eastAsia="Times New Roman" w:cs="Times New Roman"/>
        </w:rPr>
        <w:t xml:space="preserve"> Ici se signale, très précisément, la </w:t>
      </w:r>
      <w:r w:rsidR="008617E8">
        <w:rPr>
          <w:rFonts w:eastAsia="Times New Roman" w:cs="Times New Roman"/>
        </w:rPr>
        <w:t>“</w:t>
      </w:r>
      <w:r w:rsidR="00487C98" w:rsidRPr="008D2B9D">
        <w:rPr>
          <w:rFonts w:eastAsia="Times New Roman" w:cs="Times New Roman"/>
        </w:rPr>
        <w:t>politique judicaire</w:t>
      </w:r>
      <w:r w:rsidR="008617E8">
        <w:rPr>
          <w:rFonts w:eastAsia="Times New Roman" w:cs="Times New Roman"/>
        </w:rPr>
        <w:t>”</w:t>
      </w:r>
      <w:r w:rsidR="00487C98" w:rsidRPr="008D2B9D">
        <w:rPr>
          <w:rFonts w:eastAsia="Times New Roman" w:cs="Times New Roman"/>
        </w:rPr>
        <w:t>.</w:t>
      </w:r>
      <w:r w:rsidR="00BC4218" w:rsidRPr="008D2B9D">
        <w:rPr>
          <w:rFonts w:eastAsia="Times New Roman" w:cs="Times New Roman"/>
        </w:rPr>
        <w:t xml:space="preserve"> </w:t>
      </w:r>
    </w:p>
    <w:p w14:paraId="28BAB6CD" w14:textId="77777777" w:rsidR="009414A3" w:rsidRPr="008D2B9D" w:rsidRDefault="009414A3" w:rsidP="009C6F4B">
      <w:pPr>
        <w:spacing w:before="60" w:after="40"/>
        <w:rPr>
          <w:rFonts w:eastAsia="Times New Roman" w:cs="Times New Roman"/>
        </w:rPr>
      </w:pPr>
    </w:p>
    <w:p w14:paraId="1E03B004" w14:textId="25DB6C45" w:rsidR="009414A3" w:rsidRPr="008D2B9D" w:rsidRDefault="008617E8" w:rsidP="009C6F4B">
      <w:pPr>
        <w:spacing w:before="60" w:after="40"/>
        <w:rPr>
          <w:rFonts w:eastAsia="Times New Roman" w:cs="Times New Roman"/>
          <w:color w:val="000000"/>
          <w:shd w:val="clear" w:color="auto" w:fill="FFFFFF"/>
        </w:rPr>
      </w:pPr>
      <w:r w:rsidRPr="009C6F4B">
        <w:rPr>
          <w:rFonts w:eastAsia="Times New Roman" w:cs="Times New Roman"/>
          <w:b/>
          <w:bCs/>
        </w:rPr>
        <w:t>6.</w:t>
      </w:r>
      <w:r>
        <w:rPr>
          <w:rFonts w:eastAsia="Times New Roman" w:cs="Times New Roman"/>
        </w:rPr>
        <w:t xml:space="preserve"> </w:t>
      </w:r>
      <w:r w:rsidR="00813256" w:rsidRPr="008D2B9D">
        <w:rPr>
          <w:rFonts w:eastAsia="Times New Roman" w:cs="Times New Roman"/>
        </w:rPr>
        <w:t>Au tournant de ce millénaire, l’on pouvait ainsi constater – et déplorer – que la Cour européenne était en général attachée à une justice d’espèce (</w:t>
      </w:r>
      <w:r w:rsidR="00813256" w:rsidRPr="008D2B9D">
        <w:rPr>
          <w:rFonts w:eastAsia="Times New Roman" w:cs="Times New Roman"/>
          <w:i/>
        </w:rPr>
        <w:t>Einzelfallbezogenheit</w:t>
      </w:r>
      <w:r w:rsidR="00813256" w:rsidRPr="008D2B9D">
        <w:rPr>
          <w:rStyle w:val="Appelnotedebasdep"/>
          <w:rFonts w:eastAsia="Times New Roman" w:cs="Times New Roman"/>
          <w:iCs/>
        </w:rPr>
        <w:footnoteReference w:id="11"/>
      </w:r>
      <w:r w:rsidR="00813256" w:rsidRPr="008D2B9D">
        <w:rPr>
          <w:rFonts w:eastAsia="Times New Roman" w:cs="Times New Roman"/>
        </w:rPr>
        <w:t>), prudente, et soucieuse de ne pas dire le droit au-delà de ce qui est strictement nécessaire pour trancher le litige, quitte à laisser provisoirement sans réponse l’une ou l’autre interrogation récurrente sur l’interprétation du droit de la Convention</w:t>
      </w:r>
      <w:r w:rsidR="00813256" w:rsidRPr="008D2B9D">
        <w:rPr>
          <w:rStyle w:val="Appelnotedebasdep"/>
          <w:rFonts w:eastAsia="Times New Roman" w:cs="Times New Roman"/>
        </w:rPr>
        <w:footnoteReference w:id="12"/>
      </w:r>
      <w:r w:rsidR="00813256" w:rsidRPr="008D2B9D">
        <w:rPr>
          <w:rFonts w:eastAsia="Times New Roman" w:cs="Times New Roman"/>
        </w:rPr>
        <w:t xml:space="preserve">. </w:t>
      </w:r>
      <w:r>
        <w:rPr>
          <w:rFonts w:eastAsia="Times New Roman" w:cs="Times New Roman"/>
        </w:rPr>
        <w:t>“</w:t>
      </w:r>
      <w:r w:rsidR="00813256" w:rsidRPr="008D2B9D">
        <w:rPr>
          <w:rFonts w:eastAsia="Times New Roman" w:cs="Times New Roman"/>
          <w:i/>
        </w:rPr>
        <w:t>Compte tenu de l’ensemble des circonstances de la cause,</w:t>
      </w:r>
      <w:r w:rsidR="00813256" w:rsidRPr="008D2B9D">
        <w:rPr>
          <w:rFonts w:eastAsia="Times New Roman" w:cs="Times New Roman"/>
        </w:rPr>
        <w:t xml:space="preserve"> ...</w:t>
      </w:r>
      <w:r>
        <w:rPr>
          <w:rFonts w:eastAsia="Times New Roman" w:cs="Times New Roman"/>
        </w:rPr>
        <w:t>”</w:t>
      </w:r>
      <w:r w:rsidR="00813256" w:rsidRPr="008D2B9D">
        <w:rPr>
          <w:rFonts w:eastAsia="Times New Roman" w:cs="Times New Roman"/>
        </w:rPr>
        <w:t xml:space="preserve"> ; </w:t>
      </w:r>
      <w:r>
        <w:rPr>
          <w:rFonts w:eastAsia="Times New Roman" w:cs="Times New Roman"/>
        </w:rPr>
        <w:t>“</w:t>
      </w:r>
      <w:r w:rsidR="00813256" w:rsidRPr="008D2B9D">
        <w:rPr>
          <w:rFonts w:eastAsia="Times New Roman" w:cs="Times New Roman"/>
          <w:i/>
        </w:rPr>
        <w:t>Sans qu’il soit besoin de</w:t>
      </w:r>
      <w:r w:rsidR="00813256" w:rsidRPr="008D2B9D">
        <w:rPr>
          <w:rFonts w:eastAsia="Times New Roman" w:cs="Times New Roman"/>
        </w:rPr>
        <w:t xml:space="preserve"> ...</w:t>
      </w:r>
      <w:r>
        <w:rPr>
          <w:rFonts w:eastAsia="Times New Roman" w:cs="Times New Roman"/>
        </w:rPr>
        <w:t>”</w:t>
      </w:r>
      <w:r w:rsidR="00813256" w:rsidRPr="008D2B9D">
        <w:rPr>
          <w:rFonts w:eastAsia="Times New Roman" w:cs="Times New Roman"/>
        </w:rPr>
        <w:t xml:space="preserve"> ; </w:t>
      </w:r>
      <w:r>
        <w:rPr>
          <w:rFonts w:eastAsia="Times New Roman" w:cs="Times New Roman"/>
        </w:rPr>
        <w:t>“</w:t>
      </w:r>
      <w:r w:rsidR="00813256" w:rsidRPr="008D2B9D">
        <w:rPr>
          <w:rFonts w:eastAsia="Times New Roman" w:cs="Times New Roman"/>
          <w:i/>
        </w:rPr>
        <w:t>À supposer même que</w:t>
      </w:r>
      <w:r w:rsidR="00813256" w:rsidRPr="008D2B9D">
        <w:rPr>
          <w:rFonts w:eastAsia="Times New Roman" w:cs="Times New Roman"/>
        </w:rPr>
        <w:t xml:space="preserve"> ...</w:t>
      </w:r>
      <w:r>
        <w:rPr>
          <w:rFonts w:eastAsia="Times New Roman" w:cs="Times New Roman"/>
        </w:rPr>
        <w:t>”</w:t>
      </w:r>
      <w:r w:rsidR="00813256" w:rsidRPr="008D2B9D">
        <w:rPr>
          <w:rFonts w:eastAsia="Times New Roman" w:cs="Times New Roman"/>
        </w:rPr>
        <w:t xml:space="preserve"> ; </w:t>
      </w:r>
      <w:r>
        <w:rPr>
          <w:rFonts w:eastAsia="Times New Roman" w:cs="Times New Roman"/>
        </w:rPr>
        <w:t>“</w:t>
      </w:r>
      <w:r w:rsidR="00813256" w:rsidRPr="008D2B9D">
        <w:rPr>
          <w:rFonts w:eastAsia="Times New Roman" w:cs="Times New Roman"/>
          <w:i/>
        </w:rPr>
        <w:t>Il n’appartient pas à la Cour de formuler une théorie générale</w:t>
      </w:r>
      <w:r w:rsidR="00813256" w:rsidRPr="008D2B9D">
        <w:rPr>
          <w:rFonts w:eastAsia="Times New Roman" w:cs="Times New Roman"/>
        </w:rPr>
        <w:t xml:space="preserve"> ...</w:t>
      </w:r>
      <w:r>
        <w:rPr>
          <w:rFonts w:eastAsia="Times New Roman" w:cs="Times New Roman"/>
        </w:rPr>
        <w:t>”</w:t>
      </w:r>
      <w:r w:rsidR="008D2B9D" w:rsidRPr="008D2B9D">
        <w:rPr>
          <w:rFonts w:eastAsia="Times New Roman" w:cs="Times New Roman"/>
        </w:rPr>
        <w:t>:</w:t>
      </w:r>
      <w:r w:rsidR="00813256" w:rsidRPr="008D2B9D">
        <w:rPr>
          <w:rFonts w:eastAsia="Times New Roman" w:cs="Times New Roman"/>
        </w:rPr>
        <w:t xml:space="preserve"> de tels marqueurs du </w:t>
      </w:r>
      <w:r w:rsidR="00813256" w:rsidRPr="008D2B9D">
        <w:rPr>
          <w:rFonts w:eastAsia="Times New Roman" w:cs="Times New Roman"/>
          <w:i/>
        </w:rPr>
        <w:t xml:space="preserve">minimalisme judiciaire </w:t>
      </w:r>
      <w:r w:rsidR="00813256" w:rsidRPr="008D2B9D">
        <w:rPr>
          <w:rFonts w:eastAsia="Times New Roman" w:cs="Times New Roman"/>
        </w:rPr>
        <w:t xml:space="preserve">s’observaient en quantité non négligeable dans les arrêts strasbourgeois jusqu’il y a une </w:t>
      </w:r>
      <w:r w:rsidR="009414A3" w:rsidRPr="008D2B9D">
        <w:rPr>
          <w:rFonts w:eastAsia="Times New Roman" w:cs="Times New Roman"/>
        </w:rPr>
        <w:t>vingtaine</w:t>
      </w:r>
      <w:r w:rsidR="00813256" w:rsidRPr="008D2B9D">
        <w:rPr>
          <w:rFonts w:eastAsia="Times New Roman" w:cs="Times New Roman"/>
        </w:rPr>
        <w:t xml:space="preserve"> d’années</w:t>
      </w:r>
      <w:r w:rsidR="00813256" w:rsidRPr="008D2B9D">
        <w:rPr>
          <w:rStyle w:val="Appelnotedebasdep"/>
          <w:rFonts w:eastAsia="Times New Roman" w:cs="Times New Roman"/>
        </w:rPr>
        <w:footnoteReference w:id="13"/>
      </w:r>
      <w:r w:rsidR="00813256" w:rsidRPr="008D2B9D">
        <w:rPr>
          <w:rFonts w:eastAsia="Times New Roman" w:cs="Times New Roman"/>
        </w:rPr>
        <w:t xml:space="preserve">. </w:t>
      </w:r>
    </w:p>
    <w:p w14:paraId="0E843F41" w14:textId="77777777" w:rsidR="009414A3" w:rsidRPr="008D2B9D" w:rsidRDefault="009414A3" w:rsidP="009C6F4B">
      <w:pPr>
        <w:spacing w:before="60" w:after="40"/>
        <w:rPr>
          <w:rFonts w:eastAsia="Times New Roman" w:cs="Times New Roman"/>
        </w:rPr>
      </w:pPr>
    </w:p>
    <w:p w14:paraId="027B6421" w14:textId="2D0DF0FE" w:rsidR="00EC45F1" w:rsidRPr="008D2B9D" w:rsidRDefault="00EC45F1" w:rsidP="009C6F4B">
      <w:pPr>
        <w:spacing w:before="60" w:after="40"/>
        <w:rPr>
          <w:rFonts w:eastAsia="Times New Roman" w:cs="Times New Roman"/>
          <w:color w:val="000000"/>
          <w:shd w:val="clear" w:color="auto" w:fill="FFFFFF"/>
        </w:rPr>
      </w:pPr>
      <w:r w:rsidRPr="008D2B9D">
        <w:rPr>
          <w:rFonts w:eastAsia="Times New Roman" w:cs="Times New Roman"/>
        </w:rPr>
        <w:t>Pareil pragmatisme n’a pas complètement disparu. Il s’incarne encore aujourd’hui dans ce qu</w:t>
      </w:r>
      <w:r w:rsidR="00F93F36" w:rsidRPr="008D2B9D">
        <w:rPr>
          <w:rFonts w:eastAsia="Times New Roman" w:cs="Times New Roman"/>
        </w:rPr>
        <w:t>e l’on appelle parfois la</w:t>
      </w:r>
      <w:r w:rsidRPr="008D2B9D">
        <w:rPr>
          <w:rFonts w:eastAsia="Times New Roman" w:cs="Times New Roman"/>
        </w:rPr>
        <w:t xml:space="preserve"> formule Campeanu</w:t>
      </w:r>
      <w:r w:rsidR="00F93F36" w:rsidRPr="008D2B9D">
        <w:rPr>
          <w:rStyle w:val="Appelnotedebasdep"/>
          <w:rFonts w:eastAsia="Times New Roman" w:cs="Times New Roman"/>
        </w:rPr>
        <w:footnoteReference w:id="14"/>
      </w:r>
      <w:r w:rsidRPr="008D2B9D">
        <w:rPr>
          <w:rFonts w:eastAsia="Times New Roman" w:cs="Times New Roman"/>
        </w:rPr>
        <w:t>, qui consiste à s’abstenir de poursuivre l’examen</w:t>
      </w:r>
      <w:r w:rsidR="00F93F36" w:rsidRPr="008D2B9D">
        <w:rPr>
          <w:rFonts w:eastAsia="Times New Roman" w:cs="Times New Roman"/>
        </w:rPr>
        <w:t xml:space="preserve"> de griefs soulevés par une requête lorsqu’il a d’ores et déjà pu être fait droit à l’un d’entre eux</w:t>
      </w:r>
      <w:r w:rsidR="00FF767E" w:rsidRPr="008D2B9D">
        <w:rPr>
          <w:rStyle w:val="Appelnotedebasdep"/>
          <w:rFonts w:eastAsia="Times New Roman" w:cs="Times New Roman"/>
        </w:rPr>
        <w:footnoteReference w:id="15"/>
      </w:r>
      <w:r w:rsidR="00190720" w:rsidRPr="008D2B9D">
        <w:rPr>
          <w:rFonts w:eastAsia="Times New Roman" w:cs="Times New Roman"/>
        </w:rPr>
        <w:t xml:space="preserve">. </w:t>
      </w:r>
    </w:p>
    <w:p w14:paraId="52BCEC5A" w14:textId="77777777" w:rsidR="009414A3" w:rsidRPr="008D2B9D" w:rsidRDefault="009414A3" w:rsidP="007E75CC">
      <w:pPr>
        <w:spacing w:before="60" w:after="40"/>
        <w:rPr>
          <w:rFonts w:eastAsia="Times New Roman" w:cs="Times New Roman"/>
        </w:rPr>
      </w:pPr>
    </w:p>
    <w:p w14:paraId="6107FA71" w14:textId="172C1975" w:rsidR="00FF767E" w:rsidRPr="008D2B9D" w:rsidRDefault="00813256" w:rsidP="007E75CC">
      <w:pPr>
        <w:spacing w:before="60" w:after="40"/>
        <w:rPr>
          <w:rFonts w:eastAsia="Times New Roman" w:cs="Times New Roman"/>
        </w:rPr>
      </w:pPr>
      <w:r w:rsidRPr="008D2B9D">
        <w:rPr>
          <w:rFonts w:eastAsia="Times New Roman" w:cs="Times New Roman"/>
        </w:rPr>
        <w:t>Comme l’a</w:t>
      </w:r>
      <w:r w:rsidR="00FF767E" w:rsidRPr="008D2B9D">
        <w:rPr>
          <w:rFonts w:eastAsia="Times New Roman" w:cs="Times New Roman"/>
        </w:rPr>
        <w:t>vait</w:t>
      </w:r>
      <w:r w:rsidRPr="008D2B9D">
        <w:rPr>
          <w:rFonts w:eastAsia="Times New Roman" w:cs="Times New Roman"/>
        </w:rPr>
        <w:t xml:space="preserve"> notamment observé J</w:t>
      </w:r>
      <w:r w:rsidR="008617E8">
        <w:rPr>
          <w:rFonts w:eastAsia="Times New Roman" w:cs="Times New Roman"/>
        </w:rPr>
        <w:t>anneke</w:t>
      </w:r>
      <w:r w:rsidRPr="008D2B9D">
        <w:rPr>
          <w:rFonts w:eastAsia="Times New Roman" w:cs="Times New Roman"/>
        </w:rPr>
        <w:t xml:space="preserve"> Gerards</w:t>
      </w:r>
      <w:r w:rsidRPr="008D2B9D">
        <w:rPr>
          <w:rStyle w:val="Appelnotedebasdep"/>
          <w:rFonts w:eastAsia="Times New Roman" w:cs="Times New Roman"/>
        </w:rPr>
        <w:footnoteReference w:id="16"/>
      </w:r>
      <w:r w:rsidRPr="008D2B9D">
        <w:rPr>
          <w:rFonts w:eastAsia="Times New Roman" w:cs="Times New Roman"/>
        </w:rPr>
        <w:t>, un rééquilibrage s’</w:t>
      </w:r>
      <w:r w:rsidR="00FF767E" w:rsidRPr="008D2B9D">
        <w:rPr>
          <w:rFonts w:eastAsia="Times New Roman" w:cs="Times New Roman"/>
        </w:rPr>
        <w:t>était</w:t>
      </w:r>
      <w:r w:rsidR="00190720" w:rsidRPr="008D2B9D">
        <w:rPr>
          <w:rFonts w:eastAsia="Times New Roman" w:cs="Times New Roman"/>
        </w:rPr>
        <w:t xml:space="preserve"> cependant</w:t>
      </w:r>
      <w:r w:rsidRPr="008D2B9D">
        <w:rPr>
          <w:rFonts w:eastAsia="Times New Roman" w:cs="Times New Roman"/>
        </w:rPr>
        <w:t xml:space="preserve"> effectué </w:t>
      </w:r>
      <w:r w:rsidR="00FF767E" w:rsidRPr="008D2B9D">
        <w:rPr>
          <w:rFonts w:eastAsia="Times New Roman" w:cs="Times New Roman"/>
        </w:rPr>
        <w:t>au cours des dernières années</w:t>
      </w:r>
      <w:r w:rsidRPr="008D2B9D">
        <w:rPr>
          <w:rFonts w:eastAsia="Times New Roman" w:cs="Times New Roman"/>
        </w:rPr>
        <w:t xml:space="preserve">. Ainsi a-t-on vu se multiplier les arrêts où une Grande chambre, après avoir dressé l’état complet de la jurisprudence de la Cour, en constate le caractère casuistique, peu cohérent et/ou contradictoire et résout de tracer, pour l’avenir, de nouvelles lignes jurisprudentielles supposées plus claires. De tels moments </w:t>
      </w:r>
      <w:r w:rsidR="008617E8">
        <w:rPr>
          <w:rFonts w:eastAsia="Times New Roman" w:cs="Times New Roman"/>
        </w:rPr>
        <w:t>“</w:t>
      </w:r>
      <w:r w:rsidRPr="008D2B9D">
        <w:rPr>
          <w:rFonts w:eastAsia="Times New Roman" w:cs="Times New Roman"/>
        </w:rPr>
        <w:t>pédagogiques</w:t>
      </w:r>
      <w:r w:rsidR="008617E8">
        <w:rPr>
          <w:rFonts w:eastAsia="Times New Roman" w:cs="Times New Roman"/>
        </w:rPr>
        <w:t>”</w:t>
      </w:r>
      <w:r w:rsidRPr="008D2B9D">
        <w:rPr>
          <w:rFonts w:eastAsia="Times New Roman" w:cs="Times New Roman"/>
        </w:rPr>
        <w:t xml:space="preserve"> sont par exemple survenus</w:t>
      </w:r>
      <w:r w:rsidR="008D2B9D" w:rsidRPr="008D2B9D">
        <w:rPr>
          <w:rFonts w:eastAsia="Times New Roman" w:cs="Times New Roman"/>
        </w:rPr>
        <w:t>:</w:t>
      </w:r>
      <w:r w:rsidRPr="008D2B9D">
        <w:rPr>
          <w:rFonts w:eastAsia="Times New Roman" w:cs="Times New Roman"/>
        </w:rPr>
        <w:t xml:space="preserve"> à propos de l’applicabilité de l’article 6 de la Convention au contentieux de la fonction publique</w:t>
      </w:r>
      <w:r w:rsidRPr="008D2B9D">
        <w:rPr>
          <w:rStyle w:val="Appelnotedebasdep"/>
          <w:rFonts w:eastAsia="Times New Roman" w:cs="Times New Roman"/>
        </w:rPr>
        <w:footnoteReference w:id="17"/>
      </w:r>
      <w:r w:rsidRPr="008D2B9D">
        <w:rPr>
          <w:rFonts w:eastAsia="Times New Roman" w:cs="Times New Roman"/>
        </w:rPr>
        <w:t>, ou aux procédures en référé</w:t>
      </w:r>
      <w:r w:rsidRPr="008D2B9D">
        <w:rPr>
          <w:rStyle w:val="Appelnotedebasdep"/>
          <w:rFonts w:eastAsia="Times New Roman" w:cs="Times New Roman"/>
        </w:rPr>
        <w:footnoteReference w:id="18"/>
      </w:r>
      <w:r w:rsidRPr="008D2B9D">
        <w:rPr>
          <w:rFonts w:eastAsia="Times New Roman" w:cs="Times New Roman"/>
        </w:rPr>
        <w:t xml:space="preserve"> ; à propos de la portée du principe </w:t>
      </w:r>
      <w:r w:rsidRPr="008D2B9D">
        <w:rPr>
          <w:rFonts w:eastAsia="Times New Roman" w:cs="Times New Roman"/>
          <w:i/>
        </w:rPr>
        <w:t>non bis in idem</w:t>
      </w:r>
      <w:r w:rsidRPr="008D2B9D">
        <w:rPr>
          <w:rStyle w:val="Appelnotedebasdep"/>
          <w:rFonts w:eastAsia="Times New Roman" w:cs="Times New Roman"/>
          <w:iCs/>
        </w:rPr>
        <w:footnoteReference w:id="19"/>
      </w:r>
      <w:r w:rsidRPr="008D2B9D">
        <w:rPr>
          <w:rFonts w:eastAsia="Times New Roman" w:cs="Times New Roman"/>
          <w:i/>
        </w:rPr>
        <w:t> </w:t>
      </w:r>
      <w:r w:rsidRPr="008D2B9D">
        <w:rPr>
          <w:rFonts w:eastAsia="Times New Roman" w:cs="Times New Roman"/>
        </w:rPr>
        <w:t>; à propos de l’octroi d’une satisfaction équitable en l’absence d’une demande formelle en ce sens de la part de la partie requérante</w:t>
      </w:r>
      <w:r w:rsidRPr="008D2B9D">
        <w:rPr>
          <w:rStyle w:val="Appelnotedebasdep"/>
          <w:rFonts w:eastAsia="Times New Roman" w:cs="Times New Roman"/>
        </w:rPr>
        <w:footnoteReference w:id="20"/>
      </w:r>
      <w:r w:rsidR="000438F1">
        <w:rPr>
          <w:rFonts w:eastAsia="Times New Roman" w:cs="Times New Roman"/>
        </w:rPr>
        <w:t> ;</w:t>
      </w:r>
      <w:r w:rsidRPr="008D2B9D">
        <w:rPr>
          <w:rFonts w:eastAsia="Times New Roman" w:cs="Times New Roman"/>
        </w:rPr>
        <w:t xml:space="preserve"> à propos de la portée de l’article 5 § 1</w:t>
      </w:r>
      <w:r w:rsidRPr="008D2B9D">
        <w:rPr>
          <w:rFonts w:eastAsia="Times New Roman" w:cs="Times New Roman"/>
          <w:vertAlign w:val="superscript"/>
        </w:rPr>
        <w:t>er</w:t>
      </w:r>
      <w:r w:rsidRPr="008D2B9D">
        <w:rPr>
          <w:rFonts w:eastAsia="Times New Roman" w:cs="Times New Roman"/>
        </w:rPr>
        <w:t>, </w:t>
      </w:r>
      <w:r w:rsidRPr="008D2B9D">
        <w:rPr>
          <w:rFonts w:eastAsia="Times New Roman" w:cs="Times New Roman"/>
          <w:iCs/>
        </w:rPr>
        <w:t>c</w:t>
      </w:r>
      <w:r w:rsidRPr="008D2B9D">
        <w:rPr>
          <w:rFonts w:eastAsia="Times New Roman" w:cs="Times New Roman"/>
        </w:rPr>
        <w:t>, de la Convention</w:t>
      </w:r>
      <w:r w:rsidRPr="008D2B9D">
        <w:rPr>
          <w:rStyle w:val="Appelnotedebasdep"/>
          <w:rFonts w:eastAsia="Times New Roman" w:cs="Times New Roman"/>
        </w:rPr>
        <w:footnoteReference w:id="21"/>
      </w:r>
      <w:r w:rsidR="000438F1">
        <w:rPr>
          <w:rFonts w:eastAsia="Times New Roman" w:cs="Times New Roman"/>
        </w:rPr>
        <w:t>, ou encore, beaucoup plus récemment ; à propos de la garantie de droits aux prestations sociales par l’article 8 de la Convention</w:t>
      </w:r>
      <w:r w:rsidR="000438F1">
        <w:rPr>
          <w:rStyle w:val="Appelnotedebasdep"/>
          <w:rFonts w:eastAsia="Times New Roman" w:cs="Times New Roman"/>
        </w:rPr>
        <w:footnoteReference w:id="22"/>
      </w:r>
    </w:p>
    <w:p w14:paraId="7DD89CB5" w14:textId="5689E616" w:rsidR="00FF767E" w:rsidRPr="009C6F4B" w:rsidRDefault="008D2B9D" w:rsidP="009C6F4B">
      <w:pPr>
        <w:pStyle w:val="Titre1"/>
      </w:pPr>
      <w:r w:rsidRPr="009C6F4B">
        <w:rPr>
          <w:b w:val="0"/>
          <w:bCs w:val="0"/>
        </w:rPr>
        <w:t>III.</w:t>
      </w:r>
      <w:r w:rsidRPr="008D2B9D">
        <w:rPr>
          <w:i/>
          <w:iCs/>
          <w:szCs w:val="24"/>
        </w:rPr>
        <w:t xml:space="preserve"> </w:t>
      </w:r>
      <w:r w:rsidR="0090309F" w:rsidRPr="008D2B9D">
        <w:rPr>
          <w:i/>
          <w:iCs/>
          <w:szCs w:val="24"/>
        </w:rPr>
        <w:t>Burmych</w:t>
      </w:r>
      <w:r w:rsidR="0013054E" w:rsidRPr="008D2B9D">
        <w:rPr>
          <w:i/>
          <w:iCs/>
          <w:szCs w:val="24"/>
        </w:rPr>
        <w:t xml:space="preserve"> et autres c. Ukraine</w:t>
      </w:r>
      <w:r w:rsidRPr="008D2B9D">
        <w:rPr>
          <w:szCs w:val="24"/>
        </w:rPr>
        <w:t>:</w:t>
      </w:r>
      <w:r w:rsidR="0090309F" w:rsidRPr="008D2B9D">
        <w:rPr>
          <w:szCs w:val="24"/>
        </w:rPr>
        <w:t xml:space="preserve"> </w:t>
      </w:r>
      <w:r w:rsidR="005D35A2" w:rsidRPr="008D2B9D">
        <w:rPr>
          <w:szCs w:val="24"/>
        </w:rPr>
        <w:t>un</w:t>
      </w:r>
      <w:r w:rsidR="0013054E" w:rsidRPr="008D2B9D">
        <w:rPr>
          <w:szCs w:val="24"/>
        </w:rPr>
        <w:t xml:space="preserve"> </w:t>
      </w:r>
      <w:r w:rsidR="0090309F" w:rsidRPr="008D2B9D">
        <w:rPr>
          <w:szCs w:val="24"/>
        </w:rPr>
        <w:t xml:space="preserve">renoncement spectaculaire à </w:t>
      </w:r>
      <w:r w:rsidR="008617E8">
        <w:rPr>
          <w:szCs w:val="24"/>
        </w:rPr>
        <w:t>“</w:t>
      </w:r>
      <w:r w:rsidR="0090309F" w:rsidRPr="008D2B9D">
        <w:rPr>
          <w:szCs w:val="24"/>
        </w:rPr>
        <w:t>rendre justice</w:t>
      </w:r>
      <w:r w:rsidR="008617E8">
        <w:rPr>
          <w:szCs w:val="24"/>
        </w:rPr>
        <w:t>”</w:t>
      </w:r>
    </w:p>
    <w:p w14:paraId="51FA6FB2" w14:textId="2AB4FCAD" w:rsidR="0086072A" w:rsidRPr="008D2B9D" w:rsidRDefault="008617E8" w:rsidP="007E75CC">
      <w:pPr>
        <w:spacing w:before="60" w:after="40"/>
        <w:rPr>
          <w:rFonts w:eastAsia="Times New Roman" w:cs="Times New Roman"/>
        </w:rPr>
      </w:pPr>
      <w:r w:rsidRPr="009C6F4B">
        <w:rPr>
          <w:rFonts w:eastAsia="Times New Roman" w:cs="Times New Roman"/>
          <w:b/>
          <w:bCs/>
        </w:rPr>
        <w:t>7.</w:t>
      </w:r>
      <w:r>
        <w:rPr>
          <w:rFonts w:eastAsia="Times New Roman" w:cs="Times New Roman"/>
        </w:rPr>
        <w:t xml:space="preserve"> </w:t>
      </w:r>
      <w:r w:rsidR="00813256" w:rsidRPr="008D2B9D">
        <w:rPr>
          <w:rFonts w:eastAsia="Times New Roman" w:cs="Times New Roman"/>
        </w:rPr>
        <w:t>S’il f</w:t>
      </w:r>
      <w:r w:rsidR="0090309F" w:rsidRPr="008D2B9D">
        <w:rPr>
          <w:rFonts w:eastAsia="Times New Roman" w:cs="Times New Roman"/>
        </w:rPr>
        <w:t>allait</w:t>
      </w:r>
      <w:r w:rsidR="00813256" w:rsidRPr="008D2B9D">
        <w:rPr>
          <w:rFonts w:eastAsia="Times New Roman" w:cs="Times New Roman"/>
        </w:rPr>
        <w:t xml:space="preserve"> sans doute se féliciter</w:t>
      </w:r>
      <w:r w:rsidR="0090309F" w:rsidRPr="008D2B9D">
        <w:rPr>
          <w:rFonts w:eastAsia="Times New Roman" w:cs="Times New Roman"/>
        </w:rPr>
        <w:t>, au tournant du Millénaire</w:t>
      </w:r>
      <w:r w:rsidR="005D35A2" w:rsidRPr="008D2B9D">
        <w:rPr>
          <w:rFonts w:eastAsia="Times New Roman" w:cs="Times New Roman"/>
        </w:rPr>
        <w:t>,</w:t>
      </w:r>
      <w:r w:rsidR="00813256" w:rsidRPr="008D2B9D">
        <w:rPr>
          <w:rFonts w:eastAsia="Times New Roman" w:cs="Times New Roman"/>
        </w:rPr>
        <w:t xml:space="preserve"> de voir la Cour prendre ainsi</w:t>
      </w:r>
      <w:r w:rsidR="005D35A2" w:rsidRPr="008D2B9D">
        <w:rPr>
          <w:rFonts w:eastAsia="Times New Roman" w:cs="Times New Roman"/>
        </w:rPr>
        <w:t xml:space="preserve"> plus</w:t>
      </w:r>
      <w:r w:rsidR="00813256" w:rsidRPr="008D2B9D">
        <w:rPr>
          <w:rFonts w:eastAsia="Times New Roman" w:cs="Times New Roman"/>
        </w:rPr>
        <w:t xml:space="preserve"> au sérieux la </w:t>
      </w:r>
      <w:r>
        <w:rPr>
          <w:rFonts w:eastAsia="Times New Roman" w:cs="Times New Roman"/>
        </w:rPr>
        <w:t>“</w:t>
      </w:r>
      <w:r w:rsidR="00813256" w:rsidRPr="008D2B9D">
        <w:rPr>
          <w:rFonts w:eastAsia="Times New Roman" w:cs="Times New Roman"/>
        </w:rPr>
        <w:t>finalité de long terme</w:t>
      </w:r>
      <w:r>
        <w:rPr>
          <w:rFonts w:eastAsia="Times New Roman" w:cs="Times New Roman"/>
        </w:rPr>
        <w:t>”</w:t>
      </w:r>
      <w:r w:rsidR="00813256" w:rsidRPr="008D2B9D">
        <w:rPr>
          <w:rFonts w:eastAsia="Times New Roman" w:cs="Times New Roman"/>
        </w:rPr>
        <w:t xml:space="preserve"> de sa fonction de juger – après tout, la pédagogie de ses arrêts est l’une des clefs de la pérennité de son office –, encore </w:t>
      </w:r>
      <w:r w:rsidR="0074121E" w:rsidRPr="008D2B9D">
        <w:rPr>
          <w:rFonts w:eastAsia="Times New Roman" w:cs="Times New Roman"/>
        </w:rPr>
        <w:t>pouvait-on</w:t>
      </w:r>
      <w:r w:rsidR="00813256" w:rsidRPr="008D2B9D">
        <w:rPr>
          <w:rFonts w:eastAsia="Times New Roman" w:cs="Times New Roman"/>
        </w:rPr>
        <w:t xml:space="preserve"> cependant s’inquiéter que, devenant ainsi une </w:t>
      </w:r>
      <w:r>
        <w:rPr>
          <w:rFonts w:eastAsia="Times New Roman" w:cs="Times New Roman"/>
        </w:rPr>
        <w:t>“</w:t>
      </w:r>
      <w:r w:rsidR="00813256" w:rsidRPr="008D2B9D">
        <w:rPr>
          <w:rFonts w:eastAsia="Times New Roman" w:cs="Times New Roman"/>
        </w:rPr>
        <w:t>Cour du Droit</w:t>
      </w:r>
      <w:r>
        <w:rPr>
          <w:rFonts w:eastAsia="Times New Roman" w:cs="Times New Roman"/>
        </w:rPr>
        <w:t>”</w:t>
      </w:r>
      <w:r w:rsidR="00813256" w:rsidRPr="008D2B9D">
        <w:rPr>
          <w:rFonts w:eastAsia="Times New Roman" w:cs="Times New Roman"/>
        </w:rPr>
        <w:t xml:space="preserve">, celle-ci ne cesse d’être également une </w:t>
      </w:r>
      <w:r>
        <w:rPr>
          <w:rFonts w:eastAsia="Times New Roman" w:cs="Times New Roman"/>
        </w:rPr>
        <w:t>“</w:t>
      </w:r>
      <w:r w:rsidR="00813256" w:rsidRPr="008D2B9D">
        <w:rPr>
          <w:rFonts w:eastAsia="Times New Roman" w:cs="Times New Roman"/>
        </w:rPr>
        <w:t>Cour des droits</w:t>
      </w:r>
      <w:r>
        <w:rPr>
          <w:rFonts w:eastAsia="Times New Roman" w:cs="Times New Roman"/>
        </w:rPr>
        <w:t>”</w:t>
      </w:r>
      <w:r w:rsidR="00813256" w:rsidRPr="008D2B9D">
        <w:rPr>
          <w:rStyle w:val="Appelnotedebasdep"/>
          <w:rFonts w:eastAsia="Times New Roman" w:cs="Times New Roman"/>
        </w:rPr>
        <w:footnoteReference w:id="23"/>
      </w:r>
      <w:r w:rsidR="00813256" w:rsidRPr="008D2B9D">
        <w:rPr>
          <w:rFonts w:eastAsia="Times New Roman" w:cs="Times New Roman"/>
        </w:rPr>
        <w:t xml:space="preserve">. </w:t>
      </w:r>
    </w:p>
    <w:p w14:paraId="097E0046" w14:textId="77777777" w:rsidR="0012686C" w:rsidRPr="009C6F4B" w:rsidRDefault="0012686C" w:rsidP="007E75CC">
      <w:pPr>
        <w:spacing w:before="60" w:after="40"/>
        <w:rPr>
          <w:rFonts w:eastAsia="Times New Roman" w:cs="Times New Roman"/>
        </w:rPr>
      </w:pPr>
    </w:p>
    <w:p w14:paraId="41DD23B8" w14:textId="44D9C507" w:rsidR="0012686C" w:rsidRPr="008D2B9D" w:rsidRDefault="0012686C" w:rsidP="007E75CC">
      <w:pPr>
        <w:spacing w:before="60" w:after="40"/>
        <w:rPr>
          <w:rFonts w:eastAsia="Times New Roman" w:cs="Times New Roman"/>
        </w:rPr>
      </w:pPr>
      <w:r w:rsidRPr="008D2B9D">
        <w:rPr>
          <w:rFonts w:eastAsia="Times New Roman" w:cs="Times New Roman"/>
        </w:rPr>
        <w:t>L’arrêt</w:t>
      </w:r>
      <w:r w:rsidR="00BC4218" w:rsidRPr="008D2B9D">
        <w:rPr>
          <w:rFonts w:eastAsia="Times New Roman" w:cs="Times New Roman"/>
        </w:rPr>
        <w:t xml:space="preserve"> </w:t>
      </w:r>
      <w:r w:rsidRPr="008D2B9D">
        <w:rPr>
          <w:rFonts w:eastAsia="Times New Roman" w:cs="Times New Roman"/>
          <w:i/>
        </w:rPr>
        <w:t xml:space="preserve">Burmych et autres c. Ukraine </w:t>
      </w:r>
      <w:r w:rsidRPr="008D2B9D">
        <w:rPr>
          <w:rFonts w:eastAsia="Times New Roman" w:cs="Times New Roman"/>
        </w:rPr>
        <w:t>du 12 octobre 2017</w:t>
      </w:r>
      <w:r w:rsidR="005D35A2" w:rsidRPr="008D2B9D">
        <w:rPr>
          <w:rStyle w:val="Appelnotedebasdep"/>
          <w:rFonts w:eastAsia="Times New Roman" w:cs="Times New Roman"/>
        </w:rPr>
        <w:footnoteReference w:id="24"/>
      </w:r>
      <w:r w:rsidRPr="008D2B9D">
        <w:rPr>
          <w:rFonts w:eastAsia="Times New Roman" w:cs="Times New Roman"/>
        </w:rPr>
        <w:t xml:space="preserve"> constitue, dans cette évolution, un jalon fondamental. Les requêtes introductives faisaient en l’occurrence partie d’un groupe de 12 143 requêtes similaires qui étaient</w:t>
      </w:r>
      <w:r w:rsidR="003974B0" w:rsidRPr="008D2B9D">
        <w:rPr>
          <w:rFonts w:eastAsia="Times New Roman" w:cs="Times New Roman"/>
        </w:rPr>
        <w:t xml:space="preserve"> à l’époque </w:t>
      </w:r>
      <w:r w:rsidRPr="008D2B9D">
        <w:rPr>
          <w:rFonts w:eastAsia="Times New Roman" w:cs="Times New Roman"/>
        </w:rPr>
        <w:t>pendantes devant la Cour. Elles proc</w:t>
      </w:r>
      <w:r w:rsidR="003974B0" w:rsidRPr="008D2B9D">
        <w:rPr>
          <w:rFonts w:eastAsia="Times New Roman" w:cs="Times New Roman"/>
        </w:rPr>
        <w:t>é</w:t>
      </w:r>
      <w:r w:rsidRPr="008D2B9D">
        <w:rPr>
          <w:rFonts w:eastAsia="Times New Roman" w:cs="Times New Roman"/>
        </w:rPr>
        <w:t>d</w:t>
      </w:r>
      <w:r w:rsidR="003974B0" w:rsidRPr="008D2B9D">
        <w:rPr>
          <w:rFonts w:eastAsia="Times New Roman" w:cs="Times New Roman"/>
        </w:rPr>
        <w:t>aie</w:t>
      </w:r>
      <w:r w:rsidRPr="008D2B9D">
        <w:rPr>
          <w:rFonts w:eastAsia="Times New Roman" w:cs="Times New Roman"/>
        </w:rPr>
        <w:t>nt toutes du problème systémique identifié dans l’arrêt</w:t>
      </w:r>
      <w:r w:rsidR="003974B0" w:rsidRPr="008D2B9D">
        <w:rPr>
          <w:rFonts w:eastAsia="Times New Roman" w:cs="Times New Roman"/>
        </w:rPr>
        <w:t xml:space="preserve"> </w:t>
      </w:r>
      <w:r w:rsidRPr="008D2B9D">
        <w:rPr>
          <w:rFonts w:eastAsia="Times New Roman" w:cs="Times New Roman"/>
        </w:rPr>
        <w:t xml:space="preserve">pilote </w:t>
      </w:r>
      <w:r w:rsidRPr="008D2B9D">
        <w:rPr>
          <w:rFonts w:eastAsia="Times New Roman" w:cs="Times New Roman"/>
          <w:i/>
          <w:iCs/>
        </w:rPr>
        <w:t>Ivanov</w:t>
      </w:r>
      <w:r w:rsidR="003974B0" w:rsidRPr="008D2B9D">
        <w:rPr>
          <w:rFonts w:eastAsia="Times New Roman" w:cs="Times New Roman"/>
          <w:i/>
          <w:iCs/>
        </w:rPr>
        <w:t xml:space="preserve"> c. Urkraine </w:t>
      </w:r>
      <w:r w:rsidR="003974B0" w:rsidRPr="008D2B9D">
        <w:rPr>
          <w:rFonts w:eastAsia="Times New Roman" w:cs="Times New Roman"/>
          <w:iCs/>
        </w:rPr>
        <w:t>du 15 octobre 2009</w:t>
      </w:r>
      <w:r w:rsidR="005D35A2" w:rsidRPr="008D2B9D">
        <w:rPr>
          <w:rStyle w:val="Appelnotedebasdep"/>
          <w:rFonts w:eastAsia="Times New Roman" w:cs="Times New Roman"/>
          <w:iCs/>
        </w:rPr>
        <w:footnoteReference w:id="25"/>
      </w:r>
      <w:r w:rsidRPr="008D2B9D">
        <w:rPr>
          <w:rFonts w:eastAsia="Times New Roman" w:cs="Times New Roman"/>
        </w:rPr>
        <w:t>, à savoir de divers dysfonctionnements du système judiciaire ukrainien qui entravent</w:t>
      </w:r>
      <w:r w:rsidR="003974B0" w:rsidRPr="008D2B9D">
        <w:rPr>
          <w:rFonts w:eastAsia="Times New Roman" w:cs="Times New Roman"/>
        </w:rPr>
        <w:t xml:space="preserve"> </w:t>
      </w:r>
      <w:r w:rsidRPr="008D2B9D">
        <w:rPr>
          <w:rFonts w:eastAsia="Times New Roman" w:cs="Times New Roman"/>
        </w:rPr>
        <w:t>l’exécution de</w:t>
      </w:r>
      <w:r w:rsidR="005D35A2" w:rsidRPr="008D2B9D">
        <w:rPr>
          <w:rFonts w:eastAsia="Times New Roman" w:cs="Times New Roman"/>
        </w:rPr>
        <w:t>s décisions</w:t>
      </w:r>
      <w:r w:rsidRPr="008D2B9D">
        <w:rPr>
          <w:rFonts w:eastAsia="Times New Roman" w:cs="Times New Roman"/>
        </w:rPr>
        <w:t xml:space="preserve"> définiti</w:t>
      </w:r>
      <w:r w:rsidR="005D35A2" w:rsidRPr="008D2B9D">
        <w:rPr>
          <w:rFonts w:eastAsia="Times New Roman" w:cs="Times New Roman"/>
        </w:rPr>
        <w:t>ve</w:t>
      </w:r>
      <w:r w:rsidRPr="008D2B9D">
        <w:rPr>
          <w:rFonts w:eastAsia="Times New Roman" w:cs="Times New Roman"/>
        </w:rPr>
        <w:t>s et entraînent ainsi un problème systémique de non-exécution ou</w:t>
      </w:r>
      <w:r w:rsidR="003974B0" w:rsidRPr="008D2B9D">
        <w:rPr>
          <w:rFonts w:eastAsia="Times New Roman" w:cs="Times New Roman"/>
        </w:rPr>
        <w:t xml:space="preserve"> </w:t>
      </w:r>
      <w:r w:rsidRPr="008D2B9D">
        <w:rPr>
          <w:rFonts w:eastAsia="Times New Roman" w:cs="Times New Roman"/>
        </w:rPr>
        <w:t xml:space="preserve">d’exécution tardive de décisions judiciaires internes, combiné </w:t>
      </w:r>
      <w:r w:rsidR="005D35A2" w:rsidRPr="008D2B9D">
        <w:rPr>
          <w:rFonts w:eastAsia="Times New Roman" w:cs="Times New Roman"/>
        </w:rPr>
        <w:t>à</w:t>
      </w:r>
      <w:r w:rsidRPr="008D2B9D">
        <w:rPr>
          <w:rFonts w:eastAsia="Times New Roman" w:cs="Times New Roman"/>
        </w:rPr>
        <w:t xml:space="preserve"> l’absence de voies de recours</w:t>
      </w:r>
      <w:r w:rsidR="003974B0" w:rsidRPr="008D2B9D">
        <w:rPr>
          <w:rFonts w:eastAsia="Times New Roman" w:cs="Times New Roman"/>
        </w:rPr>
        <w:t xml:space="preserve"> </w:t>
      </w:r>
      <w:r w:rsidRPr="008D2B9D">
        <w:rPr>
          <w:rFonts w:eastAsia="Times New Roman" w:cs="Times New Roman"/>
        </w:rPr>
        <w:t xml:space="preserve">internes effectives </w:t>
      </w:r>
      <w:r w:rsidR="0086072A">
        <w:rPr>
          <w:rFonts w:eastAsia="Times New Roman" w:cs="Times New Roman"/>
        </w:rPr>
        <w:t xml:space="preserve">pour redresser </w:t>
      </w:r>
      <w:r w:rsidRPr="008D2B9D">
        <w:rPr>
          <w:rFonts w:eastAsia="Times New Roman" w:cs="Times New Roman"/>
        </w:rPr>
        <w:t xml:space="preserve"> ces défaillances.</w:t>
      </w:r>
      <w:r w:rsidR="003974B0" w:rsidRPr="008D2B9D">
        <w:rPr>
          <w:rFonts w:eastAsia="Times New Roman" w:cs="Times New Roman"/>
        </w:rPr>
        <w:t xml:space="preserve"> En substance, la Cour estima que l’ensemble de ces requêtes, ainsi que les requêtes semblables qui pourraient </w:t>
      </w:r>
      <w:r w:rsidR="006932EF" w:rsidRPr="008D2B9D">
        <w:rPr>
          <w:rFonts w:eastAsia="Times New Roman" w:cs="Times New Roman"/>
        </w:rPr>
        <w:t>encore survenir par après</w:t>
      </w:r>
      <w:r w:rsidR="003974B0" w:rsidRPr="008D2B9D">
        <w:rPr>
          <w:rFonts w:eastAsia="Times New Roman" w:cs="Times New Roman"/>
        </w:rPr>
        <w:t xml:space="preserve">, </w:t>
      </w:r>
      <w:r w:rsidR="006932EF" w:rsidRPr="008D2B9D">
        <w:rPr>
          <w:rFonts w:eastAsia="Times New Roman" w:cs="Times New Roman"/>
        </w:rPr>
        <w:t>étaient</w:t>
      </w:r>
      <w:r w:rsidR="003974B0" w:rsidRPr="008D2B9D">
        <w:rPr>
          <w:rFonts w:eastAsia="Times New Roman" w:cs="Times New Roman"/>
        </w:rPr>
        <w:t xml:space="preserve"> indissociables de la procédure</w:t>
      </w:r>
      <w:r w:rsidR="005D35A2" w:rsidRPr="008D2B9D">
        <w:rPr>
          <w:rFonts w:eastAsia="Times New Roman" w:cs="Times New Roman"/>
        </w:rPr>
        <w:t xml:space="preserve"> </w:t>
      </w:r>
      <w:r w:rsidR="003974B0" w:rsidRPr="008D2B9D">
        <w:rPr>
          <w:rFonts w:eastAsia="Times New Roman" w:cs="Times New Roman"/>
        </w:rPr>
        <w:t>d’exécution de l’arrêt pilote</w:t>
      </w:r>
      <w:r w:rsidR="006932EF" w:rsidRPr="008D2B9D">
        <w:rPr>
          <w:rFonts w:eastAsia="Times New Roman" w:cs="Times New Roman"/>
        </w:rPr>
        <w:t xml:space="preserve"> </w:t>
      </w:r>
      <w:r w:rsidR="006932EF" w:rsidRPr="008D2B9D">
        <w:rPr>
          <w:rFonts w:eastAsia="Times New Roman" w:cs="Times New Roman"/>
          <w:i/>
        </w:rPr>
        <w:t>Ivanov</w:t>
      </w:r>
      <w:r w:rsidR="003974B0" w:rsidRPr="008D2B9D">
        <w:rPr>
          <w:rFonts w:eastAsia="Times New Roman" w:cs="Times New Roman"/>
        </w:rPr>
        <w:t>. Leur résolution d</w:t>
      </w:r>
      <w:r w:rsidR="006932EF" w:rsidRPr="008D2B9D">
        <w:rPr>
          <w:rFonts w:eastAsia="Times New Roman" w:cs="Times New Roman"/>
        </w:rPr>
        <w:t>evait</w:t>
      </w:r>
      <w:r w:rsidR="003974B0" w:rsidRPr="008D2B9D">
        <w:rPr>
          <w:rFonts w:eastAsia="Times New Roman" w:cs="Times New Roman"/>
        </w:rPr>
        <w:t xml:space="preserve"> nécessairement être englobée dans les mesures</w:t>
      </w:r>
      <w:r w:rsidR="006932EF" w:rsidRPr="008D2B9D">
        <w:rPr>
          <w:rFonts w:eastAsia="Times New Roman" w:cs="Times New Roman"/>
        </w:rPr>
        <w:t xml:space="preserve"> </w:t>
      </w:r>
      <w:r w:rsidR="003974B0" w:rsidRPr="008D2B9D">
        <w:rPr>
          <w:rFonts w:eastAsia="Times New Roman" w:cs="Times New Roman"/>
        </w:rPr>
        <w:t>générales d’exécution que l’État défendeur doit mettre en œuvre sous la surveillance du Comité des</w:t>
      </w:r>
      <w:r w:rsidR="006932EF" w:rsidRPr="008D2B9D">
        <w:rPr>
          <w:rFonts w:eastAsia="Times New Roman" w:cs="Times New Roman"/>
        </w:rPr>
        <w:t xml:space="preserve"> </w:t>
      </w:r>
      <w:r w:rsidR="003974B0" w:rsidRPr="008D2B9D">
        <w:rPr>
          <w:rFonts w:eastAsia="Times New Roman" w:cs="Times New Roman"/>
        </w:rPr>
        <w:t>Ministres</w:t>
      </w:r>
      <w:r w:rsidR="005D35A2" w:rsidRPr="008D2B9D">
        <w:rPr>
          <w:rFonts w:eastAsia="Times New Roman" w:cs="Times New Roman"/>
        </w:rPr>
        <w:t xml:space="preserve"> (article 46 de la </w:t>
      </w:r>
      <w:r w:rsidR="005D35A2" w:rsidRPr="008D2B9D">
        <w:rPr>
          <w:rFonts w:eastAsia="Times New Roman" w:cs="Times New Roman"/>
        </w:rPr>
        <w:lastRenderedPageBreak/>
        <w:t>Convention)</w:t>
      </w:r>
      <w:r w:rsidR="006932EF" w:rsidRPr="008D2B9D">
        <w:rPr>
          <w:rFonts w:eastAsia="Times New Roman" w:cs="Times New Roman"/>
        </w:rPr>
        <w:t>. Jugeant</w:t>
      </w:r>
      <w:r w:rsidR="00BC4218" w:rsidRPr="008D2B9D">
        <w:rPr>
          <w:rFonts w:eastAsia="Times New Roman" w:cs="Times New Roman"/>
        </w:rPr>
        <w:t xml:space="preserve"> </w:t>
      </w:r>
      <w:r w:rsidR="003974B0" w:rsidRPr="008D2B9D">
        <w:rPr>
          <w:rFonts w:eastAsia="Times New Roman" w:cs="Times New Roman"/>
        </w:rPr>
        <w:t>que les intérêts des victimes actuelles ou potentielles du problème systémique en</w:t>
      </w:r>
      <w:r w:rsidR="006932EF" w:rsidRPr="008D2B9D">
        <w:rPr>
          <w:rFonts w:eastAsia="Times New Roman" w:cs="Times New Roman"/>
        </w:rPr>
        <w:t xml:space="preserve"> </w:t>
      </w:r>
      <w:r w:rsidR="003974B0" w:rsidRPr="008D2B9D">
        <w:rPr>
          <w:rFonts w:eastAsia="Times New Roman" w:cs="Times New Roman"/>
        </w:rPr>
        <w:t>cause s</w:t>
      </w:r>
      <w:r w:rsidR="006932EF" w:rsidRPr="008D2B9D">
        <w:rPr>
          <w:rFonts w:eastAsia="Times New Roman" w:cs="Times New Roman"/>
        </w:rPr>
        <w:t>eraien</w:t>
      </w:r>
      <w:r w:rsidR="003974B0" w:rsidRPr="008D2B9D">
        <w:rPr>
          <w:rFonts w:eastAsia="Times New Roman" w:cs="Times New Roman"/>
        </w:rPr>
        <w:t xml:space="preserve">t plus adéquatement protégés dans le cadre de </w:t>
      </w:r>
      <w:r w:rsidR="005D35A2" w:rsidRPr="008D2B9D">
        <w:rPr>
          <w:rFonts w:eastAsia="Times New Roman" w:cs="Times New Roman"/>
        </w:rPr>
        <w:t>cette</w:t>
      </w:r>
      <w:r w:rsidR="003974B0" w:rsidRPr="008D2B9D">
        <w:rPr>
          <w:rFonts w:eastAsia="Times New Roman" w:cs="Times New Roman"/>
        </w:rPr>
        <w:t xml:space="preserve"> procédure d’exécution, la Cour estim</w:t>
      </w:r>
      <w:r w:rsidR="006932EF" w:rsidRPr="008D2B9D">
        <w:rPr>
          <w:rFonts w:eastAsia="Times New Roman" w:cs="Times New Roman"/>
        </w:rPr>
        <w:t xml:space="preserve">a </w:t>
      </w:r>
      <w:r w:rsidR="003974B0" w:rsidRPr="008D2B9D">
        <w:rPr>
          <w:rFonts w:eastAsia="Times New Roman" w:cs="Times New Roman"/>
        </w:rPr>
        <w:t>que les buts de la Convention ne s</w:t>
      </w:r>
      <w:r w:rsidR="005D35A2" w:rsidRPr="008D2B9D">
        <w:rPr>
          <w:rFonts w:eastAsia="Times New Roman" w:cs="Times New Roman"/>
        </w:rPr>
        <w:t>eraient</w:t>
      </w:r>
      <w:r w:rsidR="003974B0" w:rsidRPr="008D2B9D">
        <w:rPr>
          <w:rFonts w:eastAsia="Times New Roman" w:cs="Times New Roman"/>
        </w:rPr>
        <w:t xml:space="preserve"> pas servis au mieux si elle continue à traiter les affaires de</w:t>
      </w:r>
      <w:r w:rsidR="006932EF" w:rsidRPr="008D2B9D">
        <w:rPr>
          <w:rFonts w:eastAsia="Times New Roman" w:cs="Times New Roman"/>
        </w:rPr>
        <w:t xml:space="preserve"> </w:t>
      </w:r>
      <w:r w:rsidR="003974B0" w:rsidRPr="008D2B9D">
        <w:rPr>
          <w:rFonts w:eastAsia="Times New Roman" w:cs="Times New Roman"/>
        </w:rPr>
        <w:t xml:space="preserve">type </w:t>
      </w:r>
      <w:r w:rsidR="003974B0" w:rsidRPr="008D2B9D">
        <w:rPr>
          <w:rFonts w:eastAsia="Times New Roman" w:cs="Times New Roman"/>
          <w:i/>
          <w:iCs/>
        </w:rPr>
        <w:t>Ivanov</w:t>
      </w:r>
      <w:r w:rsidR="003974B0" w:rsidRPr="008D2B9D">
        <w:rPr>
          <w:rFonts w:eastAsia="Times New Roman" w:cs="Times New Roman"/>
        </w:rPr>
        <w:t>. Elle conclut donc que la poursuite de l’examen de ces affaires ne se justifi</w:t>
      </w:r>
      <w:r w:rsidR="006932EF" w:rsidRPr="008D2B9D">
        <w:rPr>
          <w:rFonts w:eastAsia="Times New Roman" w:cs="Times New Roman"/>
        </w:rPr>
        <w:t>ait</w:t>
      </w:r>
      <w:r w:rsidR="003974B0" w:rsidRPr="008D2B9D">
        <w:rPr>
          <w:rFonts w:eastAsia="Times New Roman" w:cs="Times New Roman"/>
        </w:rPr>
        <w:t xml:space="preserve"> pas</w:t>
      </w:r>
      <w:r w:rsidR="006932EF" w:rsidRPr="008D2B9D">
        <w:rPr>
          <w:rFonts w:eastAsia="Times New Roman" w:cs="Times New Roman"/>
        </w:rPr>
        <w:t>, et radia celles-ci du rôle en application de l’article 37, § 1</w:t>
      </w:r>
      <w:r w:rsidR="006932EF" w:rsidRPr="008D2B9D">
        <w:rPr>
          <w:rFonts w:eastAsia="Times New Roman" w:cs="Times New Roman"/>
          <w:vertAlign w:val="superscript"/>
        </w:rPr>
        <w:t>er</w:t>
      </w:r>
      <w:r w:rsidR="006932EF" w:rsidRPr="008D2B9D">
        <w:rPr>
          <w:rFonts w:eastAsia="Times New Roman" w:cs="Times New Roman"/>
        </w:rPr>
        <w:t xml:space="preserve">, </w:t>
      </w:r>
      <w:r w:rsidR="006932EF" w:rsidRPr="008D2B9D">
        <w:rPr>
          <w:rFonts w:eastAsia="Times New Roman" w:cs="Times New Roman"/>
          <w:i/>
          <w:iCs/>
        </w:rPr>
        <w:t>c</w:t>
      </w:r>
      <w:r w:rsidR="006932EF" w:rsidRPr="008D2B9D">
        <w:rPr>
          <w:rFonts w:eastAsia="Times New Roman" w:cs="Times New Roman"/>
        </w:rPr>
        <w:t xml:space="preserve">, de la Convention. </w:t>
      </w:r>
    </w:p>
    <w:p w14:paraId="5BB01CB7" w14:textId="77777777" w:rsidR="006932EF" w:rsidRPr="009C6F4B" w:rsidRDefault="006932EF" w:rsidP="007E75CC">
      <w:pPr>
        <w:spacing w:before="60" w:after="40"/>
        <w:rPr>
          <w:rFonts w:eastAsia="Times New Roman" w:cs="Times New Roman"/>
        </w:rPr>
      </w:pPr>
    </w:p>
    <w:p w14:paraId="0E4A6E47" w14:textId="77777777" w:rsidR="006932EF" w:rsidRPr="008D2B9D" w:rsidRDefault="006932EF" w:rsidP="007E75CC">
      <w:pPr>
        <w:spacing w:before="60" w:after="40"/>
        <w:rPr>
          <w:rFonts w:eastAsia="Times New Roman" w:cs="Times New Roman"/>
        </w:rPr>
      </w:pPr>
      <w:r w:rsidRPr="008D2B9D">
        <w:rPr>
          <w:rFonts w:eastAsia="Times New Roman" w:cs="Times New Roman"/>
        </w:rPr>
        <w:t>Aux requérants concernés, Justice ne fut donc pas rendue.</w:t>
      </w:r>
    </w:p>
    <w:p w14:paraId="58754C71" w14:textId="77777777" w:rsidR="006932EF" w:rsidRPr="009C6F4B" w:rsidRDefault="006932EF" w:rsidP="007E75CC">
      <w:pPr>
        <w:spacing w:before="60" w:after="40"/>
        <w:rPr>
          <w:rFonts w:eastAsia="Times New Roman" w:cs="Times New Roman"/>
        </w:rPr>
      </w:pPr>
    </w:p>
    <w:p w14:paraId="2702832A" w14:textId="71687641" w:rsidR="006932EF" w:rsidRPr="008D2B9D" w:rsidRDefault="006932EF" w:rsidP="007E75CC">
      <w:pPr>
        <w:spacing w:before="60" w:after="40"/>
        <w:rPr>
          <w:rFonts w:eastAsia="Times New Roman" w:cs="Times New Roman"/>
        </w:rPr>
      </w:pPr>
      <w:r w:rsidRPr="008D2B9D">
        <w:rPr>
          <w:rFonts w:eastAsia="Times New Roman" w:cs="Times New Roman"/>
        </w:rPr>
        <w:t>La Cour s’en explique notamment comme suit</w:t>
      </w:r>
      <w:r w:rsidR="008D2B9D" w:rsidRPr="008D2B9D">
        <w:rPr>
          <w:rFonts w:eastAsia="Times New Roman" w:cs="Times New Roman"/>
        </w:rPr>
        <w:t>:</w:t>
      </w:r>
    </w:p>
    <w:p w14:paraId="266E9C41" w14:textId="77777777" w:rsidR="006932EF" w:rsidRPr="009C6F4B" w:rsidRDefault="006932EF" w:rsidP="007E75CC">
      <w:pPr>
        <w:spacing w:before="60" w:after="40"/>
        <w:rPr>
          <w:rFonts w:eastAsia="Times New Roman" w:cs="Times New Roman"/>
        </w:rPr>
      </w:pPr>
    </w:p>
    <w:p w14:paraId="7C6D33B7" w14:textId="06FB6E8A" w:rsidR="006932EF" w:rsidRPr="009C6F4B" w:rsidRDefault="008617E8" w:rsidP="009C6F4B">
      <w:pPr>
        <w:spacing w:before="60" w:after="40"/>
        <w:rPr>
          <w:rStyle w:val="sbb9ee52a"/>
          <w:rFonts w:cs="Times New Roman"/>
          <w:i/>
          <w:iCs/>
        </w:rPr>
      </w:pPr>
      <w:r w:rsidRPr="009C6F4B">
        <w:rPr>
          <w:rFonts w:eastAsia="Times New Roman" w:cs="Times New Roman"/>
          <w:i/>
          <w:iCs/>
        </w:rPr>
        <w:t>“</w:t>
      </w:r>
      <w:r w:rsidR="000906D5" w:rsidRPr="009C6F4B">
        <w:rPr>
          <w:rFonts w:eastAsia="Times New Roman" w:cs="Times New Roman"/>
          <w:i/>
          <w:iCs/>
        </w:rPr>
        <w:t>l</w:t>
      </w:r>
      <w:r w:rsidR="000906D5" w:rsidRPr="009C6F4B">
        <w:rPr>
          <w:rStyle w:val="sbb9ee52a"/>
          <w:rFonts w:cs="Times New Roman"/>
          <w:i/>
          <w:iCs/>
        </w:rPr>
        <w:t>a répétition des mêmes conclusions dans une longue série d’arrêts sur des affaires semblables n’apporterait rien et ne servirait pas mieux la justice mais pèserait lourdement sur les ressources de la Cour et accroîtrait encore le nombre déjà considérable d’affaires en souffrance. Une telle démarche ne contribuerait notamment pas de manière utile ou sensée au renforcement de la protection des droits de l’homme dans le système de la Convention (</w:t>
      </w:r>
      <w:r w:rsidR="000906D5" w:rsidRPr="009C6F4B">
        <w:rPr>
          <w:rStyle w:val="sa36b60a1"/>
          <w:rFonts w:cs="Times New Roman"/>
          <w:i/>
          <w:iCs/>
        </w:rPr>
        <w:t>…</w:t>
      </w:r>
      <w:r w:rsidRPr="009C6F4B">
        <w:rPr>
          <w:rStyle w:val="sa36b60a1"/>
          <w:rFonts w:cs="Times New Roman"/>
          <w:i/>
          <w:iCs/>
        </w:rPr>
        <w:t>”</w:t>
      </w:r>
      <w:r w:rsidR="000906D5" w:rsidRPr="009C6F4B">
        <w:rPr>
          <w:rStyle w:val="sbb9ee52a"/>
          <w:rFonts w:cs="Times New Roman"/>
          <w:i/>
          <w:iCs/>
        </w:rPr>
        <w:t>)</w:t>
      </w:r>
      <w:r w:rsidR="000906D5" w:rsidRPr="009C6F4B">
        <w:rPr>
          <w:rStyle w:val="Appelnotedebasdep"/>
          <w:rFonts w:cs="Times New Roman"/>
          <w:i/>
          <w:iCs/>
        </w:rPr>
        <w:footnoteReference w:id="26"/>
      </w:r>
      <w:r w:rsidR="000906D5" w:rsidRPr="009C6F4B">
        <w:rPr>
          <w:rStyle w:val="sbb9ee52a"/>
          <w:rFonts w:cs="Times New Roman"/>
          <w:i/>
          <w:iCs/>
        </w:rPr>
        <w:t>.</w:t>
      </w:r>
    </w:p>
    <w:p w14:paraId="0465E5FA" w14:textId="77777777" w:rsidR="000906D5" w:rsidRPr="009C6F4B" w:rsidRDefault="000906D5" w:rsidP="009C6F4B">
      <w:pPr>
        <w:spacing w:before="60" w:after="40"/>
        <w:rPr>
          <w:rStyle w:val="sbb9ee52a"/>
          <w:rFonts w:cs="Times New Roman"/>
        </w:rPr>
      </w:pPr>
    </w:p>
    <w:p w14:paraId="543449E9" w14:textId="76CC4D57" w:rsidR="0013054E" w:rsidRPr="008D2B9D" w:rsidRDefault="008617E8" w:rsidP="007E75CC">
      <w:pPr>
        <w:spacing w:before="60" w:after="40"/>
        <w:rPr>
          <w:rStyle w:val="sbb9ee52a"/>
          <w:rFonts w:cs="Times New Roman"/>
        </w:rPr>
      </w:pPr>
      <w:r w:rsidRPr="009C6F4B">
        <w:rPr>
          <w:rStyle w:val="sbb9ee52a"/>
          <w:rFonts w:cs="Times New Roman"/>
          <w:b/>
          <w:bCs/>
        </w:rPr>
        <w:t>8.</w:t>
      </w:r>
      <w:r>
        <w:rPr>
          <w:rStyle w:val="sbb9ee52a"/>
          <w:rFonts w:cs="Times New Roman"/>
        </w:rPr>
        <w:t xml:space="preserve"> </w:t>
      </w:r>
      <w:r w:rsidR="000906D5" w:rsidRPr="008D2B9D">
        <w:rPr>
          <w:rStyle w:val="sbb9ee52a"/>
          <w:rFonts w:cs="Times New Roman"/>
        </w:rPr>
        <w:t xml:space="preserve">L’approche ainsi suivie suscita une critique véhémente au sein de la Cour elle-même. </w:t>
      </w:r>
      <w:r w:rsidR="0013054E" w:rsidRPr="008D2B9D">
        <w:rPr>
          <w:rStyle w:val="sbb9ee52a"/>
          <w:rFonts w:cs="Times New Roman"/>
        </w:rPr>
        <w:t>En préambule de</w:t>
      </w:r>
      <w:r w:rsidR="000906D5" w:rsidRPr="008D2B9D">
        <w:rPr>
          <w:rStyle w:val="sbb9ee52a"/>
          <w:rFonts w:cs="Times New Roman"/>
        </w:rPr>
        <w:t xml:space="preserve"> leur opinion dissidente commune, les juges </w:t>
      </w:r>
      <w:r w:rsidR="0013054E" w:rsidRPr="008D2B9D">
        <w:rPr>
          <w:rStyle w:val="sbb9ee52a"/>
          <w:rFonts w:cs="Times New Roman"/>
        </w:rPr>
        <w:t>Yudkivska, Sajó, Bianku, Karakaş, De Gaetano, Laffranque et Motoc écrivent</w:t>
      </w:r>
      <w:r w:rsidR="008D2B9D" w:rsidRPr="008D2B9D">
        <w:rPr>
          <w:rStyle w:val="sbb9ee52a"/>
          <w:rFonts w:cs="Times New Roman"/>
        </w:rPr>
        <w:t>:</w:t>
      </w:r>
    </w:p>
    <w:p w14:paraId="75046248" w14:textId="77777777" w:rsidR="0013054E" w:rsidRPr="009C6F4B" w:rsidRDefault="0013054E" w:rsidP="007E75CC">
      <w:pPr>
        <w:spacing w:before="60" w:after="40"/>
        <w:rPr>
          <w:rStyle w:val="sbb9ee52a"/>
          <w:rFonts w:cs="Times New Roman"/>
        </w:rPr>
      </w:pPr>
    </w:p>
    <w:p w14:paraId="3501B51E" w14:textId="181AC166" w:rsidR="00780ECB" w:rsidRPr="008D2B9D" w:rsidRDefault="008617E8" w:rsidP="007E75CC">
      <w:pPr>
        <w:spacing w:before="60" w:after="40"/>
        <w:rPr>
          <w:rStyle w:val="sbb9ee52a"/>
          <w:rFonts w:cs="Times New Roman"/>
        </w:rPr>
      </w:pPr>
      <w:r>
        <w:rPr>
          <w:rStyle w:val="sbb9ee52a"/>
          <w:rFonts w:cs="Times New Roman"/>
        </w:rPr>
        <w:t>“</w:t>
      </w:r>
      <w:r w:rsidR="0013054E" w:rsidRPr="009C6F4B">
        <w:rPr>
          <w:rStyle w:val="sbb9ee52a"/>
          <w:rFonts w:cs="Times New Roman"/>
          <w:i/>
          <w:iCs/>
        </w:rPr>
        <w:t xml:space="preserve">Le présent arrêt n’a rien à voir avec l’interprétation juridique des droits de l’homme. Il porte sur une question de </w:t>
      </w:r>
      <w:r w:rsidR="0013054E" w:rsidRPr="009C6F4B">
        <w:rPr>
          <w:rStyle w:val="sbb9ee52a"/>
          <w:rFonts w:cs="Times New Roman"/>
          <w:i/>
          <w:iCs/>
          <w:u w:val="single"/>
        </w:rPr>
        <w:t>politique judiciaire</w:t>
      </w:r>
      <w:r w:rsidR="0013054E" w:rsidRPr="009C6F4B">
        <w:rPr>
          <w:rStyle w:val="sbb9ee52a"/>
          <w:rFonts w:cs="Times New Roman"/>
          <w:i/>
          <w:iCs/>
        </w:rPr>
        <w:t xml:space="preserve"> uniquement et, à ce titre, il modifie complètement le paradigme bien établi du système de la Convention. Bien sûr, la Cour européenne des droits de l’homme est censée se concentrer sur les violations des droits de l’homme les plus graves et sur les décisions de principe concernant les valeurs européennes. En revanche, elle ne peut à cause d’une lourde charge de travail cesser purement et simplement d’accomplir ses tâches judiciaires,</w:t>
      </w:r>
      <w:r w:rsidR="0013054E" w:rsidRPr="009C6F4B">
        <w:rPr>
          <w:rStyle w:val="s29100277"/>
          <w:rFonts w:cs="Times New Roman"/>
          <w:i/>
          <w:iCs/>
        </w:rPr>
        <w:t xml:space="preserve"> </w:t>
      </w:r>
      <w:r w:rsidR="0013054E" w:rsidRPr="009C6F4B">
        <w:rPr>
          <w:rStyle w:val="sbb9ee52a"/>
          <w:rFonts w:cs="Times New Roman"/>
          <w:i/>
          <w:iCs/>
        </w:rPr>
        <w:t xml:space="preserve">laisser les requérants dans une situation incertaine et transférer sa responsabilité judiciaire à un organe politique qui, jusqu’à présent, n’a hélas guère eu de poids s’agissant d’aider le gouvernement défendeur à exécuter convenablement l’arrêt pilote et à adopter des mesures générales. La Cour elle-même a maintes fois souligné que les droits consacrés par la Convention doivent être concrets et effectifs et qu’un procès équitable ne se termine pas par un arrêt, mais qu’un arrêt doit aussi être dûment exécuté. La Cour devrait prendre au sérieux le fait que ce principe s’applique non seulement aux jugements nationaux mais également à ses propres arrêts. Chaque requérant qui saisit la Cour doit être pris au sérieux et ne pas être considéré comme une </w:t>
      </w:r>
      <w:r>
        <w:rPr>
          <w:rStyle w:val="sbb9ee52a"/>
          <w:rFonts w:cs="Times New Roman"/>
          <w:i/>
          <w:iCs/>
        </w:rPr>
        <w:t>“</w:t>
      </w:r>
      <w:r w:rsidR="0013054E" w:rsidRPr="009C6F4B">
        <w:rPr>
          <w:rStyle w:val="sbb9ee52a"/>
          <w:rFonts w:cs="Times New Roman"/>
          <w:i/>
          <w:iCs/>
        </w:rPr>
        <w:t>charge</w:t>
      </w:r>
      <w:r>
        <w:rPr>
          <w:rStyle w:val="sbb9ee52a"/>
          <w:rFonts w:cs="Times New Roman"/>
        </w:rPr>
        <w:t>”</w:t>
      </w:r>
      <w:r w:rsidR="00021AB5">
        <w:rPr>
          <w:rStyle w:val="sbb9ee52a"/>
          <w:rFonts w:cs="Times New Roman"/>
        </w:rPr>
        <w:t> </w:t>
      </w:r>
      <w:r w:rsidR="00780ECB" w:rsidRPr="009C6F4B">
        <w:rPr>
          <w:rStyle w:val="sbb9ee52a"/>
          <w:rFonts w:cs="Times New Roman"/>
        </w:rPr>
        <w:t xml:space="preserve"> (notre accent)</w:t>
      </w:r>
      <w:r>
        <w:rPr>
          <w:rStyle w:val="sbb9ee52a"/>
          <w:rFonts w:cs="Times New Roman"/>
        </w:rPr>
        <w:t>.</w:t>
      </w:r>
    </w:p>
    <w:p w14:paraId="1D8E1E03" w14:textId="77777777" w:rsidR="00780ECB" w:rsidRPr="008D2B9D" w:rsidRDefault="00780ECB" w:rsidP="007E75CC">
      <w:pPr>
        <w:spacing w:before="60" w:after="40"/>
        <w:rPr>
          <w:rStyle w:val="sbb9ee52a"/>
          <w:rFonts w:cs="Times New Roman"/>
        </w:rPr>
      </w:pPr>
    </w:p>
    <w:p w14:paraId="702211F5" w14:textId="557A2272" w:rsidR="0013054E" w:rsidRPr="008D2B9D" w:rsidRDefault="0013054E" w:rsidP="007E75CC">
      <w:pPr>
        <w:spacing w:before="60" w:after="40"/>
        <w:rPr>
          <w:rStyle w:val="sbb9ee52a"/>
          <w:rFonts w:cs="Times New Roman"/>
        </w:rPr>
      </w:pPr>
      <w:r w:rsidRPr="008D2B9D">
        <w:rPr>
          <w:rStyle w:val="sbb9ee52a"/>
          <w:rFonts w:cs="Times New Roman"/>
        </w:rPr>
        <w:t>La conclusion, du même tonneau, nous place dans le vif du sujet</w:t>
      </w:r>
      <w:r w:rsidR="008D2B9D" w:rsidRPr="008D2B9D">
        <w:rPr>
          <w:rStyle w:val="sbb9ee52a"/>
          <w:rFonts w:cs="Times New Roman"/>
        </w:rPr>
        <w:t>:</w:t>
      </w:r>
    </w:p>
    <w:p w14:paraId="6617DF09" w14:textId="77777777" w:rsidR="0013054E" w:rsidRPr="008D2B9D" w:rsidRDefault="0013054E" w:rsidP="007E75CC">
      <w:pPr>
        <w:spacing w:before="60" w:after="40"/>
        <w:rPr>
          <w:rStyle w:val="sbb9ee52a"/>
          <w:rFonts w:cs="Times New Roman"/>
        </w:rPr>
      </w:pPr>
    </w:p>
    <w:p w14:paraId="35A810C6" w14:textId="530CFBA4" w:rsidR="0013054E" w:rsidRPr="009C6F4B" w:rsidRDefault="008617E8" w:rsidP="009C6F4B">
      <w:pPr>
        <w:spacing w:before="60" w:after="40"/>
        <w:rPr>
          <w:rStyle w:val="sbb9ee52a"/>
          <w:rFonts w:cs="Times New Roman"/>
        </w:rPr>
      </w:pPr>
      <w:r>
        <w:rPr>
          <w:rStyle w:val="sbb9ee52a"/>
          <w:rFonts w:cs="Times New Roman"/>
        </w:rPr>
        <w:t>“</w:t>
      </w:r>
      <w:r w:rsidR="0013054E" w:rsidRPr="009C6F4B">
        <w:rPr>
          <w:rStyle w:val="sbb9ee52a"/>
          <w:rFonts w:cs="Times New Roman"/>
          <w:i/>
          <w:iCs/>
        </w:rPr>
        <w:t xml:space="preserve">À notre grand regret, nous devons souligner que si le fait d’abaisser le nombre d’affaires pendantes devant la Cour permettra peut-être de faire paraître plus brillante la situation administrative de l’institution, cela ne signifiera pas que la situation des droits de l’homme en Europe est meilleure. Bien au contraire ! La Cour a été instituée tout spécialement pour répondre à ces violations, en tant qu’organe judiciaire, et non pour se concentrer sur les statistiques. Le devoir judiciaire de statuer sur des requêtes individuelles devrait être exprimé </w:t>
      </w:r>
      <w:r w:rsidR="0013054E" w:rsidRPr="009C6F4B">
        <w:rPr>
          <w:rStyle w:val="sbb9ee52a"/>
          <w:rFonts w:cs="Times New Roman"/>
          <w:i/>
          <w:iCs/>
        </w:rPr>
        <w:lastRenderedPageBreak/>
        <w:t>avec plus de vigueur lorsque la prééminence du droit et l’exécution de milliers d’arrêts définitifs dans un État membre – l’Ukraine – sont si problématiques. En négligeant de traiter cette question, la Cour tire une balle dans son propre pied, c’est-à-dire dans la prééminence du droit au sein des États membres. Et ne pas traiter ces affaires relatives à des droits fondamentaux, ce n’est pas de l’économie judiciaire ni de l’efficacité judiciaire, et ce n’est pas non plus la philosophie de Brighton. Ce n’est rien d’autre que de la commodité judiciaire provisoire</w:t>
      </w:r>
      <w:r>
        <w:rPr>
          <w:rStyle w:val="sbb9ee52a"/>
          <w:rFonts w:cs="Times New Roman"/>
          <w:i/>
          <w:iCs/>
        </w:rPr>
        <w:t>"</w:t>
      </w:r>
      <w:r w:rsidR="002A4B80" w:rsidRPr="009C6F4B">
        <w:rPr>
          <w:rStyle w:val="sbb9ee52a"/>
          <w:rFonts w:cs="Times New Roman"/>
          <w:i/>
          <w:iCs/>
        </w:rPr>
        <w:t>.</w:t>
      </w:r>
    </w:p>
    <w:p w14:paraId="0B984E6E" w14:textId="7B1E9F68" w:rsidR="0013054E" w:rsidRPr="008D2B9D" w:rsidRDefault="008D2B9D" w:rsidP="009C6F4B">
      <w:pPr>
        <w:pStyle w:val="Titre1"/>
      </w:pPr>
      <w:r w:rsidRPr="009C6F4B">
        <w:rPr>
          <w:iCs/>
          <w:szCs w:val="24"/>
        </w:rPr>
        <w:t>IV.</w:t>
      </w:r>
      <w:r w:rsidRPr="008D2B9D">
        <w:rPr>
          <w:i/>
          <w:szCs w:val="24"/>
        </w:rPr>
        <w:t xml:space="preserve"> </w:t>
      </w:r>
      <w:r w:rsidR="0013054E" w:rsidRPr="008D2B9D">
        <w:rPr>
          <w:i/>
          <w:szCs w:val="24"/>
        </w:rPr>
        <w:t>Turan et autres c. Turquie</w:t>
      </w:r>
      <w:r w:rsidRPr="008D2B9D">
        <w:rPr>
          <w:szCs w:val="24"/>
        </w:rPr>
        <w:t>:</w:t>
      </w:r>
      <w:r w:rsidR="0013054E" w:rsidRPr="008D2B9D">
        <w:rPr>
          <w:szCs w:val="24"/>
        </w:rPr>
        <w:t xml:space="preserve"> l’invocation explicite d’une </w:t>
      </w:r>
      <w:r w:rsidRPr="008D2B9D">
        <w:rPr>
          <w:szCs w:val="24"/>
        </w:rPr>
        <w:t>"</w:t>
      </w:r>
      <w:r w:rsidR="0013054E" w:rsidRPr="008D2B9D">
        <w:rPr>
          <w:szCs w:val="24"/>
        </w:rPr>
        <w:t>politique judiciaire</w:t>
      </w:r>
      <w:r w:rsidRPr="008D2B9D">
        <w:rPr>
          <w:szCs w:val="24"/>
        </w:rPr>
        <w:t>"</w:t>
      </w:r>
    </w:p>
    <w:p w14:paraId="07C8CC45" w14:textId="6B97FB16" w:rsidR="0082649C" w:rsidRPr="008D2B9D" w:rsidRDefault="008617E8" w:rsidP="007E75CC">
      <w:pPr>
        <w:spacing w:before="60" w:after="40"/>
        <w:rPr>
          <w:rFonts w:cs="Times New Roman"/>
        </w:rPr>
      </w:pPr>
      <w:r w:rsidRPr="009C6F4B">
        <w:rPr>
          <w:rFonts w:cs="Times New Roman"/>
          <w:b/>
          <w:bCs/>
        </w:rPr>
        <w:t xml:space="preserve">9. </w:t>
      </w:r>
      <w:r w:rsidR="0013054E" w:rsidRPr="008D2B9D">
        <w:rPr>
          <w:rFonts w:cs="Times New Roman"/>
        </w:rPr>
        <w:t xml:space="preserve">Dans </w:t>
      </w:r>
      <w:r w:rsidR="0013054E" w:rsidRPr="008D2B9D">
        <w:rPr>
          <w:rFonts w:cs="Times New Roman"/>
          <w:i/>
        </w:rPr>
        <w:t xml:space="preserve">Burmych et autres, </w:t>
      </w:r>
      <w:r w:rsidR="0013054E" w:rsidRPr="008D2B9D">
        <w:rPr>
          <w:rFonts w:cs="Times New Roman"/>
        </w:rPr>
        <w:t xml:space="preserve">ci-avant analysé, la Cour abat les cartes d’une </w:t>
      </w:r>
      <w:r>
        <w:rPr>
          <w:rFonts w:cs="Times New Roman"/>
        </w:rPr>
        <w:t>“</w:t>
      </w:r>
      <w:r w:rsidR="0013054E" w:rsidRPr="008D2B9D">
        <w:rPr>
          <w:rFonts w:cs="Times New Roman"/>
        </w:rPr>
        <w:t>politique judiciaire</w:t>
      </w:r>
      <w:r>
        <w:rPr>
          <w:rFonts w:cs="Times New Roman"/>
        </w:rPr>
        <w:t>”</w:t>
      </w:r>
      <w:r w:rsidR="0013054E" w:rsidRPr="008D2B9D">
        <w:rPr>
          <w:rFonts w:cs="Times New Roman"/>
        </w:rPr>
        <w:t xml:space="preserve"> qui ne dit pas encore son nom. </w:t>
      </w:r>
      <w:r w:rsidR="000C1691" w:rsidRPr="008D2B9D">
        <w:rPr>
          <w:rFonts w:cs="Times New Roman"/>
        </w:rPr>
        <w:t xml:space="preserve">Ce fut chose faite à la faveur de l’arrêt </w:t>
      </w:r>
      <w:r w:rsidR="000C1691" w:rsidRPr="008D2B9D">
        <w:rPr>
          <w:rFonts w:cs="Times New Roman"/>
          <w:i/>
          <w:iCs/>
        </w:rPr>
        <w:t>Turan et autres c. Turquie</w:t>
      </w:r>
      <w:r w:rsidR="000C1691" w:rsidRPr="008D2B9D">
        <w:rPr>
          <w:rFonts w:cs="Times New Roman"/>
        </w:rPr>
        <w:t xml:space="preserve"> du 23 novembre 2021</w:t>
      </w:r>
      <w:r w:rsidR="000C1691" w:rsidRPr="008D2B9D">
        <w:rPr>
          <w:rStyle w:val="Appelnotedebasdep"/>
          <w:rFonts w:cs="Times New Roman"/>
        </w:rPr>
        <w:footnoteReference w:id="27"/>
      </w:r>
      <w:r w:rsidR="0082649C" w:rsidRPr="008D2B9D">
        <w:rPr>
          <w:rFonts w:cs="Times New Roman"/>
        </w:rPr>
        <w:t>.</w:t>
      </w:r>
    </w:p>
    <w:p w14:paraId="3D511CA7" w14:textId="77777777" w:rsidR="0082649C" w:rsidRPr="008D2B9D" w:rsidRDefault="0082649C" w:rsidP="007E75CC">
      <w:pPr>
        <w:spacing w:before="60" w:after="40"/>
        <w:rPr>
          <w:rFonts w:cs="Times New Roman"/>
        </w:rPr>
      </w:pPr>
    </w:p>
    <w:p w14:paraId="6BC5053D" w14:textId="77777777" w:rsidR="0082649C" w:rsidRPr="008D2B9D" w:rsidRDefault="0082649C" w:rsidP="007E75CC">
      <w:pPr>
        <w:spacing w:before="60" w:after="40"/>
        <w:rPr>
          <w:rFonts w:cs="Times New Roman"/>
        </w:rPr>
      </w:pPr>
      <w:r w:rsidRPr="008D2B9D">
        <w:rPr>
          <w:rFonts w:cs="Times New Roman"/>
        </w:rPr>
        <w:t>L’affaire</w:t>
      </w:r>
      <w:r w:rsidR="000C1691" w:rsidRPr="008D2B9D">
        <w:rPr>
          <w:rFonts w:cs="Times New Roman"/>
        </w:rPr>
        <w:t xml:space="preserve"> concern</w:t>
      </w:r>
      <w:r w:rsidRPr="008D2B9D">
        <w:rPr>
          <w:rFonts w:cs="Times New Roman"/>
        </w:rPr>
        <w:t>ait</w:t>
      </w:r>
      <w:r w:rsidR="000C1691" w:rsidRPr="008D2B9D">
        <w:rPr>
          <w:rFonts w:cs="Times New Roman"/>
        </w:rPr>
        <w:t xml:space="preserve"> l'arrestation et la détention pr</w:t>
      </w:r>
      <w:r w:rsidR="00780ECB" w:rsidRPr="008D2B9D">
        <w:rPr>
          <w:rFonts w:cs="Times New Roman"/>
        </w:rPr>
        <w:t>éventive</w:t>
      </w:r>
      <w:r w:rsidR="000C1691" w:rsidRPr="008D2B9D">
        <w:rPr>
          <w:rFonts w:cs="Times New Roman"/>
        </w:rPr>
        <w:t xml:space="preserve"> de 427 magistrats turcs au lendemain de la tentative de coup d'État militaire du 15 juillet 2016.</w:t>
      </w:r>
    </w:p>
    <w:p w14:paraId="0066D572" w14:textId="77777777" w:rsidR="0082649C" w:rsidRPr="008D2B9D" w:rsidRDefault="0082649C" w:rsidP="009C6F4B">
      <w:pPr>
        <w:spacing w:before="60" w:after="40"/>
        <w:rPr>
          <w:rFonts w:cs="Times New Roman"/>
        </w:rPr>
      </w:pPr>
    </w:p>
    <w:p w14:paraId="041739A1" w14:textId="77777777" w:rsidR="000C1691" w:rsidRPr="008D2B9D" w:rsidRDefault="000C1691" w:rsidP="009C6F4B">
      <w:pPr>
        <w:spacing w:before="60" w:after="40"/>
        <w:rPr>
          <w:rFonts w:cs="Times New Roman"/>
        </w:rPr>
      </w:pPr>
      <w:r w:rsidRPr="008D2B9D">
        <w:rPr>
          <w:rFonts w:cs="Times New Roman"/>
        </w:rPr>
        <w:t>Invoquant l'article 5 § 1 (droit à la liberté et à la sûreté), les 427 requérants se plaign</w:t>
      </w:r>
      <w:r w:rsidR="0082649C" w:rsidRPr="008D2B9D">
        <w:rPr>
          <w:rFonts w:cs="Times New Roman"/>
        </w:rPr>
        <w:t>ai</w:t>
      </w:r>
      <w:r w:rsidRPr="008D2B9D">
        <w:rPr>
          <w:rFonts w:cs="Times New Roman"/>
        </w:rPr>
        <w:t>ent</w:t>
      </w:r>
      <w:r w:rsidR="0082649C" w:rsidRPr="008D2B9D">
        <w:rPr>
          <w:rFonts w:cs="Times New Roman"/>
        </w:rPr>
        <w:t xml:space="preserve"> tout d’abord</w:t>
      </w:r>
      <w:r w:rsidRPr="008D2B9D">
        <w:rPr>
          <w:rFonts w:cs="Times New Roman"/>
        </w:rPr>
        <w:t xml:space="preserve"> d'avoir été placés en détention pr</w:t>
      </w:r>
      <w:r w:rsidR="00780ECB" w:rsidRPr="008D2B9D">
        <w:rPr>
          <w:rFonts w:cs="Times New Roman"/>
        </w:rPr>
        <w:t>éventive</w:t>
      </w:r>
      <w:r w:rsidRPr="008D2B9D">
        <w:rPr>
          <w:rFonts w:cs="Times New Roman"/>
        </w:rPr>
        <w:t xml:space="preserve"> en violation du droit interne. Dans son arrêt du 23 novembre 2021, la Cour conclu</w:t>
      </w:r>
      <w:r w:rsidR="0082649C" w:rsidRPr="008D2B9D">
        <w:rPr>
          <w:rFonts w:cs="Times New Roman"/>
        </w:rPr>
        <w:t>t effectivement,</w:t>
      </w:r>
      <w:r w:rsidRPr="008D2B9D">
        <w:rPr>
          <w:rFonts w:cs="Times New Roman"/>
        </w:rPr>
        <w:t xml:space="preserve"> sur ce poin</w:t>
      </w:r>
      <w:r w:rsidR="0082649C" w:rsidRPr="008D2B9D">
        <w:rPr>
          <w:rFonts w:cs="Times New Roman"/>
        </w:rPr>
        <w:t>t, à l’illégalité</w:t>
      </w:r>
      <w:r w:rsidRPr="008D2B9D">
        <w:rPr>
          <w:rFonts w:cs="Times New Roman"/>
        </w:rPr>
        <w:t xml:space="preserve"> de la privation de liberté</w:t>
      </w:r>
      <w:r w:rsidR="00780ECB" w:rsidRPr="008D2B9D">
        <w:rPr>
          <w:rFonts w:cs="Times New Roman"/>
        </w:rPr>
        <w:t>.</w:t>
      </w:r>
    </w:p>
    <w:p w14:paraId="0A0A8659" w14:textId="77777777" w:rsidR="0082649C" w:rsidRPr="008D2B9D" w:rsidRDefault="0082649C" w:rsidP="007E75CC">
      <w:pPr>
        <w:spacing w:before="60" w:after="40"/>
        <w:rPr>
          <w:rFonts w:cs="Times New Roman"/>
        </w:rPr>
      </w:pPr>
    </w:p>
    <w:p w14:paraId="50D0B04D" w14:textId="77777777" w:rsidR="000C1691" w:rsidRPr="008D2B9D" w:rsidRDefault="0082649C" w:rsidP="007E75CC">
      <w:pPr>
        <w:spacing w:before="60" w:after="40"/>
        <w:rPr>
          <w:rFonts w:cs="Times New Roman"/>
        </w:rPr>
      </w:pPr>
      <w:r w:rsidRPr="008D2B9D">
        <w:rPr>
          <w:rFonts w:cs="Times New Roman"/>
        </w:rPr>
        <w:t>De manière supplémentaire</w:t>
      </w:r>
      <w:r w:rsidR="000C1691" w:rsidRPr="008D2B9D">
        <w:rPr>
          <w:rFonts w:cs="Times New Roman"/>
        </w:rPr>
        <w:t>, certains requérants se plaign</w:t>
      </w:r>
      <w:r w:rsidRPr="008D2B9D">
        <w:rPr>
          <w:rFonts w:cs="Times New Roman"/>
        </w:rPr>
        <w:t>ai</w:t>
      </w:r>
      <w:r w:rsidR="000C1691" w:rsidRPr="008D2B9D">
        <w:rPr>
          <w:rFonts w:cs="Times New Roman"/>
        </w:rPr>
        <w:t>ent, au titre de l'article 5 §§ 1 (c) et 3, d'avoir été placés en détention pr</w:t>
      </w:r>
      <w:r w:rsidR="00780ECB" w:rsidRPr="008D2B9D">
        <w:rPr>
          <w:rFonts w:cs="Times New Roman"/>
        </w:rPr>
        <w:t>éventive</w:t>
      </w:r>
      <w:r w:rsidR="000C1691" w:rsidRPr="008D2B9D">
        <w:rPr>
          <w:rFonts w:cs="Times New Roman"/>
        </w:rPr>
        <w:t xml:space="preserve"> sans raisons pertinentes et suffisantes, et de la durée excessive de cette détention. Certains requérants se plaign</w:t>
      </w:r>
      <w:r w:rsidRPr="008D2B9D">
        <w:rPr>
          <w:rFonts w:cs="Times New Roman"/>
        </w:rPr>
        <w:t>ai</w:t>
      </w:r>
      <w:r w:rsidR="000C1691" w:rsidRPr="008D2B9D">
        <w:rPr>
          <w:rFonts w:cs="Times New Roman"/>
        </w:rPr>
        <w:t>ent également, au titre de l'article 5 § 4, que les contrôles effectués par les juridictions internes sur leur détention n'</w:t>
      </w:r>
      <w:r w:rsidRPr="008D2B9D">
        <w:rPr>
          <w:rFonts w:cs="Times New Roman"/>
        </w:rPr>
        <w:t>avaient</w:t>
      </w:r>
      <w:r w:rsidR="000C1691" w:rsidRPr="008D2B9D">
        <w:rPr>
          <w:rFonts w:cs="Times New Roman"/>
        </w:rPr>
        <w:t xml:space="preserve"> pas respecté certaines garanties procédurales, et/ou, au titre de l'article 5 § 5, qu'il n'existait pas de recours internes effectifs leur permettant d'obtenir réparation pour les violations alléguées de leurs droits.</w:t>
      </w:r>
    </w:p>
    <w:p w14:paraId="710854D2" w14:textId="77777777" w:rsidR="000C1691" w:rsidRPr="008D2B9D" w:rsidRDefault="000C1691" w:rsidP="007E75CC">
      <w:pPr>
        <w:spacing w:before="60" w:after="40"/>
        <w:rPr>
          <w:rFonts w:cs="Times New Roman"/>
        </w:rPr>
      </w:pPr>
    </w:p>
    <w:p w14:paraId="67AAF286" w14:textId="69358308" w:rsidR="0082649C" w:rsidRPr="008D2B9D" w:rsidRDefault="000C1691" w:rsidP="007E75CC">
      <w:pPr>
        <w:spacing w:before="60" w:after="40"/>
        <w:rPr>
          <w:rFonts w:cs="Times New Roman"/>
          <w:i/>
        </w:rPr>
      </w:pPr>
      <w:r w:rsidRPr="008D2B9D">
        <w:rPr>
          <w:rFonts w:cs="Times New Roman"/>
        </w:rPr>
        <w:t xml:space="preserve">Toutefois, ces griefs supplémentaires ne seront pas </w:t>
      </w:r>
      <w:r w:rsidR="00780ECB" w:rsidRPr="008D2B9D">
        <w:rPr>
          <w:rFonts w:cs="Times New Roman"/>
        </w:rPr>
        <w:t>rencontré</w:t>
      </w:r>
      <w:r w:rsidRPr="008D2B9D">
        <w:rPr>
          <w:rFonts w:cs="Times New Roman"/>
        </w:rPr>
        <w:t>s par l</w:t>
      </w:r>
      <w:r w:rsidR="00780ECB" w:rsidRPr="008D2B9D">
        <w:rPr>
          <w:rFonts w:cs="Times New Roman"/>
        </w:rPr>
        <w:t>’arrêt</w:t>
      </w:r>
      <w:r w:rsidRPr="008D2B9D">
        <w:rPr>
          <w:rFonts w:cs="Times New Roman"/>
        </w:rPr>
        <w:t xml:space="preserve">. Les motifs de ce non examen sont </w:t>
      </w:r>
      <w:r w:rsidR="0082649C" w:rsidRPr="008D2B9D">
        <w:rPr>
          <w:rFonts w:cs="Times New Roman"/>
        </w:rPr>
        <w:t xml:space="preserve">détaillés comme suit par la Cour – au demeurant dans la filiation explicite de son arrêt </w:t>
      </w:r>
      <w:r w:rsidR="0082649C" w:rsidRPr="008D2B9D">
        <w:rPr>
          <w:rFonts w:cs="Times New Roman"/>
          <w:i/>
        </w:rPr>
        <w:t>Burmych</w:t>
      </w:r>
      <w:r w:rsidR="00021AB5">
        <w:rPr>
          <w:rFonts w:cs="Times New Roman"/>
          <w:i/>
        </w:rPr>
        <w:t xml:space="preserve"> et autres</w:t>
      </w:r>
      <w:r w:rsidR="008617E8">
        <w:rPr>
          <w:rFonts w:cs="Times New Roman"/>
          <w:i/>
        </w:rPr>
        <w:t>:</w:t>
      </w:r>
    </w:p>
    <w:p w14:paraId="2426F0CC" w14:textId="77777777" w:rsidR="0082649C" w:rsidRPr="009C6F4B" w:rsidRDefault="0082649C" w:rsidP="007E75CC">
      <w:pPr>
        <w:spacing w:before="60" w:after="40"/>
        <w:rPr>
          <w:rFonts w:cs="Times New Roman"/>
          <w:i/>
        </w:rPr>
      </w:pPr>
    </w:p>
    <w:p w14:paraId="04F08E17" w14:textId="083B6F13" w:rsidR="0082649C" w:rsidRPr="009C6F4B" w:rsidRDefault="008617E8" w:rsidP="009C6F4B">
      <w:pPr>
        <w:spacing w:before="60" w:after="40"/>
        <w:rPr>
          <w:rStyle w:val="sbb9ee52a"/>
          <w:rFonts w:cs="Times New Roman"/>
          <w:lang w:val="en-US"/>
        </w:rPr>
      </w:pPr>
      <w:r>
        <w:rPr>
          <w:rFonts w:cs="Times New Roman"/>
          <w:lang w:val="en-US"/>
        </w:rPr>
        <w:t>“</w:t>
      </w:r>
      <w:r w:rsidR="0082649C" w:rsidRPr="009C6F4B">
        <w:rPr>
          <w:rStyle w:val="sbb9ee52a"/>
          <w:rFonts w:cs="Times New Roman"/>
          <w:i/>
          <w:iCs/>
          <w:lang w:val="en-US"/>
        </w:rPr>
        <w:t xml:space="preserve">The Court has found above that the applicants’ detention was not prescribed by law, which runs counter to the fundamental principle of the rule of law and to the purpose of Article 5 to protect every individual from arbitrariness. Having regard to the significance and implications of this finding, which goes to the heart of the protection afforded under Article 5 and entails a violation of one of the core rights guaranteed by the Convention, and to the accumulation of thousands of similar applications on its docket concerning detentions in the aftermath of the </w:t>
      </w:r>
      <w:r w:rsidR="0082649C" w:rsidRPr="009C6F4B">
        <w:rPr>
          <w:rStyle w:val="sbb9ee52a"/>
          <w:rFonts w:cs="Times New Roman"/>
          <w:i/>
          <w:iCs/>
          <w:lang w:val="en-US"/>
        </w:rPr>
        <w:lastRenderedPageBreak/>
        <w:t xml:space="preserve">attempted coup d’état in Turkey, which puts a considerable strain on its limited resources, the Court considers – </w:t>
      </w:r>
      <w:r w:rsidR="0082649C" w:rsidRPr="009C6F4B">
        <w:rPr>
          <w:rStyle w:val="sbb9ee52a"/>
          <w:rFonts w:cs="Times New Roman"/>
          <w:i/>
          <w:iCs/>
          <w:u w:val="single"/>
          <w:lang w:val="en-US"/>
        </w:rPr>
        <w:t>as a matter of judicial policy</w:t>
      </w:r>
      <w:r w:rsidR="0082649C" w:rsidRPr="009C6F4B">
        <w:rPr>
          <w:rStyle w:val="sbb9ee52a"/>
          <w:rFonts w:cs="Times New Roman"/>
          <w:i/>
          <w:iCs/>
          <w:lang w:val="en-US"/>
        </w:rPr>
        <w:t xml:space="preserve"> – that it is justified in these compelling circumstances to dispense with the separate examination of the admissibility and merits of each remaining complaint raised by each individual applicant under Article 5. The Court also points out in this connection that an individualised examination of the remaining complaints brought by each applicant would significantly delay the processing of these cases, without a commensurate benefit to the applicants or contribution to the development of the case-law. It notes furthermore that it has already addressed the legal issues raised by these complaints for the most part (</w:t>
      </w:r>
      <w:r w:rsidR="00F140D2" w:rsidRPr="009C6F4B">
        <w:rPr>
          <w:rStyle w:val="sbb9ee52a"/>
          <w:rFonts w:cs="Times New Roman"/>
          <w:i/>
          <w:iCs/>
          <w:lang w:val="en-US"/>
        </w:rPr>
        <w:t>…</w:t>
      </w:r>
      <w:r w:rsidR="0082649C" w:rsidRPr="009C6F4B">
        <w:rPr>
          <w:rStyle w:val="sbb9ee52a"/>
          <w:rFonts w:cs="Times New Roman"/>
          <w:i/>
          <w:iCs/>
          <w:lang w:val="en-US"/>
        </w:rPr>
        <w:t>)</w:t>
      </w:r>
      <w:r w:rsidR="0082649C" w:rsidRPr="009C6F4B">
        <w:rPr>
          <w:rStyle w:val="s29100277"/>
          <w:rFonts w:cs="Times New Roman"/>
          <w:i/>
          <w:iCs/>
          <w:lang w:val="en-US"/>
        </w:rPr>
        <w:t>.</w:t>
      </w:r>
      <w:r w:rsidR="0082649C" w:rsidRPr="009C6F4B">
        <w:rPr>
          <w:rStyle w:val="sbb9ee52a"/>
          <w:rFonts w:cs="Times New Roman"/>
          <w:i/>
          <w:iCs/>
          <w:lang w:val="en-US"/>
        </w:rPr>
        <w:t xml:space="preserve"> It is precisely within this exceptional context that the Court, guided by the overriding interest to ensure the long-term effectiveness of the Convention system, which is under threat by the constantly growing inflow of applications (see, </w:t>
      </w:r>
      <w:r w:rsidR="0082649C" w:rsidRPr="009C6F4B">
        <w:rPr>
          <w:rStyle w:val="sa36b60a1"/>
          <w:rFonts w:cs="Times New Roman"/>
          <w:i/>
          <w:iCs/>
          <w:lang w:val="en-US"/>
        </w:rPr>
        <w:t>mutatis mutandis</w:t>
      </w:r>
      <w:r w:rsidR="0082649C" w:rsidRPr="009C6F4B">
        <w:rPr>
          <w:rStyle w:val="sbb9ee52a"/>
          <w:rFonts w:cs="Times New Roman"/>
          <w:i/>
          <w:iCs/>
          <w:lang w:val="en-US"/>
        </w:rPr>
        <w:t xml:space="preserve">, </w:t>
      </w:r>
      <w:bookmarkStart w:id="10" w:name="_Hlk88230550"/>
      <w:r w:rsidR="0082649C" w:rsidRPr="009C6F4B">
        <w:rPr>
          <w:rStyle w:val="sa36b60a1"/>
          <w:rFonts w:cs="Times New Roman"/>
          <w:i/>
          <w:iCs/>
          <w:lang w:val="en-US"/>
        </w:rPr>
        <w:t>Burmych and Others v. Ukraine</w:t>
      </w:r>
      <w:bookmarkEnd w:id="10"/>
      <w:r w:rsidR="00584D0B" w:rsidRPr="009C6F4B">
        <w:rPr>
          <w:rStyle w:val="sbb9ee52a"/>
          <w:rFonts w:cs="Times New Roman"/>
          <w:i/>
          <w:iCs/>
          <w:lang w:val="en-US"/>
        </w:rPr>
        <w:t xml:space="preserve"> …</w:t>
      </w:r>
      <w:r w:rsidR="0082649C" w:rsidRPr="009C6F4B">
        <w:rPr>
          <w:rStyle w:val="sbb9ee52a"/>
          <w:rFonts w:cs="Times New Roman"/>
          <w:i/>
          <w:iCs/>
          <w:lang w:val="en-US"/>
        </w:rPr>
        <w:t>), decides not to examine the applicants’ remaining complaints under Article 5</w:t>
      </w:r>
      <w:r>
        <w:rPr>
          <w:rStyle w:val="sbb9ee52a"/>
          <w:rFonts w:cs="Times New Roman"/>
          <w:lang w:val="en-US"/>
        </w:rPr>
        <w:t>”</w:t>
      </w:r>
      <w:r w:rsidR="00780ECB" w:rsidRPr="009C6F4B">
        <w:rPr>
          <w:rStyle w:val="sbb9ee52a"/>
          <w:rFonts w:cs="Times New Roman"/>
          <w:lang w:val="en-US"/>
        </w:rPr>
        <w:t xml:space="preserve"> (notre accent)</w:t>
      </w:r>
      <w:r>
        <w:rPr>
          <w:rStyle w:val="sbb9ee52a"/>
          <w:rFonts w:cs="Times New Roman"/>
          <w:lang w:val="en-US"/>
        </w:rPr>
        <w:t>.</w:t>
      </w:r>
    </w:p>
    <w:p w14:paraId="1B87C2E1" w14:textId="77777777" w:rsidR="00F140D2" w:rsidRPr="009C6F4B" w:rsidRDefault="00F140D2" w:rsidP="009C6F4B">
      <w:pPr>
        <w:spacing w:before="60" w:after="40"/>
        <w:rPr>
          <w:rStyle w:val="sbb9ee52a"/>
          <w:rFonts w:cs="Times New Roman"/>
          <w:lang w:val="en-US"/>
        </w:rPr>
      </w:pPr>
    </w:p>
    <w:p w14:paraId="424BDFE5" w14:textId="533DC9A1" w:rsidR="00584D0B" w:rsidRPr="008D2B9D" w:rsidRDefault="008617E8" w:rsidP="007E75CC">
      <w:pPr>
        <w:spacing w:before="60" w:after="40"/>
        <w:rPr>
          <w:rStyle w:val="sbb9ee52a"/>
          <w:rFonts w:cs="Times New Roman"/>
        </w:rPr>
      </w:pPr>
      <w:r w:rsidRPr="009C6F4B">
        <w:rPr>
          <w:rStyle w:val="sbb9ee52a"/>
          <w:rFonts w:cs="Times New Roman"/>
          <w:b/>
          <w:bCs/>
        </w:rPr>
        <w:t>10.</w:t>
      </w:r>
      <w:r>
        <w:rPr>
          <w:rStyle w:val="sbb9ee52a"/>
          <w:rFonts w:cs="Times New Roman"/>
        </w:rPr>
        <w:t xml:space="preserve"> </w:t>
      </w:r>
      <w:r w:rsidR="004D6359" w:rsidRPr="008D2B9D">
        <w:rPr>
          <w:rStyle w:val="sbb9ee52a"/>
          <w:rFonts w:cs="Times New Roman"/>
        </w:rPr>
        <w:t xml:space="preserve">Voici donc que la Cour assume explicitement que sa position, en l’affaire, est le fruit d’une </w:t>
      </w:r>
      <w:r>
        <w:rPr>
          <w:rStyle w:val="sbb9ee52a"/>
          <w:rFonts w:cs="Times New Roman"/>
        </w:rPr>
        <w:t>“</w:t>
      </w:r>
      <w:r w:rsidR="004D6359" w:rsidRPr="008D2B9D">
        <w:rPr>
          <w:rStyle w:val="sbb9ee52a"/>
          <w:rFonts w:cs="Times New Roman"/>
        </w:rPr>
        <w:t>politique</w:t>
      </w:r>
      <w:r>
        <w:rPr>
          <w:rStyle w:val="sbb9ee52a"/>
          <w:rFonts w:cs="Times New Roman"/>
        </w:rPr>
        <w:t>”</w:t>
      </w:r>
      <w:r w:rsidR="00780ECB" w:rsidRPr="008D2B9D">
        <w:rPr>
          <w:rStyle w:val="sbb9ee52a"/>
          <w:rFonts w:cs="Times New Roman"/>
        </w:rPr>
        <w:t xml:space="preserve"> (</w:t>
      </w:r>
      <w:r w:rsidR="00780ECB" w:rsidRPr="008D2B9D">
        <w:rPr>
          <w:rStyle w:val="sbb9ee52a"/>
          <w:rFonts w:cs="Times New Roman"/>
          <w:i/>
        </w:rPr>
        <w:t>Judicial policy</w:t>
      </w:r>
      <w:r w:rsidR="00780ECB" w:rsidRPr="008D2B9D">
        <w:rPr>
          <w:rStyle w:val="sbb9ee52a"/>
          <w:rFonts w:cs="Times New Roman"/>
        </w:rPr>
        <w:t>)</w:t>
      </w:r>
      <w:r w:rsidR="004D6359" w:rsidRPr="008D2B9D">
        <w:rPr>
          <w:rStyle w:val="sbb9ee52a"/>
          <w:rFonts w:cs="Times New Roman"/>
        </w:rPr>
        <w:t>. L’enjeu de cette affirmation est excellem</w:t>
      </w:r>
      <w:r w:rsidR="00780ECB" w:rsidRPr="008D2B9D">
        <w:rPr>
          <w:rStyle w:val="sbb9ee52a"/>
          <w:rFonts w:cs="Times New Roman"/>
        </w:rPr>
        <w:t>m</w:t>
      </w:r>
      <w:r w:rsidR="004D6359" w:rsidRPr="008D2B9D">
        <w:rPr>
          <w:rStyle w:val="sbb9ee52a"/>
          <w:rFonts w:cs="Times New Roman"/>
        </w:rPr>
        <w:t>ent mis en exergue, dans son opinion en partie dissidente, par le Juge Kuris</w:t>
      </w:r>
      <w:r w:rsidR="008D2B9D" w:rsidRPr="008D2B9D">
        <w:rPr>
          <w:rStyle w:val="sbb9ee52a"/>
          <w:rFonts w:cs="Times New Roman"/>
        </w:rPr>
        <w:t>:</w:t>
      </w:r>
    </w:p>
    <w:p w14:paraId="73D929D5" w14:textId="678B88A8" w:rsidR="00584D0B" w:rsidRPr="009C6F4B" w:rsidRDefault="008617E8" w:rsidP="007E75CC">
      <w:pPr>
        <w:pStyle w:val="s10950c61"/>
        <w:rPr>
          <w:lang w:val="en-US"/>
        </w:rPr>
      </w:pPr>
      <w:r w:rsidRPr="009C6F4B">
        <w:rPr>
          <w:rStyle w:val="sbb9ee52a"/>
          <w:i/>
          <w:iCs/>
          <w:lang w:val="en-US"/>
        </w:rPr>
        <w:t>“</w:t>
      </w:r>
      <w:r w:rsidR="00584D0B" w:rsidRPr="009C6F4B">
        <w:rPr>
          <w:rStyle w:val="sbb9ee52a"/>
          <w:i/>
          <w:iCs/>
          <w:lang w:val="en-US"/>
        </w:rPr>
        <w:t xml:space="preserve">The approach of the dissenters (…) </w:t>
      </w:r>
      <w:r w:rsidR="00C30877" w:rsidRPr="009C6F4B">
        <w:rPr>
          <w:rStyle w:val="sbb9ee52a"/>
          <w:lang w:val="en-US"/>
        </w:rPr>
        <w:t>(SVD</w:t>
      </w:r>
      <w:r w:rsidR="008D2B9D" w:rsidRPr="009C6F4B">
        <w:rPr>
          <w:rStyle w:val="sbb9ee52a"/>
          <w:lang w:val="en-US"/>
        </w:rPr>
        <w:t>:</w:t>
      </w:r>
      <w:r w:rsidR="00C30877" w:rsidRPr="009C6F4B">
        <w:rPr>
          <w:rStyle w:val="sbb9ee52a"/>
          <w:lang w:val="en-US"/>
        </w:rPr>
        <w:t xml:space="preserve"> </w:t>
      </w:r>
      <w:r w:rsidR="00584D0B" w:rsidRPr="009C6F4B">
        <w:rPr>
          <w:rStyle w:val="sbb9ee52a"/>
          <w:lang w:val="en-US"/>
        </w:rPr>
        <w:t>in Burmych</w:t>
      </w:r>
      <w:r w:rsidR="00584D0B" w:rsidRPr="009C6F4B">
        <w:rPr>
          <w:rStyle w:val="sbb9ee52a"/>
          <w:i/>
          <w:iCs/>
          <w:lang w:val="en-US"/>
        </w:rPr>
        <w:t xml:space="preserve">) is that, as a matter of principle, judicial policy considerations cannot be a substitute for legal reasoning and, consequently, a judgment based on judicial policy considerations alone is </w:t>
      </w:r>
      <w:r w:rsidR="00584D0B" w:rsidRPr="009C6F4B">
        <w:rPr>
          <w:rStyle w:val="sa36b60a1"/>
          <w:i/>
          <w:iCs/>
          <w:lang w:val="en-US"/>
        </w:rPr>
        <w:t>per se</w:t>
      </w:r>
      <w:r w:rsidR="00584D0B" w:rsidRPr="009C6F4B">
        <w:rPr>
          <w:rStyle w:val="sbb9ee52a"/>
          <w:i/>
          <w:iCs/>
          <w:lang w:val="en-US"/>
        </w:rPr>
        <w:t xml:space="preserve"> incompatible with the “legal interpretation of human rights”</w:t>
      </w:r>
      <w:r w:rsidR="00584D0B" w:rsidRPr="009C6F4B">
        <w:rPr>
          <w:rStyle w:val="sbb9ee52a"/>
          <w:lang w:val="en-US"/>
        </w:rPr>
        <w:t xml:space="preserve"> (see paragraph 1 of their opinion).</w:t>
      </w:r>
    </w:p>
    <w:p w14:paraId="6D26C1D1" w14:textId="6F067AA2" w:rsidR="00584D0B" w:rsidRPr="009C6F4B" w:rsidRDefault="00584D0B" w:rsidP="009C6F4B">
      <w:pPr>
        <w:pStyle w:val="s10950c61"/>
        <w:rPr>
          <w:rStyle w:val="sbb9ee52a"/>
          <w:i/>
          <w:iCs/>
        </w:rPr>
      </w:pPr>
      <w:r w:rsidRPr="009C6F4B">
        <w:rPr>
          <w:rStyle w:val="sbb9ee52a"/>
          <w:i/>
          <w:iCs/>
          <w:lang w:val="en-US"/>
        </w:rPr>
        <w:t xml:space="preserve">Ideally, yes. In real life, it depends. In an ideal world, judgments indeed should be substantiated solely or at least primarily by legal argument. But the world is not a perfect place. When one proclaims the august, majestic maxim that </w:t>
      </w:r>
      <w:r w:rsidRPr="009C6F4B">
        <w:rPr>
          <w:rStyle w:val="sa36b60a1"/>
          <w:i/>
          <w:iCs/>
          <w:lang w:val="en-US"/>
        </w:rPr>
        <w:t>fiat iustitia, pereat mundus</w:t>
      </w:r>
      <w:r w:rsidRPr="009C6F4B">
        <w:rPr>
          <w:rStyle w:val="sbb9ee52a"/>
          <w:i/>
          <w:iCs/>
          <w:lang w:val="en-US"/>
        </w:rPr>
        <w:t xml:space="preserve">, one should also ask oneself: what would </w:t>
      </w:r>
      <w:r w:rsidRPr="009C6F4B">
        <w:rPr>
          <w:rStyle w:val="sa36b60a1"/>
          <w:i/>
          <w:iCs/>
          <w:lang w:val="en-US"/>
        </w:rPr>
        <w:t>iustitia</w:t>
      </w:r>
      <w:r w:rsidRPr="009C6F4B">
        <w:rPr>
          <w:rStyle w:val="sbb9ee52a"/>
          <w:i/>
          <w:iCs/>
          <w:lang w:val="en-US"/>
        </w:rPr>
        <w:t xml:space="preserve"> be in a </w:t>
      </w:r>
      <w:r w:rsidRPr="009C6F4B">
        <w:rPr>
          <w:rStyle w:val="sa36b60a1"/>
          <w:i/>
          <w:iCs/>
          <w:lang w:val="en-US"/>
        </w:rPr>
        <w:t>mundus</w:t>
      </w:r>
      <w:r w:rsidRPr="009C6F4B">
        <w:rPr>
          <w:rStyle w:val="sbb9ee52a"/>
          <w:i/>
          <w:iCs/>
          <w:lang w:val="en-US"/>
        </w:rPr>
        <w:t xml:space="preserve"> which</w:t>
      </w:r>
      <w:r w:rsidRPr="009C6F4B">
        <w:rPr>
          <w:rStyle w:val="sa36b60a1"/>
          <w:i/>
          <w:iCs/>
          <w:lang w:val="en-US"/>
        </w:rPr>
        <w:t xml:space="preserve"> periit</w:t>
      </w:r>
      <w:r w:rsidRPr="009C6F4B">
        <w:rPr>
          <w:rStyle w:val="sbb9ee52a"/>
          <w:i/>
          <w:iCs/>
          <w:lang w:val="en-US"/>
        </w:rPr>
        <w:t xml:space="preserve">? What sense would </w:t>
      </w:r>
      <w:r w:rsidRPr="009C6F4B">
        <w:rPr>
          <w:rStyle w:val="sa36b60a1"/>
          <w:i/>
          <w:iCs/>
          <w:lang w:val="en-US"/>
        </w:rPr>
        <w:t>iustitia</w:t>
      </w:r>
      <w:r w:rsidRPr="009C6F4B">
        <w:rPr>
          <w:rStyle w:val="sbb9ee52a"/>
          <w:i/>
          <w:iCs/>
          <w:lang w:val="en-US"/>
        </w:rPr>
        <w:t xml:space="preserve"> make in such a </w:t>
      </w:r>
      <w:r w:rsidRPr="009C6F4B">
        <w:rPr>
          <w:rStyle w:val="sa36b60a1"/>
          <w:i/>
          <w:iCs/>
          <w:lang w:val="en-US"/>
        </w:rPr>
        <w:t>mundus</w:t>
      </w:r>
      <w:r w:rsidRPr="009C6F4B">
        <w:rPr>
          <w:rStyle w:val="sbb9ee52a"/>
          <w:i/>
          <w:iCs/>
          <w:lang w:val="en-US"/>
        </w:rPr>
        <w:t xml:space="preserve">? Would it make any </w:t>
      </w:r>
      <w:r w:rsidRPr="009C6F4B">
        <w:rPr>
          <w:rStyle w:val="sa36b60a1"/>
          <w:i/>
          <w:iCs/>
          <w:lang w:val="en-US"/>
        </w:rPr>
        <w:t>practical</w:t>
      </w:r>
      <w:r w:rsidRPr="009C6F4B">
        <w:rPr>
          <w:rStyle w:val="sbb9ee52a"/>
          <w:i/>
          <w:iCs/>
          <w:lang w:val="en-US"/>
        </w:rPr>
        <w:t xml:space="preserve"> sense at all? </w:t>
      </w:r>
      <w:r w:rsidRPr="009C6F4B">
        <w:rPr>
          <w:rStyle w:val="sbb9ee52a"/>
          <w:i/>
          <w:iCs/>
        </w:rPr>
        <w:t>And would it be at all possible?</w:t>
      </w:r>
      <w:r w:rsidR="008617E8" w:rsidRPr="009C6F4B">
        <w:rPr>
          <w:rStyle w:val="sbb9ee52a"/>
          <w:i/>
          <w:iCs/>
        </w:rPr>
        <w:t>”.</w:t>
      </w:r>
    </w:p>
    <w:p w14:paraId="02E66F6F" w14:textId="6388ADA9" w:rsidR="00584D0B" w:rsidRPr="009C6F4B" w:rsidRDefault="008D2B9D" w:rsidP="009C6F4B">
      <w:pPr>
        <w:pStyle w:val="Titre1"/>
        <w:rPr>
          <w:rStyle w:val="sbb9ee52a"/>
          <w:b w:val="0"/>
          <w:bCs w:val="0"/>
        </w:rPr>
      </w:pPr>
      <w:r w:rsidRPr="008D2B9D">
        <w:rPr>
          <w:rStyle w:val="sbb9ee52a"/>
          <w:szCs w:val="24"/>
        </w:rPr>
        <w:t xml:space="preserve">V. </w:t>
      </w:r>
      <w:r w:rsidR="00584D0B" w:rsidRPr="008D2B9D">
        <w:rPr>
          <w:rStyle w:val="sbb9ee52a"/>
          <w:szCs w:val="24"/>
        </w:rPr>
        <w:t>Le sort des affaires russes pendantes devant la Cour européenne des droits de l’Homme</w:t>
      </w:r>
      <w:r w:rsidRPr="008D2B9D">
        <w:rPr>
          <w:rStyle w:val="sbb9ee52a"/>
          <w:szCs w:val="24"/>
        </w:rPr>
        <w:t>:</w:t>
      </w:r>
      <w:r w:rsidR="00584D0B" w:rsidRPr="008D2B9D">
        <w:rPr>
          <w:rStyle w:val="sbb9ee52a"/>
          <w:szCs w:val="24"/>
        </w:rPr>
        <w:t xml:space="preserve"> une question de </w:t>
      </w:r>
      <w:r w:rsidR="008617E8">
        <w:rPr>
          <w:rStyle w:val="sbb9ee52a"/>
          <w:szCs w:val="24"/>
        </w:rPr>
        <w:t>“</w:t>
      </w:r>
      <w:r w:rsidR="00584D0B" w:rsidRPr="008D2B9D">
        <w:rPr>
          <w:rStyle w:val="sbb9ee52a"/>
          <w:szCs w:val="24"/>
        </w:rPr>
        <w:t>politique judiciaire</w:t>
      </w:r>
      <w:r w:rsidR="008617E8">
        <w:rPr>
          <w:rStyle w:val="sbb9ee52a"/>
          <w:szCs w:val="24"/>
        </w:rPr>
        <w:t>”</w:t>
      </w:r>
    </w:p>
    <w:p w14:paraId="5D4D9637" w14:textId="445775B6" w:rsidR="00584D0B" w:rsidRPr="008D2B9D" w:rsidRDefault="008617E8" w:rsidP="009C6F4B">
      <w:pPr>
        <w:pStyle w:val="s10950c61"/>
        <w:rPr>
          <w:rStyle w:val="sbb9ee52a"/>
        </w:rPr>
      </w:pPr>
      <w:r w:rsidRPr="009C6F4B">
        <w:rPr>
          <w:rStyle w:val="sbb9ee52a"/>
          <w:b/>
          <w:bCs/>
          <w:iCs/>
        </w:rPr>
        <w:t>11.</w:t>
      </w:r>
      <w:r>
        <w:rPr>
          <w:rStyle w:val="sbb9ee52a"/>
          <w:i/>
        </w:rPr>
        <w:t xml:space="preserve"> </w:t>
      </w:r>
      <w:r w:rsidR="00584D0B" w:rsidRPr="008D2B9D">
        <w:rPr>
          <w:rStyle w:val="sbb9ee52a"/>
          <w:i/>
        </w:rPr>
        <w:t xml:space="preserve">Fiat justitia, pereat mundus ? </w:t>
      </w:r>
      <w:r w:rsidR="00584D0B" w:rsidRPr="008D2B9D">
        <w:rPr>
          <w:rStyle w:val="sbb9ee52a"/>
        </w:rPr>
        <w:t xml:space="preserve">La question, rappelée par le Juge Kuris en marge de l’arrêt </w:t>
      </w:r>
      <w:r w:rsidR="00584D0B" w:rsidRPr="008D2B9D">
        <w:rPr>
          <w:rStyle w:val="sbb9ee52a"/>
          <w:i/>
        </w:rPr>
        <w:t>Turan et autres</w:t>
      </w:r>
      <w:r w:rsidR="00584D0B" w:rsidRPr="008D2B9D">
        <w:rPr>
          <w:rStyle w:val="sbb9ee52a"/>
        </w:rPr>
        <w:t xml:space="preserve"> ouvre le débat – très vangervenien – de la place légitime du </w:t>
      </w:r>
      <w:r>
        <w:rPr>
          <w:rStyle w:val="sbb9ee52a"/>
        </w:rPr>
        <w:t>“</w:t>
      </w:r>
      <w:r w:rsidR="00584D0B" w:rsidRPr="008D2B9D">
        <w:rPr>
          <w:rStyle w:val="sbb9ee52a"/>
        </w:rPr>
        <w:t>conséquentialisme</w:t>
      </w:r>
      <w:r>
        <w:rPr>
          <w:rStyle w:val="sbb9ee52a"/>
        </w:rPr>
        <w:t>”</w:t>
      </w:r>
      <w:r w:rsidR="00584D0B" w:rsidRPr="008D2B9D">
        <w:rPr>
          <w:rStyle w:val="sbb9ee52a"/>
        </w:rPr>
        <w:t xml:space="preserve"> de l’œuvre de juger. </w:t>
      </w:r>
      <w:r w:rsidR="00C30877" w:rsidRPr="008D2B9D">
        <w:rPr>
          <w:rStyle w:val="sbb9ee52a"/>
          <w:i/>
        </w:rPr>
        <w:t>Fia justitia, pereat Curia </w:t>
      </w:r>
      <w:r w:rsidR="00C30877" w:rsidRPr="008D2B9D">
        <w:rPr>
          <w:rStyle w:val="sbb9ee52a"/>
          <w:iCs/>
        </w:rPr>
        <w:t>?</w:t>
      </w:r>
      <w:r w:rsidR="00C30877" w:rsidRPr="008D2B9D">
        <w:rPr>
          <w:rStyle w:val="sbb9ee52a"/>
          <w:i/>
        </w:rPr>
        <w:t xml:space="preserve"> </w:t>
      </w:r>
      <w:r w:rsidR="00584D0B" w:rsidRPr="008D2B9D">
        <w:rPr>
          <w:rStyle w:val="sbb9ee52a"/>
        </w:rPr>
        <w:t>Ce débat fut et demeure au cœur du sort des affaires</w:t>
      </w:r>
      <w:r w:rsidR="00BF6621" w:rsidRPr="008D2B9D">
        <w:rPr>
          <w:rStyle w:val="sbb9ee52a"/>
        </w:rPr>
        <w:t xml:space="preserve"> pendantes devant la Cour européenne des droits de l’Homme à l’encontre de la Fédération de Russie. </w:t>
      </w:r>
    </w:p>
    <w:p w14:paraId="0488B239" w14:textId="0A9CC3DF" w:rsidR="00BF6621" w:rsidRPr="008D2B9D" w:rsidRDefault="00BF6621" w:rsidP="009C6F4B">
      <w:pPr>
        <w:rPr>
          <w:rFonts w:cs="Times New Roman"/>
        </w:rPr>
      </w:pPr>
      <w:r w:rsidRPr="008D2B9D">
        <w:rPr>
          <w:rStyle w:val="sbb9ee52a"/>
          <w:rFonts w:cs="Times New Roman"/>
        </w:rPr>
        <w:t>Petit rappel</w:t>
      </w:r>
      <w:r w:rsidRPr="008D2B9D">
        <w:rPr>
          <w:rStyle w:val="Appelnotedebasdep"/>
          <w:rFonts w:cs="Times New Roman"/>
        </w:rPr>
        <w:footnoteReference w:id="28"/>
      </w:r>
      <w:r w:rsidRPr="008D2B9D">
        <w:rPr>
          <w:rStyle w:val="sbb9ee52a"/>
          <w:rFonts w:cs="Times New Roman"/>
        </w:rPr>
        <w:t xml:space="preserve">. </w:t>
      </w:r>
      <w:r w:rsidRPr="008D2B9D">
        <w:rPr>
          <w:rFonts w:cs="Times New Roman"/>
        </w:rPr>
        <w:t xml:space="preserve">Tout démarra avec le déclenchement des hostilités </w:t>
      </w:r>
      <w:r w:rsidRPr="008D2B9D">
        <w:rPr>
          <w:rFonts w:cs="Times New Roman"/>
          <w:lang w:val="fr-FR"/>
        </w:rPr>
        <w:t xml:space="preserve">russes en Ukraine </w:t>
      </w:r>
      <w:r w:rsidRPr="008D2B9D">
        <w:rPr>
          <w:rFonts w:cs="Times New Roman"/>
        </w:rPr>
        <w:t>le 24 février 2022. Le 25 février, le Comité des Ministres suspendait la Fédération de Russie de ses droits de représentation au sein d</w:t>
      </w:r>
      <w:r w:rsidR="0056570C" w:rsidRPr="008D2B9D">
        <w:rPr>
          <w:rFonts w:cs="Times New Roman"/>
        </w:rPr>
        <w:t>u Conseil de l’Europe</w:t>
      </w:r>
      <w:r w:rsidRPr="008D2B9D">
        <w:rPr>
          <w:rFonts w:cs="Times New Roman"/>
        </w:rPr>
        <w:t xml:space="preserve">. </w:t>
      </w:r>
      <w:r w:rsidR="0056570C" w:rsidRPr="008D2B9D">
        <w:rPr>
          <w:rFonts w:cs="Times New Roman"/>
        </w:rPr>
        <w:t>L</w:t>
      </w:r>
      <w:r w:rsidRPr="008D2B9D">
        <w:rPr>
          <w:rFonts w:cs="Times New Roman"/>
        </w:rPr>
        <w:t xml:space="preserve">e 10 mars, le même Comité des Ministres, constatant que l’agression russe constituait </w:t>
      </w:r>
      <w:r w:rsidR="008617E8">
        <w:rPr>
          <w:rFonts w:cs="Times New Roman"/>
        </w:rPr>
        <w:t>“</w:t>
      </w:r>
      <w:r w:rsidRPr="009C6F4B">
        <w:rPr>
          <w:rFonts w:cs="Times New Roman"/>
          <w:i/>
          <w:iCs/>
        </w:rPr>
        <w:t>une rupture de la paix sur le continent européen d’une ampleur sans précédent depuis la création du Conseil de l’Europe</w:t>
      </w:r>
      <w:r w:rsidR="008617E8">
        <w:rPr>
          <w:rFonts w:cs="Times New Roman"/>
        </w:rPr>
        <w:t>”</w:t>
      </w:r>
      <w:r w:rsidRPr="008D2B9D">
        <w:rPr>
          <w:rFonts w:cs="Times New Roman"/>
        </w:rPr>
        <w:t xml:space="preserve">, décida de consulter l’Assemblée parlementaire au sujet d’une </w:t>
      </w:r>
      <w:r w:rsidR="008617E8">
        <w:rPr>
          <w:rFonts w:cs="Times New Roman"/>
        </w:rPr>
        <w:t>“</w:t>
      </w:r>
      <w:r w:rsidRPr="009C6F4B">
        <w:rPr>
          <w:rFonts w:cs="Times New Roman"/>
          <w:i/>
          <w:iCs/>
        </w:rPr>
        <w:t>potentielle future utilisation de l’article 8 du Statut</w:t>
      </w:r>
      <w:r w:rsidR="008617E8">
        <w:rPr>
          <w:rFonts w:cs="Times New Roman"/>
        </w:rPr>
        <w:t>”</w:t>
      </w:r>
      <w:r w:rsidRPr="008D2B9D">
        <w:rPr>
          <w:rFonts w:cs="Times New Roman"/>
        </w:rPr>
        <w:t xml:space="preserve">, qui permet l’exclusion des états manquant gravement aux valeurs fondatrices du Conseil, soit </w:t>
      </w:r>
      <w:r w:rsidR="008617E8">
        <w:rPr>
          <w:rFonts w:cs="Times New Roman"/>
        </w:rPr>
        <w:lastRenderedPageBreak/>
        <w:t>“</w:t>
      </w:r>
      <w:r w:rsidRPr="009C6F4B">
        <w:rPr>
          <w:rFonts w:cs="Times New Roman"/>
          <w:i/>
          <w:iCs/>
        </w:rPr>
        <w:t>le principe de la prééminence du droit et le principe en vertu duquel toute personne placée sous sa juridiction doit jouir des droits de l’homme et des libertés fondamentales</w:t>
      </w:r>
      <w:r w:rsidR="008617E8">
        <w:rPr>
          <w:rFonts w:cs="Times New Roman"/>
        </w:rPr>
        <w:t>”</w:t>
      </w:r>
      <w:r w:rsidRPr="008D2B9D">
        <w:rPr>
          <w:rFonts w:cs="Times New Roman"/>
        </w:rPr>
        <w:t xml:space="preserve">. L’avis de cette dernière, rendu le 15 mars 2022, conclut que </w:t>
      </w:r>
      <w:r w:rsidR="008617E8">
        <w:rPr>
          <w:rFonts w:cs="Times New Roman"/>
        </w:rPr>
        <w:t>“</w:t>
      </w:r>
      <w:r w:rsidRPr="009C6F4B">
        <w:rPr>
          <w:rFonts w:cs="Times New Roman"/>
          <w:i/>
          <w:iCs/>
        </w:rPr>
        <w:t>la Fédération de Russie ne peut plus être un Etat membre de l’Organisation</w:t>
      </w:r>
      <w:r w:rsidR="008617E8">
        <w:rPr>
          <w:rFonts w:cs="Times New Roman"/>
        </w:rPr>
        <w:t>”</w:t>
      </w:r>
      <w:r w:rsidRPr="008D2B9D">
        <w:rPr>
          <w:rFonts w:cs="Times New Roman"/>
        </w:rPr>
        <w:t>. Dans une course de vitesse, la Fédération de Russie informa, le même 15 mars, la Secrétaire générale de sa sortie de l’organisation en vertu de l’article 7 de son Statut – disposition qui permet pareil retrait spontané, moyennant un délai d’attente qui eût ici vocation à échoir le 31 décembre 2022. L’on sait toutefois qu’il ne fa</w:t>
      </w:r>
      <w:r w:rsidR="0056570C" w:rsidRPr="008D2B9D">
        <w:rPr>
          <w:rFonts w:cs="Times New Roman"/>
        </w:rPr>
        <w:t>llu</w:t>
      </w:r>
      <w:r w:rsidR="00B162F7" w:rsidRPr="008D2B9D">
        <w:rPr>
          <w:rFonts w:cs="Times New Roman"/>
        </w:rPr>
        <w:t>t</w:t>
      </w:r>
      <w:r w:rsidRPr="008D2B9D">
        <w:rPr>
          <w:rFonts w:cs="Times New Roman"/>
        </w:rPr>
        <w:t xml:space="preserve"> pas attendre ce</w:t>
      </w:r>
      <w:r w:rsidR="0056570C" w:rsidRPr="008D2B9D">
        <w:rPr>
          <w:rFonts w:cs="Times New Roman"/>
        </w:rPr>
        <w:t>tte échéance</w:t>
      </w:r>
      <w:r w:rsidRPr="008D2B9D">
        <w:rPr>
          <w:rFonts w:cs="Times New Roman"/>
        </w:rPr>
        <w:t xml:space="preserve"> et que la Fédération de Russie serait exclue dès le lendemain, 16 mars 2022, sur pied d’une résolution fondée sur l’article 8</w:t>
      </w:r>
      <w:r w:rsidR="00981273">
        <w:rPr>
          <w:rFonts w:cs="Times New Roman"/>
        </w:rPr>
        <w:t xml:space="preserve"> du Statut</w:t>
      </w:r>
      <w:r w:rsidRPr="008D2B9D">
        <w:rPr>
          <w:rFonts w:cs="Times New Roman"/>
        </w:rPr>
        <w:t xml:space="preserve"> et sortissant immédiatement ses effets. </w:t>
      </w:r>
    </w:p>
    <w:p w14:paraId="0B29F0F4" w14:textId="7B6A71D2" w:rsidR="00BF6621" w:rsidRPr="008D2B9D" w:rsidRDefault="00BF6621" w:rsidP="009C6F4B">
      <w:pPr>
        <w:pStyle w:val="s10950c61"/>
        <w:rPr>
          <w:rStyle w:val="markedcontent"/>
          <w:rFonts w:eastAsiaTheme="minorHAnsi" w:cstheme="minorBidi"/>
          <w:lang w:eastAsia="en-US"/>
        </w:rPr>
      </w:pPr>
      <w:r w:rsidRPr="008D2B9D">
        <w:t xml:space="preserve">La qualité de partie contractante à la Convention était appelée à cesser en raison de l’expulsion du Conseil de l’Europe. En vertu de l’article 58, § 3, de la Convention, en effet, </w:t>
      </w:r>
      <w:r w:rsidR="008617E8">
        <w:t>“</w:t>
      </w:r>
      <w:r w:rsidRPr="009C6F4B">
        <w:rPr>
          <w:i/>
          <w:iCs/>
        </w:rPr>
        <w:t>cesserait d’être Partie à la présente Convention toute Partie contractante qui cesserait d’être membre du Conseil de l’Europe</w:t>
      </w:r>
      <w:r w:rsidR="008617E8">
        <w:t>”</w:t>
      </w:r>
      <w:r w:rsidRPr="008D2B9D">
        <w:t xml:space="preserve">. Le 22 mars 2022, la Cour européenne des droits de l’homme a pu confirmer, par une résolution du 22 mars 2022 (à laquelle le Comité des Ministres a emboîté le pas dans </w:t>
      </w:r>
      <w:r w:rsidR="00746F4E">
        <w:t>une</w:t>
      </w:r>
      <w:r w:rsidRPr="008D2B9D">
        <w:t xml:space="preserve"> résolution du 23 mars), l’application du délai d’attente de six mois visé au paragraphe 1</w:t>
      </w:r>
      <w:r w:rsidRPr="008D2B9D">
        <w:rPr>
          <w:vertAlign w:val="superscript"/>
        </w:rPr>
        <w:t>er</w:t>
      </w:r>
      <w:r w:rsidRPr="008D2B9D">
        <w:t xml:space="preserve"> de l’article 58. Ainsi la Fédération de Russie </w:t>
      </w:r>
      <w:r w:rsidR="00B162F7" w:rsidRPr="008D2B9D">
        <w:t>a-t-elle été</w:t>
      </w:r>
      <w:r w:rsidRPr="008D2B9D">
        <w:t xml:space="preserve"> déliée de son statut de Haute Partie contractante à la Convention à compter du 16 septembre 2022. Selon la résolution précitée, </w:t>
      </w:r>
      <w:r w:rsidR="008617E8">
        <w:t>“</w:t>
      </w:r>
      <w:r w:rsidRPr="009C6F4B">
        <w:rPr>
          <w:rStyle w:val="markedcontent"/>
          <w:i/>
          <w:iCs/>
        </w:rPr>
        <w:t>La Cour demeure compétente pour traiter les requêtes dirigées contre la Fédération de Russie</w:t>
      </w:r>
      <w:r w:rsidRPr="009C6F4B">
        <w:rPr>
          <w:i/>
          <w:iCs/>
        </w:rPr>
        <w:t xml:space="preserve"> </w:t>
      </w:r>
      <w:r w:rsidRPr="009C6F4B">
        <w:rPr>
          <w:rStyle w:val="markedcontent"/>
          <w:i/>
          <w:iCs/>
        </w:rPr>
        <w:t>concernant les actions et omissions susceptibles de constituer une violation de la Convention qui</w:t>
      </w:r>
      <w:r w:rsidRPr="009C6F4B">
        <w:rPr>
          <w:i/>
          <w:iCs/>
        </w:rPr>
        <w:t xml:space="preserve"> </w:t>
      </w:r>
      <w:r w:rsidRPr="009C6F4B">
        <w:rPr>
          <w:rStyle w:val="markedcontent"/>
          <w:i/>
          <w:iCs/>
        </w:rPr>
        <w:t>surviendraient jusqu’au 16 septembre 2022</w:t>
      </w:r>
      <w:r w:rsidR="008617E8">
        <w:rPr>
          <w:rStyle w:val="markedcontent"/>
        </w:rPr>
        <w:t>”</w:t>
      </w:r>
      <w:r w:rsidRPr="008D2B9D">
        <w:rPr>
          <w:rStyle w:val="markedcontent"/>
        </w:rPr>
        <w:t>. Pareille analyse a été confirmée par la Cour</w:t>
      </w:r>
      <w:r w:rsidR="003B4131" w:rsidRPr="008D2B9D">
        <w:rPr>
          <w:rStyle w:val="markedcontent"/>
        </w:rPr>
        <w:t xml:space="preserve"> à plusieurs reprises en janvier 2023</w:t>
      </w:r>
      <w:r w:rsidRPr="008D2B9D">
        <w:rPr>
          <w:rStyle w:val="markedcontent"/>
        </w:rPr>
        <w:t>, mais cette fois-ci dans sa fonction contentieuse</w:t>
      </w:r>
      <w:r w:rsidR="003B4131" w:rsidRPr="008D2B9D">
        <w:rPr>
          <w:rStyle w:val="markedcontent"/>
        </w:rPr>
        <w:t>. L’on vise entre aut</w:t>
      </w:r>
      <w:r w:rsidR="008617E8">
        <w:rPr>
          <w:rStyle w:val="markedcontent"/>
        </w:rPr>
        <w:t>r</w:t>
      </w:r>
      <w:r w:rsidR="003B4131" w:rsidRPr="008D2B9D">
        <w:rPr>
          <w:rStyle w:val="markedcontent"/>
        </w:rPr>
        <w:t>es</w:t>
      </w:r>
      <w:r w:rsidR="0056570C" w:rsidRPr="008D2B9D">
        <w:rPr>
          <w:rStyle w:val="markedcontent"/>
        </w:rPr>
        <w:t xml:space="preserve"> l’</w:t>
      </w:r>
      <w:r w:rsidRPr="008D2B9D">
        <w:rPr>
          <w:rStyle w:val="markedcontent"/>
        </w:rPr>
        <w:t xml:space="preserve">arrêt </w:t>
      </w:r>
      <w:r w:rsidRPr="008D2B9D">
        <w:rPr>
          <w:rStyle w:val="markedcontent"/>
          <w:i/>
        </w:rPr>
        <w:t>Fedotova</w:t>
      </w:r>
      <w:r w:rsidR="0056570C" w:rsidRPr="008D2B9D">
        <w:rPr>
          <w:rStyle w:val="markedcontent"/>
          <w:i/>
        </w:rPr>
        <w:t xml:space="preserve"> et autres</w:t>
      </w:r>
      <w:r w:rsidR="0056570C" w:rsidRPr="008D2B9D">
        <w:rPr>
          <w:rStyle w:val="Appelnotedebasdep"/>
        </w:rPr>
        <w:footnoteReference w:id="29"/>
      </w:r>
      <w:r w:rsidRPr="008D2B9D">
        <w:rPr>
          <w:rStyle w:val="markedcontent"/>
          <w:i/>
        </w:rPr>
        <w:t xml:space="preserve">. </w:t>
      </w:r>
      <w:r w:rsidRPr="008D2B9D">
        <w:rPr>
          <w:rStyle w:val="markedcontent"/>
        </w:rPr>
        <w:t xml:space="preserve">La compétence ainsi affirmée vaut non seulement pour les requêtes – individuelles ou interétatiques – qui ont été introduites </w:t>
      </w:r>
      <w:r w:rsidRPr="008D2B9D">
        <w:rPr>
          <w:rStyle w:val="markedcontent"/>
          <w:i/>
          <w:iCs/>
        </w:rPr>
        <w:t>avant</w:t>
      </w:r>
      <w:r w:rsidRPr="008D2B9D">
        <w:rPr>
          <w:rStyle w:val="markedcontent"/>
        </w:rPr>
        <w:t xml:space="preserve"> le 16 septembre 2022 (</w:t>
      </w:r>
      <w:r w:rsidRPr="008D2B9D">
        <w:rPr>
          <w:rStyle w:val="markedcontent"/>
          <w:i/>
          <w:iCs/>
        </w:rPr>
        <w:t>causae pendentes</w:t>
      </w:r>
      <w:r w:rsidRPr="008D2B9D">
        <w:rPr>
          <w:rStyle w:val="markedcontent"/>
        </w:rPr>
        <w:t xml:space="preserve">), mais aussi pour celles qui seraient introduites </w:t>
      </w:r>
      <w:r w:rsidRPr="008D2B9D">
        <w:rPr>
          <w:rStyle w:val="markedcontent"/>
          <w:i/>
          <w:iCs/>
        </w:rPr>
        <w:t>après cette date</w:t>
      </w:r>
      <w:r w:rsidRPr="008D2B9D">
        <w:rPr>
          <w:rStyle w:val="markedcontent"/>
        </w:rPr>
        <w:t xml:space="preserve">, pourvu qu’elles aient trait à des actes ou omissions survenus avant celle-ci, soit sous l’empire de l’engagement conventionnel russe. Ces </w:t>
      </w:r>
      <w:r w:rsidRPr="008D2B9D">
        <w:rPr>
          <w:rStyle w:val="markedcontent"/>
          <w:i/>
          <w:iCs/>
        </w:rPr>
        <w:t>causae futurae</w:t>
      </w:r>
      <w:r w:rsidRPr="008D2B9D">
        <w:rPr>
          <w:rStyle w:val="markedcontent"/>
        </w:rPr>
        <w:t xml:space="preserve"> peuvent encore potentiellement être introduites pendant de nombreuses années compte tenu du fait que, entre la survenance de leurs faits générateurs et l’introduction de la requête strasbourgeoise qui les dénonce, aura dû intervenir l’épuisement préalable des voies de recours internes, conformément à ce que prescrit l’article 35, § 1</w:t>
      </w:r>
      <w:r w:rsidRPr="008D2B9D">
        <w:rPr>
          <w:rStyle w:val="markedcontent"/>
          <w:vertAlign w:val="superscript"/>
        </w:rPr>
        <w:t>er</w:t>
      </w:r>
      <w:r w:rsidRPr="008D2B9D">
        <w:rPr>
          <w:rStyle w:val="markedcontent"/>
        </w:rPr>
        <w:t>, de la Convention.</w:t>
      </w:r>
      <w:r w:rsidR="002C2846" w:rsidRPr="008D2B9D">
        <w:rPr>
          <w:rStyle w:val="markedcontent"/>
        </w:rPr>
        <w:t xml:space="preserve"> </w:t>
      </w:r>
    </w:p>
    <w:p w14:paraId="630D759D" w14:textId="4D9B799B" w:rsidR="00887F28" w:rsidRPr="008D2B9D" w:rsidRDefault="008617E8" w:rsidP="007E75CC">
      <w:pPr>
        <w:tabs>
          <w:tab w:val="left" w:pos="426"/>
        </w:tabs>
        <w:rPr>
          <w:rStyle w:val="sbb9ee52a"/>
          <w:rFonts w:cs="Times New Roman"/>
        </w:rPr>
      </w:pPr>
      <w:r w:rsidRPr="009C6F4B">
        <w:rPr>
          <w:rStyle w:val="sbb9ee52a"/>
          <w:rFonts w:cs="Times New Roman"/>
          <w:b/>
          <w:bCs/>
        </w:rPr>
        <w:t>12.</w:t>
      </w:r>
      <w:r>
        <w:rPr>
          <w:rStyle w:val="sbb9ee52a"/>
          <w:rFonts w:cs="Times New Roman"/>
        </w:rPr>
        <w:t xml:space="preserve"> </w:t>
      </w:r>
      <w:r w:rsidR="002C2846" w:rsidRPr="008D2B9D">
        <w:rPr>
          <w:rStyle w:val="sbb9ee52a"/>
          <w:rFonts w:cs="Times New Roman"/>
        </w:rPr>
        <w:t xml:space="preserve">Au 31 août 2023, les </w:t>
      </w:r>
      <w:r w:rsidR="002C2846" w:rsidRPr="008D2B9D">
        <w:rPr>
          <w:rStyle w:val="sbb9ee52a"/>
          <w:rFonts w:cs="Times New Roman"/>
          <w:i/>
          <w:iCs/>
        </w:rPr>
        <w:t>causae pendentes</w:t>
      </w:r>
      <w:r w:rsidR="002C2846" w:rsidRPr="008D2B9D">
        <w:rPr>
          <w:rStyle w:val="sbb9ee52a"/>
          <w:rFonts w:cs="Times New Roman"/>
        </w:rPr>
        <w:t xml:space="preserve"> </w:t>
      </w:r>
      <w:r w:rsidR="002D0D5A" w:rsidRPr="008D2B9D">
        <w:rPr>
          <w:rStyle w:val="sbb9ee52a"/>
          <w:rFonts w:cs="Times New Roman"/>
        </w:rPr>
        <w:t xml:space="preserve">devant la Cour européenne des droits de l’Homme à l’encontre de la Fédération de Russie s’élevaient à 15530. La charge est titanesque. Était-il et demeure-t-il raisonnable de s’y attaquer ? </w:t>
      </w:r>
      <w:r w:rsidR="00887F28" w:rsidRPr="008D2B9D">
        <w:rPr>
          <w:rStyle w:val="sbb9ee52a"/>
          <w:rFonts w:cs="Times New Roman"/>
        </w:rPr>
        <w:t>Sur ce point, il nous semble utile et fructueux</w:t>
      </w:r>
      <w:r w:rsidR="000537D5" w:rsidRPr="008D2B9D">
        <w:rPr>
          <w:rStyle w:val="Appelnotedebasdep"/>
          <w:rFonts w:cs="Times New Roman"/>
        </w:rPr>
        <w:footnoteReference w:id="30"/>
      </w:r>
      <w:r w:rsidR="00887F28" w:rsidRPr="008D2B9D">
        <w:rPr>
          <w:rStyle w:val="sbb9ee52a"/>
          <w:rFonts w:cs="Times New Roman"/>
        </w:rPr>
        <w:t xml:space="preserve"> de distinguer soigneusement des registres de questionnement qui sont parfois confondus, et ce, en se basant sur la théorie tridimensionnelle de la validité en droit, popularisée par François Ost en Michel Van de Kerchove</w:t>
      </w:r>
      <w:r w:rsidR="000537D5" w:rsidRPr="008D2B9D">
        <w:rPr>
          <w:rStyle w:val="Appelnotedebasdep"/>
          <w:rFonts w:cs="Times New Roman"/>
        </w:rPr>
        <w:footnoteReference w:id="31"/>
      </w:r>
      <w:r w:rsidR="00887F28" w:rsidRPr="008D2B9D">
        <w:rPr>
          <w:rStyle w:val="sbb9ee52a"/>
          <w:rFonts w:cs="Times New Roman"/>
        </w:rPr>
        <w:t xml:space="preserve">. La validité d’une décision juridique s’éprouve à la lumière de sa </w:t>
      </w:r>
      <w:r w:rsidR="00887F28" w:rsidRPr="008D2B9D">
        <w:rPr>
          <w:rStyle w:val="sbb9ee52a"/>
          <w:rFonts w:cs="Times New Roman"/>
          <w:i/>
          <w:iCs/>
        </w:rPr>
        <w:t>légalité</w:t>
      </w:r>
      <w:r w:rsidR="00887F28" w:rsidRPr="008D2B9D">
        <w:rPr>
          <w:rStyle w:val="sbb9ee52a"/>
          <w:rFonts w:cs="Times New Roman"/>
        </w:rPr>
        <w:t xml:space="preserve"> –</w:t>
      </w:r>
      <w:r w:rsidR="00BC4218" w:rsidRPr="008D2B9D">
        <w:rPr>
          <w:rStyle w:val="sbb9ee52a"/>
          <w:rFonts w:cs="Times New Roman"/>
        </w:rPr>
        <w:t xml:space="preserve"> </w:t>
      </w:r>
      <w:r w:rsidR="00887F28" w:rsidRPr="008D2B9D">
        <w:rPr>
          <w:rStyle w:val="sbb9ee52a"/>
          <w:rFonts w:cs="Times New Roman"/>
        </w:rPr>
        <w:t xml:space="preserve">conçue comme sa conformité au droit en vigueur – de sa </w:t>
      </w:r>
      <w:r w:rsidR="00887F28" w:rsidRPr="008D2B9D">
        <w:rPr>
          <w:rStyle w:val="sbb9ee52a"/>
          <w:rFonts w:cs="Times New Roman"/>
          <w:i/>
          <w:iCs/>
        </w:rPr>
        <w:t>légitimité</w:t>
      </w:r>
      <w:r w:rsidR="00887F28" w:rsidRPr="008D2B9D">
        <w:rPr>
          <w:rStyle w:val="sbb9ee52a"/>
          <w:rFonts w:cs="Times New Roman"/>
        </w:rPr>
        <w:t xml:space="preserve"> – conçue comme son adéquation aux idéaux supérieurs de Justice –, et enfin de son </w:t>
      </w:r>
      <w:r w:rsidR="00887F28" w:rsidRPr="008D2B9D">
        <w:rPr>
          <w:rStyle w:val="sbb9ee52a"/>
          <w:rFonts w:cs="Times New Roman"/>
          <w:i/>
          <w:iCs/>
        </w:rPr>
        <w:t>effectivité</w:t>
      </w:r>
      <w:r w:rsidR="00887F28" w:rsidRPr="008D2B9D">
        <w:rPr>
          <w:rStyle w:val="sbb9ee52a"/>
          <w:rFonts w:cs="Times New Roman"/>
        </w:rPr>
        <w:t xml:space="preserve"> – c’est-à-dire, de sa capacité à </w:t>
      </w:r>
      <w:r>
        <w:rPr>
          <w:rStyle w:val="sbb9ee52a"/>
          <w:rFonts w:cs="Times New Roman"/>
        </w:rPr>
        <w:t>“</w:t>
      </w:r>
      <w:r w:rsidR="00887F28" w:rsidRPr="008D2B9D">
        <w:rPr>
          <w:rStyle w:val="sbb9ee52a"/>
          <w:rFonts w:cs="Times New Roman"/>
        </w:rPr>
        <w:t>peser</w:t>
      </w:r>
      <w:r>
        <w:rPr>
          <w:rStyle w:val="sbb9ee52a"/>
          <w:rFonts w:cs="Times New Roman"/>
        </w:rPr>
        <w:t>”</w:t>
      </w:r>
      <w:r w:rsidR="00887F28" w:rsidRPr="008D2B9D">
        <w:rPr>
          <w:rStyle w:val="sbb9ee52a"/>
          <w:rFonts w:cs="Times New Roman"/>
        </w:rPr>
        <w:t xml:space="preserve"> concrètement sur le cours des choses, plutôt qu’à demeurer sans influence sur celles-ci. Ces trois pôles de la validité sont autant de cercles qui présentent des intersections, qui ont partie liée, mais qui ne se recoupent pas nécessairement de manière totale.</w:t>
      </w:r>
    </w:p>
    <w:p w14:paraId="1665F1FD" w14:textId="77777777" w:rsidR="00887F28" w:rsidRPr="008D2B9D" w:rsidRDefault="00887F28" w:rsidP="007E75CC">
      <w:pPr>
        <w:tabs>
          <w:tab w:val="left" w:pos="426"/>
        </w:tabs>
        <w:rPr>
          <w:rStyle w:val="sbb9ee52a"/>
          <w:rFonts w:cs="Times New Roman"/>
        </w:rPr>
      </w:pPr>
    </w:p>
    <w:p w14:paraId="6001243D" w14:textId="455A7D5E" w:rsidR="00887F28" w:rsidRPr="008D2B9D" w:rsidRDefault="00887F28" w:rsidP="007E75CC">
      <w:pPr>
        <w:tabs>
          <w:tab w:val="left" w:pos="426"/>
        </w:tabs>
        <w:rPr>
          <w:rStyle w:val="s68f5eaef"/>
          <w:rFonts w:cs="Times New Roman"/>
        </w:rPr>
      </w:pPr>
      <w:r w:rsidRPr="008D2B9D">
        <w:rPr>
          <w:rFonts w:cs="Times New Roman"/>
        </w:rPr>
        <w:lastRenderedPageBreak/>
        <w:t xml:space="preserve">En termes de </w:t>
      </w:r>
      <w:r w:rsidRPr="008D2B9D">
        <w:rPr>
          <w:rFonts w:cs="Times New Roman"/>
          <w:i/>
        </w:rPr>
        <w:t xml:space="preserve">légalité, </w:t>
      </w:r>
      <w:r w:rsidRPr="008D2B9D">
        <w:rPr>
          <w:rFonts w:cs="Times New Roman"/>
        </w:rPr>
        <w:t xml:space="preserve">la prorogation de compétence de la Cour européenne pour trancher les </w:t>
      </w:r>
      <w:r w:rsidRPr="008D2B9D">
        <w:rPr>
          <w:rFonts w:cs="Times New Roman"/>
          <w:i/>
          <w:iCs/>
        </w:rPr>
        <w:t xml:space="preserve">causae pendentes </w:t>
      </w:r>
      <w:r w:rsidRPr="008D2B9D">
        <w:rPr>
          <w:rFonts w:cs="Times New Roman"/>
        </w:rPr>
        <w:t xml:space="preserve">et les </w:t>
      </w:r>
      <w:r w:rsidRPr="008D2B9D">
        <w:rPr>
          <w:rFonts w:cs="Times New Roman"/>
          <w:i/>
          <w:iCs/>
        </w:rPr>
        <w:t>causae futurae</w:t>
      </w:r>
      <w:r w:rsidRPr="008D2B9D">
        <w:rPr>
          <w:rFonts w:cs="Times New Roman"/>
        </w:rPr>
        <w:t xml:space="preserve"> ne nous semble pas soulever de problèmes insurmontables. Mais q</w:t>
      </w:r>
      <w:r w:rsidRPr="008D2B9D">
        <w:rPr>
          <w:rStyle w:val="s68f5eaef"/>
          <w:rFonts w:cs="Times New Roman"/>
        </w:rPr>
        <w:t xml:space="preserve">u’en est-il par contre de sa légitimité et de l’effectivité ? Ces questions doivent être posées de manière supplémentaire. Que la Cour </w:t>
      </w:r>
      <w:r w:rsidRPr="008D2B9D">
        <w:rPr>
          <w:rStyle w:val="s68f5eaef"/>
          <w:rFonts w:cs="Times New Roman"/>
          <w:i/>
        </w:rPr>
        <w:t xml:space="preserve">puisse valablement </w:t>
      </w:r>
      <w:r w:rsidRPr="008D2B9D">
        <w:rPr>
          <w:rStyle w:val="s68f5eaef"/>
          <w:rFonts w:cs="Times New Roman"/>
        </w:rPr>
        <w:t xml:space="preserve">traiter l’ensemble des </w:t>
      </w:r>
      <w:r w:rsidRPr="008D2B9D">
        <w:rPr>
          <w:rStyle w:val="s68f5eaef"/>
          <w:rFonts w:cs="Times New Roman"/>
          <w:i/>
        </w:rPr>
        <w:t xml:space="preserve">causae pendentes et causae futurae </w:t>
      </w:r>
      <w:r w:rsidRPr="008D2B9D">
        <w:rPr>
          <w:rStyle w:val="s68f5eaef"/>
          <w:rFonts w:cs="Times New Roman"/>
        </w:rPr>
        <w:t>portées contre la Fédération</w:t>
      </w:r>
      <w:r w:rsidRPr="008D2B9D">
        <w:rPr>
          <w:rStyle w:val="s68f5eaef"/>
          <w:rFonts w:cs="Times New Roman"/>
          <w:i/>
        </w:rPr>
        <w:t xml:space="preserve"> </w:t>
      </w:r>
      <w:r w:rsidR="000537D5" w:rsidRPr="008D2B9D">
        <w:rPr>
          <w:rStyle w:val="s68f5eaef"/>
          <w:rFonts w:cs="Times New Roman"/>
        </w:rPr>
        <w:t xml:space="preserve">de Russie </w:t>
      </w:r>
      <w:r w:rsidRPr="008D2B9D">
        <w:rPr>
          <w:rStyle w:val="s68f5eaef"/>
          <w:rFonts w:cs="Times New Roman"/>
        </w:rPr>
        <w:t xml:space="preserve">n’implique pas encore nécessairement qu’elle </w:t>
      </w:r>
      <w:r w:rsidRPr="008D2B9D">
        <w:rPr>
          <w:rStyle w:val="s68f5eaef"/>
          <w:rFonts w:cs="Times New Roman"/>
          <w:i/>
        </w:rPr>
        <w:t xml:space="preserve">va le faire, </w:t>
      </w:r>
      <w:r w:rsidRPr="008D2B9D">
        <w:rPr>
          <w:rStyle w:val="s68f5eaef"/>
          <w:rFonts w:cs="Times New Roman"/>
        </w:rPr>
        <w:t xml:space="preserve">qu’il soit </w:t>
      </w:r>
      <w:r w:rsidRPr="008D2B9D">
        <w:rPr>
          <w:rStyle w:val="s68f5eaef"/>
          <w:rFonts w:cs="Times New Roman"/>
          <w:i/>
        </w:rPr>
        <w:t xml:space="preserve">juste </w:t>
      </w:r>
      <w:r w:rsidRPr="008D2B9D">
        <w:rPr>
          <w:rStyle w:val="s68f5eaef"/>
          <w:rFonts w:cs="Times New Roman"/>
        </w:rPr>
        <w:t xml:space="preserve">qu’elle le fasse, et que son office soit, sur ce point, </w:t>
      </w:r>
      <w:r w:rsidRPr="008D2B9D">
        <w:rPr>
          <w:rStyle w:val="s68f5eaef"/>
          <w:rFonts w:cs="Times New Roman"/>
          <w:i/>
          <w:iCs/>
        </w:rPr>
        <w:t>effectif,</w:t>
      </w:r>
      <w:r w:rsidRPr="008D2B9D">
        <w:rPr>
          <w:rStyle w:val="s68f5eaef"/>
          <w:rFonts w:cs="Times New Roman"/>
        </w:rPr>
        <w:t xml:space="preserve"> en terme de processus et de résultats. Un passage du discours prononcé par l’ancien Président Robert Spano, le 24 juin 2022, à l’occasion de l’ouverture de l’année judiciaire, mérite que l’on s’y attarde</w:t>
      </w:r>
      <w:r w:rsidR="008D2B9D" w:rsidRPr="008D2B9D">
        <w:rPr>
          <w:rStyle w:val="s68f5eaef"/>
          <w:rFonts w:cs="Times New Roman"/>
        </w:rPr>
        <w:t>:</w:t>
      </w:r>
      <w:r w:rsidRPr="008D2B9D">
        <w:rPr>
          <w:rStyle w:val="s68f5eaef"/>
          <w:rFonts w:cs="Times New Roman"/>
        </w:rPr>
        <w:t xml:space="preserve"> </w:t>
      </w:r>
      <w:r w:rsidR="008617E8">
        <w:rPr>
          <w:rStyle w:val="s68f5eaef"/>
          <w:rFonts w:cs="Times New Roman"/>
        </w:rPr>
        <w:t>“</w:t>
      </w:r>
      <w:r w:rsidRPr="009C6F4B">
        <w:rPr>
          <w:rFonts w:cs="Times New Roman"/>
          <w:i/>
          <w:iCs/>
        </w:rPr>
        <w:t>Dans les mois à venir</w:t>
      </w:r>
      <w:r w:rsidR="008617E8">
        <w:rPr>
          <w:rFonts w:cs="Times New Roman"/>
        </w:rPr>
        <w:t>”</w:t>
      </w:r>
      <w:r w:rsidRPr="008D2B9D">
        <w:rPr>
          <w:rFonts w:cs="Times New Roman"/>
        </w:rPr>
        <w:t xml:space="preserve">, affirmait Spano, </w:t>
      </w:r>
      <w:r w:rsidR="008617E8">
        <w:rPr>
          <w:rFonts w:cs="Times New Roman"/>
        </w:rPr>
        <w:t>“</w:t>
      </w:r>
      <w:r w:rsidRPr="009C6F4B">
        <w:rPr>
          <w:rFonts w:cs="Times New Roman"/>
          <w:i/>
          <w:iCs/>
        </w:rPr>
        <w:t xml:space="preserve">la Cour devra déterminer la marche à suivre la plus appropriée pour le traitement des quelque 17 000 affaires qui restent inscrites au rôle de la Cour contre la Russie, ainsi que des nombreuses autres affaires introduites en raison de la guerre en Ukraine. Cela prendra du temps et </w:t>
      </w:r>
      <w:r w:rsidRPr="009C6F4B">
        <w:rPr>
          <w:rFonts w:cs="Times New Roman"/>
          <w:i/>
          <w:iCs/>
          <w:u w:val="single"/>
        </w:rPr>
        <w:t>les attentes doivent être réalistes</w:t>
      </w:r>
      <w:r w:rsidRPr="009C6F4B">
        <w:rPr>
          <w:rFonts w:cs="Times New Roman"/>
          <w:i/>
          <w:iCs/>
        </w:rPr>
        <w:t>. Le défi que cela représente pour le travail de la Cour est sans précéden</w:t>
      </w:r>
      <w:r w:rsidRPr="008D2B9D">
        <w:rPr>
          <w:rFonts w:cs="Times New Roman"/>
        </w:rPr>
        <w:t>t</w:t>
      </w:r>
      <w:r w:rsidR="008617E8">
        <w:rPr>
          <w:rFonts w:cs="Times New Roman"/>
        </w:rPr>
        <w:t>”</w:t>
      </w:r>
      <w:r w:rsidR="000537D5" w:rsidRPr="008D2B9D">
        <w:rPr>
          <w:rFonts w:cs="Times New Roman"/>
        </w:rPr>
        <w:t xml:space="preserve"> (notre accent)</w:t>
      </w:r>
      <w:r w:rsidR="000537D5" w:rsidRPr="008D2B9D">
        <w:rPr>
          <w:rStyle w:val="Appelnotedebasdep"/>
          <w:rFonts w:cs="Times New Roman"/>
        </w:rPr>
        <w:footnoteReference w:id="32"/>
      </w:r>
      <w:r w:rsidR="008617E8">
        <w:rPr>
          <w:rFonts w:cs="Times New Roman"/>
        </w:rPr>
        <w:t>.</w:t>
      </w:r>
    </w:p>
    <w:p w14:paraId="26D8343E" w14:textId="77777777" w:rsidR="00887F28" w:rsidRPr="008D2B9D" w:rsidRDefault="00887F28" w:rsidP="007E75CC">
      <w:pPr>
        <w:tabs>
          <w:tab w:val="left" w:pos="426"/>
        </w:tabs>
        <w:rPr>
          <w:rStyle w:val="s68f5eaef"/>
          <w:rFonts w:cs="Times New Roman"/>
        </w:rPr>
      </w:pPr>
    </w:p>
    <w:p w14:paraId="4F590092" w14:textId="12F339DC" w:rsidR="005E6B44" w:rsidRPr="008D2B9D" w:rsidRDefault="008617E8" w:rsidP="007E75CC">
      <w:pPr>
        <w:tabs>
          <w:tab w:val="left" w:pos="426"/>
        </w:tabs>
        <w:rPr>
          <w:rStyle w:val="s68f5eaef"/>
          <w:rFonts w:cs="Times New Roman"/>
        </w:rPr>
      </w:pPr>
      <w:r w:rsidRPr="009C6F4B">
        <w:rPr>
          <w:rStyle w:val="s68f5eaef"/>
          <w:rFonts w:cs="Times New Roman"/>
          <w:b/>
          <w:bCs/>
        </w:rPr>
        <w:t>13.</w:t>
      </w:r>
      <w:r>
        <w:rPr>
          <w:rStyle w:val="s68f5eaef"/>
          <w:rFonts w:cs="Times New Roman"/>
        </w:rPr>
        <w:t xml:space="preserve"> </w:t>
      </w:r>
      <w:r w:rsidR="00887F28" w:rsidRPr="008D2B9D">
        <w:rPr>
          <w:rStyle w:val="s68f5eaef"/>
          <w:rFonts w:cs="Times New Roman"/>
        </w:rPr>
        <w:t>Dans une contribution publiée le 16 août 2022</w:t>
      </w:r>
      <w:r w:rsidR="00887F28" w:rsidRPr="008D2B9D">
        <w:rPr>
          <w:rStyle w:val="Appelnotedebasdep"/>
          <w:rFonts w:cs="Times New Roman"/>
        </w:rPr>
        <w:footnoteReference w:id="33"/>
      </w:r>
      <w:r w:rsidR="00887F28" w:rsidRPr="008D2B9D">
        <w:rPr>
          <w:rStyle w:val="s68f5eaef"/>
          <w:rFonts w:cs="Times New Roman"/>
        </w:rPr>
        <w:t xml:space="preserve">, </w:t>
      </w:r>
      <w:hyperlink r:id="rId7" w:history="1">
        <w:r w:rsidR="00887F28" w:rsidRPr="008D2B9D">
          <w:rPr>
            <w:rStyle w:val="s68f5eaef"/>
            <w:rFonts w:cs="Times New Roman"/>
          </w:rPr>
          <w:t>Kanstantsin Dzehtsiarou</w:t>
        </w:r>
      </w:hyperlink>
      <w:r w:rsidR="00887F28" w:rsidRPr="008D2B9D">
        <w:rPr>
          <w:rStyle w:val="s68f5eaef"/>
          <w:rFonts w:cs="Times New Roman"/>
        </w:rPr>
        <w:t xml:space="preserve"> inventoriait quatre scenarios possibles</w:t>
      </w:r>
      <w:r w:rsidR="008D2B9D" w:rsidRPr="008D2B9D">
        <w:rPr>
          <w:rStyle w:val="s68f5eaef"/>
          <w:rFonts w:cs="Times New Roman"/>
        </w:rPr>
        <w:t>:</w:t>
      </w:r>
      <w:r w:rsidR="00887F28" w:rsidRPr="008D2B9D">
        <w:rPr>
          <w:rStyle w:val="s68f5eaef"/>
          <w:rFonts w:cs="Times New Roman"/>
        </w:rPr>
        <w:t xml:space="preserve"> le </w:t>
      </w:r>
      <w:r>
        <w:rPr>
          <w:rStyle w:val="s68f5eaef"/>
          <w:rFonts w:cs="Times New Roman"/>
        </w:rPr>
        <w:t>“</w:t>
      </w:r>
      <w:r w:rsidR="00887F28" w:rsidRPr="009C6F4B">
        <w:rPr>
          <w:rStyle w:val="s68f5eaef"/>
          <w:rFonts w:cs="Times New Roman"/>
          <w:i/>
          <w:iCs/>
        </w:rPr>
        <w:t>business as usual</w:t>
      </w:r>
      <w:r>
        <w:rPr>
          <w:rStyle w:val="s68f5eaef"/>
          <w:rFonts w:cs="Times New Roman"/>
        </w:rPr>
        <w:t>”</w:t>
      </w:r>
      <w:r w:rsidR="00887F28" w:rsidRPr="008D2B9D">
        <w:rPr>
          <w:rStyle w:val="s68f5eaef"/>
          <w:rFonts w:cs="Times New Roman"/>
        </w:rPr>
        <w:t xml:space="preserve">, consistant pour la Cour à traiter tout le contentieux russe comme si de rien n’était ; l’option du </w:t>
      </w:r>
      <w:r>
        <w:rPr>
          <w:rStyle w:val="s68f5eaef"/>
          <w:rFonts w:cs="Times New Roman"/>
        </w:rPr>
        <w:t>“</w:t>
      </w:r>
      <w:r w:rsidR="005E6B44" w:rsidRPr="009C6F4B">
        <w:rPr>
          <w:rStyle w:val="s68f5eaef"/>
          <w:rFonts w:cs="Times New Roman"/>
          <w:i/>
          <w:iCs/>
        </w:rPr>
        <w:t>p</w:t>
      </w:r>
      <w:r w:rsidR="00887F28" w:rsidRPr="009C6F4B">
        <w:rPr>
          <w:rStyle w:val="s68f5eaef"/>
          <w:rFonts w:cs="Times New Roman"/>
          <w:i/>
          <w:iCs/>
        </w:rPr>
        <w:t>ick and choose</w:t>
      </w:r>
      <w:r>
        <w:rPr>
          <w:rStyle w:val="s68f5eaef"/>
          <w:rFonts w:cs="Times New Roman"/>
        </w:rPr>
        <w:t>”</w:t>
      </w:r>
      <w:r w:rsidR="00887F28" w:rsidRPr="008D2B9D">
        <w:rPr>
          <w:rStyle w:val="s68f5eaef"/>
          <w:rFonts w:cs="Times New Roman"/>
        </w:rPr>
        <w:t xml:space="preserve">, dans laquelle le juge de Strasbourg sélectionne une série limitée d’affaires russes sur lesquelles il se concentre, à l’exclusion des autres (les affaires interétatiques, les affaires politiquement sensibles, et celles qui révèlent des problèmes structurels) ; le </w:t>
      </w:r>
      <w:r>
        <w:rPr>
          <w:rStyle w:val="s68f5eaef"/>
          <w:rFonts w:cs="Times New Roman"/>
        </w:rPr>
        <w:t>“</w:t>
      </w:r>
      <w:r w:rsidR="00887F28" w:rsidRPr="009C6F4B">
        <w:rPr>
          <w:rStyle w:val="s68f5eaef"/>
          <w:rFonts w:cs="Times New Roman"/>
          <w:i/>
          <w:iCs/>
        </w:rPr>
        <w:t>gel total</w:t>
      </w:r>
      <w:r>
        <w:rPr>
          <w:rStyle w:val="s68f5eaef"/>
          <w:rFonts w:cs="Times New Roman"/>
        </w:rPr>
        <w:t>”</w:t>
      </w:r>
      <w:r w:rsidR="00887F28" w:rsidRPr="008D2B9D">
        <w:rPr>
          <w:rStyle w:val="s68f5eaef"/>
          <w:rFonts w:cs="Times New Roman"/>
        </w:rPr>
        <w:t xml:space="preserve"> de l’examen des affaires</w:t>
      </w:r>
      <w:r w:rsidR="00200ECE" w:rsidRPr="008D2B9D">
        <w:rPr>
          <w:rStyle w:val="s68f5eaef"/>
          <w:rFonts w:cs="Times New Roman"/>
        </w:rPr>
        <w:t>, et enfin</w:t>
      </w:r>
      <w:r w:rsidR="00EB00AC" w:rsidRPr="008D2B9D">
        <w:rPr>
          <w:rStyle w:val="s68f5eaef"/>
          <w:rFonts w:cs="Times New Roman"/>
        </w:rPr>
        <w:t>,</w:t>
      </w:r>
      <w:r w:rsidR="00200ECE" w:rsidRPr="008D2B9D">
        <w:rPr>
          <w:rStyle w:val="s68f5eaef"/>
          <w:rFonts w:cs="Times New Roman"/>
        </w:rPr>
        <w:t xml:space="preserve"> l</w:t>
      </w:r>
      <w:r w:rsidR="00887F28" w:rsidRPr="008D2B9D">
        <w:rPr>
          <w:rStyle w:val="s68f5eaef"/>
          <w:rFonts w:cs="Times New Roman"/>
        </w:rPr>
        <w:t xml:space="preserve">a radiation de toutes les affaires du rôle en application de l’article 37, § 1er, </w:t>
      </w:r>
      <w:r w:rsidR="00887F28" w:rsidRPr="008D2B9D">
        <w:rPr>
          <w:rStyle w:val="s68f5eaef"/>
          <w:rFonts w:cs="Times New Roman"/>
          <w:i/>
          <w:iCs/>
        </w:rPr>
        <w:t>c</w:t>
      </w:r>
      <w:r w:rsidR="00887F28" w:rsidRPr="008D2B9D">
        <w:rPr>
          <w:rStyle w:val="s68f5eaef"/>
          <w:rFonts w:cs="Times New Roman"/>
        </w:rPr>
        <w:t xml:space="preserve">, de la Convention. </w:t>
      </w:r>
      <w:r w:rsidR="00200ECE" w:rsidRPr="008D2B9D">
        <w:rPr>
          <w:rStyle w:val="s68f5eaef"/>
          <w:rFonts w:cs="Times New Roman"/>
        </w:rPr>
        <w:t>La dernière option se serait inscrite dans la droite ligne de l</w:t>
      </w:r>
      <w:r w:rsidR="00887F28" w:rsidRPr="008D2B9D">
        <w:rPr>
          <w:rStyle w:val="s68f5eaef"/>
          <w:rFonts w:cs="Times New Roman"/>
        </w:rPr>
        <w:t xml:space="preserve">’arrêt </w:t>
      </w:r>
      <w:r w:rsidR="00887F28" w:rsidRPr="008D2B9D">
        <w:rPr>
          <w:rStyle w:val="s68f5eaef"/>
          <w:rFonts w:cs="Times New Roman"/>
          <w:i/>
          <w:iCs/>
        </w:rPr>
        <w:t>Burmych et autres</w:t>
      </w:r>
      <w:r w:rsidR="005E6B44" w:rsidRPr="008D2B9D">
        <w:rPr>
          <w:rStyle w:val="s68f5eaef"/>
          <w:rFonts w:cs="Times New Roman"/>
        </w:rPr>
        <w:t>, ci-avant analysé</w:t>
      </w:r>
      <w:r w:rsidR="008D2B9D" w:rsidRPr="008D2B9D">
        <w:rPr>
          <w:rStyle w:val="s68f5eaef"/>
          <w:rFonts w:cs="Times New Roman"/>
        </w:rPr>
        <w:t>:</w:t>
      </w:r>
      <w:r w:rsidR="00200ECE" w:rsidRPr="008D2B9D">
        <w:rPr>
          <w:rStyle w:val="s68f5eaef"/>
          <w:rFonts w:cs="Times New Roman"/>
        </w:rPr>
        <w:t xml:space="preserve"> la disposition conventionnelle précité</w:t>
      </w:r>
      <w:r w:rsidR="005E6B44" w:rsidRPr="008D2B9D">
        <w:rPr>
          <w:rStyle w:val="s68f5eaef"/>
          <w:rFonts w:cs="Times New Roman"/>
        </w:rPr>
        <w:t>e</w:t>
      </w:r>
      <w:r w:rsidR="00887F28" w:rsidRPr="008D2B9D">
        <w:rPr>
          <w:rStyle w:val="s68f5eaef"/>
          <w:rFonts w:cs="Times New Roman"/>
        </w:rPr>
        <w:t xml:space="preserve">, qui confère un très grand pouvoir discrétionnaire à la Cour, peut lui permettre de mener une véritable politique jurisprudentielle de désengorgement du rôle lorsqu’elle estime que les buts de la Convention ne seraient pas </w:t>
      </w:r>
      <w:r>
        <w:rPr>
          <w:rStyle w:val="s68f5eaef"/>
          <w:rFonts w:cs="Times New Roman"/>
        </w:rPr>
        <w:t>“</w:t>
      </w:r>
      <w:r w:rsidR="00887F28" w:rsidRPr="008D2B9D">
        <w:rPr>
          <w:rStyle w:val="s68f5eaef"/>
          <w:rFonts w:cs="Times New Roman"/>
        </w:rPr>
        <w:t>servis au mieux</w:t>
      </w:r>
      <w:r>
        <w:rPr>
          <w:rStyle w:val="s68f5eaef"/>
          <w:rFonts w:cs="Times New Roman"/>
        </w:rPr>
        <w:t>”</w:t>
      </w:r>
      <w:r w:rsidR="00887F28" w:rsidRPr="008D2B9D">
        <w:rPr>
          <w:rStyle w:val="s68f5eaef"/>
          <w:rFonts w:cs="Times New Roman"/>
        </w:rPr>
        <w:t xml:space="preserve"> si elle continuait à traiter un certain type d’affaires</w:t>
      </w:r>
    </w:p>
    <w:p w14:paraId="2477B6E9" w14:textId="77777777" w:rsidR="005E6B44" w:rsidRPr="008D2B9D" w:rsidRDefault="005E6B44" w:rsidP="007E75CC">
      <w:pPr>
        <w:tabs>
          <w:tab w:val="left" w:pos="426"/>
        </w:tabs>
        <w:rPr>
          <w:rStyle w:val="s68f5eaef"/>
          <w:rFonts w:cs="Times New Roman"/>
        </w:rPr>
      </w:pPr>
    </w:p>
    <w:p w14:paraId="1FB0C244" w14:textId="1B4C4D3C" w:rsidR="005E6B44" w:rsidRPr="008D2B9D" w:rsidRDefault="00200ECE" w:rsidP="007E75CC">
      <w:pPr>
        <w:tabs>
          <w:tab w:val="left" w:pos="426"/>
        </w:tabs>
        <w:rPr>
          <w:rStyle w:val="s68f5eaef"/>
          <w:rFonts w:cs="Times New Roman"/>
        </w:rPr>
      </w:pPr>
      <w:r w:rsidRPr="008D2B9D">
        <w:rPr>
          <w:rStyle w:val="s68f5eaef"/>
          <w:rFonts w:cs="Times New Roman"/>
        </w:rPr>
        <w:t>Telles étaient, selon Dzehtsiarou</w:t>
      </w:r>
      <w:r w:rsidR="00887F28" w:rsidRPr="008D2B9D">
        <w:rPr>
          <w:rStyle w:val="s68f5eaef"/>
          <w:rFonts w:cs="Times New Roman"/>
        </w:rPr>
        <w:t>, les quatre voies possibles. Ce ne sont pas des questions de légalité qui gouvernent le choix</w:t>
      </w:r>
      <w:r w:rsidRPr="008D2B9D">
        <w:rPr>
          <w:rStyle w:val="s68f5eaef"/>
          <w:rFonts w:cs="Times New Roman"/>
        </w:rPr>
        <w:t xml:space="preserve"> entre celles-ci</w:t>
      </w:r>
      <w:r w:rsidR="00887F28" w:rsidRPr="008D2B9D">
        <w:rPr>
          <w:rStyle w:val="s68f5eaef"/>
          <w:rFonts w:cs="Times New Roman"/>
        </w:rPr>
        <w:t>, mais plutôt de légitimité et d’effectivité</w:t>
      </w:r>
      <w:r w:rsidRPr="008D2B9D">
        <w:rPr>
          <w:rStyle w:val="s68f5eaef"/>
          <w:rFonts w:cs="Times New Roman"/>
        </w:rPr>
        <w:t xml:space="preserve">, dans le registre dans la </w:t>
      </w:r>
      <w:r w:rsidR="008617E8">
        <w:rPr>
          <w:rStyle w:val="s68f5eaef"/>
          <w:rFonts w:cs="Times New Roman"/>
        </w:rPr>
        <w:t>“</w:t>
      </w:r>
      <w:r w:rsidRPr="008D2B9D">
        <w:rPr>
          <w:rStyle w:val="s68f5eaef"/>
          <w:rFonts w:cs="Times New Roman"/>
        </w:rPr>
        <w:t>politique judiciaire</w:t>
      </w:r>
      <w:r w:rsidR="008617E8">
        <w:rPr>
          <w:rStyle w:val="s68f5eaef"/>
          <w:rFonts w:cs="Times New Roman"/>
        </w:rPr>
        <w:t>”</w:t>
      </w:r>
      <w:r w:rsidRPr="008D2B9D">
        <w:rPr>
          <w:rStyle w:val="s68f5eaef"/>
          <w:rFonts w:cs="Times New Roman"/>
        </w:rPr>
        <w:t>.</w:t>
      </w:r>
    </w:p>
    <w:p w14:paraId="5B197854" w14:textId="77777777" w:rsidR="005E6B44" w:rsidRPr="008D2B9D" w:rsidRDefault="005E6B44" w:rsidP="007E75CC">
      <w:pPr>
        <w:tabs>
          <w:tab w:val="left" w:pos="426"/>
        </w:tabs>
        <w:rPr>
          <w:rStyle w:val="s68f5eaef"/>
          <w:rFonts w:cs="Times New Roman"/>
        </w:rPr>
      </w:pPr>
    </w:p>
    <w:p w14:paraId="7B2A0F3F" w14:textId="133F49A6" w:rsidR="00887F28" w:rsidRPr="008D2B9D" w:rsidRDefault="008617E8" w:rsidP="007E75CC">
      <w:pPr>
        <w:tabs>
          <w:tab w:val="left" w:pos="426"/>
        </w:tabs>
        <w:rPr>
          <w:rFonts w:cs="Times New Roman"/>
        </w:rPr>
      </w:pPr>
      <w:r w:rsidRPr="009C6F4B">
        <w:rPr>
          <w:rStyle w:val="s68f5eaef"/>
          <w:rFonts w:cs="Times New Roman"/>
          <w:b/>
          <w:bCs/>
        </w:rPr>
        <w:t>14.</w:t>
      </w:r>
      <w:r>
        <w:rPr>
          <w:rStyle w:val="s68f5eaef"/>
          <w:rFonts w:cs="Times New Roman"/>
        </w:rPr>
        <w:t xml:space="preserve"> </w:t>
      </w:r>
      <w:proofErr w:type="gramStart"/>
      <w:r w:rsidR="00887F28" w:rsidRPr="008D2B9D">
        <w:rPr>
          <w:rFonts w:cs="Times New Roman"/>
          <w:lang w:val="fr-FR"/>
        </w:rPr>
        <w:t>En terme de</w:t>
      </w:r>
      <w:proofErr w:type="gramEnd"/>
      <w:r w:rsidR="00887F28" w:rsidRPr="008D2B9D">
        <w:rPr>
          <w:rFonts w:cs="Times New Roman"/>
          <w:lang w:val="fr-FR"/>
        </w:rPr>
        <w:t xml:space="preserve"> </w:t>
      </w:r>
      <w:r w:rsidR="00887F28" w:rsidRPr="008D2B9D">
        <w:rPr>
          <w:rFonts w:cs="Times New Roman"/>
          <w:i/>
          <w:iCs/>
          <w:lang w:val="fr-FR"/>
        </w:rPr>
        <w:t>légitimit</w:t>
      </w:r>
      <w:r w:rsidR="00887F28" w:rsidRPr="008D2B9D">
        <w:rPr>
          <w:rFonts w:cs="Times New Roman"/>
          <w:lang w:val="fr-FR"/>
        </w:rPr>
        <w:t xml:space="preserve">é, les solutions de </w:t>
      </w:r>
      <w:r>
        <w:rPr>
          <w:rFonts w:cs="Times New Roman"/>
          <w:lang w:val="fr-FR"/>
        </w:rPr>
        <w:t>“</w:t>
      </w:r>
      <w:r w:rsidR="00887F28" w:rsidRPr="008D2B9D">
        <w:rPr>
          <w:rFonts w:cs="Times New Roman"/>
          <w:lang w:val="fr-FR"/>
        </w:rPr>
        <w:t>radiation</w:t>
      </w:r>
      <w:r>
        <w:rPr>
          <w:rFonts w:cs="Times New Roman"/>
          <w:lang w:val="fr-FR"/>
        </w:rPr>
        <w:t>”</w:t>
      </w:r>
      <w:r w:rsidR="00887F28" w:rsidRPr="008D2B9D">
        <w:rPr>
          <w:rFonts w:cs="Times New Roman"/>
          <w:lang w:val="fr-FR"/>
        </w:rPr>
        <w:t xml:space="preserve"> et de </w:t>
      </w:r>
      <w:r>
        <w:rPr>
          <w:rFonts w:cs="Times New Roman"/>
          <w:lang w:val="fr-FR"/>
        </w:rPr>
        <w:t>“</w:t>
      </w:r>
      <w:r w:rsidR="00887F28" w:rsidRPr="008D2B9D">
        <w:rPr>
          <w:rFonts w:cs="Times New Roman"/>
          <w:lang w:val="fr-FR"/>
        </w:rPr>
        <w:t>gel</w:t>
      </w:r>
      <w:r>
        <w:rPr>
          <w:rFonts w:cs="Times New Roman"/>
          <w:lang w:val="fr-FR"/>
        </w:rPr>
        <w:t>”</w:t>
      </w:r>
      <w:r w:rsidR="00887F28" w:rsidRPr="008D2B9D">
        <w:rPr>
          <w:rFonts w:cs="Times New Roman"/>
          <w:lang w:val="fr-FR"/>
        </w:rPr>
        <w:t xml:space="preserve"> ne passent pas la rampe, et la solution du </w:t>
      </w:r>
      <w:r>
        <w:rPr>
          <w:rFonts w:cs="Times New Roman"/>
          <w:lang w:val="fr-FR"/>
        </w:rPr>
        <w:t>“</w:t>
      </w:r>
      <w:r w:rsidR="00887F28" w:rsidRPr="008D2B9D">
        <w:rPr>
          <w:rFonts w:cs="Times New Roman"/>
          <w:lang w:val="fr-FR"/>
        </w:rPr>
        <w:t>pick and choose</w:t>
      </w:r>
      <w:r>
        <w:rPr>
          <w:rFonts w:cs="Times New Roman"/>
          <w:lang w:val="fr-FR"/>
        </w:rPr>
        <w:t>”</w:t>
      </w:r>
      <w:r w:rsidR="00887F28" w:rsidRPr="008D2B9D">
        <w:rPr>
          <w:rFonts w:cs="Times New Roman"/>
          <w:lang w:val="fr-FR"/>
        </w:rPr>
        <w:t xml:space="preserve"> peine à convaincre</w:t>
      </w:r>
      <w:r w:rsidR="00887F28" w:rsidRPr="008D2B9D">
        <w:rPr>
          <w:rFonts w:cs="Times New Roman"/>
        </w:rPr>
        <w:t xml:space="preserve">. L’adéquation aux idéaux de justice commande en effet de limiter au maximum l’impact négatif du </w:t>
      </w:r>
      <w:r w:rsidR="00887F28" w:rsidRPr="008D2B9D">
        <w:rPr>
          <w:rFonts w:cs="Times New Roman"/>
          <w:i/>
          <w:iCs/>
        </w:rPr>
        <w:t>Ruxit</w:t>
      </w:r>
      <w:r w:rsidR="00887F28" w:rsidRPr="008D2B9D">
        <w:rPr>
          <w:rFonts w:cs="Times New Roman"/>
        </w:rPr>
        <w:t xml:space="preserve"> sur la compétence de la Cour à connaître des violations des droits de l’Homme commises par la Russie. </w:t>
      </w:r>
    </w:p>
    <w:p w14:paraId="1797D0D6" w14:textId="77777777" w:rsidR="005E6B44" w:rsidRPr="009C6F4B" w:rsidRDefault="005E6B44" w:rsidP="007E75CC">
      <w:pPr>
        <w:tabs>
          <w:tab w:val="left" w:pos="426"/>
        </w:tabs>
        <w:rPr>
          <w:rFonts w:cs="Times New Roman"/>
          <w:b/>
          <w:bCs/>
        </w:rPr>
      </w:pPr>
    </w:p>
    <w:p w14:paraId="3633596A" w14:textId="7DF91901" w:rsidR="00887F28" w:rsidRPr="008D2B9D" w:rsidRDefault="00887F28" w:rsidP="007E75CC">
      <w:pPr>
        <w:tabs>
          <w:tab w:val="left" w:pos="426"/>
        </w:tabs>
        <w:rPr>
          <w:rFonts w:cs="Times New Roman"/>
        </w:rPr>
      </w:pPr>
      <w:r w:rsidRPr="008D2B9D">
        <w:rPr>
          <w:rFonts w:cs="Times New Roman"/>
        </w:rPr>
        <w:t xml:space="preserve">Mais </w:t>
      </w:r>
      <w:r w:rsidRPr="008D2B9D">
        <w:rPr>
          <w:rFonts w:cs="Times New Roman"/>
          <w:i/>
          <w:iCs/>
        </w:rPr>
        <w:t>quid</w:t>
      </w:r>
      <w:r w:rsidRPr="008D2B9D">
        <w:rPr>
          <w:rFonts w:cs="Times New Roman"/>
        </w:rPr>
        <w:t xml:space="preserve">, alors, en termes d’effectivité ? </w:t>
      </w:r>
    </w:p>
    <w:p w14:paraId="6AFA0FC5" w14:textId="77777777" w:rsidR="00200ECE" w:rsidRPr="009C6F4B" w:rsidRDefault="00200ECE" w:rsidP="007E75CC">
      <w:pPr>
        <w:tabs>
          <w:tab w:val="left" w:pos="426"/>
        </w:tabs>
        <w:rPr>
          <w:rFonts w:cs="Times New Roman"/>
          <w:b/>
          <w:bCs/>
        </w:rPr>
      </w:pPr>
    </w:p>
    <w:p w14:paraId="163BF7B9" w14:textId="572FD53C" w:rsidR="00200ECE" w:rsidRPr="008D2B9D" w:rsidRDefault="00200ECE" w:rsidP="007E75CC">
      <w:pPr>
        <w:tabs>
          <w:tab w:val="left" w:pos="426"/>
        </w:tabs>
        <w:rPr>
          <w:rFonts w:cs="Times New Roman"/>
        </w:rPr>
      </w:pPr>
      <w:r w:rsidRPr="008D2B9D">
        <w:rPr>
          <w:rFonts w:cs="Times New Roman"/>
        </w:rPr>
        <w:t>Avec Christophe Deprez</w:t>
      </w:r>
      <w:r w:rsidR="005E6B44" w:rsidRPr="008D2B9D">
        <w:rPr>
          <w:rStyle w:val="Appelnotedebasdep"/>
          <w:rFonts w:cs="Times New Roman"/>
        </w:rPr>
        <w:footnoteReference w:id="34"/>
      </w:r>
      <w:r w:rsidRPr="008D2B9D">
        <w:rPr>
          <w:rFonts w:cs="Times New Roman"/>
        </w:rPr>
        <w:t>, nous avons, dans d’autres pages, tenté d’inventorier les obstacles pratiques</w:t>
      </w:r>
      <w:r w:rsidR="00A73080" w:rsidRPr="008D2B9D">
        <w:rPr>
          <w:rFonts w:cs="Times New Roman"/>
        </w:rPr>
        <w:t xml:space="preserve"> parfois considérables</w:t>
      </w:r>
      <w:r w:rsidRPr="008D2B9D">
        <w:rPr>
          <w:rFonts w:cs="Times New Roman"/>
        </w:rPr>
        <w:t xml:space="preserve"> auxquels la Cour de Strasbourg est, et sera confrontée en termes de </w:t>
      </w:r>
      <w:r w:rsidR="008617E8">
        <w:rPr>
          <w:rFonts w:cs="Times New Roman"/>
        </w:rPr>
        <w:t>“</w:t>
      </w:r>
      <w:r w:rsidRPr="008D2B9D">
        <w:rPr>
          <w:rFonts w:cs="Times New Roman"/>
        </w:rPr>
        <w:t>mise en état</w:t>
      </w:r>
      <w:r w:rsidR="008617E8">
        <w:rPr>
          <w:rFonts w:cs="Times New Roman"/>
        </w:rPr>
        <w:t>”</w:t>
      </w:r>
      <w:r w:rsidRPr="008D2B9D">
        <w:rPr>
          <w:rFonts w:cs="Times New Roman"/>
        </w:rPr>
        <w:t xml:space="preserve"> et de jugement de ces affaires russes. Il s’avère en effet que la Russie a choisi, depuis le 16 mars 2022, de faire purement et simplement </w:t>
      </w:r>
      <w:r w:rsidR="008617E8">
        <w:rPr>
          <w:rFonts w:cs="Times New Roman"/>
        </w:rPr>
        <w:t>“</w:t>
      </w:r>
      <w:r w:rsidRPr="008D2B9D">
        <w:rPr>
          <w:rFonts w:cs="Times New Roman"/>
        </w:rPr>
        <w:t>défaut</w:t>
      </w:r>
      <w:r w:rsidR="008617E8">
        <w:rPr>
          <w:rFonts w:cs="Times New Roman"/>
        </w:rPr>
        <w:t>”</w:t>
      </w:r>
      <w:r w:rsidRPr="008D2B9D">
        <w:rPr>
          <w:rFonts w:cs="Times New Roman"/>
        </w:rPr>
        <w:t>.</w:t>
      </w:r>
    </w:p>
    <w:p w14:paraId="159B3120" w14:textId="72F64F43" w:rsidR="00886F9B" w:rsidRPr="008D2B9D" w:rsidRDefault="005E6B44" w:rsidP="007E75CC">
      <w:pPr>
        <w:pStyle w:val="s899b3e47"/>
        <w:rPr>
          <w:rStyle w:val="markedcontent"/>
          <w:lang w:val="en-US"/>
        </w:rPr>
      </w:pPr>
      <w:r w:rsidRPr="008D2B9D">
        <w:rPr>
          <w:iCs/>
        </w:rPr>
        <w:t>Et q</w:t>
      </w:r>
      <w:r w:rsidR="00887F28" w:rsidRPr="008D2B9D">
        <w:rPr>
          <w:iCs/>
        </w:rPr>
        <w:t xml:space="preserve">uel sera le résultat de tous ces efforts ? </w:t>
      </w:r>
      <w:r w:rsidR="00A73080" w:rsidRPr="008D2B9D">
        <w:rPr>
          <w:iCs/>
        </w:rPr>
        <w:t>A peu près n</w:t>
      </w:r>
      <w:r w:rsidR="00887F28" w:rsidRPr="008D2B9D">
        <w:rPr>
          <w:iCs/>
        </w:rPr>
        <w:t>ul</w:t>
      </w:r>
      <w:r w:rsidR="00A73080" w:rsidRPr="008D2B9D">
        <w:rPr>
          <w:iCs/>
        </w:rPr>
        <w:t>, hélas.</w:t>
      </w:r>
      <w:r w:rsidR="00887F28" w:rsidRPr="008D2B9D">
        <w:rPr>
          <w:iCs/>
        </w:rPr>
        <w:t xml:space="preserve"> Dès avant les évènements, la Fédération de Russie avait déjà un passif catastrophique d’inexécution des arrêts</w:t>
      </w:r>
      <w:r w:rsidR="00A73080" w:rsidRPr="008D2B9D">
        <w:rPr>
          <w:iCs/>
        </w:rPr>
        <w:t xml:space="preserve"> </w:t>
      </w:r>
      <w:r w:rsidR="00886F9B" w:rsidRPr="008D2B9D">
        <w:rPr>
          <w:iCs/>
        </w:rPr>
        <w:lastRenderedPageBreak/>
        <w:t>s</w:t>
      </w:r>
      <w:r w:rsidR="00A73080" w:rsidRPr="008D2B9D">
        <w:rPr>
          <w:iCs/>
        </w:rPr>
        <w:t>trasbourgeo</w:t>
      </w:r>
      <w:r w:rsidR="00886F9B" w:rsidRPr="008D2B9D">
        <w:rPr>
          <w:iCs/>
        </w:rPr>
        <w:t>i</w:t>
      </w:r>
      <w:r w:rsidR="00A73080" w:rsidRPr="008D2B9D">
        <w:rPr>
          <w:iCs/>
        </w:rPr>
        <w:t>s</w:t>
      </w:r>
      <w:r w:rsidR="00887F28" w:rsidRPr="008D2B9D">
        <w:rPr>
          <w:iCs/>
        </w:rPr>
        <w:t>. Depuis le printemps</w:t>
      </w:r>
      <w:r w:rsidR="00A73080" w:rsidRPr="008D2B9D">
        <w:rPr>
          <w:iCs/>
        </w:rPr>
        <w:t xml:space="preserve"> 2022</w:t>
      </w:r>
      <w:r w:rsidR="00887F28" w:rsidRPr="008D2B9D">
        <w:rPr>
          <w:iCs/>
        </w:rPr>
        <w:t xml:space="preserve">, la situation est celle d’un échec et mat complet. </w:t>
      </w:r>
      <w:r w:rsidR="00887F28" w:rsidRPr="008D2B9D">
        <w:t>Le 11 juin 2022, le président Vladimir P</w:t>
      </w:r>
      <w:r w:rsidRPr="008D2B9D">
        <w:t>ou</w:t>
      </w:r>
      <w:r w:rsidR="00887F28" w:rsidRPr="008D2B9D">
        <w:t>tin</w:t>
      </w:r>
      <w:r w:rsidRPr="008D2B9D">
        <w:t>e</w:t>
      </w:r>
      <w:r w:rsidR="00887F28" w:rsidRPr="008D2B9D">
        <w:t xml:space="preserve"> a promulgué deux nouvelles lois ayant pour effet, en substance, de rendre non exécutables, dans l’ordre juridique interne, les condamnations de la Cour européenne des droits de l’Homme qui viendraient à être prononcées après le 15 mars 2022. Ceci confirme sans ambiguïté que la Russie n’entend plus (du tout) se soumettre à l’appareil strasbourgeois à compter de (ce qu’elle conçoit comme étant) son retrait, le 15 mars 2022. Le dernier rapport du Comité des Ministres sur l’exécution des arrêts de la Cour est atterrant</w:t>
      </w:r>
      <w:r w:rsidR="008D2B9D" w:rsidRPr="008D2B9D">
        <w:t>:</w:t>
      </w:r>
      <w:r w:rsidR="00887F28" w:rsidRPr="008D2B9D">
        <w:t xml:space="preserve"> </w:t>
      </w:r>
      <w:r w:rsidR="00887F28" w:rsidRPr="008D2B9D">
        <w:rPr>
          <w:rStyle w:val="markedcontent"/>
        </w:rPr>
        <w:t>au 31 décembre 2022, la Fédération de Russie avait 2 352 affaires en attente d’exécution</w:t>
      </w:r>
      <w:r w:rsidR="00377980" w:rsidRPr="008D2B9D">
        <w:rPr>
          <w:rStyle w:val="Appelnotedebasdep"/>
        </w:rPr>
        <w:footnoteReference w:id="35"/>
      </w:r>
      <w:r w:rsidR="00887F28" w:rsidRPr="008D2B9D">
        <w:rPr>
          <w:rStyle w:val="markedcontent"/>
        </w:rPr>
        <w:t>. Comme pour le jugement des affaires proprement dit, l’</w:t>
      </w:r>
      <w:r w:rsidR="00886F9B" w:rsidRPr="008D2B9D">
        <w:rPr>
          <w:rStyle w:val="markedcontent"/>
        </w:rPr>
        <w:t>E</w:t>
      </w:r>
      <w:r w:rsidR="00887F28" w:rsidRPr="008D2B9D">
        <w:rPr>
          <w:rStyle w:val="markedcontent"/>
        </w:rPr>
        <w:t>tat est aux abonnés absents</w:t>
      </w:r>
      <w:r w:rsidR="003B4131" w:rsidRPr="008D2B9D">
        <w:rPr>
          <w:rStyle w:val="Appelnotedebasdep"/>
        </w:rPr>
        <w:footnoteReference w:id="36"/>
      </w:r>
      <w:r w:rsidR="00887F28" w:rsidRPr="008D2B9D">
        <w:rPr>
          <w:rStyle w:val="markedcontent"/>
        </w:rPr>
        <w:t xml:space="preserve">. Quel est le sens, alors, de ce jugement ? La satisfaction des victimes, même purement symbolique. Leur rendre justice. C’est sans doute très important, mais est-ce suffisant ? Dans son étude d’ores et déjà citée, </w:t>
      </w:r>
      <w:hyperlink r:id="rId8" w:history="1">
        <w:r w:rsidR="00887F28" w:rsidRPr="008D2B9D">
          <w:rPr>
            <w:rStyle w:val="markedcontent"/>
          </w:rPr>
          <w:t>Kanstantsin Dzehtsiarou</w:t>
        </w:r>
      </w:hyperlink>
      <w:r w:rsidR="00887F28" w:rsidRPr="008D2B9D">
        <w:rPr>
          <w:rStyle w:val="markedcontent"/>
        </w:rPr>
        <w:t>, averti</w:t>
      </w:r>
      <w:r w:rsidR="00A73080" w:rsidRPr="008D2B9D">
        <w:rPr>
          <w:rStyle w:val="markedcontent"/>
        </w:rPr>
        <w:t>ssait</w:t>
      </w:r>
      <w:r w:rsidR="008D2B9D" w:rsidRPr="008D2B9D">
        <w:rPr>
          <w:rStyle w:val="markedcontent"/>
        </w:rPr>
        <w:t>:</w:t>
      </w:r>
      <w:r w:rsidR="00887F28" w:rsidRPr="008D2B9D">
        <w:rPr>
          <w:rStyle w:val="markedcontent"/>
        </w:rPr>
        <w:t xml:space="preserve"> </w:t>
      </w:r>
      <w:r w:rsidR="008617E8">
        <w:rPr>
          <w:rStyle w:val="markedcontent"/>
        </w:rPr>
        <w:t>“</w:t>
      </w:r>
      <w:r w:rsidR="00887F28" w:rsidRPr="009C6F4B">
        <w:rPr>
          <w:rStyle w:val="markedcontent"/>
          <w:i/>
          <w:iCs/>
        </w:rPr>
        <w:t xml:space="preserve">The ECtHR is not an archive that systematises the human rights violations in Russia. </w:t>
      </w:r>
      <w:r w:rsidR="00887F28" w:rsidRPr="009C6F4B">
        <w:rPr>
          <w:rStyle w:val="markedcontent"/>
          <w:i/>
          <w:iCs/>
          <w:lang w:val="en-US"/>
        </w:rPr>
        <w:t>It is a judicial institution. The legitimacy of the Court depends on the effective implementation of its judgments and no implementation can be expected from the judgments against Russia</w:t>
      </w:r>
      <w:r w:rsidR="008617E8">
        <w:rPr>
          <w:rStyle w:val="markedcontent"/>
          <w:lang w:val="en-US"/>
        </w:rPr>
        <w:t>”</w:t>
      </w:r>
      <w:r w:rsidR="00F020EF" w:rsidRPr="008D2B9D">
        <w:rPr>
          <w:rStyle w:val="Appelnotedebasdep"/>
          <w:lang w:val="en-US"/>
        </w:rPr>
        <w:footnoteReference w:id="37"/>
      </w:r>
      <w:r w:rsidR="00887F28" w:rsidRPr="008D2B9D">
        <w:rPr>
          <w:rStyle w:val="markedcontent"/>
          <w:lang w:val="en-US"/>
        </w:rPr>
        <w:t>.</w:t>
      </w:r>
    </w:p>
    <w:p w14:paraId="7DB865F3" w14:textId="6E4BA81C" w:rsidR="00A73080" w:rsidRPr="008D2B9D" w:rsidRDefault="00887F28" w:rsidP="009C6F4B">
      <w:pPr>
        <w:pStyle w:val="s899b3e47"/>
        <w:rPr>
          <w:rStyle w:val="markedcontent"/>
          <w:rFonts w:eastAsiaTheme="minorHAnsi" w:cstheme="minorBidi"/>
          <w:lang w:val="fr-FR" w:eastAsia="en-US"/>
        </w:rPr>
      </w:pPr>
      <w:r w:rsidRPr="008D2B9D">
        <w:rPr>
          <w:rStyle w:val="markedcontent"/>
        </w:rPr>
        <w:t>Certains commentateurs</w:t>
      </w:r>
      <w:r w:rsidR="00A73080" w:rsidRPr="008D2B9D">
        <w:rPr>
          <w:rStyle w:val="Appelnotedebasdep"/>
        </w:rPr>
        <w:footnoteReference w:id="38"/>
      </w:r>
      <w:r w:rsidR="00A73080" w:rsidRPr="008D2B9D">
        <w:rPr>
          <w:rStyle w:val="markedcontent"/>
        </w:rPr>
        <w:t xml:space="preserve"> ont cru pouvoir déduire des arrêts précités de janvier 2023 que la Cour se serait orientée dans la voie, ci-avant inventoriée, du </w:t>
      </w:r>
      <w:r w:rsidR="00A73080" w:rsidRPr="008D2B9D">
        <w:rPr>
          <w:rStyle w:val="markedcontent"/>
          <w:i/>
        </w:rPr>
        <w:t xml:space="preserve">business as usual. </w:t>
      </w:r>
      <w:r w:rsidR="00A73080" w:rsidRPr="008D2B9D">
        <w:rPr>
          <w:rStyle w:val="markedcontent"/>
        </w:rPr>
        <w:t xml:space="preserve">A notre estime, il est cependant trop tôt pour conclure définitivement </w:t>
      </w:r>
      <w:r w:rsidR="00C27611" w:rsidRPr="008D2B9D">
        <w:rPr>
          <w:rStyle w:val="markedcontent"/>
        </w:rPr>
        <w:t>en ce sens</w:t>
      </w:r>
      <w:r w:rsidR="008D2B9D" w:rsidRPr="008D2B9D">
        <w:rPr>
          <w:rStyle w:val="markedcontent"/>
        </w:rPr>
        <w:t>:</w:t>
      </w:r>
      <w:r w:rsidR="00C27611" w:rsidRPr="008D2B9D">
        <w:rPr>
          <w:rStyle w:val="markedcontent"/>
        </w:rPr>
        <w:t xml:space="preserve"> des choix de politique judiciaire devront encore peut être faits. Ils seront discutables à loisir</w:t>
      </w:r>
      <w:r w:rsidR="005B0FD5" w:rsidRPr="008D2B9D">
        <w:rPr>
          <w:rStyle w:val="markedcontent"/>
        </w:rPr>
        <w:t>. Le moins que l’on puisse souhaiter, cependant, est qu’ils soient reconnus comme tels, et abordés de manière transparente</w:t>
      </w:r>
      <w:r w:rsidR="00886F9B" w:rsidRPr="008D2B9D">
        <w:rPr>
          <w:rStyle w:val="markedcontent"/>
        </w:rPr>
        <w:t xml:space="preserve"> et argumentée</w:t>
      </w:r>
      <w:r w:rsidR="005B0FD5" w:rsidRPr="008D2B9D">
        <w:rPr>
          <w:rStyle w:val="markedcontent"/>
        </w:rPr>
        <w:t>, plutôt que refoulés</w:t>
      </w:r>
      <w:r w:rsidR="00886F9B" w:rsidRPr="008D2B9D">
        <w:rPr>
          <w:rStyle w:val="markedcontent"/>
        </w:rPr>
        <w:t xml:space="preserve"> honteusement</w:t>
      </w:r>
      <w:r w:rsidR="005B0FD5" w:rsidRPr="008D2B9D">
        <w:rPr>
          <w:rStyle w:val="markedcontent"/>
        </w:rPr>
        <w:t xml:space="preserve"> </w:t>
      </w:r>
      <w:r w:rsidR="00886F9B" w:rsidRPr="008D2B9D">
        <w:rPr>
          <w:rStyle w:val="markedcontent"/>
        </w:rPr>
        <w:t xml:space="preserve">et opérés en </w:t>
      </w:r>
      <w:r w:rsidR="00886F9B" w:rsidRPr="008D2B9D">
        <w:rPr>
          <w:rStyle w:val="markedcontent"/>
          <w:i/>
        </w:rPr>
        <w:t>stoemelings</w:t>
      </w:r>
      <w:r w:rsidR="00886F9B" w:rsidRPr="008D2B9D">
        <w:rPr>
          <w:rStyle w:val="markedcontent"/>
        </w:rPr>
        <w:t xml:space="preserve">. </w:t>
      </w:r>
    </w:p>
    <w:p w14:paraId="262C0680" w14:textId="77777777" w:rsidR="00887F28" w:rsidRPr="009C6F4B" w:rsidRDefault="00887F28" w:rsidP="007E75CC">
      <w:pPr>
        <w:pStyle w:val="s899b3e47"/>
        <w:rPr>
          <w:rStyle w:val="markedcontent"/>
          <w:b/>
          <w:bCs/>
        </w:rPr>
      </w:pPr>
    </w:p>
    <w:p w14:paraId="020233A5" w14:textId="77777777" w:rsidR="00887F28" w:rsidRPr="009C6F4B" w:rsidRDefault="00887F28" w:rsidP="007E75CC">
      <w:pPr>
        <w:pStyle w:val="s899b3e47"/>
        <w:rPr>
          <w:rStyle w:val="markedcontent"/>
          <w:b/>
          <w:bCs/>
        </w:rPr>
      </w:pPr>
    </w:p>
    <w:p w14:paraId="2983FDEF" w14:textId="77777777" w:rsidR="00887F28" w:rsidRPr="009C6F4B" w:rsidRDefault="00887F28" w:rsidP="007E75CC">
      <w:pPr>
        <w:tabs>
          <w:tab w:val="left" w:pos="426"/>
        </w:tabs>
        <w:rPr>
          <w:rFonts w:cs="Times New Roman"/>
          <w:b/>
          <w:bCs/>
        </w:rPr>
      </w:pPr>
    </w:p>
    <w:p w14:paraId="47B18E1F" w14:textId="77777777" w:rsidR="002C2846" w:rsidRPr="008D2B9D" w:rsidRDefault="002C2846" w:rsidP="007E75CC">
      <w:pPr>
        <w:pStyle w:val="s10950c61"/>
        <w:rPr>
          <w:rStyle w:val="sbb9ee52a"/>
        </w:rPr>
      </w:pPr>
    </w:p>
    <w:p w14:paraId="01A61302" w14:textId="77777777" w:rsidR="00584D0B" w:rsidRPr="008D2B9D" w:rsidRDefault="00584D0B" w:rsidP="009C6F4B">
      <w:pPr>
        <w:pStyle w:val="s10950c61"/>
      </w:pPr>
    </w:p>
    <w:p w14:paraId="5B33DBBD" w14:textId="77777777" w:rsidR="00584D0B" w:rsidRPr="008D2B9D" w:rsidRDefault="00584D0B" w:rsidP="007E75CC">
      <w:pPr>
        <w:spacing w:before="60" w:after="40"/>
        <w:rPr>
          <w:rStyle w:val="sbb9ee52a"/>
          <w:rFonts w:cs="Times New Roman"/>
        </w:rPr>
      </w:pPr>
    </w:p>
    <w:p w14:paraId="6F81BB59" w14:textId="77777777" w:rsidR="00F140D2" w:rsidRPr="009C6F4B" w:rsidRDefault="00F140D2" w:rsidP="007E75CC">
      <w:pPr>
        <w:spacing w:before="60" w:after="40"/>
        <w:rPr>
          <w:rStyle w:val="sbb9ee52a"/>
          <w:rFonts w:cs="Times New Roman"/>
        </w:rPr>
      </w:pPr>
    </w:p>
    <w:p w14:paraId="5EFD3AE5" w14:textId="77777777" w:rsidR="00F140D2" w:rsidRPr="009C6F4B" w:rsidRDefault="00F140D2" w:rsidP="009C6F4B">
      <w:pPr>
        <w:spacing w:before="60" w:after="40"/>
        <w:rPr>
          <w:rFonts w:cs="Times New Roman"/>
          <w:i/>
        </w:rPr>
      </w:pPr>
    </w:p>
    <w:p w14:paraId="33C93CE2" w14:textId="77777777" w:rsidR="00813256" w:rsidRPr="008D2B9D" w:rsidRDefault="00813256" w:rsidP="007E75CC">
      <w:pPr>
        <w:rPr>
          <w:rFonts w:cs="Times New Roman"/>
          <w:iCs/>
        </w:rPr>
      </w:pPr>
    </w:p>
    <w:p w14:paraId="4A316DD6" w14:textId="77777777" w:rsidR="008B3E89" w:rsidRPr="008D2B9D" w:rsidRDefault="008B3E89" w:rsidP="007E75CC">
      <w:pPr>
        <w:rPr>
          <w:rFonts w:cs="Times New Roman"/>
        </w:rPr>
      </w:pPr>
    </w:p>
    <w:p w14:paraId="654F8C5F" w14:textId="77777777" w:rsidR="008B3E89" w:rsidRPr="008D2B9D" w:rsidRDefault="008B3E89" w:rsidP="007E75CC">
      <w:pPr>
        <w:rPr>
          <w:rFonts w:cs="Times New Roman"/>
        </w:rPr>
      </w:pPr>
    </w:p>
    <w:sectPr w:rsidR="008B3E89" w:rsidRPr="008D2B9D">
      <w:footerReference w:type="even"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4A07E" w14:textId="77777777" w:rsidR="00AA11E8" w:rsidRDefault="00AA11E8" w:rsidP="00F7685E">
      <w:r>
        <w:separator/>
      </w:r>
    </w:p>
  </w:endnote>
  <w:endnote w:type="continuationSeparator" w:id="0">
    <w:p w14:paraId="333F5389" w14:textId="77777777" w:rsidR="00AA11E8" w:rsidRDefault="00AA11E8" w:rsidP="00F768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2146701869"/>
      <w:docPartObj>
        <w:docPartGallery w:val="Page Numbers (Bottom of Page)"/>
        <w:docPartUnique/>
      </w:docPartObj>
    </w:sdtPr>
    <w:sdtContent>
      <w:p w14:paraId="3D1C9ADF" w14:textId="77777777" w:rsidR="00264708" w:rsidRDefault="00264708" w:rsidP="00E34D38">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0D6E4398" w14:textId="77777777" w:rsidR="00264708" w:rsidRDefault="00264708" w:rsidP="00264708">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798828709"/>
      <w:docPartObj>
        <w:docPartGallery w:val="Page Numbers (Bottom of Page)"/>
        <w:docPartUnique/>
      </w:docPartObj>
    </w:sdtPr>
    <w:sdtContent>
      <w:p w14:paraId="2944E174" w14:textId="77777777" w:rsidR="00264708" w:rsidRDefault="00264708" w:rsidP="00E34D38">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5289E054" w14:textId="77777777" w:rsidR="00264708" w:rsidRDefault="00264708" w:rsidP="00264708">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E986E" w14:textId="77777777" w:rsidR="00AA11E8" w:rsidRDefault="00AA11E8" w:rsidP="00F7685E">
      <w:r>
        <w:separator/>
      </w:r>
    </w:p>
  </w:footnote>
  <w:footnote w:type="continuationSeparator" w:id="0">
    <w:p w14:paraId="4B1BC851" w14:textId="77777777" w:rsidR="00AA11E8" w:rsidRDefault="00AA11E8" w:rsidP="00F7685E">
      <w:r>
        <w:continuationSeparator/>
      </w:r>
    </w:p>
  </w:footnote>
  <w:footnote w:id="1">
    <w:p w14:paraId="7B311DCA" w14:textId="7C48F3BD" w:rsidR="00F7685E" w:rsidRPr="00264708" w:rsidRDefault="00F7685E">
      <w:pPr>
        <w:pStyle w:val="Notedebasdepage"/>
        <w:rPr>
          <w:rFonts w:cs="Times New Roman"/>
        </w:rPr>
      </w:pPr>
      <w:r w:rsidRPr="00264708">
        <w:rPr>
          <w:rStyle w:val="Appelnotedebasdep"/>
          <w:rFonts w:cs="Times New Roman"/>
        </w:rPr>
        <w:footnoteRef/>
      </w:r>
      <w:r w:rsidRPr="00264708">
        <w:rPr>
          <w:rFonts w:cs="Times New Roman"/>
        </w:rPr>
        <w:t xml:space="preserve"> F. </w:t>
      </w:r>
      <w:r w:rsidRPr="00264708">
        <w:rPr>
          <w:rFonts w:cs="Times New Roman"/>
          <w:smallCaps/>
        </w:rPr>
        <w:t>Dumon</w:t>
      </w:r>
      <w:r w:rsidRPr="00264708">
        <w:rPr>
          <w:rFonts w:cs="Times New Roman"/>
        </w:rPr>
        <w:t xml:space="preserve">, </w:t>
      </w:r>
      <w:r w:rsidR="008617E8">
        <w:rPr>
          <w:rFonts w:cs="Times New Roman"/>
        </w:rPr>
        <w:t>“</w:t>
      </w:r>
      <w:r w:rsidRPr="00264708">
        <w:rPr>
          <w:rFonts w:cs="Times New Roman"/>
        </w:rPr>
        <w:t>La mission des cours et tribunaux, Quelques réflexions</w:t>
      </w:r>
      <w:r w:rsidR="008617E8">
        <w:rPr>
          <w:rFonts w:cs="Times New Roman"/>
        </w:rPr>
        <w:t>”</w:t>
      </w:r>
      <w:r w:rsidRPr="00264708">
        <w:rPr>
          <w:rFonts w:cs="Times New Roman"/>
        </w:rPr>
        <w:t>, Mercuriale prononcée à l’audience solennelle de la Cour de cassation du 1</w:t>
      </w:r>
      <w:r w:rsidRPr="00264708">
        <w:rPr>
          <w:rFonts w:cs="Times New Roman"/>
          <w:vertAlign w:val="superscript"/>
        </w:rPr>
        <w:t>er</w:t>
      </w:r>
      <w:r w:rsidRPr="00264708">
        <w:rPr>
          <w:rFonts w:cs="Times New Roman"/>
        </w:rPr>
        <w:t xml:space="preserve"> septembre 1975, </w:t>
      </w:r>
      <w:r w:rsidRPr="00264708">
        <w:rPr>
          <w:rFonts w:cs="Times New Roman"/>
          <w:i/>
        </w:rPr>
        <w:t xml:space="preserve">JT </w:t>
      </w:r>
      <w:r w:rsidRPr="00264708">
        <w:rPr>
          <w:rFonts w:cs="Times New Roman"/>
        </w:rPr>
        <w:t>1975, spéc. p. 561</w:t>
      </w:r>
      <w:r w:rsidR="004F0808">
        <w:rPr>
          <w:rFonts w:cs="Times New Roman"/>
        </w:rPr>
        <w:t>.</w:t>
      </w:r>
    </w:p>
  </w:footnote>
  <w:footnote w:id="2">
    <w:p w14:paraId="2650C84B" w14:textId="3BA4E722" w:rsidR="00E65475" w:rsidRPr="00264708" w:rsidRDefault="00E65475">
      <w:pPr>
        <w:pStyle w:val="Notedebasdepage"/>
        <w:rPr>
          <w:rFonts w:cs="Times New Roman"/>
        </w:rPr>
      </w:pPr>
      <w:r w:rsidRPr="00264708">
        <w:rPr>
          <w:rStyle w:val="Appelnotedebasdep"/>
          <w:rFonts w:cs="Times New Roman"/>
        </w:rPr>
        <w:footnoteRef/>
      </w:r>
      <w:r w:rsidRPr="00264708">
        <w:rPr>
          <w:rFonts w:cs="Times New Roman"/>
        </w:rPr>
        <w:t xml:space="preserve"> </w:t>
      </w:r>
      <w:r w:rsidR="006C2F59" w:rsidRPr="00264708">
        <w:rPr>
          <w:rFonts w:cs="Times New Roman"/>
        </w:rPr>
        <w:t xml:space="preserve">W. </w:t>
      </w:r>
      <w:r w:rsidR="006C2F59" w:rsidRPr="00264708">
        <w:rPr>
          <w:rFonts w:cs="Times New Roman"/>
          <w:smallCaps/>
        </w:rPr>
        <w:t>Van Gerven</w:t>
      </w:r>
      <w:r w:rsidR="006C2F59" w:rsidRPr="00264708">
        <w:rPr>
          <w:rFonts w:cs="Times New Roman"/>
        </w:rPr>
        <w:t xml:space="preserve">, </w:t>
      </w:r>
      <w:r w:rsidR="006C2F59" w:rsidRPr="00264708">
        <w:rPr>
          <w:rFonts w:cs="Times New Roman"/>
          <w:i/>
        </w:rPr>
        <w:t xml:space="preserve">La politique du juge, </w:t>
      </w:r>
      <w:r w:rsidR="006C2F59" w:rsidRPr="00264708">
        <w:rPr>
          <w:rFonts w:cs="Times New Roman"/>
        </w:rPr>
        <w:t xml:space="preserve">trad. </w:t>
      </w:r>
      <w:r w:rsidR="006039BC">
        <w:rPr>
          <w:rFonts w:cs="Times New Roman"/>
        </w:rPr>
        <w:t>p</w:t>
      </w:r>
      <w:r w:rsidR="006C2F59" w:rsidRPr="00264708">
        <w:rPr>
          <w:rFonts w:cs="Times New Roman"/>
        </w:rPr>
        <w:t xml:space="preserve">ar M-F. Rigaux et B. Dejemeppe </w:t>
      </w:r>
      <w:r w:rsidR="004F0808">
        <w:rPr>
          <w:rFonts w:cs="Times New Roman"/>
        </w:rPr>
        <w:t>(</w:t>
      </w:r>
      <w:r w:rsidR="006C2F59" w:rsidRPr="00264708">
        <w:rPr>
          <w:rFonts w:cs="Times New Roman"/>
        </w:rPr>
        <w:t>Bruxelles</w:t>
      </w:r>
      <w:r w:rsidR="004F0808">
        <w:rPr>
          <w:rFonts w:cs="Times New Roman"/>
        </w:rPr>
        <w:t>:</w:t>
      </w:r>
      <w:r w:rsidR="006C2F59" w:rsidRPr="00264708">
        <w:rPr>
          <w:rFonts w:cs="Times New Roman"/>
        </w:rPr>
        <w:t xml:space="preserve"> Swinnen, 1983</w:t>
      </w:r>
      <w:r w:rsidR="004F0808">
        <w:rPr>
          <w:rFonts w:cs="Times New Roman"/>
        </w:rPr>
        <w:t>)</w:t>
      </w:r>
      <w:r w:rsidR="006C2F59" w:rsidRPr="00264708">
        <w:rPr>
          <w:rFonts w:cs="Times New Roman"/>
        </w:rPr>
        <w:t xml:space="preserve">, </w:t>
      </w:r>
      <w:r w:rsidR="00F410CD">
        <w:rPr>
          <w:rFonts w:cs="Times New Roman"/>
        </w:rPr>
        <w:t>133</w:t>
      </w:r>
    </w:p>
  </w:footnote>
  <w:footnote w:id="3">
    <w:p w14:paraId="0420AD1B" w14:textId="06C012A7" w:rsidR="00645070" w:rsidRPr="00BC4218" w:rsidRDefault="00645070" w:rsidP="00190720">
      <w:pPr>
        <w:pStyle w:val="Notedebasdepage"/>
        <w:rPr>
          <w:rFonts w:cs="Times New Roman"/>
          <w:iCs/>
          <w:lang w:val="en-US"/>
        </w:rPr>
      </w:pPr>
      <w:r w:rsidRPr="00264708">
        <w:rPr>
          <w:rStyle w:val="Appelnotedebasdep"/>
          <w:rFonts w:cs="Times New Roman"/>
        </w:rPr>
        <w:footnoteRef/>
      </w:r>
      <w:r w:rsidRPr="00264708">
        <w:rPr>
          <w:rFonts w:cs="Times New Roman"/>
        </w:rPr>
        <w:t xml:space="preserve"> Voy. </w:t>
      </w:r>
      <w:r w:rsidRPr="00264708">
        <w:rPr>
          <w:rFonts w:cs="Times New Roman"/>
          <w:smallCaps/>
        </w:rPr>
        <w:t xml:space="preserve">F. </w:t>
      </w:r>
      <w:r w:rsidRPr="00264708">
        <w:rPr>
          <w:rFonts w:cs="Times New Roman"/>
          <w:smallCaps/>
        </w:rPr>
        <w:t>Krenc</w:t>
      </w:r>
      <w:r w:rsidRPr="00264708">
        <w:rPr>
          <w:rFonts w:cs="Times New Roman"/>
        </w:rPr>
        <w:t xml:space="preserve">, </w:t>
      </w:r>
      <w:r w:rsidRPr="00264708">
        <w:rPr>
          <w:rFonts w:cs="Times New Roman"/>
          <w:i/>
          <w:iCs/>
        </w:rPr>
        <w:t xml:space="preserve">Une Convention et une Cour pour les droits fondamentaux, la démocratie et l’état de droit en europe </w:t>
      </w:r>
      <w:r w:rsidR="004F0808">
        <w:rPr>
          <w:rFonts w:cs="Times New Roman"/>
        </w:rPr>
        <w:t>(</w:t>
      </w:r>
      <w:r w:rsidRPr="00264708">
        <w:rPr>
          <w:rFonts w:cs="Times New Roman"/>
          <w:iCs/>
        </w:rPr>
        <w:t>Anthemis</w:t>
      </w:r>
      <w:r w:rsidR="004F0808">
        <w:rPr>
          <w:rFonts w:cs="Times New Roman"/>
          <w:iCs/>
        </w:rPr>
        <w:t>:</w:t>
      </w:r>
      <w:r w:rsidRPr="00264708">
        <w:rPr>
          <w:rFonts w:cs="Times New Roman"/>
          <w:iCs/>
        </w:rPr>
        <w:t xml:space="preserve"> Louvain-La-Neuve, 2023</w:t>
      </w:r>
      <w:r w:rsidR="004F0808">
        <w:rPr>
          <w:rFonts w:cs="Times New Roman"/>
          <w:iCs/>
        </w:rPr>
        <w:t>)</w:t>
      </w:r>
      <w:r w:rsidRPr="00264708">
        <w:rPr>
          <w:rFonts w:cs="Times New Roman"/>
          <w:iCs/>
        </w:rPr>
        <w:t>, 165-166</w:t>
      </w:r>
      <w:r w:rsidR="00F76456" w:rsidRPr="00264708">
        <w:rPr>
          <w:rFonts w:cs="Times New Roman"/>
          <w:iCs/>
        </w:rPr>
        <w:t xml:space="preserve">. </w:t>
      </w:r>
      <w:r w:rsidR="00F76456" w:rsidRPr="00BC4218">
        <w:rPr>
          <w:rFonts w:cs="Times New Roman"/>
          <w:iCs/>
          <w:lang w:val="en-US"/>
        </w:rPr>
        <w:t xml:space="preserve">Voy. également K. </w:t>
      </w:r>
      <w:r w:rsidR="00F76456" w:rsidRPr="00BC4218">
        <w:rPr>
          <w:rFonts w:cs="Times New Roman"/>
          <w:iCs/>
          <w:smallCaps/>
          <w:lang w:val="en-US"/>
        </w:rPr>
        <w:t xml:space="preserve">Lemmens </w:t>
      </w:r>
      <w:r w:rsidR="00F76456" w:rsidRPr="00BC4218">
        <w:rPr>
          <w:rFonts w:cs="Times New Roman"/>
          <w:iCs/>
          <w:lang w:val="en-US"/>
        </w:rPr>
        <w:t xml:space="preserve">et S. </w:t>
      </w:r>
      <w:r w:rsidR="00F76456" w:rsidRPr="00BC4218">
        <w:rPr>
          <w:rFonts w:cs="Times New Roman"/>
          <w:iCs/>
          <w:smallCaps/>
          <w:lang w:val="en-US"/>
        </w:rPr>
        <w:t>Van Drooghenbroeck,</w:t>
      </w:r>
      <w:r w:rsidR="00F76456" w:rsidRPr="00BC4218">
        <w:rPr>
          <w:rFonts w:cs="Times New Roman"/>
          <w:iCs/>
          <w:lang w:val="en-US"/>
        </w:rPr>
        <w:t xml:space="preserve"> </w:t>
      </w:r>
      <w:r w:rsidR="00A430CF" w:rsidRPr="00BC4218">
        <w:rPr>
          <w:rFonts w:cs="Times New Roman"/>
          <w:iCs/>
          <w:lang w:val="en-US"/>
        </w:rPr>
        <w:t xml:space="preserve">“How ‘Systematic’ is the European Court of Human Rights’ Approach to ‘Systemic’ Violation of the </w:t>
      </w:r>
      <w:proofErr w:type="gramStart"/>
      <w:r w:rsidR="00A430CF" w:rsidRPr="00BC4218">
        <w:rPr>
          <w:rFonts w:cs="Times New Roman"/>
          <w:iCs/>
          <w:lang w:val="en-US"/>
        </w:rPr>
        <w:t>Convention ?</w:t>
      </w:r>
      <w:proofErr w:type="gramEnd"/>
      <w:r w:rsidR="008617E8">
        <w:rPr>
          <w:rFonts w:cs="Times New Roman"/>
          <w:iCs/>
          <w:lang w:val="en-US"/>
        </w:rPr>
        <w:t>”</w:t>
      </w:r>
      <w:r w:rsidR="00A430CF" w:rsidRPr="00BC4218">
        <w:rPr>
          <w:rFonts w:cs="Times New Roman"/>
          <w:iCs/>
          <w:lang w:val="en-US"/>
        </w:rPr>
        <w:t xml:space="preserve">, </w:t>
      </w:r>
      <w:r w:rsidR="004F0808">
        <w:rPr>
          <w:rFonts w:cs="Times New Roman"/>
          <w:iCs/>
          <w:lang w:val="en-US"/>
        </w:rPr>
        <w:t>24</w:t>
      </w:r>
      <w:r w:rsidR="007C084C">
        <w:rPr>
          <w:rFonts w:cs="Times New Roman"/>
          <w:iCs/>
          <w:lang w:val="en-US"/>
        </w:rPr>
        <w:t xml:space="preserve">(6) </w:t>
      </w:r>
      <w:r w:rsidR="00A430CF" w:rsidRPr="00BC4218">
        <w:rPr>
          <w:rFonts w:cs="Times New Roman"/>
          <w:i/>
          <w:iCs/>
          <w:lang w:val="en-US"/>
        </w:rPr>
        <w:t xml:space="preserve">German Law Journal, </w:t>
      </w:r>
      <w:r w:rsidR="00A430CF" w:rsidRPr="00BC4218">
        <w:rPr>
          <w:rFonts w:cs="Times New Roman"/>
          <w:iCs/>
          <w:lang w:val="en-US"/>
        </w:rPr>
        <w:t>1044-1061</w:t>
      </w:r>
    </w:p>
  </w:footnote>
  <w:footnote w:id="4">
    <w:p w14:paraId="749D9FB3" w14:textId="0C8E909F" w:rsidR="0015099F" w:rsidRPr="00264708" w:rsidRDefault="0015099F">
      <w:pPr>
        <w:pStyle w:val="Notedebasdepage"/>
        <w:rPr>
          <w:rFonts w:cs="Times New Roman"/>
          <w:lang w:val="nl-NL"/>
        </w:rPr>
      </w:pPr>
      <w:r w:rsidRPr="00264708">
        <w:rPr>
          <w:rStyle w:val="Appelnotedebasdep"/>
          <w:rFonts w:cs="Times New Roman"/>
        </w:rPr>
        <w:footnoteRef/>
      </w:r>
      <w:r w:rsidRPr="00264708">
        <w:rPr>
          <w:rFonts w:cs="Times New Roman"/>
          <w:lang w:val="nl-BE"/>
        </w:rPr>
        <w:t xml:space="preserve"> </w:t>
      </w:r>
      <w:r w:rsidR="00190720" w:rsidRPr="00264708">
        <w:rPr>
          <w:rFonts w:cs="Times New Roman"/>
          <w:lang w:val="nl-BE"/>
        </w:rPr>
        <w:t xml:space="preserve">W. </w:t>
      </w:r>
      <w:r w:rsidR="00190720" w:rsidRPr="00264708">
        <w:rPr>
          <w:rFonts w:cs="Times New Roman"/>
          <w:smallCaps/>
          <w:lang w:val="nl-BE"/>
        </w:rPr>
        <w:t>Van Gerven</w:t>
      </w:r>
      <w:r w:rsidR="00190720" w:rsidRPr="00264708">
        <w:rPr>
          <w:rFonts w:cs="Times New Roman"/>
          <w:lang w:val="nl-BE"/>
        </w:rPr>
        <w:t xml:space="preserve">, </w:t>
      </w:r>
      <w:r w:rsidR="008617E8">
        <w:rPr>
          <w:rFonts w:cs="Times New Roman"/>
          <w:lang w:val="nl-BE"/>
        </w:rPr>
        <w:t>“</w:t>
      </w:r>
      <w:r w:rsidR="00274A6D" w:rsidRPr="00264708">
        <w:rPr>
          <w:rFonts w:cs="Times New Roman"/>
          <w:lang w:val="nl-BE"/>
        </w:rPr>
        <w:t>Creatieve rechtspraak</w:t>
      </w:r>
      <w:r w:rsidR="008617E8">
        <w:rPr>
          <w:rFonts w:cs="Times New Roman"/>
          <w:lang w:val="nl-BE"/>
        </w:rPr>
        <w:t>”</w:t>
      </w:r>
      <w:r w:rsidR="00274A6D" w:rsidRPr="00264708">
        <w:rPr>
          <w:rFonts w:cs="Times New Roman"/>
          <w:lang w:val="nl-BE"/>
        </w:rPr>
        <w:t xml:space="preserve">, </w:t>
      </w:r>
      <w:r w:rsidR="00274A6D" w:rsidRPr="00264708">
        <w:rPr>
          <w:rFonts w:cs="Times New Roman"/>
          <w:i/>
          <w:lang w:val="nl-BE"/>
        </w:rPr>
        <w:t>RW</w:t>
      </w:r>
      <w:r w:rsidR="00274A6D" w:rsidRPr="00264708">
        <w:rPr>
          <w:rFonts w:cs="Times New Roman"/>
          <w:lang w:val="nl-BE"/>
        </w:rPr>
        <w:t xml:space="preserve"> 1997-1998, 209-223</w:t>
      </w:r>
      <w:r w:rsidR="007C084C">
        <w:rPr>
          <w:rFonts w:cs="Times New Roman"/>
          <w:lang w:val="nl-BE"/>
        </w:rPr>
        <w:t>.</w:t>
      </w:r>
    </w:p>
  </w:footnote>
  <w:footnote w:id="5">
    <w:p w14:paraId="5E048D63" w14:textId="23A18471"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Voy. Gabriel </w:t>
      </w:r>
      <w:r w:rsidRPr="00264708">
        <w:rPr>
          <w:rFonts w:cs="Times New Roman"/>
          <w:smallCaps/>
          <w:color w:val="000000" w:themeColor="text1"/>
        </w:rPr>
        <w:t>Marty</w:t>
      </w:r>
      <w:r w:rsidRPr="00264708">
        <w:rPr>
          <w:rFonts w:cs="Times New Roman"/>
          <w:color w:val="000000" w:themeColor="text1"/>
        </w:rPr>
        <w:t xml:space="preserve">, </w:t>
      </w:r>
      <w:r w:rsidRPr="00264708">
        <w:rPr>
          <w:rFonts w:cs="Times New Roman"/>
          <w:i/>
          <w:color w:val="000000" w:themeColor="text1"/>
        </w:rPr>
        <w:t xml:space="preserve">La distinction du fait et du droit. </w:t>
      </w:r>
      <w:r w:rsidRPr="00264708">
        <w:rPr>
          <w:rFonts w:cs="Times New Roman"/>
          <w:i/>
          <w:color w:val="000000" w:themeColor="text1"/>
        </w:rPr>
        <w:t xml:space="preserve">Essai sur le pouvoir de la Cour de cassation, </w:t>
      </w:r>
      <w:r w:rsidRPr="00264708">
        <w:rPr>
          <w:rFonts w:cs="Times New Roman"/>
          <w:color w:val="000000" w:themeColor="text1"/>
        </w:rPr>
        <w:t xml:space="preserve">thèse </w:t>
      </w:r>
      <w:r w:rsidR="007C084C">
        <w:rPr>
          <w:rFonts w:cs="Times New Roman"/>
          <w:color w:val="000000" w:themeColor="text1"/>
        </w:rPr>
        <w:t>(</w:t>
      </w:r>
      <w:r w:rsidRPr="00264708">
        <w:rPr>
          <w:rFonts w:cs="Times New Roman"/>
          <w:color w:val="000000" w:themeColor="text1"/>
        </w:rPr>
        <w:t>Paris, Sirey, 1929</w:t>
      </w:r>
      <w:r w:rsidR="007C084C">
        <w:rPr>
          <w:rFonts w:cs="Times New Roman"/>
          <w:color w:val="000000" w:themeColor="text1"/>
        </w:rPr>
        <w:t>)</w:t>
      </w:r>
      <w:r w:rsidRPr="00264708">
        <w:rPr>
          <w:rFonts w:cs="Times New Roman"/>
          <w:color w:val="000000" w:themeColor="text1"/>
        </w:rPr>
        <w:t xml:space="preserve">, cité par François </w:t>
      </w:r>
      <w:r w:rsidRPr="00264708">
        <w:rPr>
          <w:rFonts w:cs="Times New Roman"/>
          <w:smallCaps/>
          <w:color w:val="000000" w:themeColor="text1"/>
        </w:rPr>
        <w:t>Rigaux</w:t>
      </w:r>
      <w:r w:rsidRPr="00264708">
        <w:rPr>
          <w:rFonts w:cs="Times New Roman"/>
          <w:color w:val="000000" w:themeColor="text1"/>
        </w:rPr>
        <w:t xml:space="preserve">, </w:t>
      </w:r>
      <w:r w:rsidRPr="00264708">
        <w:rPr>
          <w:rFonts w:cs="Times New Roman"/>
          <w:i/>
          <w:color w:val="000000" w:themeColor="text1"/>
        </w:rPr>
        <w:t xml:space="preserve">La nature du contrôle de la Cour de cassation </w:t>
      </w:r>
      <w:r w:rsidR="007C084C">
        <w:rPr>
          <w:rFonts w:cs="Times New Roman"/>
          <w:iCs/>
          <w:color w:val="000000" w:themeColor="text1"/>
        </w:rPr>
        <w:t>(</w:t>
      </w:r>
      <w:r w:rsidRPr="00264708">
        <w:rPr>
          <w:rFonts w:cs="Times New Roman"/>
          <w:color w:val="000000" w:themeColor="text1"/>
        </w:rPr>
        <w:t>Bruxelles</w:t>
      </w:r>
      <w:r w:rsidR="007C084C">
        <w:rPr>
          <w:rFonts w:cs="Times New Roman"/>
          <w:color w:val="000000" w:themeColor="text1"/>
        </w:rPr>
        <w:t>:</w:t>
      </w:r>
      <w:r w:rsidRPr="00264708">
        <w:rPr>
          <w:rFonts w:cs="Times New Roman"/>
          <w:color w:val="000000" w:themeColor="text1"/>
        </w:rPr>
        <w:t xml:space="preserve"> Bruylant, 1966</w:t>
      </w:r>
      <w:r w:rsidR="007C084C">
        <w:rPr>
          <w:rFonts w:cs="Times New Roman"/>
          <w:color w:val="000000" w:themeColor="text1"/>
        </w:rPr>
        <w:t>)</w:t>
      </w:r>
      <w:r w:rsidRPr="00264708">
        <w:rPr>
          <w:rFonts w:cs="Times New Roman"/>
          <w:color w:val="000000" w:themeColor="text1"/>
        </w:rPr>
        <w:t>, 363.</w:t>
      </w:r>
    </w:p>
  </w:footnote>
  <w:footnote w:id="6">
    <w:p w14:paraId="6FB0F670" w14:textId="1518EB18"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w:t>
      </w:r>
      <w:bookmarkStart w:id="0" w:name="_Hlk86861223"/>
      <w:r w:rsidRPr="00264708">
        <w:rPr>
          <w:rFonts w:eastAsia="MS Mincho" w:cs="Times New Roman"/>
          <w:color w:val="000000"/>
        </w:rPr>
        <w:t xml:space="preserve">Alain </w:t>
      </w:r>
      <w:r w:rsidRPr="00264708">
        <w:rPr>
          <w:rFonts w:eastAsia="MS Mincho" w:cs="Times New Roman"/>
          <w:smallCaps/>
          <w:color w:val="000000"/>
        </w:rPr>
        <w:t>S</w:t>
      </w:r>
      <w:r w:rsidR="007C084C">
        <w:rPr>
          <w:rFonts w:eastAsia="MS Mincho" w:cs="Times New Roman"/>
          <w:smallCaps/>
          <w:color w:val="000000"/>
        </w:rPr>
        <w:t>é</w:t>
      </w:r>
      <w:r w:rsidRPr="00264708">
        <w:rPr>
          <w:rFonts w:eastAsia="MS Mincho" w:cs="Times New Roman"/>
          <w:smallCaps/>
          <w:color w:val="000000"/>
        </w:rPr>
        <w:t>riaux</w:t>
      </w:r>
      <w:r w:rsidRPr="00264708">
        <w:rPr>
          <w:rFonts w:eastAsia="MS Mincho" w:cs="Times New Roman"/>
          <w:color w:val="000000"/>
        </w:rPr>
        <w:t xml:space="preserve">, </w:t>
      </w:r>
      <w:r w:rsidR="008617E8">
        <w:rPr>
          <w:rFonts w:eastAsia="MS Mincho" w:cs="Times New Roman"/>
          <w:color w:val="000000"/>
        </w:rPr>
        <w:t>“</w:t>
      </w:r>
      <w:r w:rsidRPr="00264708">
        <w:rPr>
          <w:rFonts w:eastAsia="MS Mincho" w:cs="Times New Roman"/>
          <w:color w:val="000000"/>
        </w:rPr>
        <w:t xml:space="preserve">Les enjeux éthiques de l’activité de </w:t>
      </w:r>
      <w:r w:rsidRPr="00264708">
        <w:rPr>
          <w:rFonts w:eastAsia="MS Mincho" w:cs="Times New Roman"/>
          <w:i/>
          <w:iCs/>
          <w:color w:val="000000"/>
        </w:rPr>
        <w:t>iurisdictio</w:t>
      </w:r>
      <w:r w:rsidR="008617E8">
        <w:rPr>
          <w:rFonts w:eastAsia="MS Mincho" w:cs="Times New Roman"/>
          <w:color w:val="000000"/>
        </w:rPr>
        <w:t>”</w:t>
      </w:r>
      <w:r w:rsidRPr="00264708">
        <w:rPr>
          <w:rFonts w:eastAsia="MS Mincho" w:cs="Times New Roman"/>
          <w:color w:val="000000"/>
        </w:rPr>
        <w:t xml:space="preserve">, </w:t>
      </w:r>
      <w:r w:rsidRPr="00264708">
        <w:rPr>
          <w:rFonts w:eastAsia="MS Mincho" w:cs="Times New Roman"/>
          <w:i/>
          <w:iCs/>
          <w:color w:val="000000"/>
        </w:rPr>
        <w:t xml:space="preserve">in </w:t>
      </w:r>
      <w:r w:rsidRPr="00264708">
        <w:rPr>
          <w:rFonts w:eastAsia="MS Mincho" w:cs="Times New Roman"/>
          <w:color w:val="000000"/>
        </w:rPr>
        <w:t xml:space="preserve">Jean-Marie </w:t>
      </w:r>
      <w:r w:rsidRPr="009C6F4B">
        <w:rPr>
          <w:rFonts w:eastAsia="MS Mincho" w:cs="Times New Roman"/>
          <w:color w:val="000000"/>
        </w:rPr>
        <w:t>Carbasse</w:t>
      </w:r>
      <w:r w:rsidRPr="007C084C">
        <w:rPr>
          <w:rFonts w:eastAsia="MS Mincho" w:cs="Times New Roman"/>
          <w:color w:val="000000"/>
        </w:rPr>
        <w:t xml:space="preserve"> &amp; Laurence </w:t>
      </w:r>
      <w:r w:rsidRPr="009C6F4B">
        <w:rPr>
          <w:rFonts w:eastAsia="MS Mincho" w:cs="Times New Roman"/>
          <w:color w:val="000000"/>
        </w:rPr>
        <w:t>Depambour-Tarride</w:t>
      </w:r>
      <w:r w:rsidRPr="00264708">
        <w:rPr>
          <w:rFonts w:eastAsia="MS Mincho" w:cs="Times New Roman"/>
          <w:color w:val="000000"/>
        </w:rPr>
        <w:t xml:space="preserve"> (dir.), </w:t>
      </w:r>
      <w:r w:rsidRPr="00264708">
        <w:rPr>
          <w:rFonts w:eastAsia="MS Mincho" w:cs="Times New Roman"/>
          <w:i/>
          <w:iCs/>
          <w:color w:val="000000"/>
        </w:rPr>
        <w:t>La Conscience du juge dans la tradition juridique européenne</w:t>
      </w:r>
      <w:r w:rsidRPr="00264708">
        <w:rPr>
          <w:rFonts w:eastAsia="MS Mincho" w:cs="Times New Roman"/>
          <w:color w:val="000000"/>
        </w:rPr>
        <w:t xml:space="preserve"> </w:t>
      </w:r>
      <w:r w:rsidR="007C084C">
        <w:rPr>
          <w:rFonts w:eastAsia="MS Mincho" w:cs="Times New Roman"/>
          <w:color w:val="000000"/>
        </w:rPr>
        <w:t>(</w:t>
      </w:r>
      <w:r w:rsidRPr="00264708">
        <w:rPr>
          <w:rFonts w:eastAsia="MS Mincho" w:cs="Times New Roman"/>
          <w:color w:val="000000"/>
        </w:rPr>
        <w:t>Paris</w:t>
      </w:r>
      <w:r w:rsidR="007C084C">
        <w:rPr>
          <w:rFonts w:eastAsia="MS Mincho" w:cs="Times New Roman"/>
          <w:color w:val="000000"/>
        </w:rPr>
        <w:t>:</w:t>
      </w:r>
      <w:r w:rsidRPr="00264708">
        <w:rPr>
          <w:rFonts w:eastAsia="MS Mincho" w:cs="Times New Roman"/>
          <w:color w:val="000000"/>
        </w:rPr>
        <w:t xml:space="preserve"> PUF, 1999</w:t>
      </w:r>
      <w:r w:rsidR="007C084C">
        <w:rPr>
          <w:rFonts w:eastAsia="MS Mincho" w:cs="Times New Roman"/>
          <w:color w:val="000000"/>
        </w:rPr>
        <w:t>)</w:t>
      </w:r>
      <w:r w:rsidRPr="00264708">
        <w:rPr>
          <w:rFonts w:eastAsia="MS Mincho" w:cs="Times New Roman"/>
          <w:color w:val="000000"/>
        </w:rPr>
        <w:t>, 293-311.</w:t>
      </w:r>
      <w:bookmarkEnd w:id="0"/>
    </w:p>
  </w:footnote>
  <w:footnote w:id="7">
    <w:p w14:paraId="72EB20F8" w14:textId="05067E7D"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Voy. </w:t>
      </w:r>
      <w:bookmarkStart w:id="1" w:name="_Hlk86861839"/>
      <w:r w:rsidRPr="00264708">
        <w:rPr>
          <w:rFonts w:cs="Times New Roman"/>
          <w:color w:val="000000" w:themeColor="text1"/>
        </w:rPr>
        <w:t xml:space="preserve">Frédéric </w:t>
      </w:r>
      <w:r w:rsidRPr="00264708">
        <w:rPr>
          <w:rFonts w:cs="Times New Roman"/>
          <w:smallCaps/>
          <w:color w:val="000000" w:themeColor="text1"/>
        </w:rPr>
        <w:t>Krenc</w:t>
      </w:r>
      <w:r w:rsidRPr="00264708">
        <w:rPr>
          <w:rFonts w:cs="Times New Roman"/>
          <w:color w:val="000000" w:themeColor="text1"/>
        </w:rPr>
        <w:t xml:space="preserve">, </w:t>
      </w:r>
      <w:r w:rsidR="008617E8">
        <w:rPr>
          <w:rFonts w:cs="Times New Roman"/>
          <w:color w:val="000000" w:themeColor="text1"/>
        </w:rPr>
        <w:t>“</w:t>
      </w:r>
      <w:r w:rsidRPr="00264708">
        <w:rPr>
          <w:rFonts w:cs="Times New Roman"/>
          <w:color w:val="000000" w:themeColor="text1"/>
        </w:rPr>
        <w:t>’Dire le droit’, ‘rendre la justice’. Quelle Cour européenne des droits de l’Homme ?</w:t>
      </w:r>
      <w:r w:rsidR="008617E8">
        <w:rPr>
          <w:rFonts w:cs="Times New Roman"/>
          <w:color w:val="000000" w:themeColor="text1"/>
        </w:rPr>
        <w:t>”</w:t>
      </w:r>
      <w:r w:rsidRPr="00264708">
        <w:rPr>
          <w:rFonts w:cs="Times New Roman"/>
          <w:color w:val="000000" w:themeColor="text1"/>
        </w:rPr>
        <w:t xml:space="preserve">, </w:t>
      </w:r>
      <w:r w:rsidR="007C084C">
        <w:rPr>
          <w:rFonts w:cs="Times New Roman"/>
          <w:color w:val="000000" w:themeColor="text1"/>
        </w:rPr>
        <w:t xml:space="preserve">114. </w:t>
      </w:r>
      <w:r w:rsidRPr="00264708">
        <w:rPr>
          <w:rFonts w:cs="Times New Roman"/>
          <w:i/>
          <w:color w:val="000000" w:themeColor="text1"/>
        </w:rPr>
        <w:t>RTDH</w:t>
      </w:r>
      <w:r w:rsidRPr="00264708">
        <w:rPr>
          <w:rFonts w:cs="Times New Roman"/>
          <w:color w:val="000000" w:themeColor="text1"/>
        </w:rPr>
        <w:t xml:space="preserve"> 2018, 311</w:t>
      </w:r>
      <w:bookmarkEnd w:id="1"/>
      <w:r w:rsidRPr="00264708">
        <w:rPr>
          <w:rFonts w:cs="Times New Roman"/>
          <w:color w:val="000000" w:themeColor="text1"/>
        </w:rPr>
        <w:t xml:space="preserve"> et s.</w:t>
      </w:r>
    </w:p>
  </w:footnote>
  <w:footnote w:id="8">
    <w:p w14:paraId="415CB4B8" w14:textId="652F3D0D" w:rsidR="00813256" w:rsidRPr="00264708" w:rsidRDefault="00813256" w:rsidP="00813256">
      <w:pPr>
        <w:contextualSpacing/>
        <w:rPr>
          <w:rFonts w:cs="Times New Roman"/>
          <w:color w:val="000000" w:themeColor="text1"/>
          <w:sz w:val="20"/>
          <w:szCs w:val="20"/>
        </w:rPr>
      </w:pPr>
      <w:r w:rsidRPr="00264708">
        <w:rPr>
          <w:rStyle w:val="Appelnotedebasdep"/>
          <w:rFonts w:cs="Times New Roman"/>
          <w:color w:val="000000" w:themeColor="text1"/>
          <w:sz w:val="20"/>
          <w:szCs w:val="20"/>
        </w:rPr>
        <w:footnoteRef/>
      </w:r>
      <w:r w:rsidRPr="00264708">
        <w:rPr>
          <w:rFonts w:cs="Times New Roman"/>
          <w:color w:val="000000" w:themeColor="text1"/>
          <w:sz w:val="20"/>
          <w:szCs w:val="20"/>
        </w:rPr>
        <w:t xml:space="preserve"> CEDH, 18 janvier 1978, </w:t>
      </w:r>
      <w:r w:rsidRPr="00264708">
        <w:rPr>
          <w:rFonts w:cs="Times New Roman"/>
          <w:i/>
          <w:color w:val="000000" w:themeColor="text1"/>
          <w:sz w:val="20"/>
          <w:szCs w:val="20"/>
        </w:rPr>
        <w:t xml:space="preserve">Irlande c. </w:t>
      </w:r>
      <w:r w:rsidRPr="00264708">
        <w:rPr>
          <w:rFonts w:cs="Times New Roman"/>
          <w:i/>
          <w:color w:val="000000" w:themeColor="text1"/>
          <w:sz w:val="20"/>
          <w:szCs w:val="20"/>
        </w:rPr>
        <w:t>Royaume-Uni</w:t>
      </w:r>
      <w:r w:rsidRPr="00264708">
        <w:rPr>
          <w:rFonts w:cs="Times New Roman"/>
          <w:iCs/>
          <w:color w:val="000000" w:themeColor="text1"/>
          <w:sz w:val="20"/>
          <w:szCs w:val="20"/>
        </w:rPr>
        <w:t>,</w:t>
      </w:r>
      <w:r w:rsidRPr="00264708">
        <w:rPr>
          <w:rFonts w:cs="Times New Roman"/>
          <w:i/>
          <w:color w:val="000000" w:themeColor="text1"/>
          <w:sz w:val="20"/>
          <w:szCs w:val="20"/>
        </w:rPr>
        <w:t xml:space="preserve"> </w:t>
      </w:r>
      <w:r w:rsidRPr="00264708">
        <w:rPr>
          <w:rFonts w:cs="Times New Roman"/>
          <w:color w:val="000000" w:themeColor="text1"/>
          <w:sz w:val="20"/>
          <w:szCs w:val="20"/>
        </w:rPr>
        <w:t>n°</w:t>
      </w:r>
      <w:r w:rsidRPr="00264708">
        <w:rPr>
          <w:rFonts w:eastAsia="Times New Roman" w:cs="Times New Roman"/>
          <w:color w:val="000000" w:themeColor="text1"/>
          <w:sz w:val="20"/>
          <w:szCs w:val="20"/>
          <w:shd w:val="clear" w:color="auto" w:fill="FFFFFF"/>
        </w:rPr>
        <w:t xml:space="preserve"> 5310/71, § 154</w:t>
      </w:r>
      <w:r w:rsidR="00F410CD">
        <w:rPr>
          <w:rFonts w:eastAsia="Times New Roman" w:cs="Times New Roman"/>
          <w:color w:val="000000" w:themeColor="text1"/>
          <w:sz w:val="20"/>
          <w:szCs w:val="20"/>
          <w:shd w:val="clear" w:color="auto" w:fill="FFFFFF"/>
        </w:rPr>
        <w:t xml:space="preserve"> (consultable sur </w:t>
      </w:r>
      <w:r w:rsidR="00F410CD" w:rsidRPr="00F410CD">
        <w:rPr>
          <w:rFonts w:eastAsia="Times New Roman" w:cs="Times New Roman"/>
          <w:color w:val="000000" w:themeColor="text1"/>
          <w:sz w:val="20"/>
          <w:szCs w:val="20"/>
          <w:shd w:val="clear" w:color="auto" w:fill="FFFFFF"/>
        </w:rPr>
        <w:t>https://hudoc.echr.coe.int</w:t>
      </w:r>
      <w:r w:rsidR="00F410CD">
        <w:rPr>
          <w:rFonts w:eastAsia="Times New Roman" w:cs="Times New Roman"/>
          <w:color w:val="000000" w:themeColor="text1"/>
          <w:sz w:val="20"/>
          <w:szCs w:val="20"/>
          <w:shd w:val="clear" w:color="auto" w:fill="FFFFFF"/>
        </w:rPr>
        <w:t>)</w:t>
      </w:r>
    </w:p>
  </w:footnote>
  <w:footnote w:id="9">
    <w:p w14:paraId="1C8DBC9B" w14:textId="2B743E85" w:rsidR="00813256" w:rsidRPr="00264708" w:rsidRDefault="00813256" w:rsidP="00813256">
      <w:pPr>
        <w:contextualSpacing/>
        <w:rPr>
          <w:rFonts w:eastAsia="Times New Roman" w:cs="Times New Roman"/>
          <w:color w:val="000000" w:themeColor="text1"/>
          <w:sz w:val="20"/>
          <w:szCs w:val="20"/>
        </w:rPr>
      </w:pPr>
      <w:r w:rsidRPr="00264708">
        <w:rPr>
          <w:rStyle w:val="Appelnotedebasdep"/>
          <w:rFonts w:cs="Times New Roman"/>
          <w:color w:val="000000" w:themeColor="text1"/>
          <w:sz w:val="20"/>
          <w:szCs w:val="20"/>
        </w:rPr>
        <w:footnoteRef/>
      </w:r>
      <w:r w:rsidRPr="00264708">
        <w:rPr>
          <w:rFonts w:cs="Times New Roman"/>
          <w:color w:val="000000" w:themeColor="text1"/>
          <w:sz w:val="20"/>
          <w:szCs w:val="20"/>
        </w:rPr>
        <w:t xml:space="preserve"> CEDH, 5 juillet 2016, </w:t>
      </w:r>
      <w:r w:rsidRPr="00264708">
        <w:rPr>
          <w:rFonts w:cs="Times New Roman"/>
          <w:i/>
          <w:color w:val="000000" w:themeColor="text1"/>
          <w:sz w:val="20"/>
          <w:szCs w:val="20"/>
        </w:rPr>
        <w:t xml:space="preserve">Jeronovics c. </w:t>
      </w:r>
      <w:r w:rsidRPr="00264708">
        <w:rPr>
          <w:rFonts w:cs="Times New Roman"/>
          <w:i/>
          <w:color w:val="000000" w:themeColor="text1"/>
          <w:sz w:val="20"/>
          <w:szCs w:val="20"/>
        </w:rPr>
        <w:t xml:space="preserve">Lettonie, </w:t>
      </w:r>
      <w:r w:rsidRPr="00264708">
        <w:rPr>
          <w:rFonts w:cs="Times New Roman"/>
          <w:color w:val="000000" w:themeColor="text1"/>
          <w:sz w:val="20"/>
          <w:szCs w:val="20"/>
        </w:rPr>
        <w:t>n°</w:t>
      </w:r>
      <w:r w:rsidRPr="00264708">
        <w:rPr>
          <w:rFonts w:eastAsia="Times New Roman" w:cs="Times New Roman"/>
          <w:color w:val="000000" w:themeColor="text1"/>
          <w:sz w:val="20"/>
          <w:szCs w:val="20"/>
          <w:shd w:val="clear" w:color="auto" w:fill="FFFFFF"/>
        </w:rPr>
        <w:t xml:space="preserve"> 44898/10</w:t>
      </w:r>
      <w:r w:rsidRPr="00264708">
        <w:rPr>
          <w:rFonts w:cs="Times New Roman"/>
          <w:color w:val="000000" w:themeColor="text1"/>
          <w:sz w:val="20"/>
          <w:szCs w:val="20"/>
        </w:rPr>
        <w:t>, § 108</w:t>
      </w:r>
      <w:r w:rsidR="007C084C">
        <w:rPr>
          <w:rFonts w:cs="Times New Roman"/>
          <w:color w:val="000000" w:themeColor="text1"/>
          <w:sz w:val="20"/>
          <w:szCs w:val="20"/>
        </w:rPr>
        <w:t>;</w:t>
      </w:r>
      <w:r w:rsidRPr="00264708">
        <w:rPr>
          <w:rFonts w:cs="Times New Roman"/>
          <w:color w:val="000000" w:themeColor="text1"/>
          <w:sz w:val="20"/>
          <w:szCs w:val="20"/>
        </w:rPr>
        <w:t xml:space="preserve"> CEDH, 7 juillet 2010, </w:t>
      </w:r>
      <w:r w:rsidRPr="00264708">
        <w:rPr>
          <w:rFonts w:eastAsia="Times New Roman" w:cs="Times New Roman"/>
          <w:i/>
          <w:iCs/>
          <w:color w:val="000000" w:themeColor="text1"/>
          <w:sz w:val="20"/>
          <w:szCs w:val="20"/>
        </w:rPr>
        <w:t>Rantsev c. Chypre et Russie</w:t>
      </w:r>
      <w:r w:rsidRPr="00264708">
        <w:rPr>
          <w:rFonts w:eastAsia="Times New Roman" w:cs="Times New Roman"/>
          <w:color w:val="000000" w:themeColor="text1"/>
          <w:sz w:val="20"/>
          <w:szCs w:val="20"/>
        </w:rPr>
        <w:t xml:space="preserve">, n° </w:t>
      </w:r>
      <w:hyperlink r:id="rId1" w:anchor="{&quot;appno&quot;:[&quot;25965/04&quot;]}" w:tgtFrame="_blank" w:history="1">
        <w:r w:rsidRPr="00264708">
          <w:rPr>
            <w:rFonts w:eastAsia="Times New Roman" w:cs="Times New Roman"/>
            <w:color w:val="000000" w:themeColor="text1"/>
            <w:sz w:val="20"/>
            <w:szCs w:val="20"/>
          </w:rPr>
          <w:t>25965/04</w:t>
        </w:r>
      </w:hyperlink>
      <w:r w:rsidRPr="00264708">
        <w:rPr>
          <w:rFonts w:eastAsia="Times New Roman" w:cs="Times New Roman"/>
          <w:color w:val="000000" w:themeColor="text1"/>
          <w:sz w:val="20"/>
          <w:szCs w:val="20"/>
        </w:rPr>
        <w:t>, § 197</w:t>
      </w:r>
      <w:r w:rsidR="007C084C">
        <w:rPr>
          <w:rFonts w:eastAsia="Times New Roman" w:cs="Times New Roman"/>
          <w:color w:val="000000" w:themeColor="text1"/>
          <w:sz w:val="20"/>
          <w:szCs w:val="20"/>
        </w:rPr>
        <w:t>;</w:t>
      </w:r>
      <w:r w:rsidRPr="00264708">
        <w:rPr>
          <w:rFonts w:eastAsia="Times New Roman" w:cs="Times New Roman"/>
          <w:color w:val="000000" w:themeColor="text1"/>
          <w:sz w:val="20"/>
          <w:szCs w:val="20"/>
        </w:rPr>
        <w:t xml:space="preserve"> CEDH</w:t>
      </w:r>
      <w:r w:rsidRPr="00264708">
        <w:rPr>
          <w:rFonts w:cs="Times New Roman"/>
          <w:color w:val="000000" w:themeColor="text1"/>
          <w:sz w:val="20"/>
          <w:szCs w:val="20"/>
        </w:rPr>
        <w:t xml:space="preserve"> [GC], 27 juillet 2014, </w:t>
      </w:r>
      <w:r w:rsidRPr="00264708">
        <w:rPr>
          <w:rFonts w:cs="Times New Roman"/>
          <w:i/>
          <w:color w:val="000000" w:themeColor="text1"/>
          <w:sz w:val="20"/>
          <w:szCs w:val="20"/>
        </w:rPr>
        <w:t>Centre des ressources juridiques au nom de Valentin Câmpeanu c. Roumanie</w:t>
      </w:r>
      <w:r w:rsidRPr="00264708">
        <w:rPr>
          <w:rFonts w:cs="Times New Roman"/>
          <w:color w:val="000000" w:themeColor="text1"/>
          <w:sz w:val="20"/>
          <w:szCs w:val="20"/>
        </w:rPr>
        <w:t>, n°</w:t>
      </w:r>
      <w:r w:rsidRPr="00264708">
        <w:rPr>
          <w:rFonts w:eastAsia="Times New Roman" w:cs="Times New Roman"/>
          <w:color w:val="000000" w:themeColor="text1"/>
          <w:sz w:val="20"/>
          <w:szCs w:val="20"/>
          <w:shd w:val="clear" w:color="auto" w:fill="FFFFFF"/>
        </w:rPr>
        <w:t> 47848/08</w:t>
      </w:r>
      <w:r w:rsidRPr="00264708">
        <w:rPr>
          <w:rFonts w:cs="Times New Roman"/>
          <w:color w:val="000000" w:themeColor="text1"/>
          <w:sz w:val="20"/>
          <w:szCs w:val="20"/>
        </w:rPr>
        <w:t>, § 105</w:t>
      </w:r>
      <w:r w:rsidR="007C084C">
        <w:rPr>
          <w:rFonts w:cs="Times New Roman"/>
          <w:color w:val="000000" w:themeColor="text1"/>
          <w:sz w:val="20"/>
          <w:szCs w:val="20"/>
        </w:rPr>
        <w:t>;</w:t>
      </w:r>
      <w:r w:rsidRPr="00264708">
        <w:rPr>
          <w:rFonts w:cs="Times New Roman"/>
          <w:color w:val="000000" w:themeColor="text1"/>
          <w:sz w:val="20"/>
          <w:szCs w:val="20"/>
        </w:rPr>
        <w:t xml:space="preserve"> CEDH, 24 juillet 2003, </w:t>
      </w:r>
      <w:r w:rsidRPr="00264708">
        <w:rPr>
          <w:rFonts w:eastAsia="Times New Roman" w:cs="Times New Roman"/>
          <w:i/>
          <w:iCs/>
          <w:color w:val="000000" w:themeColor="text1"/>
          <w:sz w:val="20"/>
          <w:szCs w:val="20"/>
        </w:rPr>
        <w:t>Karner c. Autriche</w:t>
      </w:r>
      <w:r w:rsidRPr="00264708">
        <w:rPr>
          <w:rFonts w:eastAsia="Times New Roman" w:cs="Times New Roman"/>
          <w:color w:val="000000" w:themeColor="text1"/>
          <w:sz w:val="20"/>
          <w:szCs w:val="20"/>
        </w:rPr>
        <w:t>,</w:t>
      </w:r>
      <w:r w:rsidRPr="00264708">
        <w:rPr>
          <w:rFonts w:eastAsia="Times New Roman" w:cs="Times New Roman"/>
          <w:i/>
          <w:iCs/>
          <w:color w:val="000000" w:themeColor="text1"/>
          <w:sz w:val="20"/>
          <w:szCs w:val="20"/>
        </w:rPr>
        <w:t xml:space="preserve"> </w:t>
      </w:r>
      <w:r w:rsidRPr="00264708">
        <w:rPr>
          <w:rFonts w:eastAsia="Times New Roman" w:cs="Times New Roman"/>
          <w:color w:val="000000" w:themeColor="text1"/>
          <w:sz w:val="20"/>
          <w:szCs w:val="20"/>
        </w:rPr>
        <w:t>n° </w:t>
      </w:r>
      <w:hyperlink r:id="rId2" w:anchor="{&quot;appno&quot;:[&quot;40016/98&quot;]}" w:tgtFrame="_blank" w:history="1">
        <w:r w:rsidRPr="00264708">
          <w:rPr>
            <w:rFonts w:eastAsia="Times New Roman" w:cs="Times New Roman"/>
            <w:color w:val="000000" w:themeColor="text1"/>
            <w:sz w:val="20"/>
            <w:szCs w:val="20"/>
          </w:rPr>
          <w:t>40016/98</w:t>
        </w:r>
      </w:hyperlink>
      <w:r w:rsidRPr="00264708">
        <w:rPr>
          <w:rFonts w:eastAsia="Times New Roman" w:cs="Times New Roman"/>
          <w:color w:val="000000" w:themeColor="text1"/>
          <w:sz w:val="20"/>
          <w:szCs w:val="20"/>
        </w:rPr>
        <w:t>, § 26</w:t>
      </w:r>
      <w:r w:rsidR="007C084C">
        <w:rPr>
          <w:rFonts w:eastAsia="Times New Roman" w:cs="Times New Roman"/>
          <w:color w:val="000000" w:themeColor="text1"/>
          <w:sz w:val="20"/>
          <w:szCs w:val="20"/>
        </w:rPr>
        <w:t>;</w:t>
      </w:r>
      <w:r w:rsidRPr="00264708">
        <w:rPr>
          <w:rFonts w:eastAsia="Times New Roman" w:cs="Times New Roman"/>
          <w:color w:val="000000" w:themeColor="text1"/>
          <w:sz w:val="20"/>
          <w:szCs w:val="20"/>
        </w:rPr>
        <w:t xml:space="preserve"> CEDH, 24 novembre 2005, </w:t>
      </w:r>
      <w:r w:rsidRPr="00264708">
        <w:rPr>
          <w:rFonts w:eastAsia="Times New Roman" w:cs="Times New Roman"/>
          <w:i/>
          <w:iCs/>
          <w:color w:val="000000" w:themeColor="text1"/>
          <w:sz w:val="20"/>
          <w:szCs w:val="20"/>
        </w:rPr>
        <w:t>Capital Bank AD c. Bulgarie</w:t>
      </w:r>
      <w:r w:rsidRPr="00264708">
        <w:rPr>
          <w:rFonts w:eastAsia="Times New Roman" w:cs="Times New Roman"/>
          <w:color w:val="000000" w:themeColor="text1"/>
          <w:sz w:val="20"/>
          <w:szCs w:val="20"/>
        </w:rPr>
        <w:t>, n° </w:t>
      </w:r>
      <w:hyperlink r:id="rId3" w:anchor="{&quot;appno&quot;:[&quot;49429/99&quot;]}" w:tgtFrame="_blank" w:history="1">
        <w:r w:rsidRPr="00264708">
          <w:rPr>
            <w:rFonts w:eastAsia="Times New Roman" w:cs="Times New Roman"/>
            <w:color w:val="000000" w:themeColor="text1"/>
            <w:sz w:val="20"/>
            <w:szCs w:val="20"/>
          </w:rPr>
          <w:t>49429/99</w:t>
        </w:r>
      </w:hyperlink>
      <w:r w:rsidRPr="00264708">
        <w:rPr>
          <w:rFonts w:eastAsia="Times New Roman" w:cs="Times New Roman"/>
          <w:color w:val="000000" w:themeColor="text1"/>
          <w:sz w:val="20"/>
          <w:szCs w:val="20"/>
        </w:rPr>
        <w:t>, §§ 78</w:t>
      </w:r>
      <w:r w:rsidRPr="00264708">
        <w:rPr>
          <w:rFonts w:eastAsia="Times New Roman" w:cs="Times New Roman"/>
          <w:color w:val="000000" w:themeColor="text1"/>
          <w:sz w:val="20"/>
          <w:szCs w:val="20"/>
        </w:rPr>
        <w:noBreakHyphen/>
        <w:t>79</w:t>
      </w:r>
      <w:r w:rsidR="007C084C">
        <w:rPr>
          <w:rFonts w:eastAsia="Times New Roman" w:cs="Times New Roman"/>
          <w:color w:val="000000" w:themeColor="text1"/>
          <w:sz w:val="20"/>
          <w:szCs w:val="20"/>
        </w:rPr>
        <w:t>;</w:t>
      </w:r>
      <w:r w:rsidRPr="00264708">
        <w:rPr>
          <w:rFonts w:eastAsia="Times New Roman" w:cs="Times New Roman"/>
          <w:color w:val="000000" w:themeColor="text1"/>
          <w:sz w:val="20"/>
          <w:szCs w:val="20"/>
        </w:rPr>
        <w:t xml:space="preserve"> CEDH [GC], 22 mars 2012, </w:t>
      </w:r>
      <w:r w:rsidRPr="00264708">
        <w:rPr>
          <w:rFonts w:eastAsia="Times New Roman" w:cs="Times New Roman"/>
          <w:i/>
          <w:color w:val="000000" w:themeColor="text1"/>
          <w:sz w:val="20"/>
          <w:szCs w:val="20"/>
        </w:rPr>
        <w:t xml:space="preserve">Konstantin Markin c. Russie, </w:t>
      </w:r>
      <w:r w:rsidRPr="00264708">
        <w:rPr>
          <w:rFonts w:eastAsia="Times New Roman" w:cs="Times New Roman"/>
          <w:color w:val="000000" w:themeColor="text1"/>
          <w:sz w:val="20"/>
          <w:szCs w:val="20"/>
        </w:rPr>
        <w:t>n°</w:t>
      </w:r>
      <w:r w:rsidRPr="00264708">
        <w:rPr>
          <w:rStyle w:val="textcolumn"/>
          <w:rFonts w:eastAsia="Times New Roman" w:cs="Times New Roman"/>
          <w:color w:val="000000" w:themeColor="text1"/>
          <w:sz w:val="20"/>
          <w:szCs w:val="20"/>
        </w:rPr>
        <w:t xml:space="preserve"> </w:t>
      </w:r>
      <w:r w:rsidRPr="00264708">
        <w:rPr>
          <w:rFonts w:eastAsia="Times New Roman" w:cs="Times New Roman"/>
          <w:color w:val="000000" w:themeColor="text1"/>
          <w:sz w:val="20"/>
          <w:szCs w:val="20"/>
        </w:rPr>
        <w:t>30078/06, § 89</w:t>
      </w:r>
      <w:r w:rsidR="007C084C">
        <w:rPr>
          <w:rFonts w:eastAsia="Times New Roman" w:cs="Times New Roman"/>
          <w:color w:val="000000" w:themeColor="text1"/>
          <w:sz w:val="20"/>
          <w:szCs w:val="20"/>
        </w:rPr>
        <w:t>;</w:t>
      </w:r>
      <w:r w:rsidRPr="00264708">
        <w:rPr>
          <w:rFonts w:eastAsia="Times New Roman" w:cs="Times New Roman"/>
          <w:color w:val="000000" w:themeColor="text1"/>
          <w:sz w:val="20"/>
          <w:szCs w:val="20"/>
        </w:rPr>
        <w:t xml:space="preserve"> CEDH, 21 janvier 2015, </w:t>
      </w:r>
      <w:r w:rsidRPr="00264708">
        <w:rPr>
          <w:rFonts w:eastAsia="Times New Roman" w:cs="Times New Roman"/>
          <w:i/>
          <w:color w:val="000000" w:themeColor="text1"/>
          <w:sz w:val="20"/>
          <w:szCs w:val="20"/>
        </w:rPr>
        <w:t xml:space="preserve">Gözüm c. Turquie, </w:t>
      </w:r>
      <w:r w:rsidRPr="00264708">
        <w:rPr>
          <w:rFonts w:eastAsia="Times New Roman" w:cs="Times New Roman"/>
          <w:color w:val="000000" w:themeColor="text1"/>
          <w:sz w:val="20"/>
          <w:szCs w:val="20"/>
        </w:rPr>
        <w:t>n°</w:t>
      </w:r>
      <w:r w:rsidRPr="00264708">
        <w:rPr>
          <w:rFonts w:eastAsia="Times New Roman" w:cs="Times New Roman"/>
          <w:color w:val="000000" w:themeColor="text1"/>
          <w:sz w:val="20"/>
          <w:szCs w:val="20"/>
          <w:shd w:val="clear" w:color="auto" w:fill="FFFFFF"/>
        </w:rPr>
        <w:t xml:space="preserve"> 4789/10</w:t>
      </w:r>
      <w:r w:rsidRPr="00264708">
        <w:rPr>
          <w:rFonts w:eastAsia="Times New Roman" w:cs="Times New Roman"/>
          <w:color w:val="000000" w:themeColor="text1"/>
          <w:sz w:val="20"/>
          <w:szCs w:val="20"/>
        </w:rPr>
        <w:t>, § 40</w:t>
      </w:r>
      <w:r w:rsidR="007C084C">
        <w:rPr>
          <w:rFonts w:eastAsia="Times New Roman" w:cs="Times New Roman"/>
          <w:color w:val="000000" w:themeColor="text1"/>
          <w:sz w:val="20"/>
          <w:szCs w:val="20"/>
        </w:rPr>
        <w:t>;</w:t>
      </w:r>
      <w:r w:rsidRPr="00264708">
        <w:rPr>
          <w:rFonts w:eastAsia="Times New Roman" w:cs="Times New Roman"/>
          <w:color w:val="000000" w:themeColor="text1"/>
          <w:sz w:val="20"/>
          <w:szCs w:val="20"/>
        </w:rPr>
        <w:t xml:space="preserve"> CEDH [GC], 13 décembre 2016, </w:t>
      </w:r>
      <w:r w:rsidRPr="00264708">
        <w:rPr>
          <w:rFonts w:eastAsia="Times New Roman" w:cs="Times New Roman"/>
          <w:i/>
          <w:color w:val="000000" w:themeColor="text1"/>
          <w:sz w:val="20"/>
          <w:szCs w:val="20"/>
        </w:rPr>
        <w:t xml:space="preserve">Paposhvili c. Belgique, </w:t>
      </w:r>
      <w:r w:rsidRPr="00264708">
        <w:rPr>
          <w:rFonts w:eastAsia="Times New Roman" w:cs="Times New Roman"/>
          <w:color w:val="000000" w:themeColor="text1"/>
          <w:sz w:val="20"/>
          <w:szCs w:val="20"/>
        </w:rPr>
        <w:t>n°</w:t>
      </w:r>
      <w:r w:rsidRPr="00264708">
        <w:rPr>
          <w:rFonts w:eastAsia="Times New Roman" w:cs="Times New Roman"/>
          <w:color w:val="000000" w:themeColor="text1"/>
          <w:sz w:val="20"/>
          <w:szCs w:val="20"/>
          <w:shd w:val="clear" w:color="auto" w:fill="FFFFFF"/>
        </w:rPr>
        <w:t> 41738/10</w:t>
      </w:r>
      <w:r w:rsidRPr="00264708">
        <w:rPr>
          <w:rFonts w:eastAsia="Times New Roman" w:cs="Times New Roman"/>
          <w:color w:val="000000" w:themeColor="text1"/>
          <w:sz w:val="20"/>
          <w:szCs w:val="20"/>
        </w:rPr>
        <w:t>, § 130</w:t>
      </w:r>
      <w:r w:rsidR="007C084C">
        <w:rPr>
          <w:rFonts w:eastAsia="Times New Roman" w:cs="Times New Roman"/>
          <w:color w:val="000000" w:themeColor="text1"/>
          <w:sz w:val="20"/>
          <w:szCs w:val="20"/>
        </w:rPr>
        <w:t>;</w:t>
      </w:r>
      <w:r w:rsidRPr="00264708">
        <w:rPr>
          <w:rFonts w:eastAsia="Times New Roman" w:cs="Times New Roman"/>
          <w:color w:val="000000" w:themeColor="text1"/>
          <w:sz w:val="20"/>
          <w:szCs w:val="20"/>
        </w:rPr>
        <w:t xml:space="preserve"> CEDH,</w:t>
      </w:r>
      <w:r w:rsidRPr="00264708">
        <w:rPr>
          <w:rFonts w:eastAsia="Times New Roman" w:cs="Times New Roman"/>
          <w:i/>
          <w:color w:val="000000" w:themeColor="text1"/>
          <w:sz w:val="20"/>
          <w:szCs w:val="20"/>
        </w:rPr>
        <w:t xml:space="preserve"> </w:t>
      </w:r>
      <w:r w:rsidRPr="00264708">
        <w:rPr>
          <w:rFonts w:eastAsia="Times New Roman" w:cs="Times New Roman"/>
          <w:color w:val="000000" w:themeColor="text1"/>
          <w:sz w:val="20"/>
          <w:szCs w:val="20"/>
        </w:rPr>
        <w:t xml:space="preserve">30 mars 2017, </w:t>
      </w:r>
      <w:r w:rsidRPr="00264708">
        <w:rPr>
          <w:rFonts w:eastAsia="Times New Roman" w:cs="Times New Roman"/>
          <w:i/>
          <w:color w:val="000000" w:themeColor="text1"/>
          <w:sz w:val="20"/>
          <w:szCs w:val="20"/>
        </w:rPr>
        <w:t xml:space="preserve">Nagmetov c. Russie, </w:t>
      </w:r>
      <w:r w:rsidRPr="00264708">
        <w:rPr>
          <w:rFonts w:eastAsia="Times New Roman" w:cs="Times New Roman"/>
          <w:color w:val="000000" w:themeColor="text1"/>
          <w:sz w:val="20"/>
          <w:szCs w:val="20"/>
        </w:rPr>
        <w:t>n°</w:t>
      </w:r>
      <w:r w:rsidRPr="00264708">
        <w:rPr>
          <w:rFonts w:eastAsia="Times New Roman" w:cs="Times New Roman"/>
          <w:color w:val="000000" w:themeColor="text1"/>
          <w:sz w:val="20"/>
          <w:szCs w:val="20"/>
          <w:shd w:val="clear" w:color="auto" w:fill="FFFFFF"/>
        </w:rPr>
        <w:t xml:space="preserve"> 35589/08</w:t>
      </w:r>
      <w:r w:rsidRPr="00264708">
        <w:rPr>
          <w:rFonts w:eastAsia="Times New Roman" w:cs="Times New Roman"/>
          <w:color w:val="000000" w:themeColor="text1"/>
          <w:sz w:val="20"/>
          <w:szCs w:val="20"/>
        </w:rPr>
        <w:t>, § 64. </w:t>
      </w:r>
      <w:r w:rsidR="00190720" w:rsidRPr="00264708">
        <w:rPr>
          <w:rFonts w:eastAsia="Times New Roman" w:cs="Times New Roman"/>
          <w:color w:val="000000" w:themeColor="text1"/>
          <w:sz w:val="20"/>
          <w:szCs w:val="20"/>
        </w:rPr>
        <w:t xml:space="preserve">CEDH, </w:t>
      </w:r>
      <w:r w:rsidR="00190720" w:rsidRPr="00264708">
        <w:rPr>
          <w:rFonts w:eastAsia="Times New Roman" w:cs="Times New Roman"/>
          <w:i/>
          <w:color w:val="000000" w:themeColor="text1"/>
          <w:sz w:val="20"/>
          <w:szCs w:val="20"/>
        </w:rPr>
        <w:t xml:space="preserve">Yüksel Yalçinkaya </w:t>
      </w:r>
      <w:r w:rsidR="00EC45F1" w:rsidRPr="00264708">
        <w:rPr>
          <w:rFonts w:eastAsia="Times New Roman" w:cs="Times New Roman"/>
          <w:i/>
          <w:color w:val="000000" w:themeColor="text1"/>
          <w:sz w:val="20"/>
          <w:szCs w:val="20"/>
        </w:rPr>
        <w:t xml:space="preserve">c. </w:t>
      </w:r>
      <w:r w:rsidR="00190720" w:rsidRPr="00264708">
        <w:rPr>
          <w:rFonts w:eastAsia="Times New Roman" w:cs="Times New Roman"/>
          <w:i/>
          <w:color w:val="000000" w:themeColor="text1"/>
          <w:sz w:val="20"/>
          <w:szCs w:val="20"/>
        </w:rPr>
        <w:t>Türkiye</w:t>
      </w:r>
      <w:r w:rsidR="00EC45F1" w:rsidRPr="00264708">
        <w:rPr>
          <w:rFonts w:eastAsia="Times New Roman" w:cs="Times New Roman"/>
          <w:color w:val="000000" w:themeColor="text1"/>
          <w:sz w:val="20"/>
          <w:szCs w:val="20"/>
        </w:rPr>
        <w:t>, 26 septembre 2023, § 408</w:t>
      </w:r>
      <w:r w:rsidR="007C084C">
        <w:rPr>
          <w:rFonts w:eastAsia="Times New Roman" w:cs="Times New Roman"/>
          <w:color w:val="000000" w:themeColor="text1"/>
          <w:sz w:val="20"/>
          <w:szCs w:val="20"/>
        </w:rPr>
        <w:t>.</w:t>
      </w:r>
      <w:r w:rsidR="000438F1">
        <w:rPr>
          <w:rFonts w:eastAsia="Times New Roman" w:cs="Times New Roman"/>
          <w:color w:val="000000" w:themeColor="text1"/>
          <w:sz w:val="20"/>
          <w:szCs w:val="20"/>
        </w:rPr>
        <w:t xml:space="preserve"> Les arrêts précités sont consultables sur</w:t>
      </w:r>
      <w:r w:rsidR="000438F1">
        <w:rPr>
          <w:rFonts w:eastAsia="Times New Roman" w:cs="Times New Roman"/>
          <w:color w:val="000000" w:themeColor="text1"/>
          <w:sz w:val="20"/>
          <w:szCs w:val="20"/>
          <w:shd w:val="clear" w:color="auto" w:fill="FFFFFF"/>
        </w:rPr>
        <w:t xml:space="preserve"> </w:t>
      </w:r>
      <w:r w:rsidR="000438F1" w:rsidRPr="00F410CD">
        <w:rPr>
          <w:rFonts w:eastAsia="Times New Roman" w:cs="Times New Roman"/>
          <w:color w:val="000000" w:themeColor="text1"/>
          <w:sz w:val="20"/>
          <w:szCs w:val="20"/>
          <w:shd w:val="clear" w:color="auto" w:fill="FFFFFF"/>
        </w:rPr>
        <w:t>https://hudoc.echr.coe.int</w:t>
      </w:r>
    </w:p>
  </w:footnote>
  <w:footnote w:id="10">
    <w:p w14:paraId="04893DE9" w14:textId="71B1B764" w:rsidR="009414A3" w:rsidRPr="009C6F4B" w:rsidRDefault="009414A3" w:rsidP="00190720">
      <w:pPr>
        <w:pStyle w:val="Notedebasdepage"/>
        <w:rPr>
          <w:rFonts w:cs="Times New Roman"/>
        </w:rPr>
      </w:pPr>
      <w:r w:rsidRPr="00264708">
        <w:rPr>
          <w:rStyle w:val="Appelnotedebasdep"/>
          <w:rFonts w:cs="Times New Roman"/>
        </w:rPr>
        <w:footnoteRef/>
      </w:r>
      <w:r w:rsidRPr="00264708">
        <w:rPr>
          <w:rFonts w:cs="Times New Roman"/>
        </w:rPr>
        <w:t xml:space="preserve"> Voy. </w:t>
      </w:r>
      <w:r w:rsidRPr="00264708">
        <w:rPr>
          <w:rFonts w:cs="Times New Roman"/>
        </w:rPr>
        <w:t>l’article 37 § 1, al. 2, de la Convention</w:t>
      </w:r>
      <w:r w:rsidR="008D2B9D">
        <w:rPr>
          <w:rFonts w:cs="Times New Roman"/>
        </w:rPr>
        <w:t>:</w:t>
      </w:r>
      <w:r w:rsidRPr="00264708">
        <w:rPr>
          <w:rFonts w:cs="Times New Roman"/>
        </w:rPr>
        <w:t xml:space="preserve"> </w:t>
      </w:r>
      <w:r w:rsidR="008617E8">
        <w:rPr>
          <w:rFonts w:cs="Times New Roman"/>
        </w:rPr>
        <w:t>“</w:t>
      </w:r>
      <w:r w:rsidRPr="00264708">
        <w:rPr>
          <w:rFonts w:cs="Times New Roman"/>
        </w:rPr>
        <w:t>Toutefois, la Cour poursuit l’examen de la requête si le respect des droits de l’homme garantis par la Convention et ses protocoles l’exige</w:t>
      </w:r>
      <w:r w:rsidR="008617E8">
        <w:rPr>
          <w:rFonts w:cs="Times New Roman"/>
        </w:rPr>
        <w:t>”</w:t>
      </w:r>
      <w:r w:rsidR="00190720" w:rsidRPr="00264708">
        <w:rPr>
          <w:rFonts w:cs="Times New Roman"/>
        </w:rPr>
        <w:t xml:space="preserve">. </w:t>
      </w:r>
      <w:r w:rsidR="00190720" w:rsidRPr="009C6F4B">
        <w:rPr>
          <w:rFonts w:cs="Times New Roman"/>
        </w:rPr>
        <w:t xml:space="preserve">Voy. aussi </w:t>
      </w:r>
      <w:r w:rsidR="00190720" w:rsidRPr="009C6F4B">
        <w:rPr>
          <w:rFonts w:cs="Times New Roman"/>
          <w:iCs/>
        </w:rPr>
        <w:t xml:space="preserve">K. </w:t>
      </w:r>
      <w:r w:rsidR="00190720" w:rsidRPr="009C6F4B">
        <w:rPr>
          <w:rFonts w:cs="Times New Roman"/>
          <w:iCs/>
          <w:smallCaps/>
        </w:rPr>
        <w:t xml:space="preserve">Lemmens </w:t>
      </w:r>
      <w:r w:rsidR="00190720" w:rsidRPr="009C6F4B">
        <w:rPr>
          <w:rFonts w:cs="Times New Roman"/>
          <w:iCs/>
        </w:rPr>
        <w:t xml:space="preserve">et S. </w:t>
      </w:r>
      <w:r w:rsidR="00190720" w:rsidRPr="009C6F4B">
        <w:rPr>
          <w:rFonts w:cs="Times New Roman"/>
          <w:iCs/>
          <w:smallCaps/>
        </w:rPr>
        <w:t>Van Drooghenbroeck,</w:t>
      </w:r>
      <w:r w:rsidR="00190720" w:rsidRPr="009C6F4B">
        <w:rPr>
          <w:rFonts w:cs="Times New Roman"/>
          <w:iCs/>
        </w:rPr>
        <w:t xml:space="preserve"> </w:t>
      </w:r>
      <w:r w:rsidR="007C084C" w:rsidRPr="009C6F4B">
        <w:rPr>
          <w:rFonts w:cs="Times New Roman"/>
          <w:iCs/>
        </w:rPr>
        <w:t xml:space="preserve">24(6) </w:t>
      </w:r>
      <w:r w:rsidR="007C084C" w:rsidRPr="009C6F4B">
        <w:rPr>
          <w:rFonts w:cs="Times New Roman"/>
          <w:i/>
          <w:iCs/>
        </w:rPr>
        <w:t xml:space="preserve">German Law Journal, </w:t>
      </w:r>
      <w:r w:rsidR="007C084C" w:rsidRPr="009C6F4B">
        <w:rPr>
          <w:rFonts w:cs="Times New Roman"/>
        </w:rPr>
        <w:t>(</w:t>
      </w:r>
      <w:r w:rsidR="007C084C" w:rsidRPr="009C6F4B">
        <w:rPr>
          <w:rFonts w:cs="Times New Roman"/>
          <w:iCs/>
        </w:rPr>
        <w:t xml:space="preserve">1044) </w:t>
      </w:r>
      <w:r w:rsidR="00190720" w:rsidRPr="009C6F4B">
        <w:rPr>
          <w:rFonts w:cs="Times New Roman"/>
          <w:iCs/>
        </w:rPr>
        <w:t>1050</w:t>
      </w:r>
    </w:p>
  </w:footnote>
  <w:footnote w:id="11">
    <w:p w14:paraId="2018BE95" w14:textId="6FF69440" w:rsidR="00813256" w:rsidRPr="00BC4218" w:rsidRDefault="00813256" w:rsidP="00813256">
      <w:pPr>
        <w:pStyle w:val="Notedebasdepage"/>
        <w:contextualSpacing/>
        <w:rPr>
          <w:rFonts w:cs="Times New Roman"/>
          <w:color w:val="000000" w:themeColor="text1"/>
          <w:lang w:val="de-DE"/>
        </w:rPr>
      </w:pPr>
      <w:r w:rsidRPr="00264708">
        <w:rPr>
          <w:rStyle w:val="Appelnotedebasdep"/>
          <w:rFonts w:cs="Times New Roman"/>
          <w:color w:val="000000" w:themeColor="text1"/>
        </w:rPr>
        <w:footnoteRef/>
      </w:r>
      <w:r w:rsidRPr="00BC4218">
        <w:rPr>
          <w:rFonts w:cs="Times New Roman"/>
          <w:color w:val="000000" w:themeColor="text1"/>
          <w:lang w:val="de-DE"/>
        </w:rPr>
        <w:t xml:space="preserve"> Voy. </w:t>
      </w:r>
      <w:bookmarkStart w:id="2" w:name="_Hlk86861980"/>
      <w:r w:rsidRPr="00BC4218">
        <w:rPr>
          <w:rFonts w:cs="Times New Roman"/>
          <w:color w:val="000000" w:themeColor="text1"/>
          <w:lang w:val="de-DE"/>
        </w:rPr>
        <w:t xml:space="preserve">Georg </w:t>
      </w:r>
      <w:r w:rsidRPr="00BC4218">
        <w:rPr>
          <w:rFonts w:cs="Times New Roman"/>
          <w:smallCaps/>
          <w:color w:val="000000" w:themeColor="text1"/>
          <w:lang w:val="de-DE"/>
        </w:rPr>
        <w:t>Ress</w:t>
      </w:r>
      <w:r w:rsidRPr="00BC4218">
        <w:rPr>
          <w:rFonts w:cs="Times New Roman"/>
          <w:color w:val="000000" w:themeColor="text1"/>
          <w:lang w:val="de-DE"/>
        </w:rPr>
        <w:t>, “Die ‘Einzelfallbezogenheit’ in der Rechtspre</w:t>
      </w:r>
      <w:r w:rsidR="00052BDE">
        <w:rPr>
          <w:rFonts w:cs="Times New Roman"/>
          <w:color w:val="000000" w:themeColor="text1"/>
          <w:lang w:val="de-DE"/>
        </w:rPr>
        <w:t>ch</w:t>
      </w:r>
      <w:r w:rsidRPr="00BC4218">
        <w:rPr>
          <w:rFonts w:cs="Times New Roman"/>
          <w:color w:val="000000" w:themeColor="text1"/>
          <w:lang w:val="de-DE"/>
        </w:rPr>
        <w:t xml:space="preserve">ung des Europaïschen Gerichtshof für Menschenrechten”, </w:t>
      </w:r>
      <w:r w:rsidRPr="00BC4218">
        <w:rPr>
          <w:rFonts w:cs="Times New Roman"/>
          <w:i/>
          <w:color w:val="000000" w:themeColor="text1"/>
          <w:lang w:val="de-DE"/>
        </w:rPr>
        <w:t>in</w:t>
      </w:r>
      <w:r w:rsidRPr="00BC4218">
        <w:rPr>
          <w:rFonts w:cs="Times New Roman"/>
          <w:color w:val="000000" w:themeColor="text1"/>
          <w:lang w:val="de-DE"/>
        </w:rPr>
        <w:t xml:space="preserve"> </w:t>
      </w:r>
      <w:r w:rsidRPr="00BC4218">
        <w:rPr>
          <w:rFonts w:cs="Times New Roman"/>
          <w:i/>
          <w:color w:val="000000" w:themeColor="text1"/>
          <w:lang w:val="de-DE"/>
        </w:rPr>
        <w:t>Völkerrecht als Rechstordnung. Internationale Gerichtsbarkeit. Menschenrechte. Festschrift für H. Mösler</w:t>
      </w:r>
      <w:r w:rsidR="00052BDE">
        <w:rPr>
          <w:rFonts w:cs="Times New Roman"/>
          <w:iCs/>
          <w:color w:val="000000" w:themeColor="text1"/>
          <w:lang w:val="de-DE"/>
        </w:rPr>
        <w:t xml:space="preserve"> </w:t>
      </w:r>
      <w:r w:rsidR="00052BDE" w:rsidRPr="009C6F4B">
        <w:rPr>
          <w:rFonts w:cs="Times New Roman"/>
          <w:iCs/>
          <w:color w:val="000000" w:themeColor="text1"/>
          <w:lang w:val="de-DE"/>
        </w:rPr>
        <w:t>(</w:t>
      </w:r>
      <w:r w:rsidRPr="00BC4218">
        <w:rPr>
          <w:rFonts w:cs="Times New Roman"/>
          <w:color w:val="000000" w:themeColor="text1"/>
          <w:lang w:val="de-DE"/>
        </w:rPr>
        <w:t>Berlin/Heidelberg/New York</w:t>
      </w:r>
      <w:r w:rsidR="00052BDE">
        <w:rPr>
          <w:rFonts w:cs="Times New Roman"/>
          <w:color w:val="000000" w:themeColor="text1"/>
          <w:lang w:val="de-DE"/>
        </w:rPr>
        <w:t>:</w:t>
      </w:r>
      <w:r w:rsidRPr="00BC4218">
        <w:rPr>
          <w:rFonts w:cs="Times New Roman"/>
          <w:color w:val="000000" w:themeColor="text1"/>
          <w:lang w:val="de-DE"/>
        </w:rPr>
        <w:t xml:space="preserve"> Springer Verlag, 1983</w:t>
      </w:r>
      <w:r w:rsidR="00052BDE">
        <w:rPr>
          <w:rFonts w:cs="Times New Roman"/>
          <w:color w:val="000000" w:themeColor="text1"/>
          <w:lang w:val="de-DE"/>
        </w:rPr>
        <w:t>)</w:t>
      </w:r>
      <w:r w:rsidRPr="00BC4218">
        <w:rPr>
          <w:rFonts w:cs="Times New Roman"/>
          <w:color w:val="000000" w:themeColor="text1"/>
          <w:lang w:val="de-DE"/>
        </w:rPr>
        <w:t>, 719-734.</w:t>
      </w:r>
    </w:p>
    <w:bookmarkEnd w:id="2"/>
  </w:footnote>
  <w:footnote w:id="12">
    <w:p w14:paraId="705410AD" w14:textId="3BE0A481"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Voy. </w:t>
      </w:r>
      <w:r w:rsidRPr="00264708">
        <w:rPr>
          <w:rFonts w:cs="Times New Roman"/>
          <w:color w:val="000000" w:themeColor="text1"/>
        </w:rPr>
        <w:t xml:space="preserve">le relevé des techniques de </w:t>
      </w:r>
      <w:r w:rsidR="008617E8">
        <w:rPr>
          <w:rFonts w:cs="Times New Roman"/>
          <w:color w:val="000000" w:themeColor="text1"/>
        </w:rPr>
        <w:t>“</w:t>
      </w:r>
      <w:r w:rsidRPr="00264708">
        <w:rPr>
          <w:rFonts w:cs="Times New Roman"/>
          <w:color w:val="000000" w:themeColor="text1"/>
        </w:rPr>
        <w:t>minimalisme judiciaire</w:t>
      </w:r>
      <w:r w:rsidR="008617E8">
        <w:rPr>
          <w:rFonts w:cs="Times New Roman"/>
          <w:color w:val="000000" w:themeColor="text1"/>
        </w:rPr>
        <w:t>”</w:t>
      </w:r>
      <w:r w:rsidRPr="00264708">
        <w:rPr>
          <w:rFonts w:cs="Times New Roman"/>
          <w:color w:val="000000" w:themeColor="text1"/>
        </w:rPr>
        <w:t xml:space="preserve"> </w:t>
      </w:r>
      <w:r w:rsidRPr="009C6F4B">
        <w:rPr>
          <w:rFonts w:cs="Times New Roman"/>
          <w:color w:val="000000" w:themeColor="text1"/>
        </w:rPr>
        <w:t>in</w:t>
      </w:r>
      <w:r w:rsidRPr="00264708">
        <w:rPr>
          <w:rFonts w:cs="Times New Roman"/>
          <w:color w:val="000000" w:themeColor="text1"/>
        </w:rPr>
        <w:t xml:space="preserve"> </w:t>
      </w:r>
      <w:bookmarkStart w:id="3" w:name="_Hlk86862020"/>
      <w:r w:rsidRPr="00264708">
        <w:rPr>
          <w:rFonts w:cs="Times New Roman"/>
          <w:color w:val="000000" w:themeColor="text1"/>
        </w:rPr>
        <w:t xml:space="preserve">Sébastien </w:t>
      </w:r>
      <w:r w:rsidRPr="00264708">
        <w:rPr>
          <w:rFonts w:cs="Times New Roman"/>
          <w:smallCaps/>
          <w:color w:val="000000" w:themeColor="text1"/>
        </w:rPr>
        <w:t>Van Drooghenbroeck</w:t>
      </w:r>
      <w:r w:rsidRPr="00264708">
        <w:rPr>
          <w:rFonts w:cs="Times New Roman"/>
          <w:color w:val="000000" w:themeColor="text1"/>
        </w:rPr>
        <w:t xml:space="preserve">, </w:t>
      </w:r>
      <w:r w:rsidRPr="00264708">
        <w:rPr>
          <w:rFonts w:cs="Times New Roman"/>
          <w:i/>
          <w:color w:val="000000" w:themeColor="text1"/>
        </w:rPr>
        <w:t xml:space="preserve">La proportionnalité dans le droit de la Convention européenne des droits de l’homme. Prendre l’idée simple au sérieux </w:t>
      </w:r>
      <w:r w:rsidR="00052BDE">
        <w:rPr>
          <w:rFonts w:cs="Times New Roman"/>
          <w:iCs/>
          <w:color w:val="000000" w:themeColor="text1"/>
        </w:rPr>
        <w:t>(</w:t>
      </w:r>
      <w:r w:rsidRPr="00264708">
        <w:rPr>
          <w:rFonts w:cs="Times New Roman"/>
          <w:color w:val="000000" w:themeColor="text1"/>
        </w:rPr>
        <w:t>Bruxelles</w:t>
      </w:r>
      <w:r w:rsidR="00052BDE">
        <w:rPr>
          <w:rFonts w:cs="Times New Roman"/>
          <w:color w:val="000000" w:themeColor="text1"/>
        </w:rPr>
        <w:t>:</w:t>
      </w:r>
      <w:r w:rsidRPr="00264708">
        <w:rPr>
          <w:rFonts w:cs="Times New Roman"/>
          <w:color w:val="000000" w:themeColor="text1"/>
        </w:rPr>
        <w:t xml:space="preserve"> Bruylant/FUSL, 2001</w:t>
      </w:r>
      <w:r w:rsidR="00052BDE">
        <w:rPr>
          <w:rFonts w:cs="Times New Roman"/>
          <w:color w:val="000000" w:themeColor="text1"/>
        </w:rPr>
        <w:t>)</w:t>
      </w:r>
      <w:r w:rsidRPr="00264708">
        <w:rPr>
          <w:rFonts w:cs="Times New Roman"/>
          <w:color w:val="000000" w:themeColor="text1"/>
        </w:rPr>
        <w:t xml:space="preserve">, </w:t>
      </w:r>
      <w:bookmarkEnd w:id="3"/>
      <w:r w:rsidRPr="00264708">
        <w:rPr>
          <w:rFonts w:cs="Times New Roman"/>
          <w:color w:val="000000" w:themeColor="text1"/>
        </w:rPr>
        <w:t>572 et s.</w:t>
      </w:r>
    </w:p>
  </w:footnote>
  <w:footnote w:id="13">
    <w:p w14:paraId="64109FAD" w14:textId="3413B60A"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Voy. l’opinion en partie dissidente commune des juges Loucaides et Tulkens jointe à l’arrêt </w:t>
      </w:r>
      <w:r w:rsidRPr="00264708">
        <w:rPr>
          <w:rFonts w:cs="Times New Roman"/>
          <w:i/>
          <w:color w:val="000000" w:themeColor="text1"/>
        </w:rPr>
        <w:t xml:space="preserve">Mazurek c. </w:t>
      </w:r>
      <w:r w:rsidRPr="00264708">
        <w:rPr>
          <w:rFonts w:cs="Times New Roman"/>
          <w:i/>
          <w:color w:val="000000" w:themeColor="text1"/>
        </w:rPr>
        <w:t xml:space="preserve">France </w:t>
      </w:r>
      <w:r w:rsidRPr="00264708">
        <w:rPr>
          <w:rFonts w:cs="Times New Roman"/>
          <w:color w:val="000000" w:themeColor="text1"/>
        </w:rPr>
        <w:t>du 1</w:t>
      </w:r>
      <w:r w:rsidRPr="00264708">
        <w:rPr>
          <w:rFonts w:cs="Times New Roman"/>
          <w:color w:val="000000" w:themeColor="text1"/>
          <w:vertAlign w:val="superscript"/>
        </w:rPr>
        <w:t>er</w:t>
      </w:r>
      <w:r w:rsidRPr="00264708">
        <w:rPr>
          <w:rFonts w:cs="Times New Roman"/>
          <w:color w:val="000000" w:themeColor="text1"/>
        </w:rPr>
        <w:t xml:space="preserve"> février 2000, n° 34406/97</w:t>
      </w:r>
      <w:r w:rsidR="000438F1">
        <w:rPr>
          <w:rFonts w:cs="Times New Roman"/>
          <w:color w:val="000000" w:themeColor="text1"/>
        </w:rPr>
        <w:t xml:space="preserve"> (</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14">
    <w:p w14:paraId="6CCAA02A" w14:textId="72B5648A" w:rsidR="00F93F36" w:rsidRPr="00264708" w:rsidRDefault="00F93F36">
      <w:pPr>
        <w:pStyle w:val="Notedebasdepage"/>
        <w:rPr>
          <w:rFonts w:cs="Times New Roman"/>
        </w:rPr>
      </w:pPr>
      <w:r w:rsidRPr="00264708">
        <w:rPr>
          <w:rStyle w:val="Appelnotedebasdep"/>
          <w:rFonts w:cs="Times New Roman"/>
        </w:rPr>
        <w:footnoteRef/>
      </w:r>
      <w:r w:rsidRPr="00264708">
        <w:rPr>
          <w:rFonts w:cs="Times New Roman"/>
        </w:rPr>
        <w:t xml:space="preserve"> </w:t>
      </w:r>
      <w:bookmarkStart w:id="4" w:name="_Toc124149961"/>
      <w:r w:rsidR="009414A3" w:rsidRPr="00264708">
        <w:rPr>
          <w:rFonts w:cs="Times New Roman"/>
          <w:color w:val="000000" w:themeColor="text1"/>
        </w:rPr>
        <w:t>Voy.</w:t>
      </w:r>
      <w:r w:rsidR="00190720" w:rsidRPr="00264708">
        <w:rPr>
          <w:rFonts w:cs="Times New Roman"/>
          <w:color w:val="000000" w:themeColor="text1"/>
        </w:rPr>
        <w:t xml:space="preserve"> </w:t>
      </w:r>
      <w:r w:rsidR="009414A3" w:rsidRPr="00264708">
        <w:rPr>
          <w:rFonts w:cs="Times New Roman"/>
          <w:color w:val="000000" w:themeColor="text1"/>
        </w:rPr>
        <w:t>l’opinion en partie dissidente du juge Pavli à laquelle se rallie la juge Motoc</w:t>
      </w:r>
      <w:bookmarkEnd w:id="4"/>
      <w:r w:rsidR="009414A3" w:rsidRPr="00264708">
        <w:rPr>
          <w:rFonts w:cs="Times New Roman"/>
          <w:color w:val="000000" w:themeColor="text1"/>
        </w:rPr>
        <w:t>, jointe</w:t>
      </w:r>
      <w:r w:rsidR="00FF767E" w:rsidRPr="00264708">
        <w:rPr>
          <w:rFonts w:cs="Times New Roman"/>
          <w:color w:val="000000" w:themeColor="text1"/>
        </w:rPr>
        <w:t xml:space="preserve"> à l’arrêt </w:t>
      </w:r>
      <w:r w:rsidR="00FF767E" w:rsidRPr="00264708">
        <w:rPr>
          <w:rFonts w:cs="Times New Roman"/>
          <w:i/>
          <w:iCs/>
          <w:color w:val="000000" w:themeColor="text1"/>
        </w:rPr>
        <w:t>Fedotova c. Fédération de Russie</w:t>
      </w:r>
      <w:r w:rsidR="00FF767E" w:rsidRPr="00264708">
        <w:rPr>
          <w:rFonts w:cs="Times New Roman"/>
          <w:color w:val="000000" w:themeColor="text1"/>
        </w:rPr>
        <w:t>, 17 janvier 2023</w:t>
      </w:r>
      <w:r w:rsidR="000438F1">
        <w:rPr>
          <w:rFonts w:cs="Times New Roman"/>
          <w:color w:val="000000" w:themeColor="text1"/>
        </w:rPr>
        <w:t xml:space="preserve"> (</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15">
    <w:p w14:paraId="346F4FD0" w14:textId="07A7B6DA" w:rsidR="00FF767E" w:rsidRPr="009C6F4B" w:rsidRDefault="00FF767E" w:rsidP="0086072A">
      <w:pPr>
        <w:pStyle w:val="Notedebasdepage"/>
        <w:rPr>
          <w:rFonts w:cs="Times New Roman"/>
          <w:color w:val="000000" w:themeColor="text1"/>
        </w:rPr>
      </w:pPr>
      <w:r w:rsidRPr="009C6F4B">
        <w:rPr>
          <w:color w:val="000000" w:themeColor="text1"/>
        </w:rPr>
        <w:footnoteRef/>
      </w:r>
      <w:r w:rsidRPr="009C6F4B">
        <w:rPr>
          <w:rFonts w:cs="Times New Roman"/>
          <w:color w:val="000000" w:themeColor="text1"/>
        </w:rPr>
        <w:t xml:space="preserve"> </w:t>
      </w:r>
      <w:r w:rsidRPr="009C6F4B">
        <w:rPr>
          <w:rFonts w:cs="Times New Roman"/>
          <w:color w:val="000000" w:themeColor="text1"/>
        </w:rPr>
        <w:t xml:space="preserve">Pour une critique </w:t>
      </w:r>
      <w:r w:rsidR="008617E8" w:rsidRPr="009C6F4B">
        <w:rPr>
          <w:rFonts w:cs="Times New Roman"/>
          <w:color w:val="000000" w:themeColor="text1"/>
        </w:rPr>
        <w:t>“</w:t>
      </w:r>
      <w:r w:rsidRPr="009C6F4B">
        <w:rPr>
          <w:rFonts w:cs="Times New Roman"/>
          <w:color w:val="000000" w:themeColor="text1"/>
        </w:rPr>
        <w:t>interne</w:t>
      </w:r>
      <w:r w:rsidR="008617E8" w:rsidRPr="009C6F4B">
        <w:rPr>
          <w:rFonts w:cs="Times New Roman"/>
          <w:color w:val="000000" w:themeColor="text1"/>
        </w:rPr>
        <w:t>”</w:t>
      </w:r>
      <w:r w:rsidRPr="009C6F4B">
        <w:rPr>
          <w:rFonts w:cs="Times New Roman"/>
          <w:color w:val="000000" w:themeColor="text1"/>
        </w:rPr>
        <w:t xml:space="preserve"> de ce minimalisme, voy</w:t>
      </w:r>
      <w:r w:rsidR="009414A3" w:rsidRPr="009C6F4B">
        <w:rPr>
          <w:rFonts w:cs="Times New Roman"/>
          <w:color w:val="000000" w:themeColor="text1"/>
        </w:rPr>
        <w:t>. l’opinion séparée jointe par le</w:t>
      </w:r>
      <w:r w:rsidRPr="009C6F4B">
        <w:rPr>
          <w:rFonts w:cs="Times New Roman"/>
          <w:color w:val="000000" w:themeColor="text1"/>
        </w:rPr>
        <w:t xml:space="preserve"> </w:t>
      </w:r>
      <w:r w:rsidR="009414A3" w:rsidRPr="009C6F4B">
        <w:rPr>
          <w:rFonts w:cs="Times New Roman"/>
          <w:color w:val="000000" w:themeColor="text1"/>
        </w:rPr>
        <w:t xml:space="preserve">Juge Ravanari à l’arrêt </w:t>
      </w:r>
      <w:r w:rsidR="009414A3" w:rsidRPr="009C6F4B">
        <w:rPr>
          <w:rFonts w:cs="Times New Roman"/>
          <w:i/>
          <w:iCs/>
          <w:color w:val="000000" w:themeColor="text1"/>
        </w:rPr>
        <w:t>Lacatus c. Suisse</w:t>
      </w:r>
      <w:r w:rsidR="009414A3" w:rsidRPr="009C6F4B">
        <w:rPr>
          <w:rFonts w:cs="Times New Roman"/>
          <w:color w:val="000000" w:themeColor="text1"/>
        </w:rPr>
        <w:t xml:space="preserve"> </w:t>
      </w:r>
      <w:r w:rsidR="0090309F" w:rsidRPr="009C6F4B">
        <w:rPr>
          <w:rFonts w:cs="Times New Roman"/>
          <w:color w:val="000000" w:themeColor="text1"/>
        </w:rPr>
        <w:t xml:space="preserve">du 19 janvier 2021. Voy. </w:t>
      </w:r>
      <w:r w:rsidR="005D35A2" w:rsidRPr="009C6F4B">
        <w:rPr>
          <w:rFonts w:cs="Times New Roman"/>
          <w:color w:val="000000" w:themeColor="text1"/>
        </w:rPr>
        <w:t>a</w:t>
      </w:r>
      <w:r w:rsidR="0090309F" w:rsidRPr="009C6F4B">
        <w:rPr>
          <w:rFonts w:cs="Times New Roman"/>
          <w:color w:val="000000" w:themeColor="text1"/>
        </w:rPr>
        <w:t xml:space="preserve">ussi, parmi d’autres, l’opinion dissidente du Juge </w:t>
      </w:r>
      <w:r w:rsidR="0090309F" w:rsidRPr="009C6F4B">
        <w:rPr>
          <w:color w:val="000000" w:themeColor="text1"/>
        </w:rPr>
        <w:t xml:space="preserve">Pavli dans </w:t>
      </w:r>
      <w:r w:rsidRPr="009C6F4B">
        <w:rPr>
          <w:color w:val="000000" w:themeColor="text1"/>
        </w:rPr>
        <w:t xml:space="preserve"> </w:t>
      </w:r>
      <w:r w:rsidRPr="009C6F4B">
        <w:rPr>
          <w:iCs/>
          <w:color w:val="000000" w:themeColor="text1"/>
        </w:rPr>
        <w:t xml:space="preserve">Basu v. Germany </w:t>
      </w:r>
      <w:r w:rsidRPr="009C6F4B">
        <w:rPr>
          <w:color w:val="000000" w:themeColor="text1"/>
        </w:rPr>
        <w:t>(</w:t>
      </w:r>
      <w:r w:rsidR="0090309F" w:rsidRPr="009C6F4B">
        <w:rPr>
          <w:color w:val="000000" w:themeColor="text1"/>
        </w:rPr>
        <w:t xml:space="preserve">6 octobre </w:t>
      </w:r>
      <w:r w:rsidRPr="009C6F4B">
        <w:rPr>
          <w:color w:val="000000" w:themeColor="text1"/>
        </w:rPr>
        <w:t>2022)</w:t>
      </w:r>
      <w:r w:rsidR="0090309F" w:rsidRPr="009C6F4B">
        <w:rPr>
          <w:rFonts w:cs="Times New Roman"/>
          <w:color w:val="000000" w:themeColor="text1"/>
        </w:rPr>
        <w:t xml:space="preserve">; l’opinion concordante du </w:t>
      </w:r>
      <w:r w:rsidRPr="009C6F4B">
        <w:rPr>
          <w:rFonts w:cs="Times New Roman"/>
          <w:color w:val="000000" w:themeColor="text1"/>
        </w:rPr>
        <w:t xml:space="preserve"> </w:t>
      </w:r>
      <w:r w:rsidR="0090309F" w:rsidRPr="009C6F4B">
        <w:rPr>
          <w:color w:val="000000" w:themeColor="text1"/>
        </w:rPr>
        <w:t xml:space="preserve">Juge </w:t>
      </w:r>
      <w:r w:rsidRPr="009C6F4B">
        <w:rPr>
          <w:color w:val="000000" w:themeColor="text1"/>
        </w:rPr>
        <w:t xml:space="preserve">Pinto de Albuquerque </w:t>
      </w:r>
      <w:r w:rsidR="0090309F" w:rsidRPr="009C6F4B">
        <w:rPr>
          <w:color w:val="000000" w:themeColor="text1"/>
        </w:rPr>
        <w:t>dans</w:t>
      </w:r>
      <w:r w:rsidRPr="009C6F4B">
        <w:rPr>
          <w:color w:val="000000" w:themeColor="text1"/>
        </w:rPr>
        <w:t xml:space="preserve"> Centre for Legal Resources on behalf of Valentin Câmpeanu v. Romania</w:t>
      </w:r>
      <w:r w:rsidRPr="009C6F4B">
        <w:rPr>
          <w:i/>
          <w:iCs/>
          <w:color w:val="000000" w:themeColor="text1"/>
        </w:rPr>
        <w:t xml:space="preserve"> </w:t>
      </w:r>
      <w:r w:rsidRPr="009C6F4B">
        <w:rPr>
          <w:color w:val="000000" w:themeColor="text1"/>
        </w:rPr>
        <w:t>(</w:t>
      </w:r>
      <w:r w:rsidR="0090309F" w:rsidRPr="009C6F4B">
        <w:rPr>
          <w:rFonts w:cs="Times New Roman"/>
          <w:color w:val="000000" w:themeColor="text1"/>
        </w:rPr>
        <w:t>17 juillet 2014); l’opinion en partie dissidente du juge</w:t>
      </w:r>
      <w:r w:rsidRPr="009C6F4B">
        <w:rPr>
          <w:color w:val="000000" w:themeColor="text1"/>
        </w:rPr>
        <w:t xml:space="preserve"> Sicilianos</w:t>
      </w:r>
      <w:r w:rsidRPr="009C6F4B">
        <w:rPr>
          <w:rFonts w:cs="Times New Roman"/>
          <w:color w:val="000000" w:themeColor="text1"/>
        </w:rPr>
        <w:t xml:space="preserve"> </w:t>
      </w:r>
      <w:r w:rsidR="0090309F" w:rsidRPr="009C6F4B">
        <w:rPr>
          <w:rFonts w:cs="Times New Roman"/>
          <w:color w:val="000000" w:themeColor="text1"/>
        </w:rPr>
        <w:t xml:space="preserve">dans </w:t>
      </w:r>
      <w:r w:rsidRPr="009C6F4B">
        <w:rPr>
          <w:iCs/>
          <w:color w:val="000000" w:themeColor="text1"/>
        </w:rPr>
        <w:t>Myasnik Malkhasyan v. Armenia</w:t>
      </w:r>
      <w:r w:rsidRPr="009C6F4B">
        <w:rPr>
          <w:rFonts w:cs="Times New Roman"/>
          <w:color w:val="000000" w:themeColor="text1"/>
        </w:rPr>
        <w:t xml:space="preserve"> (</w:t>
      </w:r>
      <w:r w:rsidR="0090309F" w:rsidRPr="009C6F4B">
        <w:rPr>
          <w:rFonts w:cs="Times New Roman"/>
          <w:color w:val="000000" w:themeColor="text1"/>
        </w:rPr>
        <w:t>15 octobre 2020</w:t>
      </w:r>
      <w:r w:rsidRPr="009C6F4B">
        <w:rPr>
          <w:rFonts w:cs="Times New Roman"/>
          <w:color w:val="000000" w:themeColor="text1"/>
        </w:rPr>
        <w:t>)</w:t>
      </w:r>
      <w:r w:rsidR="0086072A" w:rsidRPr="009C6F4B">
        <w:rPr>
          <w:rFonts w:cs="Times New Roman"/>
          <w:color w:val="000000" w:themeColor="text1"/>
        </w:rPr>
        <w:t xml:space="preserve"> Les arrêts précités sont consultables sur https://hudoc.echr.coe.int</w:t>
      </w:r>
    </w:p>
  </w:footnote>
  <w:footnote w:id="16">
    <w:p w14:paraId="2D55AF69" w14:textId="5DE15FB7"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E31717">
        <w:rPr>
          <w:rFonts w:cs="Times New Roman"/>
          <w:color w:val="000000" w:themeColor="text1"/>
          <w:lang w:val="nl-BE"/>
        </w:rPr>
        <w:t xml:space="preserve"> </w:t>
      </w:r>
      <w:bookmarkStart w:id="5" w:name="_Hlk86860813"/>
      <w:r w:rsidR="0090309F" w:rsidRPr="00E31717">
        <w:rPr>
          <w:rFonts w:eastAsia="Times New Roman" w:cs="Times New Roman"/>
          <w:color w:val="000000" w:themeColor="text1"/>
          <w:shd w:val="clear" w:color="auto" w:fill="FFFFFF"/>
          <w:lang w:val="nl-BE"/>
        </w:rPr>
        <w:t xml:space="preserve">Janneke </w:t>
      </w:r>
      <w:r w:rsidR="0090309F" w:rsidRPr="00E31717">
        <w:rPr>
          <w:rFonts w:eastAsia="Times New Roman" w:cs="Times New Roman"/>
          <w:smallCaps/>
          <w:color w:val="000000" w:themeColor="text1"/>
          <w:shd w:val="clear" w:color="auto" w:fill="FFFFFF"/>
          <w:lang w:val="nl-BE"/>
        </w:rPr>
        <w:t>Gerards</w:t>
      </w:r>
      <w:r w:rsidR="0090309F" w:rsidRPr="00E31717">
        <w:rPr>
          <w:rFonts w:eastAsia="Times New Roman" w:cs="Times New Roman"/>
          <w:color w:val="000000" w:themeColor="text1"/>
          <w:shd w:val="clear" w:color="auto" w:fill="FFFFFF"/>
          <w:lang w:val="nl-BE"/>
        </w:rPr>
        <w:t xml:space="preserve">, </w:t>
      </w:r>
      <w:r w:rsidR="0090309F" w:rsidRPr="00E31717">
        <w:rPr>
          <w:rFonts w:eastAsia="Times New Roman" w:cs="Times New Roman"/>
          <w:i/>
          <w:color w:val="000000" w:themeColor="text1"/>
          <w:shd w:val="clear" w:color="auto" w:fill="FFFFFF"/>
          <w:lang w:val="nl-BE"/>
        </w:rPr>
        <w:t xml:space="preserve">EVRM. </w:t>
      </w:r>
      <w:r w:rsidR="0090309F" w:rsidRPr="00E31717">
        <w:rPr>
          <w:rFonts w:eastAsia="Times New Roman" w:cs="Times New Roman"/>
          <w:i/>
          <w:color w:val="000000" w:themeColor="text1"/>
          <w:shd w:val="clear" w:color="auto" w:fill="FFFFFF"/>
          <w:lang w:val="nl-BE"/>
        </w:rPr>
        <w:t xml:space="preserve">Algemene Beginselen </w:t>
      </w:r>
      <w:r w:rsidR="00052BDE" w:rsidRPr="009C6F4B">
        <w:rPr>
          <w:rFonts w:eastAsia="Times New Roman" w:cs="Times New Roman"/>
          <w:color w:val="000000" w:themeColor="text1"/>
          <w:shd w:val="clear" w:color="auto" w:fill="FFFFFF"/>
          <w:lang w:val="nl-BE"/>
        </w:rPr>
        <w:t xml:space="preserve">(Den Haag: </w:t>
      </w:r>
      <w:r w:rsidR="0090309F" w:rsidRPr="00E31717">
        <w:rPr>
          <w:rFonts w:eastAsia="Times New Roman" w:cs="Times New Roman"/>
          <w:color w:val="000000" w:themeColor="text1"/>
          <w:shd w:val="clear" w:color="auto" w:fill="FFFFFF"/>
          <w:lang w:val="nl-BE"/>
        </w:rPr>
        <w:t>SDU, 2011</w:t>
      </w:r>
      <w:bookmarkEnd w:id="5"/>
      <w:r w:rsidR="00052BDE" w:rsidRPr="009C6F4B">
        <w:rPr>
          <w:rFonts w:eastAsia="Times New Roman" w:cs="Times New Roman"/>
          <w:color w:val="000000" w:themeColor="text1"/>
          <w:shd w:val="clear" w:color="auto" w:fill="FFFFFF"/>
          <w:lang w:val="nl-BE"/>
        </w:rPr>
        <w:t>)</w:t>
      </w:r>
      <w:r w:rsidR="0090309F" w:rsidRPr="00E31717">
        <w:rPr>
          <w:rFonts w:eastAsia="Times New Roman" w:cs="Times New Roman"/>
          <w:color w:val="000000" w:themeColor="text1"/>
          <w:shd w:val="clear" w:color="auto" w:fill="FFFFFF"/>
          <w:lang w:val="nl-BE"/>
        </w:rPr>
        <w:t xml:space="preserve">, </w:t>
      </w:r>
      <w:r w:rsidRPr="00E31717">
        <w:rPr>
          <w:rFonts w:cs="Times New Roman"/>
          <w:color w:val="000000" w:themeColor="text1"/>
          <w:lang w:val="nl-BE"/>
        </w:rPr>
        <w:t xml:space="preserve">20. </w:t>
      </w:r>
      <w:r w:rsidRPr="00264708">
        <w:rPr>
          <w:rFonts w:cs="Times New Roman"/>
          <w:color w:val="000000" w:themeColor="text1"/>
        </w:rPr>
        <w:t xml:space="preserve">Voy. aussi Frédéric </w:t>
      </w:r>
      <w:r w:rsidRPr="00264708">
        <w:rPr>
          <w:rFonts w:cs="Times New Roman"/>
          <w:smallCaps/>
          <w:color w:val="000000" w:themeColor="text1"/>
        </w:rPr>
        <w:t>Krenc</w:t>
      </w:r>
      <w:r w:rsidRPr="00264708">
        <w:rPr>
          <w:rFonts w:cs="Times New Roman"/>
          <w:color w:val="000000" w:themeColor="text1"/>
        </w:rPr>
        <w:t xml:space="preserve">, </w:t>
      </w:r>
      <w:r w:rsidR="00052BDE">
        <w:rPr>
          <w:rFonts w:cs="Times New Roman"/>
          <w:color w:val="000000" w:themeColor="text1"/>
        </w:rPr>
        <w:t xml:space="preserve">114. </w:t>
      </w:r>
      <w:r w:rsidR="00052BDE" w:rsidRPr="00264708">
        <w:rPr>
          <w:rFonts w:cs="Times New Roman"/>
          <w:i/>
          <w:color w:val="000000" w:themeColor="text1"/>
        </w:rPr>
        <w:t>RTDH</w:t>
      </w:r>
      <w:r w:rsidR="00052BDE" w:rsidRPr="00264708">
        <w:rPr>
          <w:rFonts w:cs="Times New Roman"/>
          <w:color w:val="000000" w:themeColor="text1"/>
        </w:rPr>
        <w:t xml:space="preserve"> 2018,</w:t>
      </w:r>
      <w:r w:rsidR="00052BDE">
        <w:rPr>
          <w:rFonts w:cs="Times New Roman"/>
          <w:color w:val="000000" w:themeColor="text1"/>
        </w:rPr>
        <w:t xml:space="preserve"> (311)</w:t>
      </w:r>
      <w:r w:rsidRPr="00264708">
        <w:rPr>
          <w:rFonts w:cs="Times New Roman"/>
          <w:color w:val="000000" w:themeColor="text1"/>
        </w:rPr>
        <w:t xml:space="preserve"> 321.</w:t>
      </w:r>
    </w:p>
  </w:footnote>
  <w:footnote w:id="17">
    <w:p w14:paraId="4B37289C" w14:textId="6DE75871" w:rsidR="00813256" w:rsidRPr="00264708" w:rsidRDefault="00813256" w:rsidP="009C6F4B">
      <w:pPr>
        <w:pStyle w:val="Notedebasdepage"/>
        <w:rPr>
          <w:rFonts w:eastAsia="Times New Roman"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CEDH [GC], 8 décembre 1999, </w:t>
      </w:r>
      <w:r w:rsidRPr="00264708">
        <w:rPr>
          <w:rFonts w:cs="Times New Roman"/>
          <w:i/>
          <w:color w:val="000000" w:themeColor="text1"/>
        </w:rPr>
        <w:t xml:space="preserve">Pellegrin c. </w:t>
      </w:r>
      <w:r w:rsidRPr="00264708">
        <w:rPr>
          <w:rFonts w:cs="Times New Roman"/>
          <w:i/>
          <w:color w:val="000000" w:themeColor="text1"/>
        </w:rPr>
        <w:t>France</w:t>
      </w:r>
      <w:r w:rsidRPr="00264708">
        <w:rPr>
          <w:rFonts w:cs="Times New Roman"/>
          <w:iCs/>
          <w:color w:val="000000" w:themeColor="text1"/>
        </w:rPr>
        <w:t xml:space="preserve">, </w:t>
      </w:r>
      <w:r w:rsidRPr="00264708">
        <w:rPr>
          <w:rFonts w:cs="Times New Roman"/>
          <w:color w:val="000000" w:themeColor="text1"/>
        </w:rPr>
        <w:t>n°</w:t>
      </w:r>
      <w:r w:rsidRPr="00264708">
        <w:rPr>
          <w:rFonts w:eastAsia="Times New Roman" w:cs="Times New Roman"/>
          <w:color w:val="000000" w:themeColor="text1"/>
          <w:shd w:val="clear" w:color="auto" w:fill="FFFFFF"/>
        </w:rPr>
        <w:t xml:space="preserve"> 28541/95</w:t>
      </w:r>
      <w:r w:rsidR="007C084C">
        <w:rPr>
          <w:rFonts w:cs="Times New Roman"/>
          <w:color w:val="000000" w:themeColor="text1"/>
        </w:rPr>
        <w:t>;</w:t>
      </w:r>
      <w:r w:rsidRPr="00264708">
        <w:rPr>
          <w:rFonts w:cs="Times New Roman"/>
          <w:color w:val="000000" w:themeColor="text1"/>
        </w:rPr>
        <w:t xml:space="preserve"> CEDH [GC], 19 avril 2007, </w:t>
      </w:r>
      <w:r w:rsidRPr="00264708">
        <w:rPr>
          <w:rFonts w:cs="Times New Roman"/>
          <w:i/>
          <w:color w:val="000000" w:themeColor="text1"/>
        </w:rPr>
        <w:t xml:space="preserve">Vilho Eskelinen et autres c. Finlande, </w:t>
      </w:r>
      <w:r w:rsidRPr="00264708">
        <w:rPr>
          <w:rFonts w:cs="Times New Roman"/>
          <w:color w:val="000000" w:themeColor="text1"/>
        </w:rPr>
        <w:t>n°</w:t>
      </w:r>
      <w:r w:rsidRPr="00264708">
        <w:rPr>
          <w:rFonts w:eastAsia="Times New Roman" w:cs="Times New Roman"/>
          <w:color w:val="000000" w:themeColor="text1"/>
          <w:shd w:val="clear" w:color="auto" w:fill="FFFFFF"/>
        </w:rPr>
        <w:t> 63235/00</w:t>
      </w:r>
      <w:r w:rsidR="000438F1">
        <w:rPr>
          <w:rFonts w:eastAsia="Times New Roman" w:cs="Times New Roman"/>
          <w:color w:val="000000" w:themeColor="text1"/>
        </w:rPr>
        <w:t xml:space="preserve"> </w:t>
      </w:r>
      <w:r w:rsidR="000438F1">
        <w:rPr>
          <w:rFonts w:cs="Times New Roman"/>
          <w:color w:val="000000" w:themeColor="text1"/>
        </w:rPr>
        <w:t>(</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18">
    <w:p w14:paraId="1E1DBDDE" w14:textId="5F38CD7A" w:rsidR="00813256" w:rsidRPr="00264708" w:rsidRDefault="00813256" w:rsidP="009C6F4B">
      <w:pPr>
        <w:pStyle w:val="Notedebasdepage"/>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CEDH [GC], 19 octobre 2009, </w:t>
      </w:r>
      <w:r w:rsidRPr="00264708">
        <w:rPr>
          <w:rFonts w:cs="Times New Roman"/>
          <w:i/>
          <w:color w:val="000000" w:themeColor="text1"/>
        </w:rPr>
        <w:t xml:space="preserve">Micallef c. </w:t>
      </w:r>
      <w:r w:rsidRPr="00264708">
        <w:rPr>
          <w:rFonts w:cs="Times New Roman"/>
          <w:i/>
          <w:color w:val="000000" w:themeColor="text1"/>
        </w:rPr>
        <w:t xml:space="preserve">Malte, </w:t>
      </w:r>
      <w:r w:rsidRPr="00264708">
        <w:rPr>
          <w:rFonts w:cs="Times New Roman"/>
          <w:color w:val="000000" w:themeColor="text1"/>
        </w:rPr>
        <w:t>n°</w:t>
      </w:r>
      <w:r w:rsidRPr="00264708">
        <w:rPr>
          <w:rFonts w:eastAsia="Times New Roman" w:cs="Times New Roman"/>
          <w:color w:val="000000" w:themeColor="text1"/>
          <w:shd w:val="clear" w:color="auto" w:fill="FFFFFF"/>
        </w:rPr>
        <w:t xml:space="preserve"> 17056/06</w:t>
      </w:r>
      <w:r w:rsidR="000438F1">
        <w:rPr>
          <w:rFonts w:eastAsia="Times New Roman" w:cs="Times New Roman"/>
          <w:color w:val="000000" w:themeColor="text1"/>
          <w:shd w:val="clear" w:color="auto" w:fill="FFFFFF"/>
        </w:rPr>
        <w:t xml:space="preserve"> </w:t>
      </w:r>
      <w:r w:rsidR="000438F1">
        <w:rPr>
          <w:rFonts w:cs="Times New Roman"/>
          <w:color w:val="000000" w:themeColor="text1"/>
        </w:rPr>
        <w:t>(</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19">
    <w:p w14:paraId="7609B547" w14:textId="3C20B164" w:rsidR="00813256" w:rsidRPr="00264708" w:rsidRDefault="00813256" w:rsidP="009C6F4B">
      <w:pPr>
        <w:pStyle w:val="Notedebasdepage"/>
        <w:rPr>
          <w:rFonts w:eastAsia="Times New Roman"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CEDH [GC], 15 novembre 2016, </w:t>
      </w:r>
      <w:r w:rsidRPr="00264708">
        <w:rPr>
          <w:rFonts w:cs="Times New Roman"/>
          <w:i/>
          <w:color w:val="000000" w:themeColor="text1"/>
        </w:rPr>
        <w:t xml:space="preserve">A et B c. </w:t>
      </w:r>
      <w:r w:rsidRPr="00264708">
        <w:rPr>
          <w:rFonts w:cs="Times New Roman"/>
          <w:i/>
          <w:color w:val="000000" w:themeColor="text1"/>
        </w:rPr>
        <w:t>Norvège</w:t>
      </w:r>
      <w:r w:rsidRPr="00264708">
        <w:rPr>
          <w:rFonts w:cs="Times New Roman"/>
          <w:color w:val="000000" w:themeColor="text1"/>
        </w:rPr>
        <w:t>, n</w:t>
      </w:r>
      <w:r w:rsidRPr="00264708">
        <w:rPr>
          <w:rFonts w:cs="Times New Roman"/>
          <w:color w:val="000000" w:themeColor="text1"/>
          <w:vertAlign w:val="superscript"/>
        </w:rPr>
        <w:t>os</w:t>
      </w:r>
      <w:r w:rsidRPr="00264708">
        <w:rPr>
          <w:rFonts w:eastAsia="Times New Roman" w:cs="Times New Roman"/>
          <w:color w:val="000000" w:themeColor="text1"/>
          <w:shd w:val="clear" w:color="auto" w:fill="FFFFFF"/>
        </w:rPr>
        <w:t xml:space="preserve"> 24130/11 </w:t>
      </w:r>
      <w:r w:rsidRPr="00264708">
        <w:rPr>
          <w:rFonts w:eastAsia="Times New Roman" w:cs="Times New Roman"/>
          <w:i/>
          <w:iCs/>
          <w:color w:val="000000" w:themeColor="text1"/>
          <w:shd w:val="clear" w:color="auto" w:fill="FFFFFF"/>
        </w:rPr>
        <w:t>et al.</w:t>
      </w:r>
      <w:r w:rsidR="007C084C">
        <w:rPr>
          <w:rFonts w:cs="Times New Roman"/>
          <w:color w:val="000000" w:themeColor="text1"/>
        </w:rPr>
        <w:t>;</w:t>
      </w:r>
      <w:r w:rsidRPr="00264708">
        <w:rPr>
          <w:rFonts w:cs="Times New Roman"/>
          <w:color w:val="000000" w:themeColor="text1"/>
        </w:rPr>
        <w:t xml:space="preserve"> CEDH [GC], 10 février 2009, </w:t>
      </w:r>
      <w:r w:rsidRPr="00264708">
        <w:rPr>
          <w:rFonts w:cs="Times New Roman"/>
          <w:i/>
          <w:color w:val="000000" w:themeColor="text1"/>
        </w:rPr>
        <w:t xml:space="preserve">Sergueï Zolotoukhine c. Russie, </w:t>
      </w:r>
      <w:r w:rsidRPr="00264708">
        <w:rPr>
          <w:rFonts w:cs="Times New Roman"/>
          <w:color w:val="000000" w:themeColor="text1"/>
        </w:rPr>
        <w:t>n°</w:t>
      </w:r>
      <w:r w:rsidRPr="00264708">
        <w:rPr>
          <w:rFonts w:eastAsia="Times New Roman" w:cs="Times New Roman"/>
          <w:color w:val="000000" w:themeColor="text1"/>
          <w:shd w:val="clear" w:color="auto" w:fill="FFFFFF"/>
        </w:rPr>
        <w:t> 14939/03</w:t>
      </w:r>
      <w:r w:rsidR="000438F1">
        <w:rPr>
          <w:rFonts w:eastAsia="Times New Roman" w:cs="Times New Roman"/>
          <w:color w:val="000000" w:themeColor="text1"/>
          <w:shd w:val="clear" w:color="auto" w:fill="FFFFFF"/>
        </w:rPr>
        <w:t xml:space="preserve"> </w:t>
      </w:r>
      <w:r w:rsidR="000438F1">
        <w:rPr>
          <w:rFonts w:cs="Times New Roman"/>
          <w:color w:val="000000" w:themeColor="text1"/>
        </w:rPr>
        <w:t>(</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20">
    <w:p w14:paraId="6D7C5781" w14:textId="4D422C02" w:rsidR="00813256" w:rsidRPr="00264708" w:rsidRDefault="00813256" w:rsidP="009C6F4B">
      <w:pPr>
        <w:pStyle w:val="Notedebasdepage"/>
        <w:rPr>
          <w:rFonts w:eastAsia="Times New Roman"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CEDH [GC], 30 mars 2017, </w:t>
      </w:r>
      <w:r w:rsidRPr="00264708">
        <w:rPr>
          <w:rFonts w:cs="Times New Roman"/>
          <w:i/>
          <w:color w:val="000000" w:themeColor="text1"/>
        </w:rPr>
        <w:t xml:space="preserve">Nagmetov c. </w:t>
      </w:r>
      <w:r w:rsidRPr="00264708">
        <w:rPr>
          <w:rFonts w:cs="Times New Roman"/>
          <w:i/>
          <w:color w:val="000000" w:themeColor="text1"/>
        </w:rPr>
        <w:t xml:space="preserve">Russie, </w:t>
      </w:r>
      <w:r w:rsidRPr="00264708">
        <w:rPr>
          <w:rFonts w:cs="Times New Roman"/>
          <w:color w:val="000000" w:themeColor="text1"/>
        </w:rPr>
        <w:t>n°</w:t>
      </w:r>
      <w:r w:rsidRPr="00264708">
        <w:rPr>
          <w:rFonts w:eastAsia="Times New Roman" w:cs="Times New Roman"/>
          <w:color w:val="000000" w:themeColor="text1"/>
          <w:shd w:val="clear" w:color="auto" w:fill="FFFFFF"/>
        </w:rPr>
        <w:t xml:space="preserve"> 35589/08</w:t>
      </w:r>
      <w:r w:rsidR="000438F1">
        <w:rPr>
          <w:rFonts w:eastAsia="Times New Roman" w:cs="Times New Roman"/>
          <w:color w:val="000000" w:themeColor="text1"/>
          <w:shd w:val="clear" w:color="auto" w:fill="FFFFFF"/>
        </w:rPr>
        <w:t xml:space="preserve"> </w:t>
      </w:r>
      <w:r w:rsidR="000438F1">
        <w:rPr>
          <w:rFonts w:cs="Times New Roman"/>
          <w:color w:val="000000" w:themeColor="text1"/>
        </w:rPr>
        <w:t>(</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21">
    <w:p w14:paraId="5635F3A9" w14:textId="0554C1B6" w:rsidR="00813256" w:rsidRPr="00264708" w:rsidRDefault="00813256" w:rsidP="009C6F4B">
      <w:pPr>
        <w:pStyle w:val="Notedebasdepage"/>
        <w:rPr>
          <w:rFonts w:eastAsia="Times New Roman"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CEDH [GC], 22 octobre 2018, </w:t>
      </w:r>
      <w:r w:rsidRPr="00264708">
        <w:rPr>
          <w:rFonts w:cs="Times New Roman"/>
          <w:i/>
          <w:color w:val="000000" w:themeColor="text1"/>
        </w:rPr>
        <w:t xml:space="preserve">S., V. et A. c. Danemark, </w:t>
      </w:r>
      <w:r w:rsidRPr="00264708">
        <w:rPr>
          <w:rFonts w:cs="Times New Roman"/>
          <w:iCs/>
          <w:color w:val="000000" w:themeColor="text1"/>
        </w:rPr>
        <w:t>n</w:t>
      </w:r>
      <w:r w:rsidRPr="00264708">
        <w:rPr>
          <w:rFonts w:cs="Times New Roman"/>
          <w:iCs/>
          <w:color w:val="000000" w:themeColor="text1"/>
          <w:vertAlign w:val="superscript"/>
        </w:rPr>
        <w:t>os</w:t>
      </w:r>
      <w:r w:rsidRPr="00264708">
        <w:rPr>
          <w:rFonts w:eastAsia="Times New Roman" w:cs="Times New Roman"/>
          <w:color w:val="000000" w:themeColor="text1"/>
        </w:rPr>
        <w:t xml:space="preserve"> </w:t>
      </w:r>
      <w:r w:rsidRPr="00264708">
        <w:rPr>
          <w:rFonts w:eastAsia="Times New Roman" w:cs="Times New Roman"/>
          <w:color w:val="000000" w:themeColor="text1"/>
          <w:shd w:val="clear" w:color="auto" w:fill="FFFFFF"/>
        </w:rPr>
        <w:t xml:space="preserve">35553/12 </w:t>
      </w:r>
      <w:r w:rsidRPr="00264708">
        <w:rPr>
          <w:rFonts w:eastAsia="Times New Roman" w:cs="Times New Roman"/>
          <w:i/>
          <w:iCs/>
          <w:color w:val="000000" w:themeColor="text1"/>
          <w:shd w:val="clear" w:color="auto" w:fill="FFFFFF"/>
        </w:rPr>
        <w:t>et al</w:t>
      </w:r>
      <w:r w:rsidRPr="00264708">
        <w:rPr>
          <w:rFonts w:eastAsia="Times New Roman" w:cs="Times New Roman"/>
          <w:color w:val="000000" w:themeColor="text1"/>
          <w:shd w:val="clear" w:color="auto" w:fill="FFFFFF"/>
        </w:rPr>
        <w:t>.</w:t>
      </w:r>
      <w:r w:rsidR="000438F1">
        <w:rPr>
          <w:rFonts w:eastAsia="Times New Roman" w:cs="Times New Roman"/>
          <w:color w:val="000000" w:themeColor="text1"/>
          <w:shd w:val="clear" w:color="auto" w:fill="FFFFFF"/>
        </w:rPr>
        <w:t xml:space="preserve"> (consultable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22">
    <w:p w14:paraId="259E1507" w14:textId="3A87B177" w:rsidR="000438F1" w:rsidRPr="000438F1" w:rsidRDefault="000438F1">
      <w:pPr>
        <w:pStyle w:val="Notedebasdepage"/>
      </w:pPr>
      <w:r>
        <w:rPr>
          <w:rStyle w:val="Appelnotedebasdep"/>
        </w:rPr>
        <w:footnoteRef/>
      </w:r>
      <w:r>
        <w:t xml:space="preserve"> </w:t>
      </w:r>
      <w:r w:rsidRPr="009C6F4B">
        <w:t xml:space="preserve">CEDH </w:t>
      </w:r>
      <w:r w:rsidRPr="00264708">
        <w:rPr>
          <w:rFonts w:cs="Times New Roman"/>
          <w:color w:val="000000" w:themeColor="text1"/>
        </w:rPr>
        <w:t>[GC]</w:t>
      </w:r>
      <w:r>
        <w:rPr>
          <w:rFonts w:cs="Times New Roman"/>
          <w:color w:val="000000" w:themeColor="text1"/>
        </w:rPr>
        <w:t xml:space="preserve">, 22 octobre 2022, </w:t>
      </w:r>
      <w:r>
        <w:rPr>
          <w:rFonts w:cs="Times New Roman"/>
          <w:i/>
          <w:color w:val="000000" w:themeColor="text1"/>
        </w:rPr>
        <w:t xml:space="preserve">Beeler c. Suisse, </w:t>
      </w:r>
      <w:r>
        <w:rPr>
          <w:rFonts w:cs="Times New Roman"/>
          <w:color w:val="000000" w:themeColor="text1"/>
        </w:rPr>
        <w:t>n°78630/12 (</w:t>
      </w:r>
      <w:r>
        <w:rPr>
          <w:rFonts w:eastAsia="Times New Roman" w:cs="Times New Roman"/>
          <w:color w:val="000000" w:themeColor="text1"/>
          <w:shd w:val="clear" w:color="auto" w:fill="FFFFFF"/>
        </w:rPr>
        <w:t xml:space="preserve">consultable sur </w:t>
      </w:r>
      <w:r w:rsidRPr="00F410CD">
        <w:rPr>
          <w:rFonts w:eastAsia="Times New Roman" w:cs="Times New Roman"/>
          <w:color w:val="000000" w:themeColor="text1"/>
          <w:shd w:val="clear" w:color="auto" w:fill="FFFFFF"/>
        </w:rPr>
        <w:t>https://hudoc.echr.coe.int</w:t>
      </w:r>
      <w:r>
        <w:rPr>
          <w:rFonts w:eastAsia="Times New Roman" w:cs="Times New Roman"/>
          <w:color w:val="000000" w:themeColor="text1"/>
          <w:shd w:val="clear" w:color="auto" w:fill="FFFFFF"/>
        </w:rPr>
        <w:t>)</w:t>
      </w:r>
    </w:p>
  </w:footnote>
  <w:footnote w:id="23">
    <w:p w14:paraId="6ED187B6" w14:textId="0E9D0EE1" w:rsidR="00813256" w:rsidRPr="00264708" w:rsidRDefault="00813256" w:rsidP="00813256">
      <w:pPr>
        <w:pStyle w:val="Notedebasdepage"/>
        <w:contextualSpacing/>
        <w:rPr>
          <w:rFonts w:cs="Times New Roman"/>
          <w:color w:val="000000" w:themeColor="text1"/>
        </w:rPr>
      </w:pPr>
      <w:r w:rsidRPr="00264708">
        <w:rPr>
          <w:rStyle w:val="Appelnotedebasdep"/>
          <w:rFonts w:cs="Times New Roman"/>
          <w:color w:val="000000" w:themeColor="text1"/>
        </w:rPr>
        <w:footnoteRef/>
      </w:r>
      <w:r w:rsidRPr="00264708">
        <w:rPr>
          <w:rFonts w:cs="Times New Roman"/>
          <w:color w:val="000000" w:themeColor="text1"/>
        </w:rPr>
        <w:t xml:space="preserve"> Voy. Frédéric </w:t>
      </w:r>
      <w:r w:rsidRPr="00264708">
        <w:rPr>
          <w:rFonts w:cs="Times New Roman"/>
          <w:smallCaps/>
          <w:color w:val="000000" w:themeColor="text1"/>
        </w:rPr>
        <w:t>Krenc</w:t>
      </w:r>
      <w:r w:rsidRPr="00264708">
        <w:rPr>
          <w:rFonts w:cs="Times New Roman"/>
          <w:color w:val="000000" w:themeColor="text1"/>
        </w:rPr>
        <w:t xml:space="preserve">, </w:t>
      </w:r>
      <w:r w:rsidR="00052BDE">
        <w:rPr>
          <w:rFonts w:cs="Times New Roman"/>
          <w:color w:val="000000" w:themeColor="text1"/>
        </w:rPr>
        <w:t xml:space="preserve">114. </w:t>
      </w:r>
      <w:r w:rsidR="00052BDE" w:rsidRPr="00264708">
        <w:rPr>
          <w:rFonts w:cs="Times New Roman"/>
          <w:i/>
          <w:color w:val="000000" w:themeColor="text1"/>
        </w:rPr>
        <w:t>RTDH</w:t>
      </w:r>
      <w:r w:rsidR="00052BDE" w:rsidRPr="00264708">
        <w:rPr>
          <w:rFonts w:cs="Times New Roman"/>
          <w:color w:val="000000" w:themeColor="text1"/>
        </w:rPr>
        <w:t xml:space="preserve"> 2018,</w:t>
      </w:r>
      <w:r w:rsidR="00052BDE">
        <w:rPr>
          <w:rFonts w:cs="Times New Roman"/>
          <w:color w:val="000000" w:themeColor="text1"/>
        </w:rPr>
        <w:t xml:space="preserve"> </w:t>
      </w:r>
      <w:r w:rsidRPr="00264708">
        <w:rPr>
          <w:rFonts w:cs="Times New Roman"/>
          <w:color w:val="000000" w:themeColor="text1"/>
        </w:rPr>
        <w:t xml:space="preserve">311 et s. Voy. ég., sur ce sujet, </w:t>
      </w:r>
      <w:bookmarkStart w:id="6" w:name="_Hlk86862271"/>
      <w:r w:rsidRPr="00264708">
        <w:rPr>
          <w:rFonts w:cs="Times New Roman"/>
          <w:color w:val="000000" w:themeColor="text1"/>
        </w:rPr>
        <w:t xml:space="preserve">Jordane </w:t>
      </w:r>
      <w:r w:rsidRPr="009C6F4B">
        <w:rPr>
          <w:rFonts w:cs="Times New Roman"/>
          <w:color w:val="000000" w:themeColor="text1"/>
        </w:rPr>
        <w:t>A</w:t>
      </w:r>
      <w:r w:rsidRPr="000438F1">
        <w:rPr>
          <w:rFonts w:cs="Times New Roman"/>
          <w:smallCaps/>
          <w:color w:val="000000" w:themeColor="text1"/>
        </w:rPr>
        <w:t>rlettaz</w:t>
      </w:r>
      <w:r w:rsidRPr="00052BDE">
        <w:rPr>
          <w:rFonts w:cs="Times New Roman"/>
          <w:color w:val="000000" w:themeColor="text1"/>
        </w:rPr>
        <w:t xml:space="preserve"> &amp; Julien </w:t>
      </w:r>
      <w:r w:rsidRPr="009C6F4B">
        <w:rPr>
          <w:rFonts w:cs="Times New Roman"/>
          <w:color w:val="000000" w:themeColor="text1"/>
        </w:rPr>
        <w:t>B</w:t>
      </w:r>
      <w:r w:rsidRPr="000438F1">
        <w:rPr>
          <w:rFonts w:cs="Times New Roman"/>
          <w:smallCaps/>
          <w:color w:val="000000" w:themeColor="text1"/>
        </w:rPr>
        <w:t>onnet</w:t>
      </w:r>
      <w:r w:rsidRPr="00264708">
        <w:rPr>
          <w:rFonts w:cs="Times New Roman"/>
          <w:color w:val="000000" w:themeColor="text1"/>
        </w:rPr>
        <w:t xml:space="preserve"> (dir.), </w:t>
      </w:r>
      <w:r w:rsidRPr="00264708">
        <w:rPr>
          <w:rFonts w:cs="Times New Roman"/>
          <w:i/>
          <w:color w:val="000000" w:themeColor="text1"/>
        </w:rPr>
        <w:t xml:space="preserve">L’objectivation du contentieux des droits et libertés fondamentaux – du juge des droits au juge du droit </w:t>
      </w:r>
      <w:r w:rsidR="00052BDE">
        <w:rPr>
          <w:rFonts w:cs="Times New Roman"/>
          <w:iCs/>
          <w:color w:val="000000" w:themeColor="text1"/>
        </w:rPr>
        <w:t>(</w:t>
      </w:r>
      <w:r w:rsidRPr="00264708">
        <w:rPr>
          <w:rFonts w:cs="Times New Roman"/>
          <w:color w:val="000000" w:themeColor="text1"/>
        </w:rPr>
        <w:t>Paris</w:t>
      </w:r>
      <w:r w:rsidR="00052BDE">
        <w:rPr>
          <w:rFonts w:cs="Times New Roman"/>
          <w:color w:val="000000" w:themeColor="text1"/>
        </w:rPr>
        <w:t xml:space="preserve">: </w:t>
      </w:r>
      <w:r w:rsidRPr="00264708">
        <w:rPr>
          <w:rFonts w:cs="Times New Roman"/>
          <w:color w:val="000000" w:themeColor="text1"/>
        </w:rPr>
        <w:t>Pedone, 2015</w:t>
      </w:r>
      <w:bookmarkEnd w:id="6"/>
      <w:r w:rsidR="00052BDE">
        <w:rPr>
          <w:rFonts w:cs="Times New Roman"/>
          <w:color w:val="000000" w:themeColor="text1"/>
        </w:rPr>
        <w:t>)</w:t>
      </w:r>
      <w:r w:rsidRPr="00264708">
        <w:rPr>
          <w:rFonts w:cs="Times New Roman"/>
          <w:color w:val="000000" w:themeColor="text1"/>
        </w:rPr>
        <w:t>.</w:t>
      </w:r>
      <w:r w:rsidR="0012686C" w:rsidRPr="00264708">
        <w:rPr>
          <w:rFonts w:cs="Times New Roman"/>
          <w:color w:val="000000" w:themeColor="text1"/>
        </w:rPr>
        <w:t xml:space="preserve"> Voy. ég. </w:t>
      </w:r>
      <w:bookmarkStart w:id="7" w:name="_Hlk86862352"/>
      <w:r w:rsidR="0012686C" w:rsidRPr="00264708">
        <w:rPr>
          <w:rFonts w:cs="Times New Roman"/>
          <w:color w:val="000000" w:themeColor="text1"/>
        </w:rPr>
        <w:t xml:space="preserve">Mustapha </w:t>
      </w:r>
      <w:r w:rsidR="0012686C" w:rsidRPr="00264708">
        <w:rPr>
          <w:rFonts w:cs="Times New Roman"/>
          <w:smallCaps/>
          <w:color w:val="000000" w:themeColor="text1"/>
        </w:rPr>
        <w:t>Afroukh</w:t>
      </w:r>
      <w:r w:rsidR="0012686C" w:rsidRPr="00264708">
        <w:rPr>
          <w:rFonts w:cs="Times New Roman"/>
          <w:color w:val="000000" w:themeColor="text1"/>
        </w:rPr>
        <w:t xml:space="preserve">, </w:t>
      </w:r>
      <w:r w:rsidR="008617E8">
        <w:rPr>
          <w:rFonts w:cs="Times New Roman"/>
          <w:color w:val="000000" w:themeColor="text1"/>
        </w:rPr>
        <w:t>“</w:t>
      </w:r>
      <w:r w:rsidR="0012686C" w:rsidRPr="00264708">
        <w:rPr>
          <w:rFonts w:cs="Times New Roman"/>
          <w:color w:val="000000" w:themeColor="text1"/>
        </w:rPr>
        <w:t>L’identification d’une tendance récente à l’objectivisation du contentieux dans le contrôle de la Cour européenne des droits de l’Homme</w:t>
      </w:r>
      <w:r w:rsidR="008617E8">
        <w:rPr>
          <w:rFonts w:cs="Times New Roman"/>
          <w:color w:val="000000" w:themeColor="text1"/>
        </w:rPr>
        <w:t>”</w:t>
      </w:r>
      <w:r w:rsidR="0012686C" w:rsidRPr="00264708">
        <w:rPr>
          <w:rFonts w:cs="Times New Roman"/>
          <w:color w:val="000000" w:themeColor="text1"/>
        </w:rPr>
        <w:t xml:space="preserve">, </w:t>
      </w:r>
      <w:r w:rsidR="0012686C" w:rsidRPr="00264708">
        <w:rPr>
          <w:rFonts w:cs="Times New Roman"/>
          <w:i/>
          <w:color w:val="000000" w:themeColor="text1"/>
        </w:rPr>
        <w:t>RDP</w:t>
      </w:r>
      <w:r w:rsidR="00052BDE">
        <w:rPr>
          <w:rFonts w:cs="Times New Roman"/>
          <w:color w:val="000000" w:themeColor="text1"/>
        </w:rPr>
        <w:t xml:space="preserve"> </w:t>
      </w:r>
      <w:r w:rsidR="0012686C" w:rsidRPr="00264708">
        <w:rPr>
          <w:rFonts w:cs="Times New Roman"/>
          <w:color w:val="000000" w:themeColor="text1"/>
        </w:rPr>
        <w:t>2015,</w:t>
      </w:r>
      <w:r w:rsidR="00052BDE">
        <w:rPr>
          <w:rFonts w:cs="Times New Roman"/>
          <w:color w:val="000000" w:themeColor="text1"/>
        </w:rPr>
        <w:t xml:space="preserve"> </w:t>
      </w:r>
      <w:r w:rsidR="0012686C" w:rsidRPr="00264708">
        <w:rPr>
          <w:rFonts w:cs="Times New Roman"/>
          <w:color w:val="000000" w:themeColor="text1"/>
        </w:rPr>
        <w:t>1360-1361</w:t>
      </w:r>
      <w:bookmarkEnd w:id="7"/>
      <w:r w:rsidR="0012686C" w:rsidRPr="00264708">
        <w:rPr>
          <w:rFonts w:cs="Times New Roman"/>
          <w:color w:val="000000" w:themeColor="text1"/>
        </w:rPr>
        <w:t>.</w:t>
      </w:r>
    </w:p>
  </w:footnote>
  <w:footnote w:id="24">
    <w:p w14:paraId="775051D7" w14:textId="53542EA9" w:rsidR="005D35A2" w:rsidRPr="00264708" w:rsidRDefault="005D35A2">
      <w:pPr>
        <w:pStyle w:val="Notedebasdepage"/>
        <w:rPr>
          <w:rFonts w:cs="Times New Roman"/>
        </w:rPr>
      </w:pPr>
      <w:r w:rsidRPr="00264708">
        <w:rPr>
          <w:rStyle w:val="Appelnotedebasdep"/>
          <w:rFonts w:cs="Times New Roman"/>
        </w:rPr>
        <w:footnoteRef/>
      </w:r>
      <w:r w:rsidRPr="00264708">
        <w:rPr>
          <w:rFonts w:cs="Times New Roman"/>
        </w:rPr>
        <w:t xml:space="preserve"> CEDH (GC), </w:t>
      </w:r>
      <w:r w:rsidRPr="00264708">
        <w:rPr>
          <w:rFonts w:cs="Times New Roman"/>
          <w:i/>
        </w:rPr>
        <w:t xml:space="preserve">Burmych c. </w:t>
      </w:r>
      <w:r w:rsidRPr="00264708">
        <w:rPr>
          <w:rFonts w:cs="Times New Roman"/>
          <w:i/>
        </w:rPr>
        <w:t xml:space="preserve">Urkraine, </w:t>
      </w:r>
      <w:r w:rsidRPr="00264708">
        <w:rPr>
          <w:rFonts w:cs="Times New Roman"/>
        </w:rPr>
        <w:t>12 octobre 2017</w:t>
      </w:r>
      <w:r w:rsidR="000438F1">
        <w:rPr>
          <w:rFonts w:cs="Times New Roman"/>
        </w:rPr>
        <w:t xml:space="preserve"> </w:t>
      </w:r>
      <w:bookmarkStart w:id="8" w:name="OLE_LINK1"/>
      <w:bookmarkStart w:id="9" w:name="OLE_LINK2"/>
      <w:r w:rsidR="000438F1">
        <w:rPr>
          <w:rFonts w:cs="Times New Roman"/>
        </w:rPr>
        <w:t>(</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bookmarkEnd w:id="8"/>
      <w:bookmarkEnd w:id="9"/>
    </w:p>
  </w:footnote>
  <w:footnote w:id="25">
    <w:p w14:paraId="5F60A7B4" w14:textId="5F8ED8E4" w:rsidR="005D35A2" w:rsidRPr="00264708" w:rsidRDefault="005D35A2">
      <w:pPr>
        <w:pStyle w:val="Notedebasdepage"/>
        <w:rPr>
          <w:rFonts w:cs="Times New Roman"/>
        </w:rPr>
      </w:pPr>
      <w:r w:rsidRPr="00264708">
        <w:rPr>
          <w:rStyle w:val="Appelnotedebasdep"/>
          <w:rFonts w:cs="Times New Roman"/>
        </w:rPr>
        <w:footnoteRef/>
      </w:r>
      <w:r w:rsidRPr="00264708">
        <w:rPr>
          <w:rFonts w:cs="Times New Roman"/>
        </w:rPr>
        <w:t xml:space="preserve"> CEDH (GC), </w:t>
      </w:r>
      <w:r w:rsidRPr="00264708">
        <w:rPr>
          <w:rFonts w:cs="Times New Roman"/>
          <w:i/>
        </w:rPr>
        <w:t xml:space="preserve">Ivanov c. </w:t>
      </w:r>
      <w:r w:rsidRPr="00264708">
        <w:rPr>
          <w:rFonts w:cs="Times New Roman"/>
          <w:i/>
        </w:rPr>
        <w:t xml:space="preserve">Ukraine </w:t>
      </w:r>
      <w:r w:rsidRPr="00264708">
        <w:rPr>
          <w:rFonts w:cs="Times New Roman"/>
        </w:rPr>
        <w:t>du 15 octobre 2009</w:t>
      </w:r>
      <w:r w:rsidR="000438F1">
        <w:rPr>
          <w:rFonts w:cs="Times New Roman"/>
        </w:rPr>
        <w:t xml:space="preserve"> (</w:t>
      </w:r>
      <w:r w:rsidR="000438F1">
        <w:rPr>
          <w:rFonts w:eastAsia="Times New Roman" w:cs="Times New Roman"/>
          <w:color w:val="000000" w:themeColor="text1"/>
          <w:shd w:val="clear" w:color="auto" w:fill="FFFFFF"/>
        </w:rPr>
        <w:t xml:space="preserve">consultable sur </w:t>
      </w:r>
      <w:r w:rsidR="000438F1" w:rsidRPr="00F410CD">
        <w:rPr>
          <w:rFonts w:eastAsia="Times New Roman" w:cs="Times New Roman"/>
          <w:color w:val="000000" w:themeColor="text1"/>
          <w:shd w:val="clear" w:color="auto" w:fill="FFFFFF"/>
        </w:rPr>
        <w:t>https://hudoc.echr.coe.int</w:t>
      </w:r>
      <w:r w:rsidR="000438F1">
        <w:rPr>
          <w:rFonts w:eastAsia="Times New Roman" w:cs="Times New Roman"/>
          <w:color w:val="000000" w:themeColor="text1"/>
          <w:shd w:val="clear" w:color="auto" w:fill="FFFFFF"/>
        </w:rPr>
        <w:t>)</w:t>
      </w:r>
    </w:p>
  </w:footnote>
  <w:footnote w:id="26">
    <w:p w14:paraId="1A0E954F" w14:textId="06239852" w:rsidR="000906D5" w:rsidRPr="00264708" w:rsidRDefault="000906D5">
      <w:pPr>
        <w:pStyle w:val="Notedebasdepage"/>
        <w:rPr>
          <w:rFonts w:cs="Times New Roman"/>
        </w:rPr>
      </w:pPr>
      <w:r w:rsidRPr="00264708">
        <w:rPr>
          <w:rStyle w:val="Appelnotedebasdep"/>
          <w:rFonts w:cs="Times New Roman"/>
        </w:rPr>
        <w:footnoteRef/>
      </w:r>
      <w:r w:rsidRPr="00264708">
        <w:rPr>
          <w:rFonts w:cs="Times New Roman"/>
        </w:rPr>
        <w:t xml:space="preserve"> CEDH (GC), </w:t>
      </w:r>
      <w:r w:rsidRPr="00264708">
        <w:rPr>
          <w:rFonts w:cs="Times New Roman"/>
          <w:i/>
        </w:rPr>
        <w:t xml:space="preserve">Burmych et autres c. </w:t>
      </w:r>
      <w:r w:rsidRPr="00264708">
        <w:rPr>
          <w:rFonts w:cs="Times New Roman"/>
          <w:i/>
        </w:rPr>
        <w:t>Ukraine</w:t>
      </w:r>
      <w:r w:rsidR="005D35A2" w:rsidRPr="00264708">
        <w:rPr>
          <w:rFonts w:cs="Times New Roman"/>
          <w:i/>
        </w:rPr>
        <w:t>,</w:t>
      </w:r>
      <w:r w:rsidRPr="00264708">
        <w:rPr>
          <w:rFonts w:cs="Times New Roman"/>
        </w:rPr>
        <w:t>12 octobre 2017, § 174</w:t>
      </w:r>
      <w:r w:rsidR="00981273">
        <w:rPr>
          <w:rFonts w:cs="Times New Roman"/>
        </w:rPr>
        <w:t xml:space="preserve"> (</w:t>
      </w:r>
      <w:r w:rsidR="00981273">
        <w:rPr>
          <w:rFonts w:eastAsia="Times New Roman" w:cs="Times New Roman"/>
          <w:color w:val="000000" w:themeColor="text1"/>
          <w:shd w:val="clear" w:color="auto" w:fill="FFFFFF"/>
        </w:rPr>
        <w:t xml:space="preserve">consultable sur </w:t>
      </w:r>
      <w:r w:rsidR="00981273" w:rsidRPr="00F410CD">
        <w:rPr>
          <w:rFonts w:eastAsia="Times New Roman" w:cs="Times New Roman"/>
          <w:color w:val="000000" w:themeColor="text1"/>
          <w:shd w:val="clear" w:color="auto" w:fill="FFFFFF"/>
        </w:rPr>
        <w:t>https://hudoc.echr.coe.int</w:t>
      </w:r>
      <w:r w:rsidR="00981273">
        <w:rPr>
          <w:rFonts w:eastAsia="Times New Roman" w:cs="Times New Roman"/>
          <w:color w:val="000000" w:themeColor="text1"/>
          <w:shd w:val="clear" w:color="auto" w:fill="FFFFFF"/>
        </w:rPr>
        <w:t>)</w:t>
      </w:r>
    </w:p>
  </w:footnote>
  <w:footnote w:id="27">
    <w:p w14:paraId="3C82C746" w14:textId="6B2C5276" w:rsidR="000C1691" w:rsidRPr="00264708" w:rsidRDefault="000C1691" w:rsidP="00780ECB">
      <w:pPr>
        <w:pStyle w:val="Notedebasdepage"/>
        <w:rPr>
          <w:rFonts w:cs="Times New Roman"/>
        </w:rPr>
      </w:pPr>
      <w:r w:rsidRPr="00264708">
        <w:rPr>
          <w:rStyle w:val="Appelnotedebasdep"/>
          <w:rFonts w:cs="Times New Roman"/>
        </w:rPr>
        <w:footnoteRef/>
      </w:r>
      <w:r w:rsidRPr="00264708">
        <w:rPr>
          <w:rFonts w:cs="Times New Roman"/>
        </w:rPr>
        <w:t xml:space="preserve"> CEDH, </w:t>
      </w:r>
      <w:r w:rsidRPr="00264708">
        <w:rPr>
          <w:rFonts w:cs="Times New Roman"/>
          <w:i/>
        </w:rPr>
        <w:t>Turan et autres c. Turquie</w:t>
      </w:r>
      <w:r w:rsidR="00780ECB" w:rsidRPr="00264708">
        <w:rPr>
          <w:rFonts w:cs="Times New Roman"/>
          <w:i/>
        </w:rPr>
        <w:t xml:space="preserve">, </w:t>
      </w:r>
      <w:r w:rsidRPr="00264708">
        <w:rPr>
          <w:rFonts w:cs="Times New Roman"/>
        </w:rPr>
        <w:t>23 novembre 2021</w:t>
      </w:r>
      <w:r w:rsidR="00981273">
        <w:rPr>
          <w:rFonts w:cs="Times New Roman"/>
        </w:rPr>
        <w:t xml:space="preserve"> (</w:t>
      </w:r>
      <w:r w:rsidR="00981273">
        <w:rPr>
          <w:rFonts w:eastAsia="Times New Roman" w:cs="Times New Roman"/>
          <w:color w:val="000000" w:themeColor="text1"/>
          <w:shd w:val="clear" w:color="auto" w:fill="FFFFFF"/>
        </w:rPr>
        <w:t xml:space="preserve">consultable sur </w:t>
      </w:r>
      <w:r w:rsidR="00981273" w:rsidRPr="00F410CD">
        <w:rPr>
          <w:rFonts w:eastAsia="Times New Roman" w:cs="Times New Roman"/>
          <w:color w:val="000000" w:themeColor="text1"/>
          <w:shd w:val="clear" w:color="auto" w:fill="FFFFFF"/>
        </w:rPr>
        <w:t>https://hudoc.echr.coe.int</w:t>
      </w:r>
      <w:r w:rsidR="00981273">
        <w:rPr>
          <w:rFonts w:eastAsia="Times New Roman" w:cs="Times New Roman"/>
          <w:color w:val="000000" w:themeColor="text1"/>
          <w:shd w:val="clear" w:color="auto" w:fill="FFFFFF"/>
        </w:rPr>
        <w:t>)</w:t>
      </w:r>
      <w:r w:rsidRPr="00264708">
        <w:rPr>
          <w:rFonts w:cs="Times New Roman"/>
        </w:rPr>
        <w:t xml:space="preserve">. Sur cet arrêt, voy. </w:t>
      </w:r>
      <w:r w:rsidRPr="00BC4218">
        <w:rPr>
          <w:rFonts w:cs="Times New Roman"/>
          <w:lang w:val="fr-FR"/>
        </w:rPr>
        <w:t xml:space="preserve">Toby </w:t>
      </w:r>
      <w:r w:rsidRPr="009C6F4B">
        <w:rPr>
          <w:rFonts w:cs="Times New Roman"/>
          <w:smallCaps/>
          <w:lang w:val="fr-FR"/>
        </w:rPr>
        <w:t>Collis</w:t>
      </w:r>
      <w:r w:rsidRPr="00BC4218">
        <w:rPr>
          <w:rFonts w:cs="Times New Roman"/>
          <w:lang w:val="fr-FR"/>
        </w:rPr>
        <w:t xml:space="preserve">, </w:t>
      </w:r>
      <w:r w:rsidR="008617E8">
        <w:rPr>
          <w:rFonts w:cs="Times New Roman"/>
          <w:lang w:val="fr-FR"/>
        </w:rPr>
        <w:t>“</w:t>
      </w:r>
      <w:r w:rsidRPr="00BC4218">
        <w:rPr>
          <w:rFonts w:cs="Times New Roman"/>
          <w:lang w:val="fr-FR"/>
        </w:rPr>
        <w:t>Turan and Others v Turkey and the Limits of Judicial Policy to Address Judicial Overload</w:t>
      </w:r>
      <w:r w:rsidR="008617E8">
        <w:rPr>
          <w:rFonts w:cs="Times New Roman"/>
          <w:lang w:val="fr-FR"/>
        </w:rPr>
        <w:t>”</w:t>
      </w:r>
      <w:r w:rsidRPr="00BC4218">
        <w:rPr>
          <w:rFonts w:cs="Times New Roman"/>
          <w:lang w:val="fr-FR"/>
        </w:rPr>
        <w:t xml:space="preserve">, </w:t>
      </w:r>
      <w:r w:rsidRPr="00BC4218">
        <w:rPr>
          <w:rFonts w:cs="Times New Roman"/>
          <w:i/>
          <w:lang w:val="fr-FR"/>
        </w:rPr>
        <w:t xml:space="preserve">Strasbourg Observers, </w:t>
      </w:r>
      <w:r w:rsidRPr="00BC4218">
        <w:rPr>
          <w:rFonts w:cs="Times New Roman"/>
          <w:lang w:val="fr-FR"/>
        </w:rPr>
        <w:t xml:space="preserve">18 Janvier 2022, consultable sur </w:t>
      </w:r>
      <w:hyperlink r:id="rId4" w:history="1">
        <w:r w:rsidRPr="00BC4218">
          <w:rPr>
            <w:rStyle w:val="Lienhypertexte"/>
            <w:rFonts w:cs="Times New Roman"/>
            <w:lang w:val="fr-FR"/>
          </w:rPr>
          <w:t>https://strasbourgobservers.com/</w:t>
        </w:r>
      </w:hyperlink>
      <w:r w:rsidRPr="00BC4218">
        <w:rPr>
          <w:rStyle w:val="Lienhypertexte"/>
          <w:rFonts w:cs="Times New Roman"/>
          <w:lang w:val="fr-FR"/>
        </w:rPr>
        <w:t xml:space="preserve">; </w:t>
      </w:r>
      <w:r w:rsidRPr="00BC4218">
        <w:rPr>
          <w:rFonts w:cs="Times New Roman"/>
          <w:lang w:val="fr-FR"/>
        </w:rPr>
        <w:t xml:space="preserve">Baçak </w:t>
      </w:r>
      <w:r w:rsidRPr="009C6F4B">
        <w:rPr>
          <w:rFonts w:cs="Times New Roman"/>
          <w:smallCaps/>
          <w:lang w:val="fr-FR"/>
        </w:rPr>
        <w:t>Cali</w:t>
      </w:r>
      <w:r w:rsidRPr="00BC4218">
        <w:rPr>
          <w:rFonts w:cs="Times New Roman"/>
          <w:lang w:val="fr-FR"/>
        </w:rPr>
        <w:t>, “No Rule of Law ?</w:t>
      </w:r>
      <w:r w:rsidR="008617E8">
        <w:rPr>
          <w:rFonts w:cs="Times New Roman"/>
          <w:lang w:val="fr-FR"/>
        </w:rPr>
        <w:t>”</w:t>
      </w:r>
      <w:r w:rsidRPr="00BC4218">
        <w:rPr>
          <w:rFonts w:cs="Times New Roman"/>
          <w:lang w:val="fr-FR"/>
        </w:rPr>
        <w:t xml:space="preserve">, </w:t>
      </w:r>
      <w:r w:rsidRPr="00BC4218">
        <w:rPr>
          <w:rFonts w:cs="Times New Roman"/>
          <w:i/>
          <w:lang w:val="fr-FR"/>
        </w:rPr>
        <w:t xml:space="preserve">Verfassungsblog, </w:t>
      </w:r>
      <w:r w:rsidRPr="00BC4218">
        <w:rPr>
          <w:rFonts w:cs="Times New Roman"/>
          <w:lang w:val="fr-FR"/>
        </w:rPr>
        <w:t xml:space="preserve">8 Décembre 2021, consultable sur </w:t>
      </w:r>
      <w:hyperlink r:id="rId5" w:history="1">
        <w:r w:rsidRPr="00BC4218">
          <w:rPr>
            <w:rStyle w:val="Lienhypertexte"/>
            <w:rFonts w:cs="Times New Roman"/>
            <w:lang w:val="fr-FR"/>
          </w:rPr>
          <w:t>https://verfassungsblog.de/no-rule-of-law/</w:t>
        </w:r>
      </w:hyperlink>
      <w:r w:rsidRPr="00264708">
        <w:rPr>
          <w:rFonts w:cs="Times New Roman"/>
        </w:rPr>
        <w:t xml:space="preserve"> Une demande de renvoi avait été introduite sur la base de l'article 43 de la Convention. Cependant, elle a été rejetée par une décision du collège de la Grande Chambre du 4 avril 2022. </w:t>
      </w:r>
      <w:r w:rsidRPr="00264708">
        <w:rPr>
          <w:rFonts w:cs="Times New Roman"/>
        </w:rPr>
        <w:t>Pour une critique de cette décision, voir Magistrats européens pour la démocratie et la liberté (MEDEL), "Statement on the rejection by the ECtHR of the referral to the Grand chamber of Turan and others v. Turkey ", disponible sur https://medelnet.eu/</w:t>
      </w:r>
      <w:r w:rsidR="00052BDE">
        <w:rPr>
          <w:rFonts w:cs="Times New Roman"/>
        </w:rPr>
        <w:t>.</w:t>
      </w:r>
      <w:r w:rsidRPr="00264708">
        <w:rPr>
          <w:rFonts w:cs="Times New Roman"/>
        </w:rPr>
        <w:t xml:space="preserve"> </w:t>
      </w:r>
    </w:p>
  </w:footnote>
  <w:footnote w:id="28">
    <w:p w14:paraId="00239E87" w14:textId="1A5A17F4" w:rsidR="00BF6621" w:rsidRPr="00264708" w:rsidRDefault="00BF6621">
      <w:pPr>
        <w:pStyle w:val="Notedebasdepage"/>
        <w:rPr>
          <w:rFonts w:cs="Times New Roman"/>
        </w:rPr>
      </w:pPr>
      <w:r w:rsidRPr="00264708">
        <w:rPr>
          <w:rStyle w:val="Appelnotedebasdep"/>
          <w:rFonts w:cs="Times New Roman"/>
        </w:rPr>
        <w:footnoteRef/>
      </w:r>
      <w:r w:rsidRPr="00264708">
        <w:rPr>
          <w:rFonts w:cs="Times New Roman"/>
        </w:rPr>
        <w:t xml:space="preserve"> Sur ceci, voy. </w:t>
      </w:r>
      <w:r w:rsidR="002D0D5A" w:rsidRPr="00264708">
        <w:rPr>
          <w:rFonts w:cs="Times New Roman"/>
          <w:lang w:val="fr-FR"/>
        </w:rPr>
        <w:t>C. D</w:t>
      </w:r>
      <w:r w:rsidR="002D0D5A" w:rsidRPr="00264708">
        <w:rPr>
          <w:rFonts w:cs="Times New Roman"/>
          <w:smallCaps/>
          <w:lang w:val="fr-FR"/>
        </w:rPr>
        <w:t>eprez</w:t>
      </w:r>
      <w:r w:rsidR="002D0D5A" w:rsidRPr="00264708">
        <w:rPr>
          <w:rFonts w:cs="Times New Roman"/>
          <w:lang w:val="fr-FR"/>
        </w:rPr>
        <w:t xml:space="preserve"> et S. </w:t>
      </w:r>
      <w:r w:rsidR="002D0D5A" w:rsidRPr="00264708">
        <w:rPr>
          <w:rFonts w:cs="Times New Roman"/>
          <w:smallCaps/>
          <w:lang w:val="fr-FR"/>
        </w:rPr>
        <w:t>Van Drooghenbroeck</w:t>
      </w:r>
      <w:r w:rsidR="002D0D5A" w:rsidRPr="00264708">
        <w:rPr>
          <w:rFonts w:cs="Times New Roman"/>
          <w:lang w:val="fr-FR"/>
        </w:rPr>
        <w:t xml:space="preserve">, </w:t>
      </w:r>
      <w:r w:rsidR="008617E8">
        <w:rPr>
          <w:rFonts w:cs="Times New Roman"/>
          <w:lang w:val="fr-FR"/>
        </w:rPr>
        <w:t>“</w:t>
      </w:r>
      <w:r w:rsidR="002D0D5A" w:rsidRPr="00264708">
        <w:rPr>
          <w:rFonts w:cs="Times New Roman"/>
          <w:lang w:val="fr-FR"/>
        </w:rPr>
        <w:t>La Russie, le Conseil de l’Europe et la Convention européenne des droits de l’Homme</w:t>
      </w:r>
      <w:r w:rsidR="008617E8">
        <w:rPr>
          <w:rFonts w:cs="Times New Roman"/>
          <w:lang w:val="fr-FR"/>
        </w:rPr>
        <w:t>”</w:t>
      </w:r>
      <w:r w:rsidR="002D0D5A" w:rsidRPr="00264708">
        <w:rPr>
          <w:rFonts w:cs="Times New Roman"/>
          <w:lang w:val="fr-FR"/>
        </w:rPr>
        <w:t xml:space="preserve">, </w:t>
      </w:r>
      <w:r w:rsidR="002D0D5A" w:rsidRPr="00264708">
        <w:rPr>
          <w:rFonts w:cs="Times New Roman"/>
          <w:i/>
          <w:lang w:val="fr-FR"/>
        </w:rPr>
        <w:t xml:space="preserve">JT </w:t>
      </w:r>
      <w:r w:rsidR="002D0D5A" w:rsidRPr="00264708">
        <w:rPr>
          <w:rFonts w:cs="Times New Roman"/>
          <w:lang w:val="fr-FR"/>
        </w:rPr>
        <w:t xml:space="preserve">2022, </w:t>
      </w:r>
      <w:r w:rsidR="002D0D5A" w:rsidRPr="00264708">
        <w:rPr>
          <w:rFonts w:cs="Times New Roman"/>
          <w:i/>
          <w:lang w:val="fr-FR"/>
        </w:rPr>
        <w:t xml:space="preserve">Numéro spécial. La guerre en Ukraine sous l’angle du droit international, </w:t>
      </w:r>
      <w:r w:rsidR="002D0D5A" w:rsidRPr="00264708">
        <w:rPr>
          <w:rFonts w:cs="Times New Roman"/>
          <w:lang w:val="fr-FR"/>
        </w:rPr>
        <w:t>762-</w:t>
      </w:r>
      <w:proofErr w:type="gramStart"/>
      <w:r w:rsidR="002D0D5A" w:rsidRPr="00264708">
        <w:rPr>
          <w:rFonts w:cs="Times New Roman"/>
          <w:lang w:val="fr-FR"/>
        </w:rPr>
        <w:t>767</w:t>
      </w:r>
      <w:r w:rsidR="007C084C">
        <w:rPr>
          <w:rFonts w:cs="Times New Roman"/>
          <w:lang w:val="fr-FR"/>
        </w:rPr>
        <w:t>;</w:t>
      </w:r>
      <w:proofErr w:type="gramEnd"/>
      <w:r w:rsidR="009A3FDC" w:rsidRPr="00264708">
        <w:rPr>
          <w:rFonts w:cs="Times New Roman"/>
          <w:lang w:val="fr-FR"/>
        </w:rPr>
        <w:t xml:space="preserve"> J.-P. </w:t>
      </w:r>
      <w:r w:rsidR="009A3FDC" w:rsidRPr="00264708">
        <w:rPr>
          <w:rFonts w:cs="Times New Roman"/>
          <w:smallCaps/>
          <w:lang w:val="fr-FR"/>
        </w:rPr>
        <w:t>Costa,</w:t>
      </w:r>
      <w:r w:rsidR="009A3FDC" w:rsidRPr="00264708">
        <w:rPr>
          <w:rFonts w:cs="Times New Roman"/>
          <w:lang w:val="fr-FR"/>
        </w:rPr>
        <w:t xml:space="preserve"> </w:t>
      </w:r>
      <w:r w:rsidR="008617E8">
        <w:rPr>
          <w:rFonts w:cs="Times New Roman"/>
          <w:lang w:val="fr-FR"/>
        </w:rPr>
        <w:t>“</w:t>
      </w:r>
      <w:r w:rsidR="009A3FDC" w:rsidRPr="00264708">
        <w:rPr>
          <w:rFonts w:cs="Times New Roman"/>
          <w:lang w:val="fr-FR"/>
        </w:rPr>
        <w:t>Les conséquences de la sortie de la Russie du Conseil de l’Europe</w:t>
      </w:r>
      <w:r w:rsidR="008617E8">
        <w:rPr>
          <w:rFonts w:cs="Times New Roman"/>
          <w:lang w:val="fr-FR"/>
        </w:rPr>
        <w:t>”</w:t>
      </w:r>
      <w:r w:rsidR="009A3FDC" w:rsidRPr="00264708">
        <w:rPr>
          <w:rFonts w:cs="Times New Roman"/>
          <w:lang w:val="fr-FR"/>
        </w:rPr>
        <w:t xml:space="preserve">, </w:t>
      </w:r>
      <w:r w:rsidR="009A3FDC" w:rsidRPr="00264708">
        <w:rPr>
          <w:rFonts w:cs="Times New Roman"/>
          <w:i/>
          <w:lang w:val="fr-FR"/>
        </w:rPr>
        <w:t xml:space="preserve">RTDH </w:t>
      </w:r>
      <w:r w:rsidR="009A3FDC" w:rsidRPr="00264708">
        <w:rPr>
          <w:rFonts w:cs="Times New Roman"/>
          <w:lang w:val="fr-FR"/>
        </w:rPr>
        <w:t xml:space="preserve">2023, 3 </w:t>
      </w:r>
      <w:r w:rsidR="00746F4E">
        <w:rPr>
          <w:rFonts w:cs="Times New Roman"/>
          <w:lang w:val="fr-FR"/>
        </w:rPr>
        <w:t xml:space="preserve">- </w:t>
      </w:r>
      <w:r w:rsidR="009A3FDC" w:rsidRPr="00264708">
        <w:rPr>
          <w:rFonts w:cs="Times New Roman"/>
          <w:lang w:val="fr-FR"/>
        </w:rPr>
        <w:t>15</w:t>
      </w:r>
      <w:r w:rsidR="00052BDE">
        <w:rPr>
          <w:rFonts w:cs="Times New Roman"/>
          <w:lang w:val="fr-FR"/>
        </w:rPr>
        <w:t>.</w:t>
      </w:r>
    </w:p>
  </w:footnote>
  <w:footnote w:id="29">
    <w:p w14:paraId="71854934" w14:textId="0D55ABDC" w:rsidR="0056570C" w:rsidRPr="00264708" w:rsidRDefault="0056570C">
      <w:pPr>
        <w:pStyle w:val="Notedebasdepage"/>
        <w:rPr>
          <w:rFonts w:cs="Times New Roman"/>
          <w:iCs/>
        </w:rPr>
      </w:pPr>
      <w:r w:rsidRPr="00264708">
        <w:rPr>
          <w:rStyle w:val="Appelnotedebasdep"/>
          <w:rFonts w:cs="Times New Roman"/>
        </w:rPr>
        <w:footnoteRef/>
      </w:r>
      <w:r w:rsidRPr="00264708">
        <w:rPr>
          <w:rFonts w:cs="Times New Roman"/>
        </w:rPr>
        <w:t xml:space="preserve"> CEDH, arrêt </w:t>
      </w:r>
      <w:r w:rsidRPr="00264708">
        <w:rPr>
          <w:rFonts w:cs="Times New Roman"/>
          <w:i/>
        </w:rPr>
        <w:t xml:space="preserve">Fedotova et autres c. </w:t>
      </w:r>
      <w:r w:rsidRPr="00264708">
        <w:rPr>
          <w:rFonts w:cs="Times New Roman"/>
          <w:i/>
        </w:rPr>
        <w:t xml:space="preserve">Fédératie de Russie </w:t>
      </w:r>
      <w:r w:rsidRPr="00264708">
        <w:rPr>
          <w:rFonts w:cs="Times New Roman"/>
          <w:iCs/>
        </w:rPr>
        <w:t>du 17 janvier 2023, § 68 à 73</w:t>
      </w:r>
      <w:r w:rsidR="00981273">
        <w:rPr>
          <w:rFonts w:cs="Times New Roman"/>
          <w:iCs/>
        </w:rPr>
        <w:t xml:space="preserve"> </w:t>
      </w:r>
      <w:r w:rsidR="00981273">
        <w:rPr>
          <w:rFonts w:cs="Times New Roman"/>
        </w:rPr>
        <w:t>(</w:t>
      </w:r>
      <w:r w:rsidR="00981273">
        <w:rPr>
          <w:rFonts w:eastAsia="Times New Roman" w:cs="Times New Roman"/>
          <w:color w:val="000000" w:themeColor="text1"/>
          <w:shd w:val="clear" w:color="auto" w:fill="FFFFFF"/>
        </w:rPr>
        <w:t xml:space="preserve">consultable sur </w:t>
      </w:r>
      <w:r w:rsidR="00981273" w:rsidRPr="00F410CD">
        <w:rPr>
          <w:rFonts w:eastAsia="Times New Roman" w:cs="Times New Roman"/>
          <w:color w:val="000000" w:themeColor="text1"/>
          <w:shd w:val="clear" w:color="auto" w:fill="FFFFFF"/>
        </w:rPr>
        <w:t>https://hudoc.echr.coe.int</w:t>
      </w:r>
      <w:r w:rsidR="00981273">
        <w:rPr>
          <w:rFonts w:eastAsia="Times New Roman" w:cs="Times New Roman"/>
          <w:color w:val="000000" w:themeColor="text1"/>
          <w:shd w:val="clear" w:color="auto" w:fill="FFFFFF"/>
        </w:rPr>
        <w:t>)</w:t>
      </w:r>
    </w:p>
  </w:footnote>
  <w:footnote w:id="30">
    <w:p w14:paraId="21563785" w14:textId="178DBE74" w:rsidR="000537D5" w:rsidRPr="009C6F4B" w:rsidRDefault="000537D5">
      <w:pPr>
        <w:pStyle w:val="Notedebasdepage"/>
        <w:rPr>
          <w:rFonts w:cs="Times New Roman"/>
          <w:lang w:val="nl-BE"/>
        </w:rPr>
      </w:pPr>
      <w:r w:rsidRPr="00264708">
        <w:rPr>
          <w:rStyle w:val="Appelnotedebasdep"/>
          <w:rFonts w:cs="Times New Roman"/>
        </w:rPr>
        <w:footnoteRef/>
      </w:r>
      <w:r w:rsidRPr="009C6F4B">
        <w:rPr>
          <w:rFonts w:cs="Times New Roman"/>
          <w:lang w:val="nl-BE"/>
        </w:rPr>
        <w:t xml:space="preserve"> Voy. C. D</w:t>
      </w:r>
      <w:r w:rsidRPr="009C6F4B">
        <w:rPr>
          <w:rFonts w:cs="Times New Roman"/>
          <w:smallCaps/>
          <w:lang w:val="nl-BE"/>
        </w:rPr>
        <w:t>eprez</w:t>
      </w:r>
      <w:r w:rsidRPr="009C6F4B">
        <w:rPr>
          <w:rFonts w:cs="Times New Roman"/>
          <w:lang w:val="nl-BE"/>
        </w:rPr>
        <w:t xml:space="preserve"> et S. </w:t>
      </w:r>
      <w:r w:rsidRPr="009C6F4B">
        <w:rPr>
          <w:rFonts w:cs="Times New Roman"/>
          <w:smallCaps/>
          <w:lang w:val="nl-BE"/>
        </w:rPr>
        <w:t>Van Drooghenbroeck</w:t>
      </w:r>
      <w:r w:rsidRPr="009C6F4B">
        <w:rPr>
          <w:rFonts w:cs="Times New Roman"/>
          <w:lang w:val="nl-BE"/>
        </w:rPr>
        <w:t xml:space="preserve">, </w:t>
      </w:r>
      <w:r w:rsidR="00052BDE" w:rsidRPr="009C6F4B">
        <w:rPr>
          <w:rFonts w:cs="Times New Roman"/>
          <w:i/>
          <w:lang w:val="nl-BE"/>
        </w:rPr>
        <w:t xml:space="preserve">JT </w:t>
      </w:r>
      <w:r w:rsidR="00052BDE" w:rsidRPr="009C6F4B">
        <w:rPr>
          <w:rFonts w:cs="Times New Roman"/>
          <w:lang w:val="nl-BE"/>
        </w:rPr>
        <w:t xml:space="preserve">2022, </w:t>
      </w:r>
      <w:r w:rsidRPr="009C6F4B">
        <w:rPr>
          <w:rFonts w:cs="Times New Roman"/>
          <w:lang w:val="nl-BE"/>
        </w:rPr>
        <w:t>762-767</w:t>
      </w:r>
      <w:r w:rsidR="00052BDE" w:rsidRPr="009C6F4B">
        <w:rPr>
          <w:rFonts w:cs="Times New Roman"/>
          <w:lang w:val="nl-BE"/>
        </w:rPr>
        <w:t>.</w:t>
      </w:r>
    </w:p>
  </w:footnote>
  <w:footnote w:id="31">
    <w:p w14:paraId="039CB346" w14:textId="73325F9C" w:rsidR="000537D5" w:rsidRPr="00264708" w:rsidRDefault="000537D5">
      <w:pPr>
        <w:pStyle w:val="Notedebasdepage"/>
        <w:rPr>
          <w:rFonts w:cs="Times New Roman"/>
        </w:rPr>
      </w:pPr>
      <w:r w:rsidRPr="00264708">
        <w:rPr>
          <w:rStyle w:val="Appelnotedebasdep"/>
          <w:rFonts w:cs="Times New Roman"/>
        </w:rPr>
        <w:footnoteRef/>
      </w:r>
      <w:r w:rsidRPr="00264708">
        <w:rPr>
          <w:rFonts w:cs="Times New Roman"/>
        </w:rPr>
        <w:t xml:space="preserve"> </w:t>
      </w:r>
      <w:r w:rsidRPr="00264708">
        <w:rPr>
          <w:rFonts w:cs="Times New Roman"/>
          <w:i/>
        </w:rPr>
        <w:t xml:space="preserve">Jalons pour une théorique critique du droit </w:t>
      </w:r>
      <w:r w:rsidR="00052BDE">
        <w:rPr>
          <w:rFonts w:cs="Times New Roman"/>
          <w:iCs/>
        </w:rPr>
        <w:t>(</w:t>
      </w:r>
      <w:r w:rsidRPr="00264708">
        <w:rPr>
          <w:rFonts w:cs="Times New Roman"/>
        </w:rPr>
        <w:t>Bruxelles</w:t>
      </w:r>
      <w:r w:rsidR="00052BDE">
        <w:rPr>
          <w:rFonts w:cs="Times New Roman"/>
        </w:rPr>
        <w:t xml:space="preserve">: </w:t>
      </w:r>
      <w:r w:rsidRPr="00264708">
        <w:rPr>
          <w:rFonts w:cs="Times New Roman"/>
        </w:rPr>
        <w:t>FUSL, 1987</w:t>
      </w:r>
      <w:r w:rsidR="00052BDE">
        <w:rPr>
          <w:rFonts w:cs="Times New Roman"/>
        </w:rPr>
        <w:t>)</w:t>
      </w:r>
      <w:r w:rsidRPr="00264708">
        <w:rPr>
          <w:rFonts w:cs="Times New Roman"/>
        </w:rPr>
        <w:t>, 270 ss.</w:t>
      </w:r>
    </w:p>
  </w:footnote>
  <w:footnote w:id="32">
    <w:p w14:paraId="2D96429F" w14:textId="77777777" w:rsidR="000537D5" w:rsidRPr="00264708" w:rsidRDefault="000537D5">
      <w:pPr>
        <w:pStyle w:val="Notedebasdepage"/>
        <w:rPr>
          <w:rFonts w:cs="Times New Roman"/>
        </w:rPr>
      </w:pPr>
      <w:r w:rsidRPr="00264708">
        <w:rPr>
          <w:rStyle w:val="Appelnotedebasdep"/>
          <w:rFonts w:cs="Times New Roman"/>
        </w:rPr>
        <w:footnoteRef/>
      </w:r>
      <w:r w:rsidRPr="00264708">
        <w:rPr>
          <w:rFonts w:cs="Times New Roman"/>
        </w:rPr>
        <w:t xml:space="preserve"> Discours consultable sur </w:t>
      </w:r>
      <w:hyperlink r:id="rId6" w:history="1">
        <w:r w:rsidRPr="00264708">
          <w:rPr>
            <w:rStyle w:val="Lienhypertexte"/>
            <w:rFonts w:cs="Times New Roman"/>
          </w:rPr>
          <w:t>www.echr.coe.int</w:t>
        </w:r>
      </w:hyperlink>
    </w:p>
  </w:footnote>
  <w:footnote w:id="33">
    <w:p w14:paraId="78869E75" w14:textId="626BAD80" w:rsidR="00887F28" w:rsidRPr="00BC4218" w:rsidRDefault="00887F28" w:rsidP="005E6B44">
      <w:pPr>
        <w:pStyle w:val="Notedebasdepage"/>
        <w:rPr>
          <w:rFonts w:cs="Times New Roman"/>
          <w:lang w:val="en-US"/>
        </w:rPr>
      </w:pPr>
      <w:r w:rsidRPr="00264708">
        <w:rPr>
          <w:rStyle w:val="Appelnotedebasdep"/>
          <w:rFonts w:cs="Times New Roman"/>
        </w:rPr>
        <w:footnoteRef/>
      </w:r>
      <w:r w:rsidRPr="00BC4218">
        <w:rPr>
          <w:rStyle w:val="Appelnotedebasdep"/>
          <w:rFonts w:cs="Times New Roman"/>
          <w:lang w:val="en-US"/>
        </w:rPr>
        <w:t xml:space="preserve"> </w:t>
      </w:r>
      <w:r w:rsidR="008617E8">
        <w:rPr>
          <w:rFonts w:cs="Times New Roman"/>
          <w:lang w:val="en-US"/>
        </w:rPr>
        <w:t>“</w:t>
      </w:r>
      <w:r w:rsidR="005E6B44" w:rsidRPr="00BC4218">
        <w:rPr>
          <w:rFonts w:cs="Times New Roman"/>
          <w:lang w:val="en-US"/>
        </w:rPr>
        <w:t>The Range of Solutions to the Russian Cases Pending before the European Court of Human Rights: Between ‘Business as Usual’ and ‘Denial of Justice’</w:t>
      </w:r>
      <w:r w:rsidR="008617E8">
        <w:rPr>
          <w:rFonts w:cs="Times New Roman"/>
          <w:lang w:val="en-US"/>
        </w:rPr>
        <w:t>”</w:t>
      </w:r>
      <w:r w:rsidR="005E6B44" w:rsidRPr="00BC4218">
        <w:rPr>
          <w:rFonts w:cs="Times New Roman"/>
          <w:lang w:val="en-US"/>
        </w:rPr>
        <w:t xml:space="preserve">, consultable sur </w:t>
      </w:r>
      <w:r w:rsidRPr="00BC4218">
        <w:rPr>
          <w:rFonts w:cs="Times New Roman"/>
          <w:lang w:val="en-US"/>
        </w:rPr>
        <w:t>https://www.echrblog.coml</w:t>
      </w:r>
      <w:r w:rsidR="00052BDE">
        <w:rPr>
          <w:rFonts w:cs="Times New Roman"/>
          <w:lang w:val="en-US"/>
        </w:rPr>
        <w:t>.</w:t>
      </w:r>
    </w:p>
  </w:footnote>
  <w:footnote w:id="34">
    <w:p w14:paraId="5F79E065" w14:textId="50FDC73A" w:rsidR="005E6B44" w:rsidRPr="009C6F4B" w:rsidRDefault="005E6B44">
      <w:pPr>
        <w:pStyle w:val="Notedebasdepage"/>
        <w:rPr>
          <w:rFonts w:cs="Times New Roman"/>
          <w:lang w:val="nl-BE"/>
        </w:rPr>
      </w:pPr>
      <w:r w:rsidRPr="00264708">
        <w:rPr>
          <w:rStyle w:val="Appelnotedebasdep"/>
          <w:rFonts w:cs="Times New Roman"/>
        </w:rPr>
        <w:footnoteRef/>
      </w:r>
      <w:r w:rsidRPr="009C6F4B">
        <w:rPr>
          <w:rFonts w:cs="Times New Roman"/>
          <w:lang w:val="nl-BE"/>
        </w:rPr>
        <w:t xml:space="preserve"> Voy. C. D</w:t>
      </w:r>
      <w:r w:rsidRPr="009C6F4B">
        <w:rPr>
          <w:rFonts w:cs="Times New Roman"/>
          <w:smallCaps/>
          <w:lang w:val="nl-BE"/>
        </w:rPr>
        <w:t>eprez</w:t>
      </w:r>
      <w:r w:rsidRPr="009C6F4B">
        <w:rPr>
          <w:rFonts w:cs="Times New Roman"/>
          <w:lang w:val="nl-BE"/>
        </w:rPr>
        <w:t xml:space="preserve"> et S. </w:t>
      </w:r>
      <w:r w:rsidRPr="009C6F4B">
        <w:rPr>
          <w:rFonts w:cs="Times New Roman"/>
          <w:smallCaps/>
          <w:lang w:val="nl-BE"/>
        </w:rPr>
        <w:t>Van Drooghenbroeck</w:t>
      </w:r>
      <w:r w:rsidRPr="009C6F4B">
        <w:rPr>
          <w:rFonts w:cs="Times New Roman"/>
          <w:lang w:val="nl-BE"/>
        </w:rPr>
        <w:t xml:space="preserve">, </w:t>
      </w:r>
      <w:r w:rsidR="00052BDE" w:rsidRPr="009C6F4B">
        <w:rPr>
          <w:rFonts w:cs="Times New Roman"/>
          <w:i/>
          <w:lang w:val="nl-BE"/>
        </w:rPr>
        <w:t xml:space="preserve">JT </w:t>
      </w:r>
      <w:r w:rsidR="00052BDE" w:rsidRPr="009C6F4B">
        <w:rPr>
          <w:rFonts w:cs="Times New Roman"/>
          <w:lang w:val="nl-BE"/>
        </w:rPr>
        <w:t xml:space="preserve">2022, </w:t>
      </w:r>
      <w:r w:rsidRPr="009C6F4B">
        <w:rPr>
          <w:rFonts w:cs="Times New Roman"/>
          <w:lang w:val="nl-BE"/>
        </w:rPr>
        <w:t>762-767</w:t>
      </w:r>
      <w:r w:rsidR="00052BDE" w:rsidRPr="009C6F4B">
        <w:rPr>
          <w:rFonts w:cs="Times New Roman"/>
          <w:lang w:val="nl-BE"/>
        </w:rPr>
        <w:t>.</w:t>
      </w:r>
    </w:p>
  </w:footnote>
  <w:footnote w:id="35">
    <w:p w14:paraId="61A26020" w14:textId="77777777" w:rsidR="00377980" w:rsidRPr="00264708" w:rsidRDefault="00377980">
      <w:pPr>
        <w:pStyle w:val="Notedebasdepage"/>
        <w:rPr>
          <w:rFonts w:cs="Times New Roman"/>
        </w:rPr>
      </w:pPr>
      <w:r w:rsidRPr="00264708">
        <w:rPr>
          <w:rStyle w:val="Appelnotedebasdep"/>
          <w:rFonts w:cs="Times New Roman"/>
        </w:rPr>
        <w:footnoteRef/>
      </w:r>
      <w:r w:rsidRPr="00264708">
        <w:rPr>
          <w:rFonts w:cs="Times New Roman"/>
        </w:rPr>
        <w:t xml:space="preserve"> </w:t>
      </w:r>
      <w:r w:rsidR="00886F9B" w:rsidRPr="00264708">
        <w:rPr>
          <w:rFonts w:cs="Times New Roman"/>
        </w:rPr>
        <w:t>Le rapport est consultable sur https://rm.coe.int/annual-report-2022/1680aad12f</w:t>
      </w:r>
    </w:p>
  </w:footnote>
  <w:footnote w:id="36">
    <w:p w14:paraId="2D4E98DF" w14:textId="1334C017" w:rsidR="003B4131" w:rsidRPr="00BC4218" w:rsidRDefault="003B4131" w:rsidP="00F020EF">
      <w:pPr>
        <w:pStyle w:val="Notedebasdepage"/>
        <w:rPr>
          <w:rFonts w:cs="Times New Roman"/>
          <w:lang w:val="en-US"/>
        </w:rPr>
      </w:pPr>
      <w:r w:rsidRPr="00264708">
        <w:rPr>
          <w:rStyle w:val="Appelnotedebasdep"/>
          <w:rFonts w:cs="Times New Roman"/>
        </w:rPr>
        <w:footnoteRef/>
      </w:r>
      <w:r w:rsidRPr="00BC4218">
        <w:rPr>
          <w:rFonts w:cs="Times New Roman"/>
          <w:lang w:val="en-US"/>
        </w:rPr>
        <w:t xml:space="preserve"> Voy. </w:t>
      </w:r>
      <w:r w:rsidRPr="00BC4218">
        <w:rPr>
          <w:rStyle w:val="lev"/>
          <w:rFonts w:cs="Times New Roman"/>
          <w:b w:val="0"/>
          <w:bCs w:val="0"/>
          <w:lang w:val="en-US"/>
        </w:rPr>
        <w:t>A</w:t>
      </w:r>
      <w:r w:rsidR="00F020EF" w:rsidRPr="00BC4218">
        <w:rPr>
          <w:rStyle w:val="lev"/>
          <w:rFonts w:cs="Times New Roman"/>
          <w:b w:val="0"/>
          <w:bCs w:val="0"/>
          <w:lang w:val="en-US"/>
        </w:rPr>
        <w:t>.</w:t>
      </w:r>
      <w:r w:rsidRPr="00BC4218">
        <w:rPr>
          <w:rStyle w:val="lev"/>
          <w:rFonts w:cs="Times New Roman"/>
          <w:b w:val="0"/>
          <w:bCs w:val="0"/>
          <w:lang w:val="en-US"/>
        </w:rPr>
        <w:t xml:space="preserve"> </w:t>
      </w:r>
      <w:r w:rsidRPr="00BC4218">
        <w:rPr>
          <w:rStyle w:val="lev"/>
          <w:rFonts w:cs="Times New Roman"/>
          <w:b w:val="0"/>
          <w:bCs w:val="0"/>
          <w:smallCaps/>
          <w:lang w:val="en-US"/>
        </w:rPr>
        <w:t>Padskocimaite</w:t>
      </w:r>
      <w:r w:rsidRPr="00BC4218">
        <w:rPr>
          <w:rStyle w:val="lev"/>
          <w:rFonts w:cs="Times New Roman"/>
          <w:lang w:val="en-US"/>
        </w:rPr>
        <w:t xml:space="preserve">, </w:t>
      </w:r>
      <w:r w:rsidR="008617E8">
        <w:rPr>
          <w:rStyle w:val="lev"/>
          <w:rFonts w:cs="Times New Roman"/>
          <w:lang w:val="en-US"/>
        </w:rPr>
        <w:t>“</w:t>
      </w:r>
      <w:r w:rsidRPr="00BC4218">
        <w:rPr>
          <w:rFonts w:cs="Times New Roman"/>
          <w:lang w:val="en-US"/>
        </w:rPr>
        <w:t>Execution of the ECtHR’s judgments against Russia: Some legal (and political) aspects</w:t>
      </w:r>
      <w:r w:rsidR="008617E8">
        <w:rPr>
          <w:rFonts w:cs="Times New Roman"/>
          <w:lang w:val="en-US"/>
        </w:rPr>
        <w:t>”</w:t>
      </w:r>
      <w:r w:rsidRPr="00BC4218">
        <w:rPr>
          <w:rFonts w:cs="Times New Roman"/>
          <w:lang w:val="en-US"/>
        </w:rPr>
        <w:t xml:space="preserve">, </w:t>
      </w:r>
      <w:r w:rsidRPr="00BC4218">
        <w:rPr>
          <w:rFonts w:cs="Times New Roman"/>
          <w:i/>
          <w:lang w:val="en-US"/>
        </w:rPr>
        <w:t xml:space="preserve">Strasbourgobservers, </w:t>
      </w:r>
      <w:r w:rsidRPr="00BC4218">
        <w:rPr>
          <w:rFonts w:cs="Times New Roman"/>
          <w:lang w:val="en-US"/>
        </w:rPr>
        <w:t>15 mai 2023, consultable sur https://strasbourgobservers.com</w:t>
      </w:r>
    </w:p>
  </w:footnote>
  <w:footnote w:id="37">
    <w:p w14:paraId="3B4B7668" w14:textId="1FC93EFA" w:rsidR="00F020EF" w:rsidRPr="00BC4218" w:rsidRDefault="00F020EF">
      <w:pPr>
        <w:pStyle w:val="Notedebasdepage"/>
        <w:rPr>
          <w:rFonts w:cs="Times New Roman"/>
          <w:i/>
          <w:lang w:val="en-US"/>
        </w:rPr>
      </w:pPr>
      <w:r w:rsidRPr="00264708">
        <w:rPr>
          <w:rStyle w:val="Appelnotedebasdep"/>
          <w:rFonts w:cs="Times New Roman"/>
        </w:rPr>
        <w:footnoteRef/>
      </w:r>
      <w:r w:rsidRPr="00BC4218">
        <w:rPr>
          <w:rFonts w:cs="Times New Roman"/>
          <w:lang w:val="en-US"/>
        </w:rPr>
        <w:t xml:space="preserve"> </w:t>
      </w:r>
      <w:r w:rsidR="008617E8">
        <w:rPr>
          <w:rFonts w:cs="Times New Roman"/>
          <w:lang w:val="en-US"/>
        </w:rPr>
        <w:t>“</w:t>
      </w:r>
      <w:r w:rsidRPr="00BC4218">
        <w:rPr>
          <w:rFonts w:cs="Times New Roman"/>
          <w:lang w:val="en-US"/>
        </w:rPr>
        <w:t>The Range of Solutions to the Russian Cases Pending before the European Court of Human Rights: Between ‘Business as Usual’ and ‘Denial of Justice’</w:t>
      </w:r>
      <w:r w:rsidR="008617E8">
        <w:rPr>
          <w:rFonts w:cs="Times New Roman"/>
          <w:lang w:val="en-US"/>
        </w:rPr>
        <w:t>”</w:t>
      </w:r>
      <w:r w:rsidRPr="00BC4218">
        <w:rPr>
          <w:rFonts w:cs="Times New Roman"/>
          <w:lang w:val="en-US"/>
        </w:rPr>
        <w:t xml:space="preserve">, </w:t>
      </w:r>
      <w:r w:rsidRPr="00BC4218">
        <w:rPr>
          <w:rFonts w:cs="Times New Roman"/>
          <w:i/>
          <w:lang w:val="en-US"/>
        </w:rPr>
        <w:t>op. cit.</w:t>
      </w:r>
      <w:r w:rsidR="00052BDE" w:rsidRPr="00052BDE">
        <w:rPr>
          <w:rFonts w:cs="Times New Roman"/>
          <w:lang w:val="en-US"/>
        </w:rPr>
        <w:t xml:space="preserve"> </w:t>
      </w:r>
      <w:r w:rsidR="00052BDE" w:rsidRPr="00BC4218">
        <w:rPr>
          <w:rFonts w:cs="Times New Roman"/>
          <w:lang w:val="en-US"/>
        </w:rPr>
        <w:t>consultable sur https://www.echrblog.coml</w:t>
      </w:r>
      <w:r w:rsidR="00052BDE">
        <w:rPr>
          <w:rFonts w:cs="Times New Roman"/>
          <w:lang w:val="en-US"/>
        </w:rPr>
        <w:t>.</w:t>
      </w:r>
    </w:p>
  </w:footnote>
  <w:footnote w:id="38">
    <w:p w14:paraId="590A53FD" w14:textId="3D6E2A91" w:rsidR="00A73080" w:rsidRPr="00BC4218" w:rsidRDefault="00A73080" w:rsidP="00F020EF">
      <w:pPr>
        <w:pStyle w:val="Notedebasdepage"/>
        <w:rPr>
          <w:rFonts w:cs="Times New Roman"/>
          <w:sz w:val="48"/>
          <w:szCs w:val="48"/>
          <w:lang w:val="en-US"/>
        </w:rPr>
      </w:pPr>
      <w:r w:rsidRPr="00264708">
        <w:rPr>
          <w:rStyle w:val="Appelnotedebasdep"/>
          <w:rFonts w:cs="Times New Roman"/>
        </w:rPr>
        <w:footnoteRef/>
      </w:r>
      <w:r w:rsidRPr="00BC4218">
        <w:rPr>
          <w:rFonts w:cs="Times New Roman"/>
          <w:lang w:val="en-US"/>
        </w:rPr>
        <w:t xml:space="preserve"> </w:t>
      </w:r>
      <w:r w:rsidR="00F020EF" w:rsidRPr="00BC4218">
        <w:rPr>
          <w:rFonts w:cs="Times New Roman"/>
          <w:lang w:val="en-US"/>
        </w:rPr>
        <w:t xml:space="preserve">Voy. J. </w:t>
      </w:r>
      <w:r w:rsidR="00F020EF" w:rsidRPr="009C6F4B">
        <w:rPr>
          <w:rFonts w:cs="Times New Roman"/>
          <w:smallCaps/>
          <w:lang w:val="en-US"/>
        </w:rPr>
        <w:t>Emtseva</w:t>
      </w:r>
      <w:r w:rsidR="00F020EF" w:rsidRPr="00BC4218">
        <w:rPr>
          <w:rFonts w:cs="Times New Roman"/>
          <w:lang w:val="en-US"/>
        </w:rPr>
        <w:t xml:space="preserve">, </w:t>
      </w:r>
      <w:r w:rsidR="008617E8">
        <w:rPr>
          <w:rFonts w:cs="Times New Roman"/>
          <w:lang w:val="en-US"/>
        </w:rPr>
        <w:t>“</w:t>
      </w:r>
      <w:r w:rsidR="00F020EF" w:rsidRPr="00BC4218">
        <w:rPr>
          <w:rFonts w:cs="Times New Roman"/>
          <w:lang w:val="en-US"/>
        </w:rPr>
        <w:t>The withdrawal mystery solved: how the European Court of Human Rights decided to move forward with the cases against Russia</w:t>
      </w:r>
      <w:r w:rsidR="008617E8">
        <w:rPr>
          <w:rFonts w:cs="Times New Roman"/>
          <w:lang w:val="en-US"/>
        </w:rPr>
        <w:t>”</w:t>
      </w:r>
      <w:r w:rsidR="00F020EF" w:rsidRPr="00BC4218">
        <w:rPr>
          <w:rFonts w:cs="Times New Roman"/>
          <w:lang w:val="en-US"/>
        </w:rPr>
        <w:t xml:space="preserve">, consultable sur </w:t>
      </w:r>
      <w:r w:rsidRPr="00BC4218">
        <w:rPr>
          <w:rFonts w:cs="Times New Roman"/>
          <w:lang w:val="en-US"/>
        </w:rPr>
        <w:t>https://www.ejiltalk.org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FA462E"/>
    <w:multiLevelType w:val="hybridMultilevel"/>
    <w:tmpl w:val="302A237E"/>
    <w:lvl w:ilvl="0" w:tplc="43A4372E">
      <w:start w:val="1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6D03546E"/>
    <w:multiLevelType w:val="hybridMultilevel"/>
    <w:tmpl w:val="1214DBA8"/>
    <w:lvl w:ilvl="0" w:tplc="7890D29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632901466">
    <w:abstractNumId w:val="1"/>
  </w:num>
  <w:num w:numId="2" w16cid:durableId="650477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41"/>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E89"/>
    <w:rsid w:val="00021AB5"/>
    <w:rsid w:val="000438F1"/>
    <w:rsid w:val="00052BDE"/>
    <w:rsid w:val="000537D5"/>
    <w:rsid w:val="000906D5"/>
    <w:rsid w:val="000C1691"/>
    <w:rsid w:val="000E393F"/>
    <w:rsid w:val="0012686C"/>
    <w:rsid w:val="0013054E"/>
    <w:rsid w:val="0015099F"/>
    <w:rsid w:val="00190720"/>
    <w:rsid w:val="001F7692"/>
    <w:rsid w:val="00200ECE"/>
    <w:rsid w:val="00264708"/>
    <w:rsid w:val="00274A6D"/>
    <w:rsid w:val="002A4B80"/>
    <w:rsid w:val="002C2846"/>
    <w:rsid w:val="002D0D5A"/>
    <w:rsid w:val="00334786"/>
    <w:rsid w:val="00377980"/>
    <w:rsid w:val="003974B0"/>
    <w:rsid w:val="003B4131"/>
    <w:rsid w:val="00487C98"/>
    <w:rsid w:val="004A30E7"/>
    <w:rsid w:val="004D6359"/>
    <w:rsid w:val="004F0808"/>
    <w:rsid w:val="005054E7"/>
    <w:rsid w:val="00565609"/>
    <w:rsid w:val="0056570C"/>
    <w:rsid w:val="00584D0B"/>
    <w:rsid w:val="005B0FD5"/>
    <w:rsid w:val="005D35A2"/>
    <w:rsid w:val="005E6B44"/>
    <w:rsid w:val="006039BC"/>
    <w:rsid w:val="00645070"/>
    <w:rsid w:val="006932EF"/>
    <w:rsid w:val="006C02A8"/>
    <w:rsid w:val="006C2F59"/>
    <w:rsid w:val="0074121E"/>
    <w:rsid w:val="00746F4E"/>
    <w:rsid w:val="00780ECB"/>
    <w:rsid w:val="00797D56"/>
    <w:rsid w:val="007C084C"/>
    <w:rsid w:val="007E75CC"/>
    <w:rsid w:val="00813256"/>
    <w:rsid w:val="0082649C"/>
    <w:rsid w:val="0084315C"/>
    <w:rsid w:val="0086072A"/>
    <w:rsid w:val="008617E8"/>
    <w:rsid w:val="00886F9B"/>
    <w:rsid w:val="00887F28"/>
    <w:rsid w:val="008B3E89"/>
    <w:rsid w:val="008D2B9D"/>
    <w:rsid w:val="008D7032"/>
    <w:rsid w:val="0090309F"/>
    <w:rsid w:val="009414A3"/>
    <w:rsid w:val="0094700D"/>
    <w:rsid w:val="00981273"/>
    <w:rsid w:val="009A3FDC"/>
    <w:rsid w:val="009A7595"/>
    <w:rsid w:val="009C6F4B"/>
    <w:rsid w:val="00A21863"/>
    <w:rsid w:val="00A430CF"/>
    <w:rsid w:val="00A73080"/>
    <w:rsid w:val="00A92D28"/>
    <w:rsid w:val="00AA11E8"/>
    <w:rsid w:val="00B162F7"/>
    <w:rsid w:val="00B63051"/>
    <w:rsid w:val="00BA400F"/>
    <w:rsid w:val="00BC4218"/>
    <w:rsid w:val="00BF6621"/>
    <w:rsid w:val="00C023F7"/>
    <w:rsid w:val="00C27611"/>
    <w:rsid w:val="00C30877"/>
    <w:rsid w:val="00DD6262"/>
    <w:rsid w:val="00E31717"/>
    <w:rsid w:val="00E65475"/>
    <w:rsid w:val="00EA08E8"/>
    <w:rsid w:val="00EB00AC"/>
    <w:rsid w:val="00EB1C08"/>
    <w:rsid w:val="00EC45F1"/>
    <w:rsid w:val="00EC7137"/>
    <w:rsid w:val="00F020EF"/>
    <w:rsid w:val="00F130F9"/>
    <w:rsid w:val="00F140D2"/>
    <w:rsid w:val="00F410CD"/>
    <w:rsid w:val="00F76456"/>
    <w:rsid w:val="00F7685E"/>
    <w:rsid w:val="00F93D2F"/>
    <w:rsid w:val="00F93F36"/>
    <w:rsid w:val="00FA2794"/>
    <w:rsid w:val="00FF767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89918"/>
  <w15:chartTrackingRefBased/>
  <w15:docId w15:val="{996F48FC-6A26-944E-BE06-FFC1BBCC0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4E7"/>
    <w:pPr>
      <w:jc w:val="both"/>
    </w:pPr>
    <w:rPr>
      <w:rFonts w:ascii="Times New Roman" w:hAnsi="Times New Roman"/>
    </w:rPr>
  </w:style>
  <w:style w:type="paragraph" w:styleId="Titre1">
    <w:name w:val="heading 1"/>
    <w:basedOn w:val="Normal"/>
    <w:link w:val="Titre1Car"/>
    <w:uiPriority w:val="9"/>
    <w:qFormat/>
    <w:rsid w:val="005054E7"/>
    <w:pPr>
      <w:spacing w:before="100" w:beforeAutospacing="1" w:after="100" w:afterAutospacing="1"/>
      <w:jc w:val="left"/>
      <w:outlineLvl w:val="0"/>
    </w:pPr>
    <w:rPr>
      <w:rFonts w:eastAsia="Times New Roman" w:cs="Times New Roman"/>
      <w:b/>
      <w:bCs/>
      <w:kern w:val="36"/>
      <w:szCs w:val="48"/>
      <w:lang w:eastAsia="fr-FR"/>
    </w:rPr>
  </w:style>
  <w:style w:type="paragraph" w:styleId="Titre3">
    <w:name w:val="heading 3"/>
    <w:basedOn w:val="Normal"/>
    <w:next w:val="Normal"/>
    <w:link w:val="Titre3Car"/>
    <w:uiPriority w:val="9"/>
    <w:unhideWhenUsed/>
    <w:qFormat/>
    <w:rsid w:val="005E6B44"/>
    <w:pPr>
      <w:keepNext/>
      <w:keepLines/>
      <w:spacing w:before="40"/>
      <w:outlineLvl w:val="2"/>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s,Note de bas de page2,fn,Fußnotentext RAXEN,Footnote Text Char,Footnote Text Char2 Char,Footnote Text Char Char1 Char,Footnote Text Char2 Char Char Char,Footnote Text Char1 Char Char Char Char,footnotes,footnote text"/>
    <w:basedOn w:val="Normal"/>
    <w:link w:val="NotedebasdepageCar"/>
    <w:uiPriority w:val="99"/>
    <w:unhideWhenUsed/>
    <w:qFormat/>
    <w:rsid w:val="00F7685E"/>
    <w:rPr>
      <w:sz w:val="20"/>
      <w:szCs w:val="20"/>
    </w:rPr>
  </w:style>
  <w:style w:type="character" w:customStyle="1" w:styleId="NotedebasdepageCar">
    <w:name w:val="Note de bas de page Car"/>
    <w:aliases w:val="Footnotes Car,Note de bas de page2 Car,fn Car,Fußnotentext RAXEN Car,Footnote Text Char Car,Footnote Text Char2 Char Car,Footnote Text Char Char1 Char Car,Footnote Text Char2 Char Char Char Car,footnotes Car,footnote text Car"/>
    <w:basedOn w:val="Policepardfaut"/>
    <w:link w:val="Notedebasdepage"/>
    <w:uiPriority w:val="99"/>
    <w:rsid w:val="00F7685E"/>
    <w:rPr>
      <w:sz w:val="20"/>
      <w:szCs w:val="20"/>
    </w:rPr>
  </w:style>
  <w:style w:type="character" w:styleId="Appelnotedebasdep">
    <w:name w:val="footnote reference"/>
    <w:aliases w:val="Appel note de bas de page,callout,caractère de note de bas de page,4_G,appel de note bas de page,Footnotes refss,Style 10,Footnote number"/>
    <w:basedOn w:val="Policepardfaut"/>
    <w:uiPriority w:val="99"/>
    <w:unhideWhenUsed/>
    <w:qFormat/>
    <w:rsid w:val="00F7685E"/>
    <w:rPr>
      <w:vertAlign w:val="superscript"/>
    </w:rPr>
  </w:style>
  <w:style w:type="paragraph" w:styleId="Paragraphedeliste">
    <w:name w:val="List Paragraph"/>
    <w:basedOn w:val="Normal"/>
    <w:uiPriority w:val="34"/>
    <w:qFormat/>
    <w:rsid w:val="00274A6D"/>
    <w:pPr>
      <w:ind w:left="720"/>
      <w:contextualSpacing/>
    </w:pPr>
  </w:style>
  <w:style w:type="character" w:customStyle="1" w:styleId="textcolumn">
    <w:name w:val="textcolumn"/>
    <w:basedOn w:val="Policepardfaut"/>
    <w:rsid w:val="00813256"/>
  </w:style>
  <w:style w:type="character" w:customStyle="1" w:styleId="sbb9ee52a">
    <w:name w:val="sbb9ee52a"/>
    <w:basedOn w:val="Policepardfaut"/>
    <w:rsid w:val="00FF767E"/>
  </w:style>
  <w:style w:type="character" w:customStyle="1" w:styleId="sb8d990e2">
    <w:name w:val="sb8d990e2"/>
    <w:basedOn w:val="Policepardfaut"/>
    <w:rsid w:val="00FF767E"/>
  </w:style>
  <w:style w:type="character" w:customStyle="1" w:styleId="s68f5eaef">
    <w:name w:val="s68f5eaef"/>
    <w:basedOn w:val="Policepardfaut"/>
    <w:rsid w:val="00FF767E"/>
  </w:style>
  <w:style w:type="character" w:customStyle="1" w:styleId="apple-converted-space">
    <w:name w:val="apple-converted-space"/>
    <w:basedOn w:val="Policepardfaut"/>
    <w:rsid w:val="00FF767E"/>
  </w:style>
  <w:style w:type="character" w:customStyle="1" w:styleId="sbc73225d">
    <w:name w:val="sbc73225d"/>
    <w:basedOn w:val="Policepardfaut"/>
    <w:rsid w:val="00FF767E"/>
  </w:style>
  <w:style w:type="character" w:customStyle="1" w:styleId="wordhighlighted">
    <w:name w:val="wordhighlighted"/>
    <w:basedOn w:val="Policepardfaut"/>
    <w:rsid w:val="00FF767E"/>
  </w:style>
  <w:style w:type="character" w:customStyle="1" w:styleId="sa2b98c15">
    <w:name w:val="sa2b98c15"/>
    <w:basedOn w:val="Policepardfaut"/>
    <w:rsid w:val="00FF767E"/>
  </w:style>
  <w:style w:type="character" w:customStyle="1" w:styleId="s7d2086b4">
    <w:name w:val="s7d2086b4"/>
    <w:basedOn w:val="Policepardfaut"/>
    <w:rsid w:val="00FF767E"/>
  </w:style>
  <w:style w:type="character" w:customStyle="1" w:styleId="sa36b60a1">
    <w:name w:val="sa36b60a1"/>
    <w:basedOn w:val="Policepardfaut"/>
    <w:rsid w:val="000906D5"/>
  </w:style>
  <w:style w:type="character" w:customStyle="1" w:styleId="s29100277">
    <w:name w:val="s29100277"/>
    <w:basedOn w:val="Policepardfaut"/>
    <w:rsid w:val="0013054E"/>
  </w:style>
  <w:style w:type="character" w:styleId="Lienhypertexte">
    <w:name w:val="Hyperlink"/>
    <w:basedOn w:val="Policepardfaut"/>
    <w:uiPriority w:val="99"/>
    <w:unhideWhenUsed/>
    <w:rsid w:val="000C1691"/>
    <w:rPr>
      <w:color w:val="0000FF"/>
      <w:u w:val="single"/>
    </w:rPr>
  </w:style>
  <w:style w:type="character" w:styleId="Mentionnonrsolue">
    <w:name w:val="Unresolved Mention"/>
    <w:basedOn w:val="Policepardfaut"/>
    <w:uiPriority w:val="99"/>
    <w:semiHidden/>
    <w:unhideWhenUsed/>
    <w:rsid w:val="000C1691"/>
    <w:rPr>
      <w:color w:val="605E5C"/>
      <w:shd w:val="clear" w:color="auto" w:fill="E1DFDD"/>
    </w:rPr>
  </w:style>
  <w:style w:type="paragraph" w:customStyle="1" w:styleId="s10950c61">
    <w:name w:val="s10950c61"/>
    <w:basedOn w:val="Normal"/>
    <w:rsid w:val="00584D0B"/>
    <w:pPr>
      <w:spacing w:before="100" w:beforeAutospacing="1" w:after="100" w:afterAutospacing="1"/>
    </w:pPr>
    <w:rPr>
      <w:rFonts w:eastAsia="Times New Roman" w:cs="Times New Roman"/>
      <w:lang w:eastAsia="fr-FR"/>
    </w:rPr>
  </w:style>
  <w:style w:type="character" w:customStyle="1" w:styleId="markedcontent">
    <w:name w:val="markedcontent"/>
    <w:basedOn w:val="Policepardfaut"/>
    <w:rsid w:val="00BF6621"/>
  </w:style>
  <w:style w:type="paragraph" w:styleId="NormalWeb">
    <w:name w:val="Normal (Web)"/>
    <w:basedOn w:val="Normal"/>
    <w:uiPriority w:val="99"/>
    <w:unhideWhenUsed/>
    <w:rsid w:val="00887F28"/>
    <w:pPr>
      <w:spacing w:before="100" w:beforeAutospacing="1" w:after="100" w:afterAutospacing="1"/>
    </w:pPr>
    <w:rPr>
      <w:rFonts w:eastAsia="Times New Roman" w:cs="Times New Roman"/>
      <w:lang w:eastAsia="fr-FR"/>
    </w:rPr>
  </w:style>
  <w:style w:type="paragraph" w:customStyle="1" w:styleId="s899b3e47">
    <w:name w:val="s899b3e47"/>
    <w:basedOn w:val="Normal"/>
    <w:rsid w:val="00887F28"/>
    <w:pPr>
      <w:spacing w:before="100" w:beforeAutospacing="1" w:after="100" w:afterAutospacing="1"/>
    </w:pPr>
    <w:rPr>
      <w:rFonts w:eastAsia="Times New Roman" w:cs="Times New Roman"/>
      <w:lang w:eastAsia="fr-FR"/>
    </w:rPr>
  </w:style>
  <w:style w:type="character" w:styleId="lev">
    <w:name w:val="Strong"/>
    <w:basedOn w:val="Policepardfaut"/>
    <w:uiPriority w:val="22"/>
    <w:qFormat/>
    <w:rsid w:val="003B4131"/>
    <w:rPr>
      <w:b/>
      <w:bCs/>
    </w:rPr>
  </w:style>
  <w:style w:type="character" w:customStyle="1" w:styleId="Titre1Car">
    <w:name w:val="Titre 1 Car"/>
    <w:basedOn w:val="Policepardfaut"/>
    <w:link w:val="Titre1"/>
    <w:uiPriority w:val="9"/>
    <w:rsid w:val="005054E7"/>
    <w:rPr>
      <w:rFonts w:ascii="Times New Roman" w:eastAsia="Times New Roman" w:hAnsi="Times New Roman" w:cs="Times New Roman"/>
      <w:b/>
      <w:bCs/>
      <w:kern w:val="36"/>
      <w:szCs w:val="48"/>
      <w:lang w:eastAsia="fr-FR"/>
    </w:rPr>
  </w:style>
  <w:style w:type="character" w:customStyle="1" w:styleId="Titre3Car">
    <w:name w:val="Titre 3 Car"/>
    <w:basedOn w:val="Policepardfaut"/>
    <w:link w:val="Titre3"/>
    <w:uiPriority w:val="9"/>
    <w:rsid w:val="005E6B44"/>
    <w:rPr>
      <w:rFonts w:asciiTheme="majorHAnsi" w:eastAsiaTheme="majorEastAsia" w:hAnsiTheme="majorHAnsi" w:cstheme="majorBidi"/>
      <w:color w:val="1F3763" w:themeColor="accent1" w:themeShade="7F"/>
    </w:rPr>
  </w:style>
  <w:style w:type="paragraph" w:styleId="Pieddepage">
    <w:name w:val="footer"/>
    <w:basedOn w:val="Normal"/>
    <w:link w:val="PieddepageCar"/>
    <w:uiPriority w:val="99"/>
    <w:unhideWhenUsed/>
    <w:rsid w:val="00264708"/>
    <w:pPr>
      <w:tabs>
        <w:tab w:val="center" w:pos="4536"/>
        <w:tab w:val="right" w:pos="9072"/>
      </w:tabs>
    </w:pPr>
  </w:style>
  <w:style w:type="character" w:customStyle="1" w:styleId="PieddepageCar">
    <w:name w:val="Pied de page Car"/>
    <w:basedOn w:val="Policepardfaut"/>
    <w:link w:val="Pieddepage"/>
    <w:uiPriority w:val="99"/>
    <w:rsid w:val="00264708"/>
  </w:style>
  <w:style w:type="character" w:styleId="Numrodepage">
    <w:name w:val="page number"/>
    <w:basedOn w:val="Policepardfaut"/>
    <w:uiPriority w:val="99"/>
    <w:semiHidden/>
    <w:unhideWhenUsed/>
    <w:rsid w:val="00264708"/>
  </w:style>
  <w:style w:type="paragraph" w:styleId="Rvision">
    <w:name w:val="Revision"/>
    <w:hidden/>
    <w:uiPriority w:val="99"/>
    <w:semiHidden/>
    <w:rsid w:val="00BC42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508543">
      <w:bodyDiv w:val="1"/>
      <w:marLeft w:val="0"/>
      <w:marRight w:val="0"/>
      <w:marTop w:val="0"/>
      <w:marBottom w:val="0"/>
      <w:divBdr>
        <w:top w:val="none" w:sz="0" w:space="0" w:color="auto"/>
        <w:left w:val="none" w:sz="0" w:space="0" w:color="auto"/>
        <w:bottom w:val="none" w:sz="0" w:space="0" w:color="auto"/>
        <w:right w:val="none" w:sz="0" w:space="0" w:color="auto"/>
      </w:divBdr>
    </w:div>
    <w:div w:id="697854082">
      <w:bodyDiv w:val="1"/>
      <w:marLeft w:val="0"/>
      <w:marRight w:val="0"/>
      <w:marTop w:val="0"/>
      <w:marBottom w:val="0"/>
      <w:divBdr>
        <w:top w:val="none" w:sz="0" w:space="0" w:color="auto"/>
        <w:left w:val="none" w:sz="0" w:space="0" w:color="auto"/>
        <w:bottom w:val="none" w:sz="0" w:space="0" w:color="auto"/>
        <w:right w:val="none" w:sz="0" w:space="0" w:color="auto"/>
      </w:divBdr>
    </w:div>
    <w:div w:id="1190533870">
      <w:bodyDiv w:val="1"/>
      <w:marLeft w:val="0"/>
      <w:marRight w:val="0"/>
      <w:marTop w:val="0"/>
      <w:marBottom w:val="0"/>
      <w:divBdr>
        <w:top w:val="none" w:sz="0" w:space="0" w:color="auto"/>
        <w:left w:val="none" w:sz="0" w:space="0" w:color="auto"/>
        <w:bottom w:val="none" w:sz="0" w:space="0" w:color="auto"/>
        <w:right w:val="none" w:sz="0" w:space="0" w:color="auto"/>
      </w:divBdr>
    </w:div>
    <w:div w:id="1514033580">
      <w:bodyDiv w:val="1"/>
      <w:marLeft w:val="0"/>
      <w:marRight w:val="0"/>
      <w:marTop w:val="0"/>
      <w:marBottom w:val="0"/>
      <w:divBdr>
        <w:top w:val="none" w:sz="0" w:space="0" w:color="auto"/>
        <w:left w:val="none" w:sz="0" w:space="0" w:color="auto"/>
        <w:bottom w:val="none" w:sz="0" w:space="0" w:color="auto"/>
        <w:right w:val="none" w:sz="0" w:space="0" w:color="auto"/>
      </w:divBdr>
    </w:div>
    <w:div w:id="1975670658">
      <w:bodyDiv w:val="1"/>
      <w:marLeft w:val="0"/>
      <w:marRight w:val="0"/>
      <w:marTop w:val="0"/>
      <w:marBottom w:val="0"/>
      <w:divBdr>
        <w:top w:val="none" w:sz="0" w:space="0" w:color="auto"/>
        <w:left w:val="none" w:sz="0" w:space="0" w:color="auto"/>
        <w:bottom w:val="none" w:sz="0" w:space="0" w:color="auto"/>
        <w:right w:val="none" w:sz="0" w:space="0" w:color="auto"/>
      </w:divBdr>
      <w:divsChild>
        <w:div w:id="7154233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verpool.ac.uk/law/staff/kanstantsin-dzehtsiarou/" TargetMode="External"/><Relationship Id="rId3" Type="http://schemas.openxmlformats.org/officeDocument/2006/relationships/settings" Target="settings.xml"/><Relationship Id="rId7" Type="http://schemas.openxmlformats.org/officeDocument/2006/relationships/hyperlink" Target="https://www.liverpool.ac.uk/law/staff/kanstantsin-dzehtsiaro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hudoc.echr.coe.int/eng" TargetMode="External"/><Relationship Id="rId2" Type="http://schemas.openxmlformats.org/officeDocument/2006/relationships/hyperlink" Target="https://hudoc.echr.coe.int/eng" TargetMode="External"/><Relationship Id="rId1" Type="http://schemas.openxmlformats.org/officeDocument/2006/relationships/hyperlink" Target="https://hudoc.echr.coe.int/eng" TargetMode="External"/><Relationship Id="rId6" Type="http://schemas.openxmlformats.org/officeDocument/2006/relationships/hyperlink" Target="http://www.echr.coe.int" TargetMode="External"/><Relationship Id="rId5" Type="http://schemas.openxmlformats.org/officeDocument/2006/relationships/hyperlink" Target="https://verfassungsblog.de/no-rule-of-law/" TargetMode="External"/><Relationship Id="rId4" Type="http://schemas.openxmlformats.org/officeDocument/2006/relationships/hyperlink" Target="https://strasbourgobservers.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4705</Words>
  <Characters>25883</Characters>
  <Application>Microsoft Office Word</Application>
  <DocSecurity>0</DocSecurity>
  <Lines>215</Lines>
  <Paragraphs>61</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Sébastien Van Drooghenbroeck</dc:creator>
  <cp:keywords/>
  <dc:description/>
  <cp:lastModifiedBy>Sébastien Van Drooghenbroeck</cp:lastModifiedBy>
  <cp:revision>2</cp:revision>
  <dcterms:created xsi:type="dcterms:W3CDTF">2024-06-18T09:22:00Z</dcterms:created>
  <dcterms:modified xsi:type="dcterms:W3CDTF">2024-06-18T09:22:00Z</dcterms:modified>
</cp:coreProperties>
</file>