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45F9" w:rsidRDefault="000A65A4">
      <w:r>
        <w:t xml:space="preserve">Le numéro 67 de l’AFDI (2021), dans lequel l’article est paru, n’est pas encore publié. </w:t>
      </w:r>
      <w:bookmarkStart w:id="0" w:name="_GoBack"/>
      <w:bookmarkEnd w:id="0"/>
    </w:p>
    <w:sectPr w:rsidR="00C045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65A4"/>
    <w:rsid w:val="000A65A4"/>
    <w:rsid w:val="004407C6"/>
    <w:rsid w:val="006E0EAE"/>
    <w:rsid w:val="00D56FF7"/>
    <w:rsid w:val="00E05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D34A3B"/>
  <w15:chartTrackingRefBased/>
  <w15:docId w15:val="{85A7CA87-526E-4564-AF48-189B11D1F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</Words>
  <Characters>76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Raphael Van Steenberghe</dc:creator>
  <cp:keywords/>
  <dc:description/>
  <cp:lastModifiedBy>Raphael Van Steenberghe</cp:lastModifiedBy>
  <cp:revision>1</cp:revision>
  <dcterms:created xsi:type="dcterms:W3CDTF">2022-08-17T14:53:00Z</dcterms:created>
  <dcterms:modified xsi:type="dcterms:W3CDTF">2022-08-17T14:54:00Z</dcterms:modified>
</cp:coreProperties>
</file>