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734881" w14:textId="0B7445E6" w:rsidR="002F76D9" w:rsidRDefault="002F76D9" w:rsidP="0015395F">
      <w:pPr>
        <w:jc w:val="center"/>
      </w:pPr>
      <w:r>
        <w:t>Le pape a-t-il toujours été le successeur de Pierre ?</w:t>
      </w:r>
    </w:p>
    <w:p w14:paraId="4EEB24FF" w14:textId="77777777" w:rsidR="002F76D9" w:rsidRDefault="002F76D9" w:rsidP="0015395F">
      <w:pPr>
        <w:jc w:val="both"/>
      </w:pPr>
    </w:p>
    <w:p w14:paraId="077C14E0" w14:textId="5AB5DEA1" w:rsidR="00050A91" w:rsidRDefault="00A46FD2" w:rsidP="0015395F">
      <w:pPr>
        <w:jc w:val="both"/>
      </w:pPr>
      <w:r w:rsidRPr="00A46FD2">
        <w:t xml:space="preserve">Le 8 mai 2025, </w:t>
      </w:r>
      <w:r w:rsidR="00050A91">
        <w:t xml:space="preserve">à Rome, </w:t>
      </w:r>
      <w:r w:rsidRPr="00A46FD2">
        <w:t xml:space="preserve">Robert Francis Prevost </w:t>
      </w:r>
      <w:r w:rsidR="00050A91">
        <w:t>est élu</w:t>
      </w:r>
      <w:r>
        <w:t xml:space="preserve"> pape </w:t>
      </w:r>
      <w:r w:rsidR="00050A91">
        <w:t>et prend</w:t>
      </w:r>
      <w:r>
        <w:t xml:space="preserve"> le nom de Léon </w:t>
      </w:r>
      <w:r w:rsidRPr="00A46FD2">
        <w:rPr>
          <w:smallCaps/>
        </w:rPr>
        <w:t>xiv</w:t>
      </w:r>
      <w:r>
        <w:rPr>
          <w:smallCaps/>
        </w:rPr>
        <w:t>.</w:t>
      </w:r>
      <w:r>
        <w:t xml:space="preserve"> À cette occasion, les médias le présentent comme le « successeur de saint Pierre »</w:t>
      </w:r>
      <w:r w:rsidR="002F76D9">
        <w:t xml:space="preserve">, ce qui correspond à une tradition officielle de l’Église catholique, où Pierre serait le premier pape et </w:t>
      </w:r>
      <w:r w:rsidR="002F76D9">
        <w:t xml:space="preserve">Léon </w:t>
      </w:r>
      <w:r w:rsidR="002F76D9" w:rsidRPr="00A46FD2">
        <w:rPr>
          <w:smallCaps/>
        </w:rPr>
        <w:t>xiv</w:t>
      </w:r>
      <w:r w:rsidR="002F76D9">
        <w:t xml:space="preserve"> son 267</w:t>
      </w:r>
      <w:r w:rsidR="002F76D9" w:rsidRPr="002F76D9">
        <w:rPr>
          <w:vertAlign w:val="superscript"/>
        </w:rPr>
        <w:t>e</w:t>
      </w:r>
      <w:r w:rsidR="002F76D9">
        <w:t xml:space="preserve"> successeur. </w:t>
      </w:r>
    </w:p>
    <w:p w14:paraId="00A6F3EE" w14:textId="1710BC6D" w:rsidR="00050A91" w:rsidRDefault="002F76D9" w:rsidP="0015395F">
      <w:pPr>
        <w:jc w:val="both"/>
      </w:pPr>
      <w:r>
        <w:t>Or,</w:t>
      </w:r>
      <w:r w:rsidR="00050A91">
        <w:t xml:space="preserve"> </w:t>
      </w:r>
      <w:r>
        <w:t>dans les</w:t>
      </w:r>
      <w:r w:rsidR="00050A91">
        <w:t xml:space="preserve"> premiers siècles du christianisme, la papauté a une réalité tout à fait différente de celle que nous connaissons aujourd’hui, sur au moins trois points : </w:t>
      </w:r>
      <w:r>
        <w:t>l’idée</w:t>
      </w:r>
      <w:r w:rsidR="00050A91">
        <w:t xml:space="preserve"> de Rome </w:t>
      </w:r>
      <w:r>
        <w:t xml:space="preserve">serait la </w:t>
      </w:r>
      <w:r w:rsidR="00F72148">
        <w:t>capitale de l’Église</w:t>
      </w:r>
      <w:r w:rsidR="00050A91">
        <w:t> ; l’usage même du terme de « pape » et l’idée que le pape serait</w:t>
      </w:r>
      <w:r>
        <w:t xml:space="preserve"> </w:t>
      </w:r>
      <w:r w:rsidR="00050A91">
        <w:t>le successeur de Pierre.</w:t>
      </w:r>
      <w:r>
        <w:t xml:space="preserve"> Ces institutions et idées ne se mettent en place que de manière progressive, d’une manière que nous proposons d’esquisser ici. </w:t>
      </w:r>
    </w:p>
    <w:p w14:paraId="7F65C59F" w14:textId="77777777" w:rsidR="002F76D9" w:rsidRDefault="002F76D9" w:rsidP="0015395F">
      <w:pPr>
        <w:jc w:val="both"/>
      </w:pPr>
    </w:p>
    <w:p w14:paraId="3C4D022F" w14:textId="77777777" w:rsidR="00D1349E" w:rsidRPr="00D1349E" w:rsidRDefault="00D1349E" w:rsidP="0015395F">
      <w:pPr>
        <w:shd w:val="clear" w:color="auto" w:fill="FFFFFF"/>
        <w:jc w:val="both"/>
        <w:rPr>
          <w:i/>
          <w:iCs/>
        </w:rPr>
      </w:pPr>
      <w:r w:rsidRPr="00D1349E">
        <w:rPr>
          <w:i/>
          <w:iCs/>
        </w:rPr>
        <w:t>Rome, capitale de l’Église ?</w:t>
      </w:r>
    </w:p>
    <w:p w14:paraId="2B5AF305" w14:textId="77777777" w:rsidR="00D1349E" w:rsidRDefault="00D1349E" w:rsidP="0015395F">
      <w:pPr>
        <w:shd w:val="clear" w:color="auto" w:fill="FFFFFF"/>
        <w:jc w:val="both"/>
        <w:rPr>
          <w:b/>
          <w:bCs/>
          <w:i/>
          <w:iCs/>
        </w:rPr>
      </w:pPr>
    </w:p>
    <w:p w14:paraId="642965FD" w14:textId="27FCE146" w:rsidR="0015395F" w:rsidRDefault="002F76D9" w:rsidP="0015395F">
      <w:pPr>
        <w:shd w:val="clear" w:color="auto" w:fill="FFFFFF"/>
        <w:jc w:val="both"/>
      </w:pPr>
      <w:r>
        <w:t xml:space="preserve">Dans l’Église </w:t>
      </w:r>
      <w:r w:rsidR="0015395F">
        <w:t xml:space="preserve">– </w:t>
      </w:r>
      <w:r>
        <w:t>catholique en tout cas</w:t>
      </w:r>
      <w:r w:rsidR="0015395F">
        <w:t xml:space="preserve">, telle qu’elle existe au Québec et France – </w:t>
      </w:r>
      <w:r>
        <w:t xml:space="preserve">nous </w:t>
      </w:r>
      <w:r w:rsidR="0015395F">
        <w:t>avons longtemps été</w:t>
      </w:r>
      <w:r>
        <w:t xml:space="preserve"> </w:t>
      </w:r>
      <w:proofErr w:type="spellStart"/>
      <w:r>
        <w:t>familier·ères</w:t>
      </w:r>
      <w:proofErr w:type="spellEnd"/>
      <w:r>
        <w:t xml:space="preserve"> d’une hiérarchie pyramidale, correspondant en même temps à une division géographique</w:t>
      </w:r>
      <w:r w:rsidR="0015395F">
        <w:t> :</w:t>
      </w:r>
      <w:r>
        <w:t xml:space="preserve"> </w:t>
      </w:r>
      <w:r w:rsidR="0015395F">
        <w:t>à une</w:t>
      </w:r>
      <w:r>
        <w:t xml:space="preserve"> paroisse</w:t>
      </w:r>
      <w:r w:rsidR="0015395F">
        <w:t xml:space="preserve"> correspond un prêtre ; plusieurs paroisses et doyennés forment un diocèse ayant à sa tête un évêque et l’Église dans son ensemble a, à sa tête, l’évêque de Rome, appelé le pape. Même si ce système est, au niveau local, remis en cause aujourd’hui, notamment du fait du manque de prêtres – avec des regroupements de paroisses en doyennés par exemple – l’organisation en diocèses, chacun sous la charge d’un évêque unique et sous l’autorité du pape, demeure d’actualité. </w:t>
      </w:r>
    </w:p>
    <w:p w14:paraId="08390942" w14:textId="6B66BF5E" w:rsidR="00980EE9" w:rsidRPr="00980EE9" w:rsidRDefault="0015395F" w:rsidP="0015395F">
      <w:pPr>
        <w:shd w:val="clear" w:color="auto" w:fill="FFFFFF"/>
        <w:jc w:val="both"/>
      </w:pPr>
      <w:r>
        <w:t>La réalité ecclésiale des premiers siècles du christianisme est beaucoup plus complexe. Dans les textes qui nous sont parvenus, les équivalents du mot « évêque » (</w:t>
      </w:r>
      <w:proofErr w:type="spellStart"/>
      <w:r>
        <w:rPr>
          <w:i/>
          <w:iCs/>
        </w:rPr>
        <w:t>épiskopos</w:t>
      </w:r>
      <w:proofErr w:type="spellEnd"/>
      <w:r>
        <w:t xml:space="preserve"> en grec notamment) ont des sens multiples</w:t>
      </w:r>
      <w:r w:rsidR="00980EE9">
        <w:t xml:space="preserve">, tout comme un verbe qui en est dérivé, </w:t>
      </w:r>
      <w:proofErr w:type="spellStart"/>
      <w:r w:rsidR="00980EE9">
        <w:rPr>
          <w:i/>
          <w:iCs/>
        </w:rPr>
        <w:t>épiskopô</w:t>
      </w:r>
      <w:proofErr w:type="spellEnd"/>
      <w:r w:rsidR="00980EE9">
        <w:t>, « veiller sur », ou, littéralement « </w:t>
      </w:r>
      <w:proofErr w:type="spellStart"/>
      <w:r w:rsidR="00980EE9">
        <w:t>évêquer</w:t>
      </w:r>
      <w:proofErr w:type="spellEnd"/>
      <w:r w:rsidR="00980EE9">
        <w:t xml:space="preserve"> ». </w:t>
      </w:r>
    </w:p>
    <w:p w14:paraId="025B84EC" w14:textId="6F0F26B8" w:rsidR="00F33D76" w:rsidRDefault="0015395F" w:rsidP="0015395F">
      <w:pPr>
        <w:shd w:val="clear" w:color="auto" w:fill="FFFFFF"/>
        <w:jc w:val="both"/>
      </w:pPr>
      <w:r>
        <w:t xml:space="preserve">Originellement, </w:t>
      </w:r>
      <w:r w:rsidR="00D82F24">
        <w:t xml:space="preserve">l’ </w:t>
      </w:r>
      <w:r w:rsidR="00980EE9">
        <w:t>« </w:t>
      </w:r>
      <w:proofErr w:type="spellStart"/>
      <w:r w:rsidR="00980EE9">
        <w:rPr>
          <w:i/>
          <w:iCs/>
        </w:rPr>
        <w:t>épiskopos</w:t>
      </w:r>
      <w:proofErr w:type="spellEnd"/>
      <w:r w:rsidR="00980EE9">
        <w:t> »</w:t>
      </w:r>
      <w:r>
        <w:t xml:space="preserve"> </w:t>
      </w:r>
      <w:r w:rsidR="00D82F24">
        <w:t>est</w:t>
      </w:r>
      <w:r>
        <w:t xml:space="preserve"> « celui qui veille sur ». Il peut ainsi désigner un gardien, un berger, le pilote d’un navire ou plusieurs </w:t>
      </w:r>
      <w:r w:rsidR="002F76D9" w:rsidRPr="00517188">
        <w:rPr>
          <w:lang w:val="fr-FR"/>
        </w:rPr>
        <w:t>administrateurs dans les domaines civil, financier, militaire ou judiciaire.</w:t>
      </w:r>
      <w:r>
        <w:rPr>
          <w:lang w:val="fr-FR"/>
        </w:rPr>
        <w:t xml:space="preserve"> Dans les textes chrétiens, </w:t>
      </w:r>
      <w:r w:rsidR="00D82F24">
        <w:rPr>
          <w:lang w:val="fr-FR"/>
        </w:rPr>
        <w:t>ce nom</w:t>
      </w:r>
      <w:r>
        <w:rPr>
          <w:lang w:val="fr-FR"/>
        </w:rPr>
        <w:t xml:space="preserve"> est ainsi employé pour parler de Dieu, comme </w:t>
      </w:r>
      <w:r w:rsidR="00980EE9">
        <w:rPr>
          <w:lang w:val="fr-FR"/>
        </w:rPr>
        <w:t>lorsque</w:t>
      </w:r>
      <w:r>
        <w:rPr>
          <w:lang w:val="fr-FR"/>
        </w:rPr>
        <w:t xml:space="preserve">, dans le Nouveau Testament, </w:t>
      </w:r>
      <w:r w:rsidR="00980EE9">
        <w:rPr>
          <w:lang w:val="fr-FR"/>
        </w:rPr>
        <w:t>l’auteur de la Première épître de Pierre, parle du « berger et évêque de vos âmes » (Première épître de Pierre 2,25) ou lorsque</w:t>
      </w:r>
      <w:r>
        <w:rPr>
          <w:lang w:val="fr-FR"/>
        </w:rPr>
        <w:t xml:space="preserve"> Clément de Rome, un auteur du </w:t>
      </w:r>
      <w:proofErr w:type="spellStart"/>
      <w:r>
        <w:rPr>
          <w:smallCaps/>
        </w:rPr>
        <w:t>i</w:t>
      </w:r>
      <w:r w:rsidRPr="000D40CF">
        <w:rPr>
          <w:vertAlign w:val="superscript"/>
        </w:rPr>
        <w:t>e</w:t>
      </w:r>
      <w:r>
        <w:rPr>
          <w:vertAlign w:val="superscript"/>
        </w:rPr>
        <w:t>r</w:t>
      </w:r>
      <w:proofErr w:type="spellEnd"/>
      <w:r>
        <w:t xml:space="preserve"> siècle</w:t>
      </w:r>
      <w:r>
        <w:t>, s’adresse au « Créateur et évêque de tout esprit vivant » (Clément de Rome, Première épître aux Corinthiens 59, 3).</w:t>
      </w:r>
      <w:r w:rsidR="00980EE9">
        <w:t xml:space="preserve"> </w:t>
      </w:r>
      <w:r w:rsidR="00D82F24">
        <w:t xml:space="preserve">Dans les premiers textes présentant l’organisation des </w:t>
      </w:r>
      <w:proofErr w:type="spellStart"/>
      <w:r w:rsidR="00D82F24">
        <w:t>chrétien·nes</w:t>
      </w:r>
      <w:proofErr w:type="spellEnd"/>
      <w:r w:rsidR="00D82F24">
        <w:t>, le verbe lié à « </w:t>
      </w:r>
      <w:proofErr w:type="spellStart"/>
      <w:r w:rsidR="00D82F24">
        <w:rPr>
          <w:i/>
          <w:iCs/>
        </w:rPr>
        <w:t>épiskopos</w:t>
      </w:r>
      <w:proofErr w:type="spellEnd"/>
      <w:r w:rsidR="00D82F24">
        <w:t> » est appliqué aux « prêtres ». Toujours dans la Première épître de Pierre, les « prêtres » sont enjoints à « veiller sur » (littéralement, à « </w:t>
      </w:r>
      <w:proofErr w:type="spellStart"/>
      <w:r w:rsidR="00D82F24">
        <w:t>évêquer</w:t>
      </w:r>
      <w:proofErr w:type="spellEnd"/>
      <w:r w:rsidR="00D82F24">
        <w:t xml:space="preserve"> ») les </w:t>
      </w:r>
      <w:proofErr w:type="spellStart"/>
      <w:r w:rsidR="00D82F24">
        <w:t>croyant·es</w:t>
      </w:r>
      <w:proofErr w:type="spellEnd"/>
      <w:r w:rsidR="00D82F24">
        <w:t xml:space="preserve"> : « Les prêtres chez vous, je les enjoins, moi qui suis prêtre avec eux (…) : paissez le troupeau de Dieu qui est chez vous, en veillant sur eux » (Première être de Pierre 5,1-2). Dans le livre des Actes, ce sont les « disciples » (Actes 20,1) que Paul présente comme des « évêques » : « Veillez les uns sur les autres et sur l’ensemble du troupeau dans lequel le souffle saint vous a établis évêques » (Actes 20,28). </w:t>
      </w:r>
      <w:r w:rsidR="00F33D76">
        <w:t xml:space="preserve">Dans le </w:t>
      </w:r>
      <w:r w:rsidR="00F33D76">
        <w:t>même livre</w:t>
      </w:r>
      <w:r w:rsidR="00F33D76">
        <w:t>, les décisions semblent prises par « la foule des disciples », convoquée par « les douze » (Actes 6,2, voir aussi 6,5) : c’est cette assemblée par exemple qui, sur les conseils des douze, désigne sept disciples (Actes 6,3) pour s’occuper des aumônes aux veuves, après une querelle à ce sujet (Actes 6,1).</w:t>
      </w:r>
      <w:r w:rsidR="00F75267">
        <w:t xml:space="preserve"> Des documents proches dans le temps présentent des décisions prises de manière non hiérarchique : Clément de Rome raconte ainsi avoir été nommé évêque par son prédécesseur, par cooptation, et non par une autorité supérieure (</w:t>
      </w:r>
      <w:r w:rsidR="00F75267" w:rsidRPr="00517188">
        <w:rPr>
          <w:i/>
          <w:iCs/>
        </w:rPr>
        <w:t>Lettre à Jacques</w:t>
      </w:r>
      <w:r w:rsidR="00F75267" w:rsidRPr="00517188">
        <w:t xml:space="preserve"> 2</w:t>
      </w:r>
      <w:r w:rsidR="00F75267">
        <w:t>).</w:t>
      </w:r>
    </w:p>
    <w:p w14:paraId="557F0929" w14:textId="16C5E779" w:rsidR="00F33D76" w:rsidRDefault="00D82F24" w:rsidP="008E27FC">
      <w:pPr>
        <w:shd w:val="clear" w:color="auto" w:fill="FFFFFF"/>
        <w:jc w:val="both"/>
      </w:pPr>
      <w:r>
        <w:t>Dans ce que nous pouvons connaître des réalités quotidiennes, il semble qu</w:t>
      </w:r>
      <w:r w:rsidR="00F75267">
        <w:t xml:space="preserve">’au cours des premiers siècles </w:t>
      </w:r>
      <w:r>
        <w:t>il y ait</w:t>
      </w:r>
      <w:r w:rsidR="00F75267">
        <w:t xml:space="preserve"> </w:t>
      </w:r>
      <w:r>
        <w:t>plusieurs « évêques » dans chaque Église locale, avec des rôles variés, liés autant à la prédication, qu’aux sacrement</w:t>
      </w:r>
      <w:r w:rsidR="00F75267">
        <w:t>s</w:t>
      </w:r>
      <w:r>
        <w:t xml:space="preserve"> et à la direction de la communauté chrétienne.</w:t>
      </w:r>
      <w:r w:rsidR="00F75267">
        <w:t xml:space="preserve"> </w:t>
      </w:r>
      <w:r>
        <w:t xml:space="preserve">C’est seulement à partir du </w:t>
      </w:r>
      <w:r w:rsidRPr="00D82F24">
        <w:rPr>
          <w:smallCaps/>
        </w:rPr>
        <w:t>iv</w:t>
      </w:r>
      <w:r w:rsidRPr="00D82F24">
        <w:rPr>
          <w:vertAlign w:val="superscript"/>
        </w:rPr>
        <w:t>e</w:t>
      </w:r>
      <w:r w:rsidRPr="00D82F24">
        <w:t xml:space="preserve"> siècle</w:t>
      </w:r>
      <w:r>
        <w:t xml:space="preserve"> qu’apparaît un système où, à un lieu donné, correspond </w:t>
      </w:r>
      <w:r>
        <w:lastRenderedPageBreak/>
        <w:t>un évêque unique, selon une division reprenant celle de l’Empire romain en cité. L’évêque acquiert alors des fonctions nouvelles,</w:t>
      </w:r>
      <w:r w:rsidR="008E27FC">
        <w:t xml:space="preserve"> judiciaires et civiles,</w:t>
      </w:r>
      <w:r>
        <w:t xml:space="preserve"> comme relais d’un pouvoir impérial, au sein d’un Empire romain qui a autorisé le christianisme en 313 et le rend religion officielle en </w:t>
      </w:r>
      <w:r w:rsidR="008E27FC">
        <w:t xml:space="preserve">392. C’est dans ce </w:t>
      </w:r>
      <w:r w:rsidR="00F75267">
        <w:t>cadre</w:t>
      </w:r>
      <w:r w:rsidR="008E27FC">
        <w:t xml:space="preserve"> que, peu à peu, s’affirme la position d’autorité de l’Église de Rome parmi les Églises de Rome, et de l’évêque de Rome, parmi les évêques. </w:t>
      </w:r>
    </w:p>
    <w:p w14:paraId="1AC387C7" w14:textId="77777777" w:rsidR="00F75267" w:rsidRDefault="00F75267" w:rsidP="008E27FC">
      <w:pPr>
        <w:shd w:val="clear" w:color="auto" w:fill="FFFFFF"/>
        <w:jc w:val="both"/>
      </w:pPr>
      <w:r>
        <w:t>Certains</w:t>
      </w:r>
      <w:r w:rsidR="00F7330D">
        <w:t xml:space="preserve"> documents officiels font </w:t>
      </w:r>
      <w:r>
        <w:t xml:space="preserve">alors </w:t>
      </w:r>
      <w:r w:rsidR="00F7330D">
        <w:t xml:space="preserve">apparaître, parmi les </w:t>
      </w:r>
      <w:proofErr w:type="spellStart"/>
      <w:r w:rsidR="00F7330D">
        <w:t>chrétien·nes</w:t>
      </w:r>
      <w:proofErr w:type="spellEnd"/>
      <w:r w:rsidR="00F7330D">
        <w:t>, le privilège des Églises de certaines grandes villes. Les documents du concile de Nicée (325) manifestent ainsi une position d’autorité des Églises</w:t>
      </w:r>
      <w:r w:rsidR="00AA7DD2">
        <w:t xml:space="preserve"> de Rome, mais aussi</w:t>
      </w:r>
      <w:r w:rsidR="00F7330D">
        <w:t xml:space="preserve"> d’Alexandrie, Antioche, Jérusalem, ainsi que de Milan, </w:t>
      </w:r>
      <w:r w:rsidR="00AA7DD2">
        <w:t>qui est alors la</w:t>
      </w:r>
      <w:r w:rsidR="00F7330D">
        <w:t xml:space="preserve"> nouvelle capitale de l’Empire romain, par rapport aux autres villes chrétiennes.</w:t>
      </w:r>
      <w:r w:rsidR="00F470B7">
        <w:t xml:space="preserve"> L’Église de Rome est citée également en exemple par certains auteurs – Irénée de Lyon par exemple – ce qui manifeste l’autorité, au moins doctrinale et intellectuelle, de cette Église</w:t>
      </w:r>
      <w:r w:rsidR="00985596">
        <w:t xml:space="preserve">. </w:t>
      </w:r>
    </w:p>
    <w:p w14:paraId="5197F4FB" w14:textId="1CB4F721" w:rsidR="00D82F24" w:rsidRDefault="00AA7DD2" w:rsidP="008E27FC">
      <w:pPr>
        <w:shd w:val="clear" w:color="auto" w:fill="FFFFFF"/>
        <w:jc w:val="both"/>
      </w:pPr>
      <w:r>
        <w:t>Plusieurs actes isolés vont dans le sens d</w:t>
      </w:r>
      <w:r w:rsidR="00F75267">
        <w:t>’une</w:t>
      </w:r>
      <w:r>
        <w:t xml:space="preserve"> revendication</w:t>
      </w:r>
      <w:r w:rsidR="00F75267">
        <w:t xml:space="preserve"> plus nette</w:t>
      </w:r>
      <w:r>
        <w:t xml:space="preserve">, par Rome, de la primauté sur les autres évêchés, et sur la chrétienté en général. L’évêque de Rome Innocent </w:t>
      </w:r>
      <w:proofErr w:type="spellStart"/>
      <w:r>
        <w:rPr>
          <w:smallCaps/>
        </w:rPr>
        <w:t>i</w:t>
      </w:r>
      <w:r w:rsidRPr="000D40CF">
        <w:rPr>
          <w:vertAlign w:val="superscript"/>
        </w:rPr>
        <w:t>e</w:t>
      </w:r>
      <w:r>
        <w:rPr>
          <w:vertAlign w:val="superscript"/>
        </w:rPr>
        <w:t>r</w:t>
      </w:r>
      <w:proofErr w:type="spellEnd"/>
      <w:r>
        <w:t xml:space="preserve">, au début du </w:t>
      </w:r>
      <w:proofErr w:type="spellStart"/>
      <w:r>
        <w:rPr>
          <w:smallCaps/>
        </w:rPr>
        <w:t>v</w:t>
      </w:r>
      <w:r>
        <w:rPr>
          <w:vertAlign w:val="superscript"/>
        </w:rPr>
        <w:t>e</w:t>
      </w:r>
      <w:proofErr w:type="spellEnd"/>
      <w:r>
        <w:t xml:space="preserve"> siècle,</w:t>
      </w:r>
      <w:r>
        <w:t xml:space="preserve"> affirme que toutes les questions, de liturgie notamment, doivent être approuvées par l’évêque de Rome, « à la cime et à la tête » des autres évêques. À partir de la seconde moitié du </w:t>
      </w:r>
      <w:proofErr w:type="spellStart"/>
      <w:r>
        <w:rPr>
          <w:smallCaps/>
        </w:rPr>
        <w:t>viii</w:t>
      </w:r>
      <w:r w:rsidRPr="000D40CF">
        <w:rPr>
          <w:vertAlign w:val="superscript"/>
        </w:rPr>
        <w:t>e</w:t>
      </w:r>
      <w:proofErr w:type="spellEnd"/>
      <w:r>
        <w:t xml:space="preserve"> siècle, </w:t>
      </w:r>
      <w:r>
        <w:t xml:space="preserve">les évêques de Rome mettent aussi en avant un document prétendument écrit au </w:t>
      </w:r>
      <w:r>
        <w:rPr>
          <w:smallCaps/>
        </w:rPr>
        <w:t>i</w:t>
      </w:r>
      <w:r>
        <w:rPr>
          <w:smallCaps/>
        </w:rPr>
        <w:t>v</w:t>
      </w:r>
      <w:r w:rsidRPr="000D40CF">
        <w:rPr>
          <w:vertAlign w:val="superscript"/>
        </w:rPr>
        <w:t>e</w:t>
      </w:r>
      <w:r>
        <w:t xml:space="preserve"> siècle</w:t>
      </w:r>
      <w:r>
        <w:t xml:space="preserve">, la </w:t>
      </w:r>
      <w:r>
        <w:rPr>
          <w:i/>
          <w:iCs/>
        </w:rPr>
        <w:t>Donation de Constantin</w:t>
      </w:r>
      <w:r>
        <w:t>, par lequel l’empereur romain du même nom aurait donné la primauté sur l’Église, et même sur l’Occident en général, à l’évêque de Rome. Ce document est en fait un faux, forgé au début du Moyen Âge, comme le démontrera l’humaniste Laurent Valla à la Renaissance. Il est difficile d’évaluer dans quelle mesure ces revendications ont abouti à une réelle domination de l’évêque de Rome sur les autres évêques</w:t>
      </w:r>
      <w:r w:rsidR="00D1349E">
        <w:t xml:space="preserve"> dans l’Antiquité</w:t>
      </w:r>
      <w:r>
        <w:t xml:space="preserve">. Cette position d’autorité n’apparaît pleinement qu’au Moyen Âge, notamment avec les réformes </w:t>
      </w:r>
      <w:r w:rsidR="00D1349E">
        <w:t xml:space="preserve">menées par l’évêque de Rome Grégoire </w:t>
      </w:r>
      <w:r w:rsidR="00D1349E" w:rsidRPr="00D1349E">
        <w:rPr>
          <w:smallCaps/>
        </w:rPr>
        <w:t>vii</w:t>
      </w:r>
      <w:r w:rsidR="00D1349E">
        <w:t>.</w:t>
      </w:r>
      <w:r>
        <w:t xml:space="preserve"> </w:t>
      </w:r>
      <w:r w:rsidR="00D1349E">
        <w:t xml:space="preserve">L’évolution du terme « pape » manifeste la même tendance, </w:t>
      </w:r>
      <w:r w:rsidR="00F75267">
        <w:t>avec</w:t>
      </w:r>
      <w:r w:rsidR="00D1349E">
        <w:t xml:space="preserve"> une temporalité similaire.</w:t>
      </w:r>
    </w:p>
    <w:p w14:paraId="1CDEC5DA" w14:textId="77777777" w:rsidR="00D1349E" w:rsidRDefault="00D1349E" w:rsidP="008E27FC">
      <w:pPr>
        <w:shd w:val="clear" w:color="auto" w:fill="FFFFFF"/>
        <w:jc w:val="both"/>
      </w:pPr>
    </w:p>
    <w:p w14:paraId="5376B096" w14:textId="72E5076B" w:rsidR="00D1349E" w:rsidRPr="00D1349E" w:rsidRDefault="00F75267" w:rsidP="008E27FC">
      <w:pPr>
        <w:shd w:val="clear" w:color="auto" w:fill="FFFFFF"/>
        <w:jc w:val="both"/>
        <w:rPr>
          <w:i/>
          <w:iCs/>
        </w:rPr>
      </w:pPr>
      <w:r>
        <w:rPr>
          <w:i/>
          <w:iCs/>
        </w:rPr>
        <w:t>L’évêque de Rome, un « pape » unique ?</w:t>
      </w:r>
    </w:p>
    <w:p w14:paraId="6015D13C" w14:textId="77777777" w:rsidR="002F76D9" w:rsidRPr="002F76D9" w:rsidRDefault="002F76D9" w:rsidP="0015395F">
      <w:pPr>
        <w:jc w:val="both"/>
        <w:rPr>
          <w:b/>
          <w:bCs/>
        </w:rPr>
      </w:pPr>
    </w:p>
    <w:p w14:paraId="2C1CD652" w14:textId="39067D21" w:rsidR="00F80CA7" w:rsidRDefault="00050A91" w:rsidP="0015395F">
      <w:pPr>
        <w:jc w:val="both"/>
      </w:pPr>
      <w:r>
        <w:t xml:space="preserve">Le mot « pape », </w:t>
      </w:r>
      <w:proofErr w:type="spellStart"/>
      <w:r>
        <w:rPr>
          <w:i/>
          <w:iCs/>
        </w:rPr>
        <w:t>pappa</w:t>
      </w:r>
      <w:proofErr w:type="spellEnd"/>
      <w:r>
        <w:t xml:space="preserve"> en grec, a originellement le sens qu’on pourrait lui deviner en français. Dès Homère, c’est un terme affectueux employé notamment pour s’adresser à son père. </w:t>
      </w:r>
      <w:r w:rsidR="00D1349E">
        <w:t xml:space="preserve">Il signifie donc, littéralement, « papa ». </w:t>
      </w:r>
    </w:p>
    <w:p w14:paraId="77F2678F" w14:textId="48FB25FE" w:rsidR="00B4586D" w:rsidRDefault="00050A91" w:rsidP="0015395F">
      <w:pPr>
        <w:jc w:val="both"/>
      </w:pPr>
      <w:r>
        <w:t xml:space="preserve">Dans les premiers documents de l’Église il apparaît de manière variée. Il peut désigner l’évêque de Rome, comme dans </w:t>
      </w:r>
      <w:r w:rsidR="00053DB8">
        <w:t>les documents envoyés par l’empereur de Constantinople ou en son nom. On trouve également dans la catacombe de Saint-Calixte</w:t>
      </w:r>
      <w:r w:rsidR="00282CBD">
        <w:t>, dans une chambre funéraire, la mention d’un « pape Marcel</w:t>
      </w:r>
      <w:r w:rsidR="00113061">
        <w:t>lin</w:t>
      </w:r>
      <w:r w:rsidR="00282CBD">
        <w:t> »</w:t>
      </w:r>
      <w:r w:rsidR="00F80CA7">
        <w:t xml:space="preserve"> dans une inscription datée de 298</w:t>
      </w:r>
      <w:r w:rsidR="00282CBD">
        <w:t xml:space="preserve"> : « Cette chambre double (…), </w:t>
      </w:r>
      <w:r w:rsidR="00113061">
        <w:t xml:space="preserve">par ordre de son pape Marcellin, </w:t>
      </w:r>
      <w:r w:rsidR="00282CBD">
        <w:t xml:space="preserve">ce diacre </w:t>
      </w:r>
      <w:proofErr w:type="spellStart"/>
      <w:r w:rsidR="00282CBD">
        <w:t>Sévérus</w:t>
      </w:r>
      <w:proofErr w:type="spellEnd"/>
      <w:r w:rsidR="00282CBD">
        <w:t xml:space="preserve"> l’a faite </w:t>
      </w:r>
      <w:r w:rsidR="00113061">
        <w:t>comme séjour tranquille dans la paix, pour lui et pour les siens. »</w:t>
      </w:r>
      <w:r w:rsidR="00F80CA7">
        <w:t xml:space="preserve"> Néanmoins, le terme de « pape » apparaît aussi, y compris au début du Moyen Âge, pour renvoyer à des évêques autres que celui de Rome. Dans les documents du concile d’Éphèse (431), il est question de « Célestin le pape de Rome » mais aussi de « Cyril le très saint pape d’Alexandrie ». Le mot « pape » est employé de la même façon dans le </w:t>
      </w:r>
      <w:r w:rsidR="00F80CA7">
        <w:rPr>
          <w:i/>
          <w:iCs/>
        </w:rPr>
        <w:t>Pré spirituel</w:t>
      </w:r>
      <w:r w:rsidR="00F80CA7">
        <w:t xml:space="preserve">, un ouvrage de Jean </w:t>
      </w:r>
      <w:proofErr w:type="spellStart"/>
      <w:r w:rsidR="00F80CA7">
        <w:t>Moschos</w:t>
      </w:r>
      <w:proofErr w:type="spellEnd"/>
      <w:r w:rsidR="00F80CA7">
        <w:t xml:space="preserve"> rassemblant les faits et gestes de moines de son temps, les </w:t>
      </w:r>
      <w:r w:rsidR="00F80CA7" w:rsidRPr="00F80CA7">
        <w:rPr>
          <w:smallCaps/>
        </w:rPr>
        <w:t>v</w:t>
      </w:r>
      <w:r w:rsidR="00F80CA7" w:rsidRPr="00F80CA7">
        <w:rPr>
          <w:vertAlign w:val="superscript"/>
        </w:rPr>
        <w:t>e</w:t>
      </w:r>
      <w:r w:rsidR="00F80CA7">
        <w:t xml:space="preserve"> et </w:t>
      </w:r>
      <w:r w:rsidR="00F80CA7" w:rsidRPr="00F80CA7">
        <w:rPr>
          <w:smallCaps/>
        </w:rPr>
        <w:t>v</w:t>
      </w:r>
      <w:r w:rsidR="00F80CA7">
        <w:rPr>
          <w:smallCaps/>
        </w:rPr>
        <w:t>i</w:t>
      </w:r>
      <w:r w:rsidR="00F80CA7" w:rsidRPr="00F80CA7">
        <w:rPr>
          <w:vertAlign w:val="superscript"/>
        </w:rPr>
        <w:t>e</w:t>
      </w:r>
      <w:r w:rsidR="00F80CA7">
        <w:t xml:space="preserve"> siècles, où il est question du « bienheureux Léon, pape de Rome », mais aussi du « pape d’Alexandrie, le bienheureux Apollinaire » et d’ « Euloge, pape d’Alexandrie »</w:t>
      </w:r>
      <w:r w:rsidR="00B4586D">
        <w:t xml:space="preserve">. Ainsi, pendant les premiers siècles du christianisme, il semble que de nombreux évêques, notamment ceux de grandes villes, comme Rome mais aussi Alexandrie, puissent être qualifiés de « papes ». Le premier signe d’un changement de cette situation est un concile qui se tient à Pavie en 998. Au cours de celui-ci, Grégoire </w:t>
      </w:r>
      <w:r w:rsidR="00B4586D" w:rsidRPr="00B4586D">
        <w:rPr>
          <w:smallCaps/>
        </w:rPr>
        <w:t>v</w:t>
      </w:r>
      <w:r w:rsidR="00B4586D">
        <w:t xml:space="preserve">, évêque de Rome, demande à l’archevêque de Milan </w:t>
      </w:r>
      <w:proofErr w:type="spellStart"/>
      <w:r w:rsidR="00B4586D">
        <w:t>Arnolfe</w:t>
      </w:r>
      <w:proofErr w:type="spellEnd"/>
      <w:r w:rsidR="00B4586D">
        <w:t xml:space="preserve"> </w:t>
      </w:r>
      <w:r w:rsidR="00B4586D" w:rsidRPr="00B4586D">
        <w:rPr>
          <w:smallCaps/>
        </w:rPr>
        <w:t>ii</w:t>
      </w:r>
      <w:r w:rsidR="00B4586D">
        <w:t xml:space="preserve"> de renoncer à se faire appeler « pape ». C’est seulement à partir de cette date qu’il y a, pour l’Église catholique, un seul et unique pape : l’évêque de Rome. </w:t>
      </w:r>
    </w:p>
    <w:p w14:paraId="467F3CA4" w14:textId="77777777" w:rsidR="00B4586D" w:rsidRDefault="00B4586D" w:rsidP="0015395F">
      <w:pPr>
        <w:jc w:val="both"/>
      </w:pPr>
    </w:p>
    <w:p w14:paraId="1B056F3E" w14:textId="4D152CEE" w:rsidR="00B4586D" w:rsidRDefault="00F33D76" w:rsidP="0015395F">
      <w:pPr>
        <w:jc w:val="both"/>
        <w:rPr>
          <w:i/>
          <w:iCs/>
        </w:rPr>
      </w:pPr>
      <w:r>
        <w:rPr>
          <w:i/>
          <w:iCs/>
        </w:rPr>
        <w:t>Le pape, successeur de Pierre ?</w:t>
      </w:r>
    </w:p>
    <w:p w14:paraId="2C401904" w14:textId="77777777" w:rsidR="00F33D76" w:rsidRPr="00F33D76" w:rsidRDefault="00F33D76" w:rsidP="0015395F">
      <w:pPr>
        <w:jc w:val="both"/>
        <w:rPr>
          <w:i/>
          <w:iCs/>
        </w:rPr>
      </w:pPr>
    </w:p>
    <w:p w14:paraId="5A8DE49D" w14:textId="4FE2792F" w:rsidR="00B4586D" w:rsidRPr="00EA2ED3" w:rsidRDefault="00F33D76" w:rsidP="0015395F">
      <w:pPr>
        <w:jc w:val="both"/>
      </w:pPr>
      <w:r>
        <w:t>Un des arguments avancés par les évêques de Rome</w:t>
      </w:r>
      <w:r w:rsidR="00F75267">
        <w:t xml:space="preserve"> au cours des siècles</w:t>
      </w:r>
      <w:r>
        <w:t xml:space="preserve"> pour revendiquer une primauté sur les autres évêques ainsi que l’usage exclusif de terme de « pape » </w:t>
      </w:r>
      <w:r w:rsidR="00F75267">
        <w:t xml:space="preserve">est le célèbre verset de Matthieu : « Toi, tu es Pierre et sur cette pierre, je bâtirai mon Église » (Matthieu 16,18). </w:t>
      </w:r>
      <w:r w:rsidR="003977D2">
        <w:t>L’évêque</w:t>
      </w:r>
      <w:r w:rsidR="00F75267">
        <w:t xml:space="preserve"> de Rome Damase </w:t>
      </w:r>
      <w:proofErr w:type="spellStart"/>
      <w:r w:rsidR="00F75267" w:rsidRPr="00F75267">
        <w:rPr>
          <w:smallCaps/>
        </w:rPr>
        <w:t>i</w:t>
      </w:r>
      <w:r w:rsidR="00F75267" w:rsidRPr="00F75267">
        <w:rPr>
          <w:vertAlign w:val="superscript"/>
        </w:rPr>
        <w:t>er</w:t>
      </w:r>
      <w:proofErr w:type="spellEnd"/>
      <w:r w:rsidR="00F75267">
        <w:t xml:space="preserve"> </w:t>
      </w:r>
      <w:r w:rsidR="00B84303">
        <w:t xml:space="preserve">au </w:t>
      </w:r>
      <w:r w:rsidR="00B84303" w:rsidRPr="00F75267">
        <w:rPr>
          <w:smallCaps/>
        </w:rPr>
        <w:t>i</w:t>
      </w:r>
      <w:r w:rsidR="00B84303">
        <w:rPr>
          <w:smallCaps/>
        </w:rPr>
        <w:t>v</w:t>
      </w:r>
      <w:r w:rsidR="00B84303" w:rsidRPr="00F75267">
        <w:rPr>
          <w:vertAlign w:val="superscript"/>
        </w:rPr>
        <w:t>e</w:t>
      </w:r>
      <w:r w:rsidR="00B84303">
        <w:t xml:space="preserve"> </w:t>
      </w:r>
      <w:r w:rsidR="00B84303">
        <w:t>siècle</w:t>
      </w:r>
      <w:r w:rsidR="003977D2">
        <w:t xml:space="preserve"> </w:t>
      </w:r>
      <w:r w:rsidR="003977D2">
        <w:t xml:space="preserve">notamment </w:t>
      </w:r>
      <w:r w:rsidR="003977D2">
        <w:t>défend</w:t>
      </w:r>
      <w:r w:rsidR="003977D2">
        <w:t xml:space="preserve"> l’idée</w:t>
      </w:r>
      <w:r w:rsidR="003977D2">
        <w:t xml:space="preserve"> </w:t>
      </w:r>
      <w:r w:rsidR="00B84303">
        <w:t>que, par ce verset, Jésus a désigné Pierre comme le chef de son Église et que les évêques de Rome, étant les successeurs de cet apôtre, martyrisé dans cette même ville, doivent jouir de la même primauté.</w:t>
      </w:r>
      <w:r w:rsidR="00EA2ED3">
        <w:t xml:space="preserve"> Plusieurs sources mettent alors en place une liste des évêques de Rome, commençant par Pierre, comme Irénée de Lyon et Eusèbe de Césarée, et, surtout, le </w:t>
      </w:r>
      <w:r w:rsidR="00EA2ED3">
        <w:rPr>
          <w:i/>
          <w:iCs/>
        </w:rPr>
        <w:t xml:space="preserve">Liber </w:t>
      </w:r>
      <w:proofErr w:type="spellStart"/>
      <w:r w:rsidR="00EA2ED3">
        <w:rPr>
          <w:i/>
          <w:iCs/>
        </w:rPr>
        <w:t>Pontificialis</w:t>
      </w:r>
      <w:proofErr w:type="spellEnd"/>
      <w:r w:rsidR="00EA2ED3">
        <w:t xml:space="preserve"> (littéralement, le « </w:t>
      </w:r>
      <w:r w:rsidR="00EA2ED3" w:rsidRPr="00EA2ED3">
        <w:rPr>
          <w:i/>
          <w:iCs/>
        </w:rPr>
        <w:t>Livre pontifical</w:t>
      </w:r>
      <w:r w:rsidR="00EA2ED3">
        <w:t xml:space="preserve"> »), compilé à Rome entre le </w:t>
      </w:r>
      <w:r w:rsidR="00EA2ED3">
        <w:rPr>
          <w:smallCaps/>
        </w:rPr>
        <w:t>vi</w:t>
      </w:r>
      <w:r w:rsidR="00EA2ED3" w:rsidRPr="00F75267">
        <w:rPr>
          <w:vertAlign w:val="superscript"/>
        </w:rPr>
        <w:t>e</w:t>
      </w:r>
      <w:r w:rsidR="00EA2ED3">
        <w:t xml:space="preserve"> </w:t>
      </w:r>
      <w:r w:rsidR="00EA2ED3">
        <w:t>et le</w:t>
      </w:r>
      <w:r w:rsidR="00EA2ED3">
        <w:t xml:space="preserve"> </w:t>
      </w:r>
      <w:r w:rsidR="00EA2ED3" w:rsidRPr="00F75267">
        <w:rPr>
          <w:smallCaps/>
        </w:rPr>
        <w:t>i</w:t>
      </w:r>
      <w:r w:rsidR="00EA2ED3">
        <w:rPr>
          <w:smallCaps/>
        </w:rPr>
        <w:t>x</w:t>
      </w:r>
      <w:r w:rsidR="00EA2ED3" w:rsidRPr="00F75267">
        <w:rPr>
          <w:vertAlign w:val="superscript"/>
        </w:rPr>
        <w:t>e</w:t>
      </w:r>
      <w:r w:rsidR="00EA2ED3">
        <w:t xml:space="preserve"> siècle</w:t>
      </w:r>
      <w:r w:rsidR="00EA2ED3">
        <w:t>, et qui présente une notice plus ou moins longue pour chacun des papes à partir de Pierre.</w:t>
      </w:r>
    </w:p>
    <w:p w14:paraId="73FBD695" w14:textId="47867CFD" w:rsidR="00B84303" w:rsidRDefault="00B84303" w:rsidP="0015395F">
      <w:pPr>
        <w:jc w:val="both"/>
      </w:pPr>
      <w:r>
        <w:t xml:space="preserve">Notons déjà que </w:t>
      </w:r>
      <w:r w:rsidR="00EA2ED3">
        <w:t>l’</w:t>
      </w:r>
      <w:r>
        <w:t>interprétation</w:t>
      </w:r>
      <w:r w:rsidR="00EA2ED3">
        <w:t xml:space="preserve"> de Matthieu 16,18 qui fait de Pierre le premier chef de l’Église</w:t>
      </w:r>
      <w:r>
        <w:t xml:space="preserve"> n’est pas évidente en termes d’exégèse. Si la traduction française est ici favorable au jeu de mots, il n’en est pas de même dans le texte original grec où le nom de l’apôtre et celui employé ensuite sont deux termes différents, masculin pour le premier, « </w:t>
      </w:r>
      <w:proofErr w:type="spellStart"/>
      <w:r>
        <w:rPr>
          <w:i/>
          <w:iCs/>
        </w:rPr>
        <w:t>Pétros</w:t>
      </w:r>
      <w:proofErr w:type="spellEnd"/>
      <w:r>
        <w:t> », féminin pour le second, « </w:t>
      </w:r>
      <w:proofErr w:type="spellStart"/>
      <w:r>
        <w:rPr>
          <w:i/>
          <w:iCs/>
        </w:rPr>
        <w:t>pétra</w:t>
      </w:r>
      <w:proofErr w:type="spellEnd"/>
      <w:r>
        <w:t xml:space="preserve"> ». Littéralement, il faudrait traduire : « Toi tu es Pierre et sur cette pierraille, je bâtirai mon Église ». On pourrait voir dans cette phrase une métaphore : Pierre est </w:t>
      </w:r>
      <w:r>
        <w:rPr>
          <w:i/>
          <w:iCs/>
        </w:rPr>
        <w:t xml:space="preserve">comme </w:t>
      </w:r>
      <w:r>
        <w:t>une pierre de fondation. De plus, on a vu dans l’introduction de cet ouvrage que le mot employé pour « Église » en grec, « </w:t>
      </w:r>
      <w:proofErr w:type="spellStart"/>
      <w:r>
        <w:rPr>
          <w:i/>
          <w:iCs/>
        </w:rPr>
        <w:t>ékklêsia</w:t>
      </w:r>
      <w:proofErr w:type="spellEnd"/>
      <w:r>
        <w:t> », est ambigu : une « </w:t>
      </w:r>
      <w:proofErr w:type="spellStart"/>
      <w:r>
        <w:rPr>
          <w:i/>
          <w:iCs/>
        </w:rPr>
        <w:t>ékklêsia</w:t>
      </w:r>
      <w:proofErr w:type="spellEnd"/>
      <w:r>
        <w:t xml:space="preserve"> » est une assemblée ; il désigne, dans les Actes, l’ensemble des </w:t>
      </w:r>
      <w:proofErr w:type="spellStart"/>
      <w:r>
        <w:t>chrétien·nes</w:t>
      </w:r>
      <w:proofErr w:type="spellEnd"/>
      <w:r>
        <w:t xml:space="preserve"> ou une communauté locale – certainement pas une institution hiérarchisée, ce qui serait une lecture anachronique de ce passage. Enfin, replacé dans son contexte – le chapitre 16 de l’</w:t>
      </w:r>
      <w:r w:rsidR="00EA2ED3" w:rsidRPr="00EA2ED3">
        <w:rPr>
          <w:i/>
          <w:iCs/>
        </w:rPr>
        <w:t>É</w:t>
      </w:r>
      <w:r w:rsidRPr="00EA2ED3">
        <w:rPr>
          <w:i/>
          <w:iCs/>
        </w:rPr>
        <w:t xml:space="preserve">vangile </w:t>
      </w:r>
      <w:r w:rsidR="00EA2ED3" w:rsidRPr="00EA2ED3">
        <w:rPr>
          <w:i/>
          <w:iCs/>
        </w:rPr>
        <w:t>selon</w:t>
      </w:r>
      <w:r w:rsidRPr="00EA2ED3">
        <w:rPr>
          <w:i/>
          <w:iCs/>
        </w:rPr>
        <w:t xml:space="preserve"> Matthieu</w:t>
      </w:r>
      <w:r>
        <w:t>, il suit la reconnaissance par Pierre du statut du Christ de Jésus, formulée d’une manière parallèle à la formule de Matthieu 16,18 :  « Toi, tu es le Christ, le fils du Dieu vivant. » (16,16) Pierre apparaît donc comme mis en avant non pour lui-même mais par la déclaration qu’il vient de faire</w:t>
      </w:r>
      <w:r w:rsidR="003977D2">
        <w:t xml:space="preserve"> (c’est, dès l’Antiquité, l’interprétation d’Ambroise de Milan qui, pour cette raison, refuse une primauté des évêques de Rome comme successeurs de Pierre qui se fonderait sur ce verset)</w:t>
      </w:r>
      <w:r>
        <w:t xml:space="preserve">. De plus, immédiatement après, le même Pierre refuse radicalement la Passion et la résurrection annoncées par Jésus, ce qui conduit ce dernier à le rejeter et même à le nommer « Satan » : « Va en arrière de moi, Satan, tu es pour moi un piège, parce que tu ne penses pas les choses de Dieu, mais celles des humains. » (Matthieu 16,23) – un verset beaucoup moins à même de soutenir un statut d’autorité de Pierre ou de ses successeurs. </w:t>
      </w:r>
    </w:p>
    <w:p w14:paraId="1D5F701A" w14:textId="0430360A" w:rsidR="00AA69F9" w:rsidRPr="00AA69F9" w:rsidRDefault="00AA69F9" w:rsidP="0015395F">
      <w:pPr>
        <w:jc w:val="both"/>
        <w:rPr>
          <w:rFonts w:ascii="Arial" w:hAnsi="Arial" w:cs="Arial"/>
          <w:color w:val="202122"/>
          <w:sz w:val="20"/>
          <w:szCs w:val="20"/>
          <w:lang w:val="fr-FR"/>
        </w:rPr>
      </w:pPr>
      <w:r>
        <w:t xml:space="preserve">L’évêque de Rome Léon </w:t>
      </w:r>
      <w:proofErr w:type="spellStart"/>
      <w:r w:rsidRPr="00F75267">
        <w:rPr>
          <w:smallCaps/>
        </w:rPr>
        <w:t>i</w:t>
      </w:r>
      <w:r w:rsidRPr="00F75267">
        <w:rPr>
          <w:vertAlign w:val="superscript"/>
        </w:rPr>
        <w:t>er</w:t>
      </w:r>
      <w:proofErr w:type="spellEnd"/>
      <w:r>
        <w:t xml:space="preserve"> au </w:t>
      </w:r>
      <w:proofErr w:type="spellStart"/>
      <w:r>
        <w:rPr>
          <w:smallCaps/>
        </w:rPr>
        <w:t>v</w:t>
      </w:r>
      <w:r w:rsidRPr="00F75267">
        <w:rPr>
          <w:vertAlign w:val="superscript"/>
        </w:rPr>
        <w:t>e</w:t>
      </w:r>
      <w:proofErr w:type="spellEnd"/>
      <w:r>
        <w:t xml:space="preserve"> siècle appuie la même revendication d’une primauté romaine reposante sur l’héritage de Pierre non seulement sur Matthieu 16,18 mais aussi sur Luc 22,32 (« et moi [c’est Jésus qui parle alors] j’ai prié pour toi [Pierre] afin que ta foi ne manque pas, et toi, quand tu seras, un jour, retourné, affermis tes frères. ») et Jean 21,15-17, où Jésus ordonne à Pierre, par trois fois, de « paître » ses brebis. Ces arguments scripturaires sont toujours d’actualité. La constitution </w:t>
      </w:r>
      <w:r>
        <w:rPr>
          <w:i/>
          <w:iCs/>
        </w:rPr>
        <w:t xml:space="preserve">Pastor </w:t>
      </w:r>
      <w:proofErr w:type="spellStart"/>
      <w:r>
        <w:rPr>
          <w:i/>
          <w:iCs/>
        </w:rPr>
        <w:t>Aeternus</w:t>
      </w:r>
      <w:proofErr w:type="spellEnd"/>
      <w:r>
        <w:t xml:space="preserve"> du 18 juillet 1870 au moment du concile Vatican </w:t>
      </w:r>
      <w:r w:rsidRPr="00F75267">
        <w:rPr>
          <w:smallCaps/>
        </w:rPr>
        <w:t>i</w:t>
      </w:r>
      <w:r>
        <w:rPr>
          <w:smallCaps/>
        </w:rPr>
        <w:t xml:space="preserve"> </w:t>
      </w:r>
      <w:r>
        <w:t xml:space="preserve">s’appuie sur les mêmes trois versets pour justifier l’autorité du pape sur l’Église et le concile Vatican </w:t>
      </w:r>
      <w:r w:rsidRPr="00F75267">
        <w:rPr>
          <w:smallCaps/>
        </w:rPr>
        <w:t>i</w:t>
      </w:r>
      <w:r>
        <w:rPr>
          <w:smallCaps/>
        </w:rPr>
        <w:t xml:space="preserve">i </w:t>
      </w:r>
      <w:r>
        <w:t>réaffirme une autorité papale héritée de Pierre.</w:t>
      </w:r>
    </w:p>
    <w:p w14:paraId="4A882BFE" w14:textId="746A8989" w:rsidR="00EA2ED3" w:rsidRDefault="00EA2ED3" w:rsidP="0015395F">
      <w:pPr>
        <w:jc w:val="both"/>
      </w:pPr>
      <w:r>
        <w:t>Par ailleurs, les textes du Nouveau Testament donnent sur les premiers siècles de l’Église témoignent d’une situation beaucoup plus complexe qu’un primat de Pierre. L’</w:t>
      </w:r>
      <w:r>
        <w:rPr>
          <w:i/>
          <w:iCs/>
        </w:rPr>
        <w:t>Évangile selon Jean</w:t>
      </w:r>
      <w:r>
        <w:t xml:space="preserve"> en particulier semble émaner d’une communauté mettant en avant le « disciple que Jésus aimait », peut-être l’apôtre Jean. Les Actes comme les épîtres rassemblées dans le Nouveau Testament témoignent aussi du rôle majeur de figures comme Jacques, à la tête de la communauté de Jérusalem, et de Paul, notamment dans les communautés formées chez les non-Juifs, </w:t>
      </w:r>
      <w:r w:rsidR="00AA69F9">
        <w:t>Galates 2 présentant même une situation de conflit entre Pierre et Paul.</w:t>
      </w:r>
      <w:r>
        <w:t xml:space="preserve"> </w:t>
      </w:r>
    </w:p>
    <w:p w14:paraId="380084E8" w14:textId="36B9C651" w:rsidR="0065415A" w:rsidRDefault="0065415A" w:rsidP="0015395F">
      <w:pPr>
        <w:jc w:val="both"/>
      </w:pPr>
      <w:r>
        <w:lastRenderedPageBreak/>
        <w:t xml:space="preserve">Ainsi, Matthieu 16,23 ne désigne absolument pas Pierre comme le premier pape. Cette lecture, solidaire de revendications politiques de la part des évêques de Rome, n’est ici qu’une interprétation parmi d’autres. </w:t>
      </w:r>
    </w:p>
    <w:p w14:paraId="36EF95B9" w14:textId="77777777" w:rsidR="00AA69F9" w:rsidRPr="00EA2ED3" w:rsidRDefault="00AA69F9" w:rsidP="0015395F">
      <w:pPr>
        <w:jc w:val="both"/>
      </w:pPr>
    </w:p>
    <w:sectPr w:rsidR="00AA69F9" w:rsidRPr="00EA2ED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89BAC" w14:textId="77777777" w:rsidR="00D93A6A" w:rsidRDefault="00D93A6A" w:rsidP="00515D37">
      <w:r>
        <w:separator/>
      </w:r>
    </w:p>
  </w:endnote>
  <w:endnote w:type="continuationSeparator" w:id="0">
    <w:p w14:paraId="7FE8EA2E" w14:textId="77777777" w:rsidR="00D93A6A" w:rsidRDefault="00D93A6A" w:rsidP="00515D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68155" w14:textId="77777777" w:rsidR="00D93A6A" w:rsidRDefault="00D93A6A" w:rsidP="00515D37">
      <w:r>
        <w:separator/>
      </w:r>
    </w:p>
  </w:footnote>
  <w:footnote w:type="continuationSeparator" w:id="0">
    <w:p w14:paraId="46891198" w14:textId="77777777" w:rsidR="00D93A6A" w:rsidRDefault="00D93A6A" w:rsidP="00515D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30E9F"/>
    <w:multiLevelType w:val="multilevel"/>
    <w:tmpl w:val="5302F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DB55E5"/>
    <w:multiLevelType w:val="multilevel"/>
    <w:tmpl w:val="ECF2B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616CA3"/>
    <w:multiLevelType w:val="multilevel"/>
    <w:tmpl w:val="CBAC3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BE65ED"/>
    <w:multiLevelType w:val="multilevel"/>
    <w:tmpl w:val="0AEED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324B4C"/>
    <w:multiLevelType w:val="multilevel"/>
    <w:tmpl w:val="B01CC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3A25AA"/>
    <w:multiLevelType w:val="hybridMultilevel"/>
    <w:tmpl w:val="1E143DF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A562759"/>
    <w:multiLevelType w:val="hybridMultilevel"/>
    <w:tmpl w:val="D8C21A00"/>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B794528"/>
    <w:multiLevelType w:val="multilevel"/>
    <w:tmpl w:val="C2608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925286"/>
    <w:multiLevelType w:val="multilevel"/>
    <w:tmpl w:val="28164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114ED6"/>
    <w:multiLevelType w:val="multilevel"/>
    <w:tmpl w:val="3D067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4020FC"/>
    <w:multiLevelType w:val="multilevel"/>
    <w:tmpl w:val="58AA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3A0BFD"/>
    <w:multiLevelType w:val="hybridMultilevel"/>
    <w:tmpl w:val="D310B12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35243B1"/>
    <w:multiLevelType w:val="multilevel"/>
    <w:tmpl w:val="51DE1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847C66"/>
    <w:multiLevelType w:val="multilevel"/>
    <w:tmpl w:val="4AF04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6C1E36"/>
    <w:multiLevelType w:val="multilevel"/>
    <w:tmpl w:val="6CA44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9F2770"/>
    <w:multiLevelType w:val="multilevel"/>
    <w:tmpl w:val="79007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DA7BA6"/>
    <w:multiLevelType w:val="multilevel"/>
    <w:tmpl w:val="C234E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F2703F"/>
    <w:multiLevelType w:val="multilevel"/>
    <w:tmpl w:val="D230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2735D0"/>
    <w:multiLevelType w:val="multilevel"/>
    <w:tmpl w:val="4A0AD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DDA0366"/>
    <w:multiLevelType w:val="multilevel"/>
    <w:tmpl w:val="FCA85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8F3ADC"/>
    <w:multiLevelType w:val="hybridMultilevel"/>
    <w:tmpl w:val="6682254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2B02B5A"/>
    <w:multiLevelType w:val="multilevel"/>
    <w:tmpl w:val="8A1CD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2F44955"/>
    <w:multiLevelType w:val="multilevel"/>
    <w:tmpl w:val="102E2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D12D9E"/>
    <w:multiLevelType w:val="multilevel"/>
    <w:tmpl w:val="659A3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D338E8"/>
    <w:multiLevelType w:val="hybridMultilevel"/>
    <w:tmpl w:val="D43CA11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52F12521"/>
    <w:multiLevelType w:val="multilevel"/>
    <w:tmpl w:val="3BF21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C119D1"/>
    <w:multiLevelType w:val="multilevel"/>
    <w:tmpl w:val="4C7A4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4E4E63"/>
    <w:multiLevelType w:val="multilevel"/>
    <w:tmpl w:val="07DE3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CD27C3"/>
    <w:multiLevelType w:val="multilevel"/>
    <w:tmpl w:val="55DA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3F318D"/>
    <w:multiLevelType w:val="multilevel"/>
    <w:tmpl w:val="6370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CBA69B9"/>
    <w:multiLevelType w:val="hybridMultilevel"/>
    <w:tmpl w:val="A5A6554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66550A0"/>
    <w:multiLevelType w:val="multilevel"/>
    <w:tmpl w:val="9B209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C55F7F"/>
    <w:multiLevelType w:val="hybridMultilevel"/>
    <w:tmpl w:val="98E89C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C85438D"/>
    <w:multiLevelType w:val="multilevel"/>
    <w:tmpl w:val="76B46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E57732"/>
    <w:multiLevelType w:val="multilevel"/>
    <w:tmpl w:val="20829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9183255">
    <w:abstractNumId w:val="32"/>
  </w:num>
  <w:num w:numId="2" w16cid:durableId="1997492850">
    <w:abstractNumId w:val="20"/>
  </w:num>
  <w:num w:numId="3" w16cid:durableId="2061976369">
    <w:abstractNumId w:val="11"/>
  </w:num>
  <w:num w:numId="4" w16cid:durableId="771315226">
    <w:abstractNumId w:val="6"/>
  </w:num>
  <w:num w:numId="5" w16cid:durableId="1064834124">
    <w:abstractNumId w:val="24"/>
  </w:num>
  <w:num w:numId="6" w16cid:durableId="1599602822">
    <w:abstractNumId w:val="30"/>
  </w:num>
  <w:num w:numId="7" w16cid:durableId="882523690">
    <w:abstractNumId w:val="5"/>
  </w:num>
  <w:num w:numId="8" w16cid:durableId="1342776997">
    <w:abstractNumId w:val="16"/>
  </w:num>
  <w:num w:numId="9" w16cid:durableId="1660380284">
    <w:abstractNumId w:val="15"/>
  </w:num>
  <w:num w:numId="10" w16cid:durableId="1757943852">
    <w:abstractNumId w:val="14"/>
  </w:num>
  <w:num w:numId="11" w16cid:durableId="1554542699">
    <w:abstractNumId w:val="3"/>
  </w:num>
  <w:num w:numId="12" w16cid:durableId="1369260916">
    <w:abstractNumId w:val="8"/>
  </w:num>
  <w:num w:numId="13" w16cid:durableId="835342247">
    <w:abstractNumId w:val="0"/>
  </w:num>
  <w:num w:numId="14" w16cid:durableId="1245336399">
    <w:abstractNumId w:val="31"/>
  </w:num>
  <w:num w:numId="15" w16cid:durableId="1923484505">
    <w:abstractNumId w:val="23"/>
  </w:num>
  <w:num w:numId="16" w16cid:durableId="31468817">
    <w:abstractNumId w:val="7"/>
  </w:num>
  <w:num w:numId="17" w16cid:durableId="1047683789">
    <w:abstractNumId w:val="21"/>
  </w:num>
  <w:num w:numId="18" w16cid:durableId="1139297416">
    <w:abstractNumId w:val="2"/>
  </w:num>
  <w:num w:numId="19" w16cid:durableId="1633097889">
    <w:abstractNumId w:val="25"/>
  </w:num>
  <w:num w:numId="20" w16cid:durableId="1127353389">
    <w:abstractNumId w:val="9"/>
  </w:num>
  <w:num w:numId="21" w16cid:durableId="549417617">
    <w:abstractNumId w:val="17"/>
  </w:num>
  <w:num w:numId="22" w16cid:durableId="629213389">
    <w:abstractNumId w:val="34"/>
  </w:num>
  <w:num w:numId="23" w16cid:durableId="635259015">
    <w:abstractNumId w:val="26"/>
  </w:num>
  <w:num w:numId="24" w16cid:durableId="677384805">
    <w:abstractNumId w:val="10"/>
  </w:num>
  <w:num w:numId="25" w16cid:durableId="1474756934">
    <w:abstractNumId w:val="28"/>
  </w:num>
  <w:num w:numId="26" w16cid:durableId="2103605384">
    <w:abstractNumId w:val="27"/>
  </w:num>
  <w:num w:numId="27" w16cid:durableId="1570654369">
    <w:abstractNumId w:val="19"/>
  </w:num>
  <w:num w:numId="28" w16cid:durableId="739402783">
    <w:abstractNumId w:val="33"/>
  </w:num>
  <w:num w:numId="29" w16cid:durableId="804158338">
    <w:abstractNumId w:val="22"/>
  </w:num>
  <w:num w:numId="30" w16cid:durableId="843738156">
    <w:abstractNumId w:val="1"/>
  </w:num>
  <w:num w:numId="31" w16cid:durableId="1878545686">
    <w:abstractNumId w:val="13"/>
  </w:num>
  <w:num w:numId="32" w16cid:durableId="1548833858">
    <w:abstractNumId w:val="4"/>
  </w:num>
  <w:num w:numId="33" w16cid:durableId="1926724612">
    <w:abstractNumId w:val="12"/>
  </w:num>
  <w:num w:numId="34" w16cid:durableId="1412654051">
    <w:abstractNumId w:val="29"/>
  </w:num>
  <w:num w:numId="35" w16cid:durableId="57732351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D37"/>
    <w:rsid w:val="00050A91"/>
    <w:rsid w:val="00053DB8"/>
    <w:rsid w:val="00057E82"/>
    <w:rsid w:val="000C1492"/>
    <w:rsid w:val="000D525C"/>
    <w:rsid w:val="00113061"/>
    <w:rsid w:val="0015395F"/>
    <w:rsid w:val="002266FE"/>
    <w:rsid w:val="00282CBD"/>
    <w:rsid w:val="002E1BA4"/>
    <w:rsid w:val="002F76D9"/>
    <w:rsid w:val="00323466"/>
    <w:rsid w:val="0033256A"/>
    <w:rsid w:val="003977D2"/>
    <w:rsid w:val="003A2081"/>
    <w:rsid w:val="003E4EC9"/>
    <w:rsid w:val="00495768"/>
    <w:rsid w:val="005131F6"/>
    <w:rsid w:val="00515D37"/>
    <w:rsid w:val="005F1436"/>
    <w:rsid w:val="006071B4"/>
    <w:rsid w:val="0065415A"/>
    <w:rsid w:val="006B79FA"/>
    <w:rsid w:val="00745DD9"/>
    <w:rsid w:val="0075755E"/>
    <w:rsid w:val="0078359F"/>
    <w:rsid w:val="007C64FF"/>
    <w:rsid w:val="00833F6F"/>
    <w:rsid w:val="00895554"/>
    <w:rsid w:val="008C1B48"/>
    <w:rsid w:val="008E27FC"/>
    <w:rsid w:val="00980EE9"/>
    <w:rsid w:val="00985596"/>
    <w:rsid w:val="009C2C7F"/>
    <w:rsid w:val="009F6289"/>
    <w:rsid w:val="00A46FD2"/>
    <w:rsid w:val="00AA69F9"/>
    <w:rsid w:val="00AA7DD2"/>
    <w:rsid w:val="00B4586D"/>
    <w:rsid w:val="00B6347E"/>
    <w:rsid w:val="00B84303"/>
    <w:rsid w:val="00BA4CC4"/>
    <w:rsid w:val="00C137A7"/>
    <w:rsid w:val="00C7020C"/>
    <w:rsid w:val="00CA1EC6"/>
    <w:rsid w:val="00D1349E"/>
    <w:rsid w:val="00D67ECD"/>
    <w:rsid w:val="00D82F24"/>
    <w:rsid w:val="00D86242"/>
    <w:rsid w:val="00D93A6A"/>
    <w:rsid w:val="00DD2F91"/>
    <w:rsid w:val="00DD6089"/>
    <w:rsid w:val="00DE58DB"/>
    <w:rsid w:val="00E761EF"/>
    <w:rsid w:val="00EA2ED3"/>
    <w:rsid w:val="00F1321B"/>
    <w:rsid w:val="00F33D76"/>
    <w:rsid w:val="00F470B7"/>
    <w:rsid w:val="00F72148"/>
    <w:rsid w:val="00F7330D"/>
    <w:rsid w:val="00F75267"/>
    <w:rsid w:val="00F80CA7"/>
    <w:rsid w:val="00F819E8"/>
    <w:rsid w:val="00FD175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73F05A57"/>
  <w15:chartTrackingRefBased/>
  <w15:docId w15:val="{0DDDECA7-DB97-3746-80AC-BD1C650D2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66FE"/>
    <w:pPr>
      <w:spacing w:after="0" w:line="240" w:lineRule="auto"/>
    </w:pPr>
    <w:rPr>
      <w:rFonts w:ascii="Times New Roman" w:eastAsia="Times New Roman" w:hAnsi="Times New Roman" w:cs="Times New Roman"/>
      <w:kern w:val="0"/>
      <w:lang w:eastAsia="fr-FR"/>
      <w14:ligatures w14:val="none"/>
    </w:rPr>
  </w:style>
  <w:style w:type="paragraph" w:styleId="Titre1">
    <w:name w:val="heading 1"/>
    <w:basedOn w:val="Normal"/>
    <w:next w:val="Normal"/>
    <w:link w:val="Titre1Car"/>
    <w:uiPriority w:val="9"/>
    <w:qFormat/>
    <w:rsid w:val="00515D3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515D3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515D37"/>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515D3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515D3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515D37"/>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515D37"/>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515D37"/>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515D37"/>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15D37"/>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515D3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515D3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515D37"/>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515D37"/>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515D3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515D3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515D3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515D37"/>
    <w:rPr>
      <w:rFonts w:eastAsiaTheme="majorEastAsia" w:cstheme="majorBidi"/>
      <w:color w:val="272727" w:themeColor="text1" w:themeTint="D8"/>
    </w:rPr>
  </w:style>
  <w:style w:type="paragraph" w:styleId="Titre">
    <w:name w:val="Title"/>
    <w:basedOn w:val="Normal"/>
    <w:next w:val="Normal"/>
    <w:link w:val="TitreCar"/>
    <w:uiPriority w:val="10"/>
    <w:qFormat/>
    <w:rsid w:val="00515D37"/>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15D3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15D37"/>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515D3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515D37"/>
    <w:pPr>
      <w:spacing w:before="160"/>
      <w:jc w:val="center"/>
    </w:pPr>
    <w:rPr>
      <w:i/>
      <w:iCs/>
      <w:color w:val="404040" w:themeColor="text1" w:themeTint="BF"/>
    </w:rPr>
  </w:style>
  <w:style w:type="character" w:customStyle="1" w:styleId="CitationCar">
    <w:name w:val="Citation Car"/>
    <w:basedOn w:val="Policepardfaut"/>
    <w:link w:val="Citation"/>
    <w:uiPriority w:val="29"/>
    <w:rsid w:val="00515D37"/>
    <w:rPr>
      <w:i/>
      <w:iCs/>
      <w:color w:val="404040" w:themeColor="text1" w:themeTint="BF"/>
    </w:rPr>
  </w:style>
  <w:style w:type="paragraph" w:styleId="Paragraphedeliste">
    <w:name w:val="List Paragraph"/>
    <w:basedOn w:val="Normal"/>
    <w:uiPriority w:val="34"/>
    <w:qFormat/>
    <w:rsid w:val="00515D37"/>
    <w:pPr>
      <w:ind w:left="720"/>
      <w:contextualSpacing/>
    </w:pPr>
  </w:style>
  <w:style w:type="character" w:styleId="Accentuationintense">
    <w:name w:val="Intense Emphasis"/>
    <w:basedOn w:val="Policepardfaut"/>
    <w:uiPriority w:val="21"/>
    <w:qFormat/>
    <w:rsid w:val="00515D37"/>
    <w:rPr>
      <w:i/>
      <w:iCs/>
      <w:color w:val="0F4761" w:themeColor="accent1" w:themeShade="BF"/>
    </w:rPr>
  </w:style>
  <w:style w:type="paragraph" w:styleId="Citationintense">
    <w:name w:val="Intense Quote"/>
    <w:basedOn w:val="Normal"/>
    <w:next w:val="Normal"/>
    <w:link w:val="CitationintenseCar"/>
    <w:uiPriority w:val="30"/>
    <w:qFormat/>
    <w:rsid w:val="00515D3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515D37"/>
    <w:rPr>
      <w:i/>
      <w:iCs/>
      <w:color w:val="0F4761" w:themeColor="accent1" w:themeShade="BF"/>
    </w:rPr>
  </w:style>
  <w:style w:type="character" w:styleId="Rfrenceintense">
    <w:name w:val="Intense Reference"/>
    <w:basedOn w:val="Policepardfaut"/>
    <w:uiPriority w:val="32"/>
    <w:qFormat/>
    <w:rsid w:val="00515D37"/>
    <w:rPr>
      <w:b/>
      <w:bCs/>
      <w:smallCaps/>
      <w:color w:val="0F4761" w:themeColor="accent1" w:themeShade="BF"/>
      <w:spacing w:val="5"/>
    </w:rPr>
  </w:style>
  <w:style w:type="table" w:styleId="Grilledutableau">
    <w:name w:val="Table Grid"/>
    <w:basedOn w:val="TableauNormal"/>
    <w:uiPriority w:val="39"/>
    <w:rsid w:val="00515D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aliases w:val="Note de bas de page Car Car Car"/>
    <w:basedOn w:val="Normal"/>
    <w:link w:val="NotedebasdepageCar"/>
    <w:uiPriority w:val="99"/>
    <w:unhideWhenUsed/>
    <w:qFormat/>
    <w:rsid w:val="00515D37"/>
    <w:rPr>
      <w:rFonts w:eastAsiaTheme="minorEastAsia"/>
      <w:lang w:val="fr-CA"/>
    </w:rPr>
  </w:style>
  <w:style w:type="character" w:customStyle="1" w:styleId="NotedebasdepageCar">
    <w:name w:val="Note de bas de page Car"/>
    <w:aliases w:val="Note de bas de page Car Car Car Car"/>
    <w:basedOn w:val="Policepardfaut"/>
    <w:link w:val="Notedebasdepage"/>
    <w:uiPriority w:val="99"/>
    <w:rsid w:val="00515D37"/>
    <w:rPr>
      <w:rFonts w:eastAsiaTheme="minorEastAsia"/>
      <w:kern w:val="0"/>
      <w:lang w:val="fr-CA" w:eastAsia="fr-FR"/>
      <w14:ligatures w14:val="none"/>
    </w:rPr>
  </w:style>
  <w:style w:type="character" w:styleId="Appelnotedebasdep">
    <w:name w:val="footnote reference"/>
    <w:aliases w:val="Marque note bas de page-RdA"/>
    <w:basedOn w:val="Policepardfaut"/>
    <w:uiPriority w:val="99"/>
    <w:unhideWhenUsed/>
    <w:rsid w:val="00515D37"/>
    <w:rPr>
      <w:vertAlign w:val="superscript"/>
    </w:rPr>
  </w:style>
  <w:style w:type="character" w:styleId="Lienhypertexte">
    <w:name w:val="Hyperlink"/>
    <w:basedOn w:val="Policepardfaut"/>
    <w:uiPriority w:val="99"/>
    <w:unhideWhenUsed/>
    <w:rsid w:val="00515D37"/>
    <w:rPr>
      <w:color w:val="0000FF"/>
      <w:u w:val="single"/>
    </w:rPr>
  </w:style>
  <w:style w:type="paragraph" w:styleId="NormalWeb">
    <w:name w:val="Normal (Web)"/>
    <w:basedOn w:val="Normal"/>
    <w:uiPriority w:val="99"/>
    <w:unhideWhenUsed/>
    <w:rsid w:val="00DD6089"/>
    <w:pPr>
      <w:spacing w:before="100" w:beforeAutospacing="1" w:after="100" w:afterAutospacing="1"/>
    </w:pPr>
  </w:style>
  <w:style w:type="character" w:customStyle="1" w:styleId="lang-la">
    <w:name w:val="lang-la"/>
    <w:basedOn w:val="Policepardfaut"/>
    <w:rsid w:val="00DD6089"/>
  </w:style>
  <w:style w:type="character" w:customStyle="1" w:styleId="romain">
    <w:name w:val="romain"/>
    <w:basedOn w:val="Policepardfaut"/>
    <w:rsid w:val="00DD6089"/>
  </w:style>
  <w:style w:type="character" w:customStyle="1" w:styleId="cite-bracket">
    <w:name w:val="cite-bracket"/>
    <w:basedOn w:val="Policepardfaut"/>
    <w:rsid w:val="00DD6089"/>
  </w:style>
  <w:style w:type="character" w:customStyle="1" w:styleId="nowrap">
    <w:name w:val="nowrap"/>
    <w:basedOn w:val="Policepardfaut"/>
    <w:rsid w:val="00DD6089"/>
  </w:style>
  <w:style w:type="paragraph" w:customStyle="1" w:styleId="msonormal0">
    <w:name w:val="msonormal"/>
    <w:basedOn w:val="Normal"/>
    <w:rsid w:val="00B6347E"/>
    <w:pPr>
      <w:spacing w:before="100" w:beforeAutospacing="1" w:after="100" w:afterAutospacing="1"/>
    </w:pPr>
  </w:style>
  <w:style w:type="character" w:customStyle="1" w:styleId="mw-page-title-main">
    <w:name w:val="mw-page-title-main"/>
    <w:basedOn w:val="Policepardfaut"/>
    <w:rsid w:val="00B6347E"/>
  </w:style>
  <w:style w:type="paragraph" w:customStyle="1" w:styleId="selected">
    <w:name w:val="selected"/>
    <w:basedOn w:val="Normal"/>
    <w:rsid w:val="00B6347E"/>
    <w:pPr>
      <w:spacing w:before="100" w:beforeAutospacing="1" w:after="100" w:afterAutospacing="1"/>
    </w:pPr>
  </w:style>
  <w:style w:type="character" w:styleId="Lienhypertextesuivivisit">
    <w:name w:val="FollowedHyperlink"/>
    <w:basedOn w:val="Policepardfaut"/>
    <w:uiPriority w:val="99"/>
    <w:semiHidden/>
    <w:unhideWhenUsed/>
    <w:rsid w:val="00B6347E"/>
    <w:rPr>
      <w:color w:val="800080"/>
      <w:u w:val="single"/>
    </w:rPr>
  </w:style>
  <w:style w:type="paragraph" w:customStyle="1" w:styleId="vector-tab-noicon">
    <w:name w:val="vector-tab-noicon"/>
    <w:basedOn w:val="Normal"/>
    <w:rsid w:val="00B6347E"/>
    <w:pPr>
      <w:spacing w:before="100" w:beforeAutospacing="1" w:after="100" w:afterAutospacing="1"/>
    </w:pPr>
  </w:style>
  <w:style w:type="paragraph" w:customStyle="1" w:styleId="collapsible">
    <w:name w:val="collapsible"/>
    <w:basedOn w:val="Normal"/>
    <w:rsid w:val="00B6347E"/>
    <w:pPr>
      <w:spacing w:before="100" w:beforeAutospacing="1" w:after="100" w:afterAutospacing="1"/>
    </w:pPr>
  </w:style>
  <w:style w:type="character" w:customStyle="1" w:styleId="vector-dropdown-label-text">
    <w:name w:val="vector-dropdown-label-text"/>
    <w:basedOn w:val="Policepardfaut"/>
    <w:rsid w:val="00B6347E"/>
  </w:style>
  <w:style w:type="paragraph" w:customStyle="1" w:styleId="mw-list-item">
    <w:name w:val="mw-list-item"/>
    <w:basedOn w:val="Normal"/>
    <w:rsid w:val="00B6347E"/>
    <w:pPr>
      <w:spacing w:before="100" w:beforeAutospacing="1" w:after="100" w:afterAutospacing="1"/>
    </w:pPr>
  </w:style>
  <w:style w:type="paragraph" w:customStyle="1" w:styleId="wb-otherproject-link">
    <w:name w:val="wb-otherproject-link"/>
    <w:basedOn w:val="Normal"/>
    <w:rsid w:val="00B6347E"/>
    <w:pPr>
      <w:spacing w:before="100" w:beforeAutospacing="1" w:after="100" w:afterAutospacing="1"/>
    </w:pPr>
  </w:style>
  <w:style w:type="paragraph" w:styleId="z-Hautduformulaire">
    <w:name w:val="HTML Top of Form"/>
    <w:basedOn w:val="Normal"/>
    <w:next w:val="Normal"/>
    <w:link w:val="z-HautduformulaireCar"/>
    <w:hidden/>
    <w:uiPriority w:val="99"/>
    <w:semiHidden/>
    <w:unhideWhenUsed/>
    <w:rsid w:val="00B6347E"/>
    <w:pPr>
      <w:pBdr>
        <w:bottom w:val="single" w:sz="6" w:space="1" w:color="auto"/>
      </w:pBdr>
      <w:jc w:val="center"/>
    </w:pPr>
    <w:rPr>
      <w:rFonts w:ascii="Arial" w:hAnsi="Arial" w:cs="Arial"/>
      <w:vanish/>
      <w:sz w:val="16"/>
      <w:szCs w:val="16"/>
    </w:rPr>
  </w:style>
  <w:style w:type="character" w:customStyle="1" w:styleId="z-HautduformulaireCar">
    <w:name w:val="z-Haut du formulaire Car"/>
    <w:basedOn w:val="Policepardfaut"/>
    <w:link w:val="z-Hautduformulaire"/>
    <w:uiPriority w:val="99"/>
    <w:semiHidden/>
    <w:rsid w:val="00B6347E"/>
    <w:rPr>
      <w:rFonts w:ascii="Arial" w:eastAsia="Times New Roman" w:hAnsi="Arial" w:cs="Arial"/>
      <w:vanish/>
      <w:kern w:val="0"/>
      <w:sz w:val="16"/>
      <w:szCs w:val="16"/>
      <w:lang w:eastAsia="fr-FR"/>
      <w14:ligatures w14:val="none"/>
    </w:rPr>
  </w:style>
  <w:style w:type="character" w:customStyle="1" w:styleId="cdx-radioicon">
    <w:name w:val="cdx-radio__icon"/>
    <w:basedOn w:val="Policepardfaut"/>
    <w:rsid w:val="00B6347E"/>
  </w:style>
  <w:style w:type="character" w:customStyle="1" w:styleId="cdx-labellabeltext">
    <w:name w:val="cdx-label__label__text"/>
    <w:basedOn w:val="Policepardfaut"/>
    <w:rsid w:val="00B6347E"/>
  </w:style>
  <w:style w:type="paragraph" w:styleId="z-Basduformulaire">
    <w:name w:val="HTML Bottom of Form"/>
    <w:basedOn w:val="Normal"/>
    <w:next w:val="Normal"/>
    <w:link w:val="z-BasduformulaireCar"/>
    <w:hidden/>
    <w:uiPriority w:val="99"/>
    <w:semiHidden/>
    <w:unhideWhenUsed/>
    <w:rsid w:val="00B6347E"/>
    <w:pPr>
      <w:pBdr>
        <w:top w:val="single" w:sz="6" w:space="1" w:color="auto"/>
      </w:pBdr>
      <w:jc w:val="center"/>
    </w:pPr>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B6347E"/>
    <w:rPr>
      <w:rFonts w:ascii="Arial" w:eastAsia="Times New Roman" w:hAnsi="Arial" w:cs="Arial"/>
      <w:vanish/>
      <w:kern w:val="0"/>
      <w:sz w:val="16"/>
      <w:szCs w:val="16"/>
      <w:lang w:eastAsia="fr-FR"/>
      <w14:ligatures w14:val="none"/>
    </w:rPr>
  </w:style>
  <w:style w:type="character" w:customStyle="1" w:styleId="noviewer">
    <w:name w:val="noviewer"/>
    <w:basedOn w:val="Policepardfaut"/>
    <w:rsid w:val="00B6347E"/>
  </w:style>
  <w:style w:type="character" w:customStyle="1" w:styleId="reference-text">
    <w:name w:val="reference-text"/>
    <w:basedOn w:val="Policepardfaut"/>
    <w:rsid w:val="00B6347E"/>
  </w:style>
  <w:style w:type="character" w:customStyle="1" w:styleId="ouvrage">
    <w:name w:val="ouvrage"/>
    <w:basedOn w:val="Policepardfaut"/>
    <w:rsid w:val="00B6347E"/>
  </w:style>
  <w:style w:type="character" w:customStyle="1" w:styleId="nomauteur">
    <w:name w:val="nom_auteur"/>
    <w:basedOn w:val="Policepardfaut"/>
    <w:rsid w:val="00B6347E"/>
  </w:style>
  <w:style w:type="character" w:styleId="CitationHTML">
    <w:name w:val="HTML Cite"/>
    <w:basedOn w:val="Policepardfaut"/>
    <w:uiPriority w:val="99"/>
    <w:semiHidden/>
    <w:unhideWhenUsed/>
    <w:rsid w:val="00B6347E"/>
    <w:rPr>
      <w:i/>
      <w:iCs/>
    </w:rPr>
  </w:style>
  <w:style w:type="character" w:customStyle="1" w:styleId="z3988">
    <w:name w:val="z3988"/>
    <w:basedOn w:val="Policepardfaut"/>
    <w:rsid w:val="00B6347E"/>
  </w:style>
  <w:style w:type="character" w:customStyle="1" w:styleId="plainlinks">
    <w:name w:val="plainlinks"/>
    <w:basedOn w:val="Policepardfaut"/>
    <w:rsid w:val="002266FE"/>
  </w:style>
  <w:style w:type="character" w:customStyle="1" w:styleId="citation0">
    <w:name w:val="citation"/>
    <w:basedOn w:val="Policepardfaut"/>
    <w:rsid w:val="002266FE"/>
  </w:style>
  <w:style w:type="character" w:customStyle="1" w:styleId="mw-valign-text-top">
    <w:name w:val="mw-valign-text-top"/>
    <w:basedOn w:val="Policepardfaut"/>
    <w:rsid w:val="00C7020C"/>
  </w:style>
  <w:style w:type="character" w:customStyle="1" w:styleId="indicateur-langue">
    <w:name w:val="indicateur-langue"/>
    <w:basedOn w:val="Policepardfaut"/>
    <w:rsid w:val="00C702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1949</Words>
  <Characters>10722</Characters>
  <Application>Microsoft Office Word</Application>
  <DocSecurity>0</DocSecurity>
  <Lines>89</Lines>
  <Paragraphs>25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2</cp:revision>
  <dcterms:created xsi:type="dcterms:W3CDTF">2025-08-29T17:45:00Z</dcterms:created>
  <dcterms:modified xsi:type="dcterms:W3CDTF">2025-08-29T17:45:00Z</dcterms:modified>
</cp:coreProperties>
</file>