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E3AA853" w:rsidR="006508EE" w:rsidRPr="00EF364C" w:rsidRDefault="00F26A0A">
      <w:pPr>
        <w:pStyle w:val="Titre"/>
        <w:jc w:val="center"/>
        <w:rPr>
          <w:rFonts w:ascii="Arial" w:hAnsi="Arial" w:cs="Arial"/>
          <w:sz w:val="52"/>
        </w:rPr>
      </w:pPr>
      <w:r w:rsidRPr="00EF364C">
        <w:rPr>
          <w:rFonts w:ascii="Arial" w:hAnsi="Arial" w:cs="Arial"/>
          <w:sz w:val="52"/>
        </w:rPr>
        <w:t xml:space="preserve">Assurance maladie et participation aux frais de </w:t>
      </w:r>
      <w:r w:rsidR="00915910" w:rsidRPr="00EF364C">
        <w:rPr>
          <w:rFonts w:ascii="Arial" w:hAnsi="Arial" w:cs="Arial"/>
          <w:sz w:val="52"/>
        </w:rPr>
        <w:t>santé :</w:t>
      </w:r>
      <w:r w:rsidRPr="00EF364C">
        <w:rPr>
          <w:rFonts w:ascii="Arial" w:hAnsi="Arial" w:cs="Arial"/>
          <w:sz w:val="52"/>
        </w:rPr>
        <w:t xml:space="preserve"> comparaison de 3 pays</w:t>
      </w:r>
    </w:p>
    <w:p w14:paraId="00000002" w14:textId="77777777" w:rsidR="006508EE" w:rsidRDefault="006508EE">
      <w:pPr>
        <w:jc w:val="center"/>
      </w:pPr>
    </w:p>
    <w:p w14:paraId="00000003" w14:textId="77777777" w:rsidR="006508EE" w:rsidRDefault="00F26A0A">
      <w:pPr>
        <w:jc w:val="center"/>
        <w:rPr>
          <w:sz w:val="22"/>
          <w:szCs w:val="22"/>
        </w:rPr>
      </w:pPr>
      <w:r>
        <w:rPr>
          <w:sz w:val="22"/>
          <w:szCs w:val="22"/>
        </w:rPr>
        <w:t>Jacques Spycher, Karine Moschetti, Sandy Tubeuf, Joachim Marti</w:t>
      </w:r>
    </w:p>
    <w:p w14:paraId="00000005" w14:textId="18A20228" w:rsidR="006508EE" w:rsidRDefault="00F26A0A">
      <w:pPr>
        <w:rPr>
          <w:b/>
          <w:sz w:val="24"/>
          <w:szCs w:val="24"/>
        </w:rPr>
      </w:pPr>
      <w:r>
        <w:rPr>
          <w:b/>
          <w:sz w:val="24"/>
          <w:szCs w:val="24"/>
        </w:rPr>
        <w:t>Objectifs d’apprentissage</w:t>
      </w:r>
    </w:p>
    <w:p w14:paraId="00000006" w14:textId="798904E1" w:rsidR="006508EE" w:rsidRPr="00915910" w:rsidRDefault="00F26A0A">
      <w:pPr>
        <w:numPr>
          <w:ilvl w:val="0"/>
          <w:numId w:val="1"/>
        </w:numPr>
        <w:pBdr>
          <w:top w:val="nil"/>
          <w:left w:val="nil"/>
          <w:bottom w:val="nil"/>
          <w:right w:val="nil"/>
          <w:between w:val="nil"/>
        </w:pBdr>
        <w:spacing w:after="0"/>
        <w:rPr>
          <w:color w:val="000000"/>
        </w:rPr>
      </w:pPr>
      <w:r w:rsidRPr="00915910">
        <w:rPr>
          <w:color w:val="000000"/>
        </w:rPr>
        <w:t>Comprendre le rôle et l’impact de la participation aux frais de santé des patients</w:t>
      </w:r>
      <w:r w:rsidR="00962DAA" w:rsidRPr="00962DAA">
        <w:rPr>
          <w:color w:val="000000"/>
        </w:rPr>
        <w:t xml:space="preserve"> </w:t>
      </w:r>
      <w:r w:rsidR="00962DAA" w:rsidRPr="00915910">
        <w:rPr>
          <w:color w:val="000000"/>
        </w:rPr>
        <w:t>sur l’utilisation des soins et la santé</w:t>
      </w:r>
      <w:r w:rsidR="00962DAA">
        <w:rPr>
          <w:color w:val="000000"/>
        </w:rPr>
        <w:t>,</w:t>
      </w:r>
    </w:p>
    <w:p w14:paraId="00000007" w14:textId="5619BF30" w:rsidR="006508EE" w:rsidRPr="00915910" w:rsidRDefault="00F26A0A">
      <w:pPr>
        <w:numPr>
          <w:ilvl w:val="0"/>
          <w:numId w:val="1"/>
        </w:numPr>
        <w:pBdr>
          <w:top w:val="nil"/>
          <w:left w:val="nil"/>
          <w:bottom w:val="nil"/>
          <w:right w:val="nil"/>
          <w:between w:val="nil"/>
        </w:pBdr>
        <w:spacing w:after="0"/>
        <w:rPr>
          <w:color w:val="000000"/>
        </w:rPr>
      </w:pPr>
      <w:r w:rsidRPr="00915910">
        <w:rPr>
          <w:color w:val="000000"/>
        </w:rPr>
        <w:t>Appréhender les différentes formes de participation aux frais de santé dans 3 pays</w:t>
      </w:r>
      <w:r w:rsidR="00B51919">
        <w:rPr>
          <w:color w:val="000000"/>
        </w:rPr>
        <w:t>,</w:t>
      </w:r>
    </w:p>
    <w:p w14:paraId="00000008" w14:textId="07021991" w:rsidR="006508EE" w:rsidRDefault="00F26A0A">
      <w:pPr>
        <w:numPr>
          <w:ilvl w:val="0"/>
          <w:numId w:val="1"/>
        </w:numPr>
        <w:pBdr>
          <w:top w:val="nil"/>
          <w:left w:val="nil"/>
          <w:bottom w:val="nil"/>
          <w:right w:val="nil"/>
          <w:between w:val="nil"/>
        </w:pBdr>
        <w:spacing w:after="0"/>
        <w:rPr>
          <w:color w:val="000000"/>
        </w:rPr>
      </w:pPr>
      <w:r w:rsidRPr="00915910">
        <w:rPr>
          <w:color w:val="000000"/>
        </w:rPr>
        <w:t>Se familiariser avec le financement des systèmes de santé, belge français</w:t>
      </w:r>
      <w:r w:rsidR="00962DAA" w:rsidRPr="00962DAA">
        <w:rPr>
          <w:color w:val="000000"/>
        </w:rPr>
        <w:t xml:space="preserve"> </w:t>
      </w:r>
      <w:r w:rsidR="00962DAA" w:rsidRPr="00915910">
        <w:rPr>
          <w:color w:val="000000"/>
        </w:rPr>
        <w:t>et suisse</w:t>
      </w:r>
      <w:r w:rsidR="00B51919">
        <w:rPr>
          <w:color w:val="000000"/>
        </w:rPr>
        <w:t>,</w:t>
      </w:r>
    </w:p>
    <w:p w14:paraId="00000009" w14:textId="4545B4E3" w:rsidR="006508EE" w:rsidRPr="00915910" w:rsidRDefault="00F26A0A">
      <w:pPr>
        <w:numPr>
          <w:ilvl w:val="0"/>
          <w:numId w:val="1"/>
        </w:numPr>
        <w:pBdr>
          <w:top w:val="nil"/>
          <w:left w:val="nil"/>
          <w:bottom w:val="nil"/>
          <w:right w:val="nil"/>
          <w:between w:val="nil"/>
        </w:pBdr>
        <w:spacing w:after="0"/>
        <w:rPr>
          <w:color w:val="000000"/>
        </w:rPr>
      </w:pPr>
      <w:r w:rsidRPr="00915910">
        <w:rPr>
          <w:color w:val="000000"/>
        </w:rPr>
        <w:t>Comprendre le défi de l’équilibre entre efficience et équité dans un système de santé</w:t>
      </w:r>
      <w:r w:rsidR="00B51919">
        <w:rPr>
          <w:color w:val="000000"/>
        </w:rPr>
        <w:t>,</w:t>
      </w:r>
    </w:p>
    <w:p w14:paraId="0000000A" w14:textId="1E393485" w:rsidR="006508EE" w:rsidRPr="00915910" w:rsidRDefault="00F26A0A">
      <w:pPr>
        <w:numPr>
          <w:ilvl w:val="0"/>
          <w:numId w:val="1"/>
        </w:numPr>
        <w:pBdr>
          <w:top w:val="nil"/>
          <w:left w:val="nil"/>
          <w:bottom w:val="nil"/>
          <w:right w:val="nil"/>
          <w:between w:val="nil"/>
        </w:pBdr>
        <w:rPr>
          <w:color w:val="000000"/>
        </w:rPr>
      </w:pPr>
      <w:r w:rsidRPr="00915910">
        <w:rPr>
          <w:color w:val="000000"/>
        </w:rPr>
        <w:t>Comparer des systèmes de santé</w:t>
      </w:r>
      <w:r w:rsidR="00B51919">
        <w:rPr>
          <w:color w:val="000000"/>
        </w:rPr>
        <w:t>.</w:t>
      </w:r>
    </w:p>
    <w:p w14:paraId="0000000B" w14:textId="77777777" w:rsidR="006508EE" w:rsidRDefault="00F26A0A">
      <w:pPr>
        <w:pStyle w:val="Titre1"/>
      </w:pPr>
      <w:r>
        <w:br w:type="page"/>
      </w:r>
    </w:p>
    <w:p w14:paraId="0000000C" w14:textId="77777777" w:rsidR="006508EE" w:rsidRDefault="00F26A0A">
      <w:pPr>
        <w:pStyle w:val="Titre1"/>
      </w:pPr>
      <w:r>
        <w:lastRenderedPageBreak/>
        <w:t>Introduction</w:t>
      </w:r>
    </w:p>
    <w:p w14:paraId="0000000D" w14:textId="6672E5A4" w:rsidR="006508EE" w:rsidRDefault="00F26A0A">
      <w:r w:rsidRPr="00915910">
        <w:t xml:space="preserve">Les besoins de santé croissants de la population, notamment liés au vieillissement démographique et à la hausse de la </w:t>
      </w:r>
      <w:r w:rsidR="00915910" w:rsidRPr="00915910">
        <w:t>multimorbidité</w:t>
      </w:r>
      <w:r w:rsidRPr="00915910">
        <w:t xml:space="preserve"> qui l’accompagne</w:t>
      </w:r>
      <w:r w:rsidR="00962DAA">
        <w:t>,</w:t>
      </w:r>
      <w:r w:rsidRPr="00915910">
        <w:t xml:space="preserve"> exercent une pression économique importante sur les systèmes de santé des pays occidentaux. L</w:t>
      </w:r>
      <w:r w:rsidR="00DA5F89">
        <w:t>es</w:t>
      </w:r>
      <w:r w:rsidRPr="00915910">
        <w:t xml:space="preserve"> crise</w:t>
      </w:r>
      <w:r w:rsidR="00DA5F89">
        <w:t>s</w:t>
      </w:r>
      <w:r w:rsidRPr="00915910">
        <w:t xml:space="preserve"> économique</w:t>
      </w:r>
      <w:r w:rsidR="00DA5F89">
        <w:t>s</w:t>
      </w:r>
      <w:r w:rsidRPr="00915910">
        <w:t xml:space="preserve"> de 2008 et celle de 2020 liée à la pandémie de Covid-19, exacerbent les tensions liées à la rareté des ressources financières, aussi bien publiques et privées, à disposition </w:t>
      </w:r>
      <w:r w:rsidR="00DA5F89">
        <w:t>des systèmes</w:t>
      </w:r>
      <w:r w:rsidRPr="00915910">
        <w:t xml:space="preserve"> de soins.</w:t>
      </w:r>
    </w:p>
    <w:p w14:paraId="0000000E" w14:textId="3184D5BE" w:rsidR="006508EE" w:rsidRDefault="00F26A0A">
      <w:pPr>
        <w:rPr>
          <w:highlight w:val="yellow"/>
        </w:rPr>
      </w:pPr>
      <w:r>
        <w:t>Pour faire face à ces pressions, les décideurs disposent d’un éventail de mesures visant à optimiser, voire à rationner l’utilisation des ressources. Ces mesures peuvent cibler tant les patients et la population (demande), que les fournisseurs de soins ou encore l’organisation même du système (offre). Si de telles mesures visent l’efficience</w:t>
      </w:r>
      <w:r w:rsidR="00E979AC">
        <w:t xml:space="preserve"> des systèmes</w:t>
      </w:r>
      <w:r>
        <w:t xml:space="preserve"> (« faire mieux avec moins »), la dimension d’équité des soins ne peut être mise à l’écart</w:t>
      </w:r>
      <w:r>
        <w:rPr>
          <w:vertAlign w:val="superscript"/>
        </w:rPr>
        <w:t>1</w:t>
      </w:r>
      <w:r>
        <w:t>. Assurer un accès à des prestations appropriées à tous les groupes de la population selon leurs vulnérabilités de santé et socioéconomiques est un objectif central des systèmes de soins.</w:t>
      </w:r>
    </w:p>
    <w:p w14:paraId="0000000F" w14:textId="1CD8BB7F" w:rsidR="006508EE" w:rsidRDefault="00F26A0A">
      <w:r>
        <w:t>Dans les pays o</w:t>
      </w:r>
      <w:r w:rsidR="00E979AC">
        <w:t>ù</w:t>
      </w:r>
      <w:r>
        <w:t xml:space="preserve"> le financement des soins repose principalement sur des systèmes d’assurances maladies sociales ou privées, la participation directe des patients à leurs frais de santé est une mesure retenue pour optimiser l’utilisation des ressources. Cette participation financière signifie qu’une fraction plus ou moins importante des coûts des soins est supportée par le </w:t>
      </w:r>
      <w:r w:rsidR="00397289">
        <w:t>patient</w:t>
      </w:r>
      <w:r w:rsidR="00407CB8">
        <w:t xml:space="preserve"> </w:t>
      </w:r>
      <w:r w:rsidR="00397289">
        <w:t>;</w:t>
      </w:r>
      <w:r>
        <w:t xml:space="preserve"> elle peut prendre plusieurs formes comme le paiement d’un pourcentage de la facture de soins (« quotes-parts »), un forfait par consultation ou journée d’hospitalisation ou encore un paiement de frais médicaux jusqu’à concurrence d’une franchise. Un second mécanisme d’optimisation de l’utilisation des ressources</w:t>
      </w:r>
      <w:r w:rsidR="00962DAA">
        <w:t>,</w:t>
      </w:r>
      <w:r>
        <w:t xml:space="preserve"> parfois combiné au précédent, consiste à exclure certains services du panier de soins couverts par l’assurance (voir encadré). </w:t>
      </w:r>
    </w:p>
    <w:p w14:paraId="00000010" w14:textId="22061C1B" w:rsidR="006508EE" w:rsidRDefault="00F26A0A">
      <w:r w:rsidRPr="007E3CAA">
        <w:t xml:space="preserve">La justification économique </w:t>
      </w:r>
      <w:r w:rsidRPr="00712D8A">
        <w:rPr>
          <w:shd w:val="clear" w:color="auto" w:fill="FAFAFA"/>
        </w:rPr>
        <w:t>d’une couverture partielle d’assurance</w:t>
      </w:r>
      <w:r w:rsidRPr="008A0E65">
        <w:t xml:space="preserve"> est de permettre de réduire </w:t>
      </w:r>
      <w:r w:rsidRPr="00712D8A">
        <w:rPr>
          <w:shd w:val="clear" w:color="auto" w:fill="FAFAFA"/>
        </w:rPr>
        <w:t xml:space="preserve">les comportements de risque moral en santé. </w:t>
      </w:r>
      <w:r w:rsidRPr="007E3CAA">
        <w:t>L’hypothèse d’aléa moral</w:t>
      </w:r>
      <w:r w:rsidRPr="007E3CAA">
        <w:rPr>
          <w:vertAlign w:val="superscript"/>
        </w:rPr>
        <w:t>2 3</w:t>
      </w:r>
      <w:r w:rsidRPr="007E3CAA">
        <w:t xml:space="preserve"> renvoie à </w:t>
      </w:r>
      <w:r w:rsidR="00397289">
        <w:t>la manière dont</w:t>
      </w:r>
      <w:r w:rsidRPr="007E3CAA">
        <w:t xml:space="preserve"> la demande de soins du consommateur répond au</w:t>
      </w:r>
      <w:r>
        <w:t xml:space="preserve"> prix que celui-ci doit payer pour </w:t>
      </w:r>
      <w:r w:rsidR="00397289">
        <w:t>l</w:t>
      </w:r>
      <w:r>
        <w:t>es soins.</w:t>
      </w:r>
      <w:r w:rsidR="00397289">
        <w:t xml:space="preserve"> </w:t>
      </w:r>
      <w:r>
        <w:t xml:space="preserve">Elle repose notamment sur l’idée selon laquelle une couverture d’assurance trop généreuse pourrait inciter à une consommation abusive de soins, c'est-à-dire une consommation de soins supérieure à celle qui serait nécessaire pour satisfaire </w:t>
      </w:r>
      <w:r w:rsidR="008A0E65">
        <w:t xml:space="preserve">aux </w:t>
      </w:r>
      <w:r>
        <w:t xml:space="preserve">besoins </w:t>
      </w:r>
      <w:r w:rsidR="008A0E65">
        <w:t xml:space="preserve">de </w:t>
      </w:r>
      <w:r>
        <w:t>santé des assurés. Ainsi, augmenter la participation financière des assurés, en moyenne, inciterait à prévenir la surconsommation de soins de santé</w:t>
      </w:r>
      <w:r w:rsidR="0005068A">
        <w:t xml:space="preserve"> par la </w:t>
      </w:r>
      <w:r w:rsidR="00194AE9">
        <w:t>réduction</w:t>
      </w:r>
      <w:r w:rsidR="0005068A">
        <w:t xml:space="preserve"> </w:t>
      </w:r>
      <w:r w:rsidR="00194AE9">
        <w:t>même</w:t>
      </w:r>
      <w:r w:rsidR="0005068A">
        <w:t xml:space="preserve"> de l’utilisation</w:t>
      </w:r>
      <w:r>
        <w:t xml:space="preserve">. </w:t>
      </w:r>
      <w:r w:rsidR="0005068A">
        <w:lastRenderedPageBreak/>
        <w:t>En pratique, toutefois, c</w:t>
      </w:r>
      <w:r>
        <w:t>ette réduction d’utilisation des soins s’observe aussi bien pour des soins nécessaires tels que les soins primaires ou la prévention</w:t>
      </w:r>
      <w:r>
        <w:rPr>
          <w:vertAlign w:val="superscript"/>
        </w:rPr>
        <w:t>4 5</w:t>
      </w:r>
      <w:r>
        <w:t xml:space="preserve">, que pour des soins de santé de moindre nécessité. Une participation financière trop importante peut alors conduire à des besoins de soins non satisfaits et plus globalement à un renoncement à des soins nécessaires pour raison financière, phénomène touchant une part importante de la population en Europe </w:t>
      </w:r>
      <w:r>
        <w:rPr>
          <w:vertAlign w:val="superscript"/>
        </w:rPr>
        <w:t>6-10</w:t>
      </w:r>
      <w:r>
        <w:t xml:space="preserve">. Plusieurs études montrent que le renoncement aux soins a des effets délétères sur l’état de santé, et peut conduire à d’importantes dépenses de santé qui auraient pu être évitées </w:t>
      </w:r>
      <w:r w:rsidR="00397289">
        <w:t>sur le</w:t>
      </w:r>
      <w:r>
        <w:t xml:space="preserve"> long terme </w:t>
      </w:r>
      <w:r>
        <w:rPr>
          <w:vertAlign w:val="superscript"/>
        </w:rPr>
        <w:t>11-13</w:t>
      </w:r>
      <w:r>
        <w:t xml:space="preserve">. </w:t>
      </w:r>
    </w:p>
    <w:p w14:paraId="00000013" w14:textId="3F4E040D" w:rsidR="006508EE" w:rsidRDefault="00D25515" w:rsidP="00915910">
      <w:sdt>
        <w:sdtPr>
          <w:tag w:val="goog_rdk_1"/>
          <w:id w:val="-1739403416"/>
        </w:sdtPr>
        <w:sdtEndPr/>
        <w:sdtContent/>
      </w:sdt>
      <w:r w:rsidR="00F26A0A">
        <w:t xml:space="preserve">Ce chapitre porte sur les formes de participation aux frais des patients mis en place en Suisse, en Belgique, et en France. Après une brève présentation des trois systèmes de soins et de leurs sources de financement, nous décrivons les principaux mécanismes de participation aux frais dans la consommation de soins médicaux, leur évolution récente, ainsi que les politiques publiques mises en place pour concilier efficience et équité. Nous formulons enfin quelques recommandations, avec un accent particulier sur les réformes possibles en Suisse. </w:t>
      </w:r>
    </w:p>
    <w:p w14:paraId="3C05F7C8" w14:textId="77777777" w:rsidR="00915910" w:rsidRDefault="00915910">
      <w:pPr>
        <w:rPr>
          <w:rFonts w:eastAsiaTheme="majorEastAsia" w:cstheme="majorBidi"/>
          <w:b/>
          <w:sz w:val="24"/>
          <w:szCs w:val="32"/>
        </w:rPr>
      </w:pPr>
      <w:r>
        <w:br w:type="page"/>
      </w:r>
    </w:p>
    <w:p w14:paraId="00000014" w14:textId="6AD6584A" w:rsidR="006508EE" w:rsidRDefault="00F26A0A">
      <w:pPr>
        <w:pStyle w:val="Titre1"/>
      </w:pPr>
      <w:r>
        <w:lastRenderedPageBreak/>
        <w:t>Les systèmes de santé et leur financement</w:t>
      </w:r>
    </w:p>
    <w:p w14:paraId="00000015" w14:textId="512E15AF" w:rsidR="006508EE" w:rsidRDefault="00F26A0A">
      <w:r>
        <w:t xml:space="preserve">Le tableau 1 renseigne sur l’état de santé de la population, l’offre de soins et les dépenses de santé en Belgique, France et Suisse. Les trois pays consacrent une part similaire de leur produit intérieur brut aux dépenses de santé et montrent des résultats de santé comparables, avec toutefois </w:t>
      </w:r>
      <w:r w:rsidR="00397289">
        <w:t>une</w:t>
      </w:r>
      <w:r>
        <w:t xml:space="preserve"> mortalité évitable plus faible en Suisse. Avec une densité de </w:t>
      </w:r>
      <w:r w:rsidR="00CB2986">
        <w:t xml:space="preserve">médecins </w:t>
      </w:r>
      <w:r>
        <w:t>spéciali</w:t>
      </w:r>
      <w:r w:rsidR="00CB2986">
        <w:t>s</w:t>
      </w:r>
      <w:r>
        <w:t>t</w:t>
      </w:r>
      <w:r w:rsidR="00CB2986">
        <w:t>e</w:t>
      </w:r>
      <w:r>
        <w:t xml:space="preserve">s supérieure en Suisse et une capacité hospitalière supérieure en France, la distribution de l’offre de soins est différente entre les pays. La part que représentent les dépenses de santé dans le budget des ménages est environ trois fois plus élevée en Suisse que dans les deux autres pays. </w:t>
      </w:r>
    </w:p>
    <w:p w14:paraId="00000016" w14:textId="77777777" w:rsidR="006508EE" w:rsidRDefault="00F26A0A">
      <w:pPr>
        <w:jc w:val="center"/>
        <w:rPr>
          <w:b/>
        </w:rPr>
      </w:pPr>
      <w:r>
        <w:rPr>
          <w:b/>
        </w:rPr>
        <w:t>Tableau 1 : Indicateurs de santé de la population et offre de soins dans les trois pays</w:t>
      </w:r>
    </w:p>
    <w:tbl>
      <w:tblPr>
        <w:tblStyle w:val="affb"/>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457657D0" w14:textId="77777777">
        <w:trPr>
          <w:trHeight w:val="300"/>
        </w:trPr>
        <w:tc>
          <w:tcPr>
            <w:tcW w:w="3541" w:type="dxa"/>
            <w:tcBorders>
              <w:bottom w:val="single" w:sz="4" w:space="0" w:color="000000"/>
              <w:right w:val="nil"/>
            </w:tcBorders>
            <w:shd w:val="clear" w:color="auto" w:fill="auto"/>
          </w:tcPr>
          <w:p w14:paraId="00000017" w14:textId="77777777" w:rsidR="006508EE" w:rsidRDefault="006508EE">
            <w:pPr>
              <w:spacing w:after="0" w:line="240" w:lineRule="auto"/>
              <w:rPr>
                <w:b/>
                <w:sz w:val="18"/>
                <w:szCs w:val="18"/>
              </w:rPr>
            </w:pPr>
          </w:p>
        </w:tc>
        <w:tc>
          <w:tcPr>
            <w:tcW w:w="1937" w:type="dxa"/>
            <w:tcBorders>
              <w:left w:val="nil"/>
              <w:bottom w:val="single" w:sz="4" w:space="0" w:color="000000"/>
              <w:right w:val="nil"/>
            </w:tcBorders>
            <w:shd w:val="clear" w:color="auto" w:fill="auto"/>
            <w:vAlign w:val="center"/>
          </w:tcPr>
          <w:p w14:paraId="00000018" w14:textId="77777777" w:rsidR="006508EE" w:rsidRDefault="00F26A0A">
            <w:pPr>
              <w:spacing w:after="0" w:line="240" w:lineRule="auto"/>
              <w:jc w:val="center"/>
              <w:rPr>
                <w:b/>
                <w:sz w:val="18"/>
                <w:szCs w:val="18"/>
              </w:rPr>
            </w:pPr>
            <w:r>
              <w:rPr>
                <w:b/>
                <w:sz w:val="18"/>
                <w:szCs w:val="18"/>
              </w:rPr>
              <w:t>Belgique</w:t>
            </w:r>
          </w:p>
        </w:tc>
        <w:tc>
          <w:tcPr>
            <w:tcW w:w="1937" w:type="dxa"/>
            <w:tcBorders>
              <w:left w:val="nil"/>
              <w:bottom w:val="single" w:sz="4" w:space="0" w:color="000000"/>
              <w:right w:val="nil"/>
            </w:tcBorders>
            <w:shd w:val="clear" w:color="auto" w:fill="auto"/>
            <w:vAlign w:val="center"/>
          </w:tcPr>
          <w:p w14:paraId="00000019" w14:textId="77777777" w:rsidR="006508EE" w:rsidRDefault="00F26A0A">
            <w:pPr>
              <w:spacing w:after="0" w:line="240" w:lineRule="auto"/>
              <w:jc w:val="center"/>
              <w:rPr>
                <w:b/>
                <w:sz w:val="18"/>
                <w:szCs w:val="18"/>
              </w:rPr>
            </w:pPr>
            <w:r>
              <w:rPr>
                <w:b/>
                <w:sz w:val="18"/>
                <w:szCs w:val="18"/>
              </w:rPr>
              <w:t>France</w:t>
            </w:r>
          </w:p>
        </w:tc>
        <w:tc>
          <w:tcPr>
            <w:tcW w:w="1934" w:type="dxa"/>
            <w:tcBorders>
              <w:left w:val="nil"/>
              <w:bottom w:val="single" w:sz="4" w:space="0" w:color="000000"/>
            </w:tcBorders>
            <w:shd w:val="clear" w:color="auto" w:fill="auto"/>
            <w:vAlign w:val="center"/>
          </w:tcPr>
          <w:p w14:paraId="0000001A" w14:textId="77777777" w:rsidR="006508EE" w:rsidRDefault="00F26A0A">
            <w:pPr>
              <w:spacing w:after="0" w:line="240" w:lineRule="auto"/>
              <w:jc w:val="center"/>
              <w:rPr>
                <w:b/>
                <w:sz w:val="18"/>
                <w:szCs w:val="18"/>
              </w:rPr>
            </w:pPr>
            <w:r>
              <w:rPr>
                <w:b/>
                <w:sz w:val="18"/>
                <w:szCs w:val="18"/>
              </w:rPr>
              <w:t>Suisse</w:t>
            </w:r>
          </w:p>
        </w:tc>
      </w:tr>
    </w:tbl>
    <w:p w14:paraId="0000001B" w14:textId="77777777" w:rsidR="006508EE" w:rsidRDefault="006508EE">
      <w:pPr>
        <w:widowControl w:val="0"/>
        <w:spacing w:after="0" w:line="276" w:lineRule="auto"/>
        <w:jc w:val="left"/>
        <w:rPr>
          <w:b/>
          <w:sz w:val="18"/>
          <w:szCs w:val="18"/>
        </w:rPr>
      </w:pPr>
    </w:p>
    <w:tbl>
      <w:tblPr>
        <w:tblStyle w:val="affc"/>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6813A293" w14:textId="77777777">
        <w:trPr>
          <w:trHeight w:val="300"/>
        </w:trPr>
        <w:tc>
          <w:tcPr>
            <w:tcW w:w="3541" w:type="dxa"/>
            <w:tcBorders>
              <w:top w:val="single" w:sz="4" w:space="0" w:color="000000"/>
              <w:bottom w:val="single" w:sz="4" w:space="0" w:color="000000"/>
              <w:right w:val="nil"/>
            </w:tcBorders>
            <w:shd w:val="clear" w:color="auto" w:fill="auto"/>
          </w:tcPr>
          <w:p w14:paraId="0000001C" w14:textId="77777777" w:rsidR="006508EE" w:rsidRDefault="00F26A0A">
            <w:pPr>
              <w:spacing w:after="0" w:line="240" w:lineRule="auto"/>
              <w:rPr>
                <w:b/>
                <w:sz w:val="18"/>
                <w:szCs w:val="18"/>
              </w:rPr>
            </w:pPr>
            <w:r>
              <w:rPr>
                <w:b/>
                <w:sz w:val="18"/>
                <w:szCs w:val="18"/>
              </w:rPr>
              <w:t>Etat de santé de la population (2018)</w:t>
            </w:r>
          </w:p>
        </w:tc>
        <w:tc>
          <w:tcPr>
            <w:tcW w:w="1937" w:type="dxa"/>
            <w:tcBorders>
              <w:top w:val="single" w:sz="4" w:space="0" w:color="000000"/>
              <w:left w:val="nil"/>
              <w:bottom w:val="single" w:sz="4" w:space="0" w:color="000000"/>
              <w:right w:val="nil"/>
            </w:tcBorders>
            <w:shd w:val="clear" w:color="auto" w:fill="auto"/>
            <w:vAlign w:val="center"/>
          </w:tcPr>
          <w:p w14:paraId="0000001D" w14:textId="77777777" w:rsidR="006508EE" w:rsidRDefault="006508EE">
            <w:pPr>
              <w:spacing w:after="0" w:line="240" w:lineRule="auto"/>
              <w:jc w:val="center"/>
              <w:rPr>
                <w:b/>
                <w:sz w:val="18"/>
                <w:szCs w:val="18"/>
              </w:rPr>
            </w:pPr>
          </w:p>
        </w:tc>
        <w:tc>
          <w:tcPr>
            <w:tcW w:w="1937" w:type="dxa"/>
            <w:tcBorders>
              <w:top w:val="single" w:sz="4" w:space="0" w:color="000000"/>
              <w:left w:val="nil"/>
              <w:bottom w:val="single" w:sz="4" w:space="0" w:color="000000"/>
              <w:right w:val="nil"/>
            </w:tcBorders>
            <w:shd w:val="clear" w:color="auto" w:fill="auto"/>
            <w:vAlign w:val="center"/>
          </w:tcPr>
          <w:p w14:paraId="0000001E" w14:textId="77777777" w:rsidR="006508EE" w:rsidRDefault="006508EE">
            <w:pPr>
              <w:spacing w:after="0" w:line="240" w:lineRule="auto"/>
              <w:jc w:val="center"/>
              <w:rPr>
                <w:b/>
                <w:sz w:val="18"/>
                <w:szCs w:val="18"/>
              </w:rPr>
            </w:pPr>
          </w:p>
        </w:tc>
        <w:tc>
          <w:tcPr>
            <w:tcW w:w="1934" w:type="dxa"/>
            <w:tcBorders>
              <w:top w:val="single" w:sz="4" w:space="0" w:color="000000"/>
              <w:left w:val="nil"/>
              <w:bottom w:val="single" w:sz="4" w:space="0" w:color="000000"/>
            </w:tcBorders>
            <w:shd w:val="clear" w:color="auto" w:fill="auto"/>
            <w:vAlign w:val="center"/>
          </w:tcPr>
          <w:p w14:paraId="0000001F" w14:textId="77777777" w:rsidR="006508EE" w:rsidRDefault="006508EE">
            <w:pPr>
              <w:spacing w:after="0" w:line="240" w:lineRule="auto"/>
              <w:jc w:val="center"/>
              <w:rPr>
                <w:b/>
                <w:sz w:val="18"/>
                <w:szCs w:val="18"/>
              </w:rPr>
            </w:pPr>
          </w:p>
        </w:tc>
      </w:tr>
    </w:tbl>
    <w:p w14:paraId="00000020" w14:textId="77777777" w:rsidR="006508EE" w:rsidRDefault="006508EE">
      <w:pPr>
        <w:widowControl w:val="0"/>
        <w:spacing w:after="0" w:line="276" w:lineRule="auto"/>
        <w:jc w:val="left"/>
        <w:rPr>
          <w:b/>
          <w:sz w:val="18"/>
          <w:szCs w:val="18"/>
        </w:rPr>
      </w:pPr>
    </w:p>
    <w:tbl>
      <w:tblPr>
        <w:tblStyle w:val="affd"/>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5450BD57" w14:textId="77777777">
        <w:trPr>
          <w:trHeight w:val="300"/>
        </w:trPr>
        <w:tc>
          <w:tcPr>
            <w:tcW w:w="3541" w:type="dxa"/>
            <w:tcBorders>
              <w:top w:val="single" w:sz="4" w:space="0" w:color="000000"/>
              <w:bottom w:val="nil"/>
              <w:right w:val="nil"/>
            </w:tcBorders>
            <w:shd w:val="clear" w:color="auto" w:fill="auto"/>
          </w:tcPr>
          <w:p w14:paraId="00000021" w14:textId="77777777" w:rsidR="006508EE" w:rsidRDefault="00F26A0A">
            <w:pPr>
              <w:spacing w:after="0" w:line="240" w:lineRule="auto"/>
              <w:rPr>
                <w:sz w:val="18"/>
                <w:szCs w:val="18"/>
              </w:rPr>
            </w:pPr>
            <w:r>
              <w:rPr>
                <w:sz w:val="18"/>
                <w:szCs w:val="18"/>
              </w:rPr>
              <w:t>Population totale</w:t>
            </w:r>
          </w:p>
        </w:tc>
        <w:tc>
          <w:tcPr>
            <w:tcW w:w="1937" w:type="dxa"/>
            <w:tcBorders>
              <w:top w:val="single" w:sz="4" w:space="0" w:color="000000"/>
              <w:left w:val="nil"/>
              <w:bottom w:val="nil"/>
              <w:right w:val="nil"/>
            </w:tcBorders>
            <w:shd w:val="clear" w:color="auto" w:fill="auto"/>
            <w:vAlign w:val="center"/>
          </w:tcPr>
          <w:p w14:paraId="00000022" w14:textId="77777777" w:rsidR="006508EE" w:rsidRDefault="00F26A0A">
            <w:pPr>
              <w:spacing w:after="0" w:line="240" w:lineRule="auto"/>
              <w:jc w:val="center"/>
              <w:rPr>
                <w:sz w:val="18"/>
                <w:szCs w:val="18"/>
              </w:rPr>
            </w:pPr>
            <w:r>
              <w:rPr>
                <w:sz w:val="18"/>
                <w:szCs w:val="18"/>
              </w:rPr>
              <w:t>11 427 100</w:t>
            </w:r>
          </w:p>
        </w:tc>
        <w:tc>
          <w:tcPr>
            <w:tcW w:w="1937" w:type="dxa"/>
            <w:tcBorders>
              <w:top w:val="single" w:sz="4" w:space="0" w:color="000000"/>
              <w:left w:val="nil"/>
              <w:bottom w:val="nil"/>
              <w:right w:val="nil"/>
            </w:tcBorders>
            <w:shd w:val="clear" w:color="auto" w:fill="auto"/>
            <w:vAlign w:val="center"/>
          </w:tcPr>
          <w:p w14:paraId="00000023" w14:textId="77777777" w:rsidR="006508EE" w:rsidRDefault="00F26A0A">
            <w:pPr>
              <w:spacing w:after="0" w:line="240" w:lineRule="auto"/>
              <w:jc w:val="center"/>
              <w:rPr>
                <w:sz w:val="18"/>
                <w:szCs w:val="18"/>
              </w:rPr>
            </w:pPr>
            <w:r>
              <w:rPr>
                <w:sz w:val="18"/>
                <w:szCs w:val="18"/>
              </w:rPr>
              <w:t>66 965 900</w:t>
            </w:r>
          </w:p>
        </w:tc>
        <w:tc>
          <w:tcPr>
            <w:tcW w:w="1934" w:type="dxa"/>
            <w:tcBorders>
              <w:top w:val="single" w:sz="4" w:space="0" w:color="000000"/>
              <w:left w:val="nil"/>
              <w:bottom w:val="nil"/>
            </w:tcBorders>
            <w:shd w:val="clear" w:color="auto" w:fill="auto"/>
            <w:vAlign w:val="center"/>
          </w:tcPr>
          <w:p w14:paraId="00000024" w14:textId="77777777" w:rsidR="006508EE" w:rsidRDefault="00F26A0A">
            <w:pPr>
              <w:spacing w:after="0" w:line="240" w:lineRule="auto"/>
              <w:jc w:val="center"/>
              <w:rPr>
                <w:sz w:val="18"/>
                <w:szCs w:val="18"/>
              </w:rPr>
            </w:pPr>
            <w:r>
              <w:rPr>
                <w:sz w:val="18"/>
                <w:szCs w:val="18"/>
              </w:rPr>
              <w:t>8 514 300</w:t>
            </w:r>
          </w:p>
        </w:tc>
      </w:tr>
    </w:tbl>
    <w:p w14:paraId="00000025" w14:textId="77777777" w:rsidR="006508EE" w:rsidRDefault="006508EE">
      <w:pPr>
        <w:widowControl w:val="0"/>
        <w:spacing w:after="0" w:line="276" w:lineRule="auto"/>
        <w:jc w:val="left"/>
        <w:rPr>
          <w:sz w:val="18"/>
          <w:szCs w:val="18"/>
        </w:rPr>
      </w:pPr>
    </w:p>
    <w:tbl>
      <w:tblPr>
        <w:tblStyle w:val="affe"/>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387C8793" w14:textId="77777777">
        <w:trPr>
          <w:trHeight w:val="300"/>
        </w:trPr>
        <w:tc>
          <w:tcPr>
            <w:tcW w:w="3541" w:type="dxa"/>
            <w:tcBorders>
              <w:top w:val="nil"/>
              <w:bottom w:val="nil"/>
              <w:right w:val="nil"/>
            </w:tcBorders>
            <w:shd w:val="clear" w:color="auto" w:fill="auto"/>
          </w:tcPr>
          <w:p w14:paraId="00000026" w14:textId="77777777" w:rsidR="006508EE" w:rsidRDefault="00F26A0A">
            <w:pPr>
              <w:spacing w:after="0" w:line="240" w:lineRule="auto"/>
              <w:rPr>
                <w:sz w:val="18"/>
                <w:szCs w:val="18"/>
              </w:rPr>
            </w:pPr>
            <w:r>
              <w:rPr>
                <w:sz w:val="18"/>
                <w:szCs w:val="18"/>
              </w:rPr>
              <w:t>Espérance de vie à la naissance (femme/homme)</w:t>
            </w:r>
          </w:p>
        </w:tc>
        <w:tc>
          <w:tcPr>
            <w:tcW w:w="1937" w:type="dxa"/>
            <w:tcBorders>
              <w:top w:val="nil"/>
              <w:left w:val="nil"/>
              <w:bottom w:val="nil"/>
              <w:right w:val="nil"/>
            </w:tcBorders>
            <w:shd w:val="clear" w:color="auto" w:fill="auto"/>
            <w:vAlign w:val="center"/>
          </w:tcPr>
          <w:p w14:paraId="00000027" w14:textId="77777777" w:rsidR="006508EE" w:rsidRDefault="00F26A0A">
            <w:pPr>
              <w:spacing w:after="0" w:line="240" w:lineRule="auto"/>
              <w:jc w:val="center"/>
              <w:rPr>
                <w:sz w:val="18"/>
                <w:szCs w:val="18"/>
              </w:rPr>
            </w:pPr>
            <w:r>
              <w:rPr>
                <w:sz w:val="18"/>
                <w:szCs w:val="18"/>
              </w:rPr>
              <w:t>83.9/79.4</w:t>
            </w:r>
          </w:p>
        </w:tc>
        <w:tc>
          <w:tcPr>
            <w:tcW w:w="1937" w:type="dxa"/>
            <w:tcBorders>
              <w:top w:val="nil"/>
              <w:left w:val="nil"/>
              <w:bottom w:val="nil"/>
              <w:right w:val="nil"/>
            </w:tcBorders>
            <w:shd w:val="clear" w:color="auto" w:fill="auto"/>
            <w:vAlign w:val="center"/>
          </w:tcPr>
          <w:p w14:paraId="00000028" w14:textId="77777777" w:rsidR="006508EE" w:rsidRDefault="00F26A0A">
            <w:pPr>
              <w:spacing w:after="0" w:line="240" w:lineRule="auto"/>
              <w:jc w:val="center"/>
              <w:rPr>
                <w:sz w:val="18"/>
                <w:szCs w:val="18"/>
              </w:rPr>
            </w:pPr>
            <w:r>
              <w:rPr>
                <w:sz w:val="18"/>
                <w:szCs w:val="18"/>
              </w:rPr>
              <w:t>85.9/79.7</w:t>
            </w:r>
          </w:p>
        </w:tc>
        <w:tc>
          <w:tcPr>
            <w:tcW w:w="1934" w:type="dxa"/>
            <w:tcBorders>
              <w:top w:val="nil"/>
              <w:left w:val="nil"/>
              <w:bottom w:val="nil"/>
            </w:tcBorders>
            <w:shd w:val="clear" w:color="auto" w:fill="auto"/>
            <w:vAlign w:val="center"/>
          </w:tcPr>
          <w:p w14:paraId="00000029" w14:textId="77777777" w:rsidR="006508EE" w:rsidRDefault="00F26A0A">
            <w:pPr>
              <w:spacing w:after="0" w:line="240" w:lineRule="auto"/>
              <w:jc w:val="center"/>
              <w:rPr>
                <w:sz w:val="18"/>
                <w:szCs w:val="18"/>
              </w:rPr>
            </w:pPr>
            <w:r>
              <w:rPr>
                <w:sz w:val="18"/>
                <w:szCs w:val="18"/>
              </w:rPr>
              <w:t>85.7/81.9</w:t>
            </w:r>
          </w:p>
        </w:tc>
      </w:tr>
    </w:tbl>
    <w:p w14:paraId="0000002A" w14:textId="77777777" w:rsidR="006508EE" w:rsidRDefault="006508EE">
      <w:pPr>
        <w:widowControl w:val="0"/>
        <w:spacing w:after="0" w:line="276" w:lineRule="auto"/>
        <w:jc w:val="left"/>
        <w:rPr>
          <w:sz w:val="18"/>
          <w:szCs w:val="18"/>
        </w:rPr>
      </w:pPr>
    </w:p>
    <w:tbl>
      <w:tblPr>
        <w:tblStyle w:val="afff"/>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1C69EB7F" w14:textId="77777777">
        <w:trPr>
          <w:trHeight w:val="300"/>
        </w:trPr>
        <w:tc>
          <w:tcPr>
            <w:tcW w:w="3541" w:type="dxa"/>
            <w:tcBorders>
              <w:top w:val="nil"/>
              <w:bottom w:val="nil"/>
              <w:right w:val="nil"/>
            </w:tcBorders>
            <w:shd w:val="clear" w:color="auto" w:fill="auto"/>
          </w:tcPr>
          <w:p w14:paraId="0000002B" w14:textId="77777777" w:rsidR="006508EE" w:rsidRDefault="00F26A0A">
            <w:pPr>
              <w:spacing w:after="0" w:line="240" w:lineRule="auto"/>
              <w:rPr>
                <w:sz w:val="18"/>
                <w:szCs w:val="18"/>
              </w:rPr>
            </w:pPr>
            <w:r>
              <w:rPr>
                <w:sz w:val="18"/>
                <w:szCs w:val="18"/>
              </w:rPr>
              <w:t>Espérance de vie à 65 ans (femme/homme)</w:t>
            </w:r>
          </w:p>
        </w:tc>
        <w:tc>
          <w:tcPr>
            <w:tcW w:w="1937" w:type="dxa"/>
            <w:tcBorders>
              <w:top w:val="nil"/>
              <w:left w:val="nil"/>
              <w:bottom w:val="nil"/>
              <w:right w:val="nil"/>
            </w:tcBorders>
            <w:shd w:val="clear" w:color="auto" w:fill="auto"/>
            <w:vAlign w:val="center"/>
          </w:tcPr>
          <w:p w14:paraId="0000002C" w14:textId="77777777" w:rsidR="006508EE" w:rsidRDefault="00F26A0A">
            <w:pPr>
              <w:spacing w:after="0" w:line="240" w:lineRule="auto"/>
              <w:jc w:val="center"/>
              <w:rPr>
                <w:sz w:val="18"/>
                <w:szCs w:val="18"/>
              </w:rPr>
            </w:pPr>
            <w:r>
              <w:rPr>
                <w:sz w:val="18"/>
                <w:szCs w:val="18"/>
              </w:rPr>
              <w:t>21.9/18.6</w:t>
            </w:r>
          </w:p>
        </w:tc>
        <w:tc>
          <w:tcPr>
            <w:tcW w:w="1937" w:type="dxa"/>
            <w:tcBorders>
              <w:top w:val="nil"/>
              <w:left w:val="nil"/>
              <w:bottom w:val="nil"/>
              <w:right w:val="nil"/>
            </w:tcBorders>
            <w:shd w:val="clear" w:color="auto" w:fill="auto"/>
            <w:vAlign w:val="center"/>
          </w:tcPr>
          <w:p w14:paraId="0000002D" w14:textId="77777777" w:rsidR="006508EE" w:rsidRDefault="00F26A0A">
            <w:pPr>
              <w:spacing w:after="0" w:line="240" w:lineRule="auto"/>
              <w:jc w:val="center"/>
              <w:rPr>
                <w:sz w:val="18"/>
                <w:szCs w:val="18"/>
              </w:rPr>
            </w:pPr>
            <w:r>
              <w:rPr>
                <w:sz w:val="18"/>
                <w:szCs w:val="18"/>
              </w:rPr>
              <w:t>23.8/19.7</w:t>
            </w:r>
          </w:p>
        </w:tc>
        <w:tc>
          <w:tcPr>
            <w:tcW w:w="1934" w:type="dxa"/>
            <w:tcBorders>
              <w:top w:val="nil"/>
              <w:left w:val="nil"/>
              <w:bottom w:val="nil"/>
            </w:tcBorders>
            <w:shd w:val="clear" w:color="auto" w:fill="auto"/>
            <w:vAlign w:val="center"/>
          </w:tcPr>
          <w:p w14:paraId="0000002E" w14:textId="77777777" w:rsidR="006508EE" w:rsidRDefault="00F26A0A">
            <w:pPr>
              <w:spacing w:after="0" w:line="240" w:lineRule="auto"/>
              <w:jc w:val="center"/>
              <w:rPr>
                <w:sz w:val="18"/>
                <w:szCs w:val="18"/>
              </w:rPr>
            </w:pPr>
            <w:r>
              <w:rPr>
                <w:sz w:val="18"/>
                <w:szCs w:val="18"/>
              </w:rPr>
              <w:t>23/20.2</w:t>
            </w:r>
          </w:p>
        </w:tc>
      </w:tr>
    </w:tbl>
    <w:p w14:paraId="0000002F" w14:textId="77777777" w:rsidR="006508EE" w:rsidRDefault="006508EE">
      <w:pPr>
        <w:widowControl w:val="0"/>
        <w:spacing w:after="0" w:line="276" w:lineRule="auto"/>
        <w:jc w:val="left"/>
        <w:rPr>
          <w:sz w:val="18"/>
          <w:szCs w:val="18"/>
        </w:rPr>
      </w:pPr>
    </w:p>
    <w:tbl>
      <w:tblPr>
        <w:tblStyle w:val="afff0"/>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267C197E" w14:textId="77777777">
        <w:trPr>
          <w:trHeight w:val="300"/>
        </w:trPr>
        <w:tc>
          <w:tcPr>
            <w:tcW w:w="3541" w:type="dxa"/>
            <w:tcBorders>
              <w:top w:val="nil"/>
              <w:bottom w:val="single" w:sz="4" w:space="0" w:color="000000"/>
              <w:right w:val="nil"/>
            </w:tcBorders>
            <w:shd w:val="clear" w:color="auto" w:fill="auto"/>
          </w:tcPr>
          <w:p w14:paraId="00000030" w14:textId="77777777" w:rsidR="006508EE" w:rsidRDefault="00F26A0A">
            <w:pPr>
              <w:spacing w:after="0" w:line="240" w:lineRule="auto"/>
              <w:rPr>
                <w:sz w:val="18"/>
                <w:szCs w:val="18"/>
              </w:rPr>
            </w:pPr>
            <w:r>
              <w:rPr>
                <w:sz w:val="18"/>
                <w:szCs w:val="18"/>
              </w:rPr>
              <w:t>Mortalité évitable, morts pour 100’000 habitants (2016)</w:t>
            </w:r>
          </w:p>
        </w:tc>
        <w:tc>
          <w:tcPr>
            <w:tcW w:w="1937" w:type="dxa"/>
            <w:tcBorders>
              <w:top w:val="nil"/>
              <w:left w:val="nil"/>
              <w:bottom w:val="single" w:sz="4" w:space="0" w:color="000000"/>
              <w:right w:val="nil"/>
            </w:tcBorders>
            <w:shd w:val="clear" w:color="auto" w:fill="auto"/>
            <w:vAlign w:val="center"/>
          </w:tcPr>
          <w:p w14:paraId="00000031" w14:textId="77777777" w:rsidR="006508EE" w:rsidRDefault="00F26A0A">
            <w:pPr>
              <w:spacing w:after="0" w:line="240" w:lineRule="auto"/>
              <w:jc w:val="center"/>
              <w:rPr>
                <w:sz w:val="18"/>
                <w:szCs w:val="18"/>
              </w:rPr>
            </w:pPr>
            <w:r>
              <w:rPr>
                <w:sz w:val="18"/>
                <w:szCs w:val="18"/>
              </w:rPr>
              <w:t>170</w:t>
            </w:r>
          </w:p>
        </w:tc>
        <w:tc>
          <w:tcPr>
            <w:tcW w:w="1937" w:type="dxa"/>
            <w:tcBorders>
              <w:top w:val="nil"/>
              <w:left w:val="nil"/>
              <w:bottom w:val="single" w:sz="4" w:space="0" w:color="000000"/>
              <w:right w:val="nil"/>
            </w:tcBorders>
            <w:shd w:val="clear" w:color="auto" w:fill="auto"/>
            <w:vAlign w:val="center"/>
          </w:tcPr>
          <w:p w14:paraId="00000032" w14:textId="77777777" w:rsidR="006508EE" w:rsidRDefault="00F26A0A">
            <w:pPr>
              <w:spacing w:after="0" w:line="240" w:lineRule="auto"/>
              <w:jc w:val="center"/>
              <w:rPr>
                <w:sz w:val="18"/>
                <w:szCs w:val="18"/>
              </w:rPr>
            </w:pPr>
            <w:r>
              <w:rPr>
                <w:sz w:val="18"/>
                <w:szCs w:val="18"/>
              </w:rPr>
              <w:t>152</w:t>
            </w:r>
          </w:p>
        </w:tc>
        <w:tc>
          <w:tcPr>
            <w:tcW w:w="1934" w:type="dxa"/>
            <w:tcBorders>
              <w:top w:val="nil"/>
              <w:left w:val="nil"/>
              <w:bottom w:val="single" w:sz="4" w:space="0" w:color="000000"/>
            </w:tcBorders>
            <w:shd w:val="clear" w:color="auto" w:fill="auto"/>
            <w:vAlign w:val="center"/>
          </w:tcPr>
          <w:p w14:paraId="00000033" w14:textId="77777777" w:rsidR="006508EE" w:rsidRDefault="00F26A0A">
            <w:pPr>
              <w:spacing w:after="0" w:line="240" w:lineRule="auto"/>
              <w:jc w:val="center"/>
              <w:rPr>
                <w:sz w:val="18"/>
                <w:szCs w:val="18"/>
              </w:rPr>
            </w:pPr>
            <w:r>
              <w:rPr>
                <w:sz w:val="18"/>
                <w:szCs w:val="18"/>
              </w:rPr>
              <w:t>124</w:t>
            </w:r>
          </w:p>
        </w:tc>
      </w:tr>
    </w:tbl>
    <w:p w14:paraId="00000034" w14:textId="77777777" w:rsidR="006508EE" w:rsidRDefault="006508EE">
      <w:pPr>
        <w:widowControl w:val="0"/>
        <w:spacing w:after="0" w:line="276" w:lineRule="auto"/>
        <w:jc w:val="left"/>
        <w:rPr>
          <w:sz w:val="18"/>
          <w:szCs w:val="18"/>
        </w:rPr>
      </w:pPr>
    </w:p>
    <w:tbl>
      <w:tblPr>
        <w:tblStyle w:val="afff1"/>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01EAACA7" w14:textId="77777777">
        <w:trPr>
          <w:trHeight w:val="300"/>
        </w:trPr>
        <w:tc>
          <w:tcPr>
            <w:tcW w:w="3541" w:type="dxa"/>
            <w:tcBorders>
              <w:top w:val="single" w:sz="4" w:space="0" w:color="000000"/>
              <w:bottom w:val="single" w:sz="4" w:space="0" w:color="000000"/>
              <w:right w:val="nil"/>
            </w:tcBorders>
            <w:shd w:val="clear" w:color="auto" w:fill="auto"/>
          </w:tcPr>
          <w:p w14:paraId="00000035" w14:textId="77777777" w:rsidR="006508EE" w:rsidRDefault="00F26A0A">
            <w:pPr>
              <w:spacing w:after="0" w:line="240" w:lineRule="auto"/>
              <w:rPr>
                <w:b/>
                <w:sz w:val="18"/>
                <w:szCs w:val="18"/>
              </w:rPr>
            </w:pPr>
            <w:r>
              <w:rPr>
                <w:b/>
                <w:sz w:val="18"/>
                <w:szCs w:val="18"/>
              </w:rPr>
              <w:t>Offre de soins pour 1000 habitants (2018)</w:t>
            </w:r>
          </w:p>
        </w:tc>
        <w:tc>
          <w:tcPr>
            <w:tcW w:w="1937" w:type="dxa"/>
            <w:tcBorders>
              <w:top w:val="single" w:sz="4" w:space="0" w:color="000000"/>
              <w:left w:val="nil"/>
              <w:bottom w:val="single" w:sz="4" w:space="0" w:color="000000"/>
              <w:right w:val="nil"/>
            </w:tcBorders>
            <w:shd w:val="clear" w:color="auto" w:fill="auto"/>
            <w:vAlign w:val="center"/>
          </w:tcPr>
          <w:p w14:paraId="00000036" w14:textId="77777777" w:rsidR="006508EE" w:rsidRDefault="006508EE">
            <w:pPr>
              <w:spacing w:after="0" w:line="240" w:lineRule="auto"/>
              <w:jc w:val="center"/>
              <w:rPr>
                <w:b/>
                <w:sz w:val="18"/>
                <w:szCs w:val="18"/>
              </w:rPr>
            </w:pPr>
          </w:p>
        </w:tc>
        <w:tc>
          <w:tcPr>
            <w:tcW w:w="1937" w:type="dxa"/>
            <w:tcBorders>
              <w:top w:val="single" w:sz="4" w:space="0" w:color="000000"/>
              <w:left w:val="nil"/>
              <w:bottom w:val="single" w:sz="4" w:space="0" w:color="000000"/>
              <w:right w:val="nil"/>
            </w:tcBorders>
            <w:shd w:val="clear" w:color="auto" w:fill="auto"/>
            <w:vAlign w:val="center"/>
          </w:tcPr>
          <w:p w14:paraId="00000037" w14:textId="77777777" w:rsidR="006508EE" w:rsidRDefault="006508EE">
            <w:pPr>
              <w:spacing w:after="0" w:line="240" w:lineRule="auto"/>
              <w:jc w:val="center"/>
              <w:rPr>
                <w:b/>
                <w:sz w:val="18"/>
                <w:szCs w:val="18"/>
              </w:rPr>
            </w:pPr>
          </w:p>
        </w:tc>
        <w:tc>
          <w:tcPr>
            <w:tcW w:w="1934" w:type="dxa"/>
            <w:tcBorders>
              <w:top w:val="single" w:sz="4" w:space="0" w:color="000000"/>
              <w:left w:val="nil"/>
              <w:bottom w:val="single" w:sz="4" w:space="0" w:color="000000"/>
            </w:tcBorders>
            <w:shd w:val="clear" w:color="auto" w:fill="auto"/>
            <w:vAlign w:val="center"/>
          </w:tcPr>
          <w:p w14:paraId="00000038" w14:textId="77777777" w:rsidR="006508EE" w:rsidRDefault="00F26A0A">
            <w:pPr>
              <w:spacing w:after="0" w:line="240" w:lineRule="auto"/>
              <w:jc w:val="center"/>
              <w:rPr>
                <w:b/>
                <w:sz w:val="18"/>
                <w:szCs w:val="18"/>
              </w:rPr>
            </w:pPr>
            <w:r>
              <w:rPr>
                <w:b/>
                <w:sz w:val="18"/>
                <w:szCs w:val="18"/>
              </w:rPr>
              <w:t xml:space="preserve">     </w:t>
            </w:r>
          </w:p>
        </w:tc>
      </w:tr>
    </w:tbl>
    <w:p w14:paraId="00000039" w14:textId="77777777" w:rsidR="006508EE" w:rsidRDefault="006508EE">
      <w:pPr>
        <w:widowControl w:val="0"/>
        <w:spacing w:after="0" w:line="276" w:lineRule="auto"/>
        <w:jc w:val="left"/>
        <w:rPr>
          <w:b/>
          <w:sz w:val="18"/>
          <w:szCs w:val="18"/>
        </w:rPr>
      </w:pPr>
    </w:p>
    <w:tbl>
      <w:tblPr>
        <w:tblStyle w:val="afff2"/>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22EE26C9" w14:textId="77777777">
        <w:trPr>
          <w:trHeight w:val="300"/>
        </w:trPr>
        <w:tc>
          <w:tcPr>
            <w:tcW w:w="3541" w:type="dxa"/>
            <w:tcBorders>
              <w:top w:val="single" w:sz="4" w:space="0" w:color="000000"/>
              <w:bottom w:val="nil"/>
              <w:right w:val="nil"/>
            </w:tcBorders>
            <w:shd w:val="clear" w:color="auto" w:fill="auto"/>
          </w:tcPr>
          <w:p w14:paraId="0000003A" w14:textId="77777777" w:rsidR="006508EE" w:rsidRDefault="00F26A0A">
            <w:pPr>
              <w:spacing w:after="0" w:line="240" w:lineRule="auto"/>
              <w:rPr>
                <w:sz w:val="18"/>
                <w:szCs w:val="18"/>
              </w:rPr>
            </w:pPr>
            <w:r>
              <w:rPr>
                <w:sz w:val="18"/>
                <w:szCs w:val="18"/>
              </w:rPr>
              <w:t>Médecins généralistes</w:t>
            </w:r>
          </w:p>
        </w:tc>
        <w:tc>
          <w:tcPr>
            <w:tcW w:w="1937" w:type="dxa"/>
            <w:tcBorders>
              <w:top w:val="single" w:sz="4" w:space="0" w:color="000000"/>
              <w:left w:val="nil"/>
              <w:bottom w:val="nil"/>
              <w:right w:val="nil"/>
            </w:tcBorders>
            <w:shd w:val="clear" w:color="auto" w:fill="auto"/>
            <w:vAlign w:val="center"/>
          </w:tcPr>
          <w:p w14:paraId="0000003B" w14:textId="77777777" w:rsidR="006508EE" w:rsidRDefault="00F26A0A">
            <w:pPr>
              <w:spacing w:after="0" w:line="240" w:lineRule="auto"/>
              <w:jc w:val="center"/>
              <w:rPr>
                <w:sz w:val="18"/>
                <w:szCs w:val="18"/>
              </w:rPr>
            </w:pPr>
            <w:r>
              <w:rPr>
                <w:sz w:val="18"/>
                <w:szCs w:val="18"/>
              </w:rPr>
              <w:t>1.15</w:t>
            </w:r>
          </w:p>
        </w:tc>
        <w:tc>
          <w:tcPr>
            <w:tcW w:w="1937" w:type="dxa"/>
            <w:tcBorders>
              <w:top w:val="single" w:sz="4" w:space="0" w:color="000000"/>
              <w:left w:val="nil"/>
              <w:bottom w:val="nil"/>
              <w:right w:val="nil"/>
            </w:tcBorders>
            <w:shd w:val="clear" w:color="auto" w:fill="auto"/>
            <w:vAlign w:val="center"/>
          </w:tcPr>
          <w:p w14:paraId="0000003C" w14:textId="77777777" w:rsidR="006508EE" w:rsidRDefault="00F26A0A">
            <w:pPr>
              <w:spacing w:after="0" w:line="240" w:lineRule="auto"/>
              <w:jc w:val="center"/>
              <w:rPr>
                <w:sz w:val="18"/>
                <w:szCs w:val="18"/>
              </w:rPr>
            </w:pPr>
            <w:r>
              <w:rPr>
                <w:sz w:val="18"/>
                <w:szCs w:val="18"/>
              </w:rPr>
              <w:t>1.42</w:t>
            </w:r>
          </w:p>
        </w:tc>
        <w:tc>
          <w:tcPr>
            <w:tcW w:w="1934" w:type="dxa"/>
            <w:tcBorders>
              <w:top w:val="single" w:sz="4" w:space="0" w:color="000000"/>
              <w:left w:val="nil"/>
              <w:bottom w:val="nil"/>
            </w:tcBorders>
            <w:shd w:val="clear" w:color="auto" w:fill="auto"/>
            <w:vAlign w:val="center"/>
          </w:tcPr>
          <w:p w14:paraId="0000003D" w14:textId="77777777" w:rsidR="006508EE" w:rsidRDefault="00F26A0A">
            <w:pPr>
              <w:spacing w:after="0" w:line="240" w:lineRule="auto"/>
              <w:jc w:val="center"/>
              <w:rPr>
                <w:sz w:val="18"/>
                <w:szCs w:val="18"/>
              </w:rPr>
            </w:pPr>
            <w:r>
              <w:rPr>
                <w:sz w:val="18"/>
                <w:szCs w:val="18"/>
              </w:rPr>
              <w:t>1.14</w:t>
            </w:r>
          </w:p>
        </w:tc>
      </w:tr>
    </w:tbl>
    <w:p w14:paraId="0000003E" w14:textId="77777777" w:rsidR="006508EE" w:rsidRDefault="006508EE">
      <w:pPr>
        <w:widowControl w:val="0"/>
        <w:spacing w:after="0" w:line="276" w:lineRule="auto"/>
        <w:jc w:val="left"/>
        <w:rPr>
          <w:sz w:val="18"/>
          <w:szCs w:val="18"/>
        </w:rPr>
      </w:pPr>
    </w:p>
    <w:tbl>
      <w:tblPr>
        <w:tblStyle w:val="afff3"/>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2552B5A1" w14:textId="77777777">
        <w:tc>
          <w:tcPr>
            <w:tcW w:w="3541" w:type="dxa"/>
            <w:tcBorders>
              <w:top w:val="nil"/>
              <w:bottom w:val="nil"/>
              <w:right w:val="nil"/>
            </w:tcBorders>
            <w:shd w:val="clear" w:color="auto" w:fill="auto"/>
          </w:tcPr>
          <w:p w14:paraId="0000003F" w14:textId="77777777" w:rsidR="006508EE" w:rsidRDefault="00F26A0A">
            <w:pPr>
              <w:spacing w:after="0" w:line="240" w:lineRule="auto"/>
              <w:rPr>
                <w:sz w:val="18"/>
                <w:szCs w:val="18"/>
              </w:rPr>
            </w:pPr>
            <w:r>
              <w:rPr>
                <w:sz w:val="18"/>
                <w:szCs w:val="18"/>
              </w:rPr>
              <w:t>Médecins spécialistes</w:t>
            </w:r>
          </w:p>
        </w:tc>
        <w:tc>
          <w:tcPr>
            <w:tcW w:w="1937" w:type="dxa"/>
            <w:tcBorders>
              <w:top w:val="nil"/>
              <w:left w:val="nil"/>
              <w:bottom w:val="nil"/>
              <w:right w:val="nil"/>
            </w:tcBorders>
            <w:shd w:val="clear" w:color="auto" w:fill="auto"/>
            <w:vAlign w:val="center"/>
          </w:tcPr>
          <w:p w14:paraId="00000040" w14:textId="77777777" w:rsidR="006508EE" w:rsidRDefault="00F26A0A">
            <w:pPr>
              <w:spacing w:after="0" w:line="240" w:lineRule="auto"/>
              <w:jc w:val="center"/>
              <w:rPr>
                <w:sz w:val="18"/>
                <w:szCs w:val="18"/>
              </w:rPr>
            </w:pPr>
            <w:r>
              <w:rPr>
                <w:sz w:val="18"/>
                <w:szCs w:val="18"/>
              </w:rPr>
              <w:t>1.93</w:t>
            </w:r>
          </w:p>
        </w:tc>
        <w:tc>
          <w:tcPr>
            <w:tcW w:w="1937" w:type="dxa"/>
            <w:tcBorders>
              <w:top w:val="nil"/>
              <w:left w:val="nil"/>
              <w:bottom w:val="nil"/>
              <w:right w:val="nil"/>
            </w:tcBorders>
            <w:shd w:val="clear" w:color="auto" w:fill="auto"/>
            <w:vAlign w:val="center"/>
          </w:tcPr>
          <w:p w14:paraId="00000041" w14:textId="77777777" w:rsidR="006508EE" w:rsidRDefault="00F26A0A">
            <w:pPr>
              <w:spacing w:after="0" w:line="240" w:lineRule="auto"/>
              <w:jc w:val="center"/>
              <w:rPr>
                <w:sz w:val="18"/>
                <w:szCs w:val="18"/>
              </w:rPr>
            </w:pPr>
            <w:r>
              <w:rPr>
                <w:sz w:val="18"/>
                <w:szCs w:val="18"/>
              </w:rPr>
              <w:t>1.75</w:t>
            </w:r>
          </w:p>
        </w:tc>
        <w:tc>
          <w:tcPr>
            <w:tcW w:w="1934" w:type="dxa"/>
            <w:tcBorders>
              <w:top w:val="nil"/>
              <w:left w:val="nil"/>
              <w:bottom w:val="nil"/>
            </w:tcBorders>
            <w:shd w:val="clear" w:color="auto" w:fill="auto"/>
            <w:vAlign w:val="center"/>
          </w:tcPr>
          <w:p w14:paraId="00000042" w14:textId="77777777" w:rsidR="006508EE" w:rsidRDefault="00F26A0A">
            <w:pPr>
              <w:spacing w:after="0" w:line="240" w:lineRule="auto"/>
              <w:jc w:val="center"/>
              <w:rPr>
                <w:sz w:val="18"/>
                <w:szCs w:val="18"/>
              </w:rPr>
            </w:pPr>
            <w:r>
              <w:rPr>
                <w:sz w:val="18"/>
                <w:szCs w:val="18"/>
              </w:rPr>
              <w:t>2.61</w:t>
            </w:r>
          </w:p>
        </w:tc>
      </w:tr>
    </w:tbl>
    <w:p w14:paraId="00000043" w14:textId="77777777" w:rsidR="006508EE" w:rsidRDefault="006508EE">
      <w:pPr>
        <w:widowControl w:val="0"/>
        <w:spacing w:after="0" w:line="276" w:lineRule="auto"/>
        <w:jc w:val="left"/>
        <w:rPr>
          <w:sz w:val="18"/>
          <w:szCs w:val="18"/>
        </w:rPr>
      </w:pPr>
    </w:p>
    <w:tbl>
      <w:tblPr>
        <w:tblStyle w:val="afff4"/>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710EAC57" w14:textId="77777777">
        <w:trPr>
          <w:trHeight w:val="300"/>
        </w:trPr>
        <w:tc>
          <w:tcPr>
            <w:tcW w:w="3541" w:type="dxa"/>
            <w:tcBorders>
              <w:top w:val="nil"/>
              <w:bottom w:val="nil"/>
              <w:right w:val="nil"/>
            </w:tcBorders>
            <w:shd w:val="clear" w:color="auto" w:fill="auto"/>
          </w:tcPr>
          <w:p w14:paraId="00000044" w14:textId="77777777" w:rsidR="006508EE" w:rsidRDefault="00F26A0A">
            <w:pPr>
              <w:spacing w:after="0" w:line="240" w:lineRule="auto"/>
              <w:rPr>
                <w:sz w:val="18"/>
                <w:szCs w:val="18"/>
              </w:rPr>
            </w:pPr>
            <w:r>
              <w:rPr>
                <w:sz w:val="18"/>
                <w:szCs w:val="18"/>
              </w:rPr>
              <w:t>Médecins hospitaliers</w:t>
            </w:r>
          </w:p>
        </w:tc>
        <w:tc>
          <w:tcPr>
            <w:tcW w:w="1937" w:type="dxa"/>
            <w:tcBorders>
              <w:top w:val="nil"/>
              <w:left w:val="nil"/>
              <w:bottom w:val="nil"/>
              <w:right w:val="nil"/>
            </w:tcBorders>
            <w:shd w:val="clear" w:color="auto" w:fill="auto"/>
            <w:vAlign w:val="center"/>
          </w:tcPr>
          <w:p w14:paraId="00000045" w14:textId="77777777" w:rsidR="006508EE" w:rsidRDefault="00F26A0A">
            <w:pPr>
              <w:spacing w:after="0" w:line="240" w:lineRule="auto"/>
              <w:jc w:val="center"/>
              <w:rPr>
                <w:sz w:val="18"/>
                <w:szCs w:val="18"/>
              </w:rPr>
            </w:pPr>
            <w:r>
              <w:rPr>
                <w:sz w:val="18"/>
                <w:szCs w:val="18"/>
              </w:rPr>
              <w:t>0.66</w:t>
            </w:r>
          </w:p>
        </w:tc>
        <w:tc>
          <w:tcPr>
            <w:tcW w:w="1937" w:type="dxa"/>
            <w:tcBorders>
              <w:top w:val="nil"/>
              <w:left w:val="nil"/>
              <w:bottom w:val="nil"/>
              <w:right w:val="nil"/>
            </w:tcBorders>
            <w:shd w:val="clear" w:color="auto" w:fill="auto"/>
            <w:vAlign w:val="center"/>
          </w:tcPr>
          <w:p w14:paraId="00000046" w14:textId="77777777" w:rsidR="006508EE" w:rsidRDefault="00F26A0A">
            <w:pPr>
              <w:spacing w:after="0" w:line="240" w:lineRule="auto"/>
              <w:jc w:val="center"/>
              <w:rPr>
                <w:sz w:val="18"/>
                <w:szCs w:val="18"/>
              </w:rPr>
            </w:pPr>
            <w:r>
              <w:rPr>
                <w:sz w:val="18"/>
                <w:szCs w:val="18"/>
              </w:rPr>
              <w:t>2.63</w:t>
            </w:r>
          </w:p>
        </w:tc>
        <w:tc>
          <w:tcPr>
            <w:tcW w:w="1934" w:type="dxa"/>
            <w:tcBorders>
              <w:top w:val="nil"/>
              <w:left w:val="nil"/>
              <w:bottom w:val="nil"/>
            </w:tcBorders>
            <w:shd w:val="clear" w:color="auto" w:fill="auto"/>
            <w:vAlign w:val="center"/>
          </w:tcPr>
          <w:p w14:paraId="00000047" w14:textId="77777777" w:rsidR="006508EE" w:rsidRDefault="00F26A0A">
            <w:pPr>
              <w:spacing w:after="0" w:line="240" w:lineRule="auto"/>
              <w:jc w:val="center"/>
              <w:rPr>
                <w:sz w:val="18"/>
                <w:szCs w:val="18"/>
              </w:rPr>
            </w:pPr>
            <w:r>
              <w:rPr>
                <w:sz w:val="18"/>
                <w:szCs w:val="18"/>
              </w:rPr>
              <w:t>3.28</w:t>
            </w:r>
          </w:p>
        </w:tc>
      </w:tr>
    </w:tbl>
    <w:p w14:paraId="00000048" w14:textId="77777777" w:rsidR="006508EE" w:rsidRDefault="006508EE">
      <w:pPr>
        <w:widowControl w:val="0"/>
        <w:spacing w:after="0" w:line="276" w:lineRule="auto"/>
        <w:jc w:val="left"/>
        <w:rPr>
          <w:sz w:val="18"/>
          <w:szCs w:val="18"/>
        </w:rPr>
      </w:pPr>
    </w:p>
    <w:tbl>
      <w:tblPr>
        <w:tblStyle w:val="afff5"/>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1"/>
        <w:gridCol w:w="1937"/>
        <w:gridCol w:w="1937"/>
        <w:gridCol w:w="1934"/>
      </w:tblGrid>
      <w:tr w:rsidR="006508EE" w14:paraId="5AF6710D" w14:textId="77777777">
        <w:trPr>
          <w:trHeight w:val="300"/>
        </w:trPr>
        <w:tc>
          <w:tcPr>
            <w:tcW w:w="3541" w:type="dxa"/>
            <w:tcBorders>
              <w:top w:val="nil"/>
              <w:bottom w:val="single" w:sz="4" w:space="0" w:color="000000"/>
              <w:right w:val="nil"/>
            </w:tcBorders>
            <w:shd w:val="clear" w:color="auto" w:fill="auto"/>
          </w:tcPr>
          <w:p w14:paraId="00000049" w14:textId="77777777" w:rsidR="006508EE" w:rsidRDefault="00F26A0A">
            <w:pPr>
              <w:spacing w:after="0" w:line="240" w:lineRule="auto"/>
              <w:rPr>
                <w:sz w:val="18"/>
                <w:szCs w:val="18"/>
              </w:rPr>
            </w:pPr>
            <w:r>
              <w:rPr>
                <w:sz w:val="18"/>
                <w:szCs w:val="18"/>
              </w:rPr>
              <w:t>Lits hospitaliers</w:t>
            </w:r>
          </w:p>
        </w:tc>
        <w:tc>
          <w:tcPr>
            <w:tcW w:w="1937" w:type="dxa"/>
            <w:tcBorders>
              <w:top w:val="nil"/>
              <w:left w:val="nil"/>
              <w:bottom w:val="single" w:sz="4" w:space="0" w:color="000000"/>
              <w:right w:val="nil"/>
            </w:tcBorders>
            <w:shd w:val="clear" w:color="auto" w:fill="auto"/>
            <w:vAlign w:val="center"/>
          </w:tcPr>
          <w:p w14:paraId="0000004A" w14:textId="77777777" w:rsidR="006508EE" w:rsidRDefault="00F26A0A">
            <w:pPr>
              <w:spacing w:after="0" w:line="240" w:lineRule="auto"/>
              <w:jc w:val="center"/>
              <w:rPr>
                <w:sz w:val="18"/>
                <w:szCs w:val="18"/>
              </w:rPr>
            </w:pPr>
            <w:r>
              <w:rPr>
                <w:sz w:val="18"/>
                <w:szCs w:val="18"/>
              </w:rPr>
              <w:t>5.62</w:t>
            </w:r>
          </w:p>
        </w:tc>
        <w:tc>
          <w:tcPr>
            <w:tcW w:w="1937" w:type="dxa"/>
            <w:tcBorders>
              <w:top w:val="nil"/>
              <w:left w:val="nil"/>
              <w:bottom w:val="single" w:sz="4" w:space="0" w:color="000000"/>
              <w:right w:val="nil"/>
            </w:tcBorders>
            <w:shd w:val="clear" w:color="auto" w:fill="auto"/>
            <w:vAlign w:val="center"/>
          </w:tcPr>
          <w:p w14:paraId="0000004B" w14:textId="77777777" w:rsidR="006508EE" w:rsidRDefault="00F26A0A">
            <w:pPr>
              <w:spacing w:after="0" w:line="240" w:lineRule="auto"/>
              <w:jc w:val="center"/>
              <w:rPr>
                <w:sz w:val="18"/>
                <w:szCs w:val="18"/>
              </w:rPr>
            </w:pPr>
            <w:r>
              <w:rPr>
                <w:sz w:val="18"/>
                <w:szCs w:val="18"/>
              </w:rPr>
              <w:t>5.91</w:t>
            </w:r>
          </w:p>
        </w:tc>
        <w:tc>
          <w:tcPr>
            <w:tcW w:w="1934" w:type="dxa"/>
            <w:tcBorders>
              <w:top w:val="nil"/>
              <w:left w:val="nil"/>
              <w:bottom w:val="single" w:sz="4" w:space="0" w:color="000000"/>
            </w:tcBorders>
            <w:shd w:val="clear" w:color="auto" w:fill="auto"/>
            <w:vAlign w:val="center"/>
          </w:tcPr>
          <w:p w14:paraId="0000004C" w14:textId="77777777" w:rsidR="006508EE" w:rsidRDefault="00F26A0A">
            <w:pPr>
              <w:spacing w:after="0" w:line="240" w:lineRule="auto"/>
              <w:jc w:val="center"/>
              <w:rPr>
                <w:sz w:val="18"/>
                <w:szCs w:val="18"/>
              </w:rPr>
            </w:pPr>
            <w:r>
              <w:rPr>
                <w:sz w:val="18"/>
                <w:szCs w:val="18"/>
              </w:rPr>
              <w:t>4.63</w:t>
            </w:r>
          </w:p>
        </w:tc>
      </w:tr>
      <w:tr w:rsidR="006508EE" w14:paraId="3B5BEBD8" w14:textId="77777777">
        <w:trPr>
          <w:trHeight w:val="300"/>
        </w:trPr>
        <w:tc>
          <w:tcPr>
            <w:tcW w:w="3541" w:type="dxa"/>
            <w:tcBorders>
              <w:top w:val="single" w:sz="4" w:space="0" w:color="000000"/>
              <w:bottom w:val="single" w:sz="4" w:space="0" w:color="000000"/>
              <w:right w:val="nil"/>
            </w:tcBorders>
            <w:shd w:val="clear" w:color="auto" w:fill="auto"/>
          </w:tcPr>
          <w:p w14:paraId="0000004D" w14:textId="77777777" w:rsidR="006508EE" w:rsidRDefault="00F26A0A">
            <w:pPr>
              <w:spacing w:after="0" w:line="240" w:lineRule="auto"/>
              <w:rPr>
                <w:b/>
                <w:sz w:val="18"/>
                <w:szCs w:val="18"/>
              </w:rPr>
            </w:pPr>
            <w:r>
              <w:rPr>
                <w:b/>
                <w:sz w:val="18"/>
                <w:szCs w:val="18"/>
              </w:rPr>
              <w:t>Dépenses en santé (2018)</w:t>
            </w:r>
          </w:p>
        </w:tc>
        <w:tc>
          <w:tcPr>
            <w:tcW w:w="1937" w:type="dxa"/>
            <w:tcBorders>
              <w:top w:val="single" w:sz="4" w:space="0" w:color="000000"/>
              <w:left w:val="nil"/>
              <w:bottom w:val="single" w:sz="4" w:space="0" w:color="000000"/>
              <w:right w:val="nil"/>
            </w:tcBorders>
            <w:shd w:val="clear" w:color="auto" w:fill="auto"/>
            <w:vAlign w:val="center"/>
          </w:tcPr>
          <w:p w14:paraId="0000004E" w14:textId="77777777" w:rsidR="006508EE" w:rsidRDefault="006508EE">
            <w:pPr>
              <w:spacing w:after="0" w:line="240" w:lineRule="auto"/>
              <w:jc w:val="center"/>
              <w:rPr>
                <w:sz w:val="18"/>
                <w:szCs w:val="18"/>
              </w:rPr>
            </w:pPr>
          </w:p>
        </w:tc>
        <w:tc>
          <w:tcPr>
            <w:tcW w:w="1937" w:type="dxa"/>
            <w:tcBorders>
              <w:top w:val="single" w:sz="4" w:space="0" w:color="000000"/>
              <w:left w:val="nil"/>
              <w:bottom w:val="single" w:sz="4" w:space="0" w:color="000000"/>
              <w:right w:val="nil"/>
            </w:tcBorders>
            <w:shd w:val="clear" w:color="auto" w:fill="auto"/>
            <w:vAlign w:val="center"/>
          </w:tcPr>
          <w:p w14:paraId="0000004F" w14:textId="77777777" w:rsidR="006508EE" w:rsidRDefault="006508EE">
            <w:pPr>
              <w:spacing w:after="0" w:line="240" w:lineRule="auto"/>
              <w:jc w:val="center"/>
              <w:rPr>
                <w:sz w:val="18"/>
                <w:szCs w:val="18"/>
              </w:rPr>
            </w:pPr>
          </w:p>
        </w:tc>
        <w:tc>
          <w:tcPr>
            <w:tcW w:w="1934" w:type="dxa"/>
            <w:tcBorders>
              <w:top w:val="single" w:sz="4" w:space="0" w:color="000000"/>
              <w:left w:val="nil"/>
              <w:bottom w:val="single" w:sz="4" w:space="0" w:color="000000"/>
            </w:tcBorders>
            <w:shd w:val="clear" w:color="auto" w:fill="auto"/>
            <w:vAlign w:val="center"/>
          </w:tcPr>
          <w:p w14:paraId="00000050" w14:textId="77777777" w:rsidR="006508EE" w:rsidRDefault="006508EE">
            <w:pPr>
              <w:spacing w:after="0" w:line="240" w:lineRule="auto"/>
              <w:jc w:val="center"/>
              <w:rPr>
                <w:sz w:val="18"/>
                <w:szCs w:val="18"/>
              </w:rPr>
            </w:pPr>
          </w:p>
        </w:tc>
      </w:tr>
      <w:tr w:rsidR="006508EE" w14:paraId="50739B6E" w14:textId="77777777">
        <w:trPr>
          <w:trHeight w:val="300"/>
        </w:trPr>
        <w:tc>
          <w:tcPr>
            <w:tcW w:w="3541" w:type="dxa"/>
            <w:tcBorders>
              <w:top w:val="single" w:sz="4" w:space="0" w:color="000000"/>
              <w:bottom w:val="nil"/>
              <w:right w:val="nil"/>
            </w:tcBorders>
            <w:shd w:val="clear" w:color="auto" w:fill="auto"/>
          </w:tcPr>
          <w:p w14:paraId="00000051" w14:textId="77777777" w:rsidR="006508EE" w:rsidRDefault="00F26A0A">
            <w:pPr>
              <w:spacing w:after="0" w:line="240" w:lineRule="auto"/>
              <w:rPr>
                <w:sz w:val="18"/>
                <w:szCs w:val="18"/>
              </w:rPr>
            </w:pPr>
            <w:r>
              <w:rPr>
                <w:sz w:val="18"/>
                <w:szCs w:val="18"/>
              </w:rPr>
              <w:t>Part des dépenses en santé en % du PIB</w:t>
            </w:r>
          </w:p>
        </w:tc>
        <w:tc>
          <w:tcPr>
            <w:tcW w:w="1937" w:type="dxa"/>
            <w:tcBorders>
              <w:top w:val="single" w:sz="4" w:space="0" w:color="000000"/>
              <w:left w:val="nil"/>
              <w:bottom w:val="nil"/>
              <w:right w:val="nil"/>
            </w:tcBorders>
            <w:shd w:val="clear" w:color="auto" w:fill="auto"/>
            <w:vAlign w:val="center"/>
          </w:tcPr>
          <w:p w14:paraId="00000052" w14:textId="77777777" w:rsidR="006508EE" w:rsidRDefault="00F26A0A">
            <w:pPr>
              <w:spacing w:after="0" w:line="240" w:lineRule="auto"/>
              <w:jc w:val="center"/>
              <w:rPr>
                <w:sz w:val="18"/>
                <w:szCs w:val="18"/>
              </w:rPr>
            </w:pPr>
            <w:r>
              <w:rPr>
                <w:sz w:val="18"/>
                <w:szCs w:val="18"/>
              </w:rPr>
              <w:t>10.3%</w:t>
            </w:r>
          </w:p>
        </w:tc>
        <w:tc>
          <w:tcPr>
            <w:tcW w:w="1937" w:type="dxa"/>
            <w:tcBorders>
              <w:top w:val="single" w:sz="4" w:space="0" w:color="000000"/>
              <w:left w:val="nil"/>
              <w:bottom w:val="nil"/>
              <w:right w:val="nil"/>
            </w:tcBorders>
            <w:shd w:val="clear" w:color="auto" w:fill="auto"/>
            <w:vAlign w:val="center"/>
          </w:tcPr>
          <w:p w14:paraId="00000053" w14:textId="77777777" w:rsidR="006508EE" w:rsidRDefault="00F26A0A">
            <w:pPr>
              <w:spacing w:after="0" w:line="240" w:lineRule="auto"/>
              <w:jc w:val="center"/>
              <w:rPr>
                <w:sz w:val="18"/>
                <w:szCs w:val="18"/>
              </w:rPr>
            </w:pPr>
            <w:r>
              <w:rPr>
                <w:sz w:val="18"/>
                <w:szCs w:val="18"/>
              </w:rPr>
              <w:t>11.3%</w:t>
            </w:r>
          </w:p>
        </w:tc>
        <w:tc>
          <w:tcPr>
            <w:tcW w:w="1934" w:type="dxa"/>
            <w:tcBorders>
              <w:top w:val="single" w:sz="4" w:space="0" w:color="000000"/>
              <w:left w:val="nil"/>
              <w:bottom w:val="nil"/>
            </w:tcBorders>
            <w:shd w:val="clear" w:color="auto" w:fill="auto"/>
            <w:vAlign w:val="center"/>
          </w:tcPr>
          <w:p w14:paraId="00000054" w14:textId="77777777" w:rsidR="006508EE" w:rsidRDefault="00F26A0A">
            <w:pPr>
              <w:spacing w:after="0" w:line="240" w:lineRule="auto"/>
              <w:jc w:val="center"/>
              <w:rPr>
                <w:sz w:val="18"/>
                <w:szCs w:val="18"/>
              </w:rPr>
            </w:pPr>
            <w:r>
              <w:rPr>
                <w:sz w:val="18"/>
                <w:szCs w:val="18"/>
              </w:rPr>
              <w:t>11.9%</w:t>
            </w:r>
          </w:p>
        </w:tc>
      </w:tr>
      <w:tr w:rsidR="006508EE" w14:paraId="7E1E9C41" w14:textId="77777777">
        <w:trPr>
          <w:trHeight w:val="300"/>
        </w:trPr>
        <w:tc>
          <w:tcPr>
            <w:tcW w:w="3541" w:type="dxa"/>
            <w:tcBorders>
              <w:top w:val="nil"/>
              <w:right w:val="nil"/>
            </w:tcBorders>
            <w:shd w:val="clear" w:color="auto" w:fill="auto"/>
          </w:tcPr>
          <w:p w14:paraId="00000055" w14:textId="77777777" w:rsidR="006508EE" w:rsidRDefault="00F26A0A">
            <w:pPr>
              <w:spacing w:after="0" w:line="240" w:lineRule="auto"/>
              <w:rPr>
                <w:sz w:val="18"/>
                <w:szCs w:val="18"/>
              </w:rPr>
            </w:pPr>
            <w:r>
              <w:rPr>
                <w:sz w:val="18"/>
                <w:szCs w:val="18"/>
              </w:rPr>
              <w:t>Part des dépenses en santé dans le budget des ménages (2016)</w:t>
            </w:r>
          </w:p>
        </w:tc>
        <w:tc>
          <w:tcPr>
            <w:tcW w:w="1937" w:type="dxa"/>
            <w:tcBorders>
              <w:top w:val="nil"/>
              <w:left w:val="nil"/>
              <w:right w:val="nil"/>
            </w:tcBorders>
            <w:shd w:val="clear" w:color="auto" w:fill="auto"/>
            <w:vAlign w:val="center"/>
          </w:tcPr>
          <w:p w14:paraId="00000056" w14:textId="77777777" w:rsidR="006508EE" w:rsidRDefault="00F26A0A">
            <w:pPr>
              <w:spacing w:after="0" w:line="240" w:lineRule="auto"/>
              <w:jc w:val="center"/>
              <w:rPr>
                <w:sz w:val="18"/>
                <w:szCs w:val="18"/>
              </w:rPr>
            </w:pPr>
            <w:r>
              <w:rPr>
                <w:sz w:val="18"/>
                <w:szCs w:val="18"/>
              </w:rPr>
              <w:t>6.66%</w:t>
            </w:r>
          </w:p>
        </w:tc>
        <w:tc>
          <w:tcPr>
            <w:tcW w:w="1937" w:type="dxa"/>
            <w:tcBorders>
              <w:top w:val="nil"/>
              <w:left w:val="nil"/>
              <w:right w:val="nil"/>
            </w:tcBorders>
            <w:shd w:val="clear" w:color="auto" w:fill="auto"/>
            <w:vAlign w:val="center"/>
          </w:tcPr>
          <w:p w14:paraId="00000057" w14:textId="77777777" w:rsidR="006508EE" w:rsidRDefault="00F26A0A">
            <w:pPr>
              <w:spacing w:after="0" w:line="240" w:lineRule="auto"/>
              <w:jc w:val="center"/>
              <w:rPr>
                <w:sz w:val="18"/>
                <w:szCs w:val="18"/>
              </w:rPr>
            </w:pPr>
            <w:r>
              <w:rPr>
                <w:sz w:val="18"/>
                <w:szCs w:val="18"/>
              </w:rPr>
              <w:t>4.19%</w:t>
            </w:r>
          </w:p>
        </w:tc>
        <w:tc>
          <w:tcPr>
            <w:tcW w:w="1934" w:type="dxa"/>
            <w:tcBorders>
              <w:top w:val="nil"/>
              <w:left w:val="nil"/>
            </w:tcBorders>
            <w:shd w:val="clear" w:color="auto" w:fill="auto"/>
            <w:vAlign w:val="center"/>
          </w:tcPr>
          <w:p w14:paraId="00000058" w14:textId="77777777" w:rsidR="006508EE" w:rsidRDefault="00F26A0A">
            <w:pPr>
              <w:spacing w:after="0" w:line="240" w:lineRule="auto"/>
              <w:jc w:val="center"/>
              <w:rPr>
                <w:sz w:val="18"/>
                <w:szCs w:val="18"/>
              </w:rPr>
            </w:pPr>
            <w:r>
              <w:rPr>
                <w:sz w:val="18"/>
                <w:szCs w:val="18"/>
              </w:rPr>
              <w:t>16.4%</w:t>
            </w:r>
          </w:p>
        </w:tc>
      </w:tr>
      <w:tr w:rsidR="006508EE" w14:paraId="775D6CE2" w14:textId="77777777">
        <w:trPr>
          <w:trHeight w:val="300"/>
        </w:trPr>
        <w:tc>
          <w:tcPr>
            <w:tcW w:w="9349" w:type="dxa"/>
            <w:gridSpan w:val="4"/>
            <w:shd w:val="clear" w:color="auto" w:fill="auto"/>
            <w:vAlign w:val="center"/>
          </w:tcPr>
          <w:p w14:paraId="00000059" w14:textId="77777777" w:rsidR="006508EE" w:rsidRDefault="00F26A0A">
            <w:pPr>
              <w:spacing w:after="0" w:line="240" w:lineRule="auto"/>
              <w:jc w:val="left"/>
              <w:rPr>
                <w:sz w:val="18"/>
                <w:szCs w:val="18"/>
              </w:rPr>
            </w:pPr>
            <w:r>
              <w:rPr>
                <w:sz w:val="18"/>
                <w:szCs w:val="18"/>
              </w:rPr>
              <w:t>Source des données : Statistiques OCDE (</w:t>
            </w:r>
            <w:hyperlink r:id="rId9">
              <w:r>
                <w:rPr>
                  <w:color w:val="1155CC"/>
                  <w:sz w:val="18"/>
                  <w:szCs w:val="18"/>
                  <w:u w:val="single"/>
                </w:rPr>
                <w:t>https://stats.oecd.org/</w:t>
              </w:r>
            </w:hyperlink>
            <w:r>
              <w:rPr>
                <w:sz w:val="18"/>
                <w:szCs w:val="18"/>
              </w:rPr>
              <w:t xml:space="preserve"> )</w:t>
            </w:r>
          </w:p>
        </w:tc>
      </w:tr>
    </w:tbl>
    <w:p w14:paraId="0000005D" w14:textId="77777777" w:rsidR="006508EE" w:rsidRDefault="006508EE"/>
    <w:p w14:paraId="0000005E" w14:textId="77777777" w:rsidR="006508EE" w:rsidRDefault="00F26A0A">
      <w:r>
        <w:lastRenderedPageBreak/>
        <w:t>La figure 1 présente l’évolution des dépenses en santé par habitant entre 2010 et 2018 dans les trois pays, par type de financement (versements obligatoires, versements directs des ménages, et assurances privées). Nous observons une croissance des dépenses totales dans les trois pays, et en particulier pour la Suisse. La part des dépenses financée directement par les ménages (en vert) est plus importante en Suisse que dans les deux autres pays. Au cours de la période, cette part est restée stable en France et en Belgique alors qu’elle a augmenté en Suisse. Notons également qu’une part des dépenses dites obligatoires (en rouge) est indépendante du revenu des ménages en Suisse (primes d’assurance maladie), contrairement à la Belgique et à la France où les contributions sont calculées en fonction du revenu.</w:t>
      </w:r>
    </w:p>
    <w:p w14:paraId="0000005F" w14:textId="77777777" w:rsidR="006508EE" w:rsidRDefault="00F26A0A">
      <w:pPr>
        <w:jc w:val="center"/>
      </w:pPr>
      <w:r>
        <w:rPr>
          <w:b/>
        </w:rPr>
        <w:t>Figure 1 : Dépenses en santé par habitant dans les trois pays</w:t>
      </w:r>
    </w:p>
    <w:p w14:paraId="00000060" w14:textId="77777777" w:rsidR="006508EE" w:rsidRDefault="00F26A0A">
      <w:pPr>
        <w:jc w:val="center"/>
      </w:pPr>
      <w:r>
        <w:rPr>
          <w:noProof/>
        </w:rPr>
        <w:drawing>
          <wp:inline distT="0" distB="0" distL="0" distR="0" wp14:anchorId="6886DF15" wp14:editId="192923F7">
            <wp:extent cx="4279241" cy="3207544"/>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t="15" b="15"/>
                    <a:stretch>
                      <a:fillRect/>
                    </a:stretch>
                  </pic:blipFill>
                  <pic:spPr>
                    <a:xfrm>
                      <a:off x="0" y="0"/>
                      <a:ext cx="4279241" cy="3207544"/>
                    </a:xfrm>
                    <a:prstGeom prst="rect">
                      <a:avLst/>
                    </a:prstGeom>
                    <a:ln/>
                  </pic:spPr>
                </pic:pic>
              </a:graphicData>
            </a:graphic>
          </wp:inline>
        </w:drawing>
      </w:r>
    </w:p>
    <w:p w14:paraId="00000061" w14:textId="77777777" w:rsidR="006508EE" w:rsidRDefault="00F26A0A">
      <w:pPr>
        <w:spacing w:line="240" w:lineRule="auto"/>
        <w:jc w:val="center"/>
        <w:rPr>
          <w:sz w:val="18"/>
          <w:szCs w:val="18"/>
        </w:rPr>
      </w:pPr>
      <w:r>
        <w:rPr>
          <w:sz w:val="18"/>
          <w:szCs w:val="18"/>
        </w:rPr>
        <w:t>Les montants sont exprimés en Dollars US PPP ("parité du pouvoir d'achat"), ce qui permet de rendre les chiffres comparables entre les pays. Source des données : Statistiques OCDE (</w:t>
      </w:r>
      <w:hyperlink r:id="rId11">
        <w:r>
          <w:rPr>
            <w:color w:val="1155CC"/>
            <w:sz w:val="18"/>
            <w:szCs w:val="18"/>
            <w:u w:val="single"/>
          </w:rPr>
          <w:t>https://stats.oecd.org/</w:t>
        </w:r>
      </w:hyperlink>
      <w:r>
        <w:rPr>
          <w:sz w:val="18"/>
          <w:szCs w:val="18"/>
        </w:rPr>
        <w:t xml:space="preserve"> )</w:t>
      </w:r>
    </w:p>
    <w:p w14:paraId="00000062" w14:textId="77777777" w:rsidR="006508EE" w:rsidRDefault="006508EE">
      <w:pPr>
        <w:jc w:val="center"/>
      </w:pPr>
    </w:p>
    <w:p w14:paraId="00000063" w14:textId="6CE6868F" w:rsidR="006508EE" w:rsidRDefault="00F26A0A">
      <w:pPr>
        <w:rPr>
          <w:rFonts w:ascii="Times New Roman" w:eastAsia="Times New Roman" w:hAnsi="Times New Roman" w:cs="Times New Roman"/>
          <w:sz w:val="24"/>
          <w:szCs w:val="24"/>
        </w:rPr>
      </w:pPr>
      <w:r>
        <w:t xml:space="preserve">Ces différences dans les dépenses de santé s’expliquent par les spécificités d’organisation et de financement des soins dans les trois systèmes de santé. Le degré de centralisation varie fortement d’un pays à l’autre. En France, l'État joue un rôle majeur en matière de politiques publiques de santé et de régulation du système de soins, avec des agences régionales de santé qui relaient les politiques nationales </w:t>
      </w:r>
      <w:r>
        <w:lastRenderedPageBreak/>
        <w:t>en les adaptant aux caractéristiques du territoire. Le système de santé belge est organisé au niveau fédéral et au niveau régional (Wallonie, Flandres, Bruxelles-Capitale) avec une répartition des missions entre les deux niveaux décisionnels. L’organisation des soins en Suisse est une compétence qui relève historiquement des cantons, donnant lieu à un système fortement décentralisé. Au niveau national, la Confédération fixe le cadre légal général, notamment en matière d’assurance maladie (</w:t>
      </w:r>
      <w:proofErr w:type="spellStart"/>
      <w:r>
        <w:t>LAMal</w:t>
      </w:r>
      <w:proofErr w:type="spellEnd"/>
      <w:r>
        <w:t xml:space="preserve">). Elle assume aussi des missions de régulation, telles que l’autorisation de mise </w:t>
      </w:r>
      <w:r w:rsidR="009E22D9">
        <w:t>sur le</w:t>
      </w:r>
      <w:r>
        <w:t xml:space="preserve"> marché des médicaments.</w:t>
      </w:r>
    </w:p>
    <w:p w14:paraId="00000064" w14:textId="74DCF54C" w:rsidR="006508EE" w:rsidRDefault="00F26A0A">
      <w:r>
        <w:t xml:space="preserve">En termes de financement et de couverture d’assurance, les systèmes de santé fonctionnent aussi de manière très différente. Le tableau 2 fournit des détails sur la couverture d’assurance maladie dans les trois pays, notamment en ce qui concerne la participation aux frais, les éventuelles exonérations, ainsi que le rôle des assurances privées. En Belgique, tout résident est tenu de s’affilier à une caisse d’assurance maladie auprès de </w:t>
      </w:r>
      <w:r w:rsidR="00A9174F">
        <w:t>l</w:t>
      </w:r>
      <w:r>
        <w:t>a caisse auxiliaire d’assurance maladie-invalidité (CAAMI), établissement public, ou directement auprès d’une mutu</w:t>
      </w:r>
      <w:r w:rsidR="00364ECE">
        <w:t>elle</w:t>
      </w:r>
      <w:r>
        <w:t xml:space="preserve"> privée à but non lucratif. L'affiliation à une mutuelle pour les services de base est nominale, uniforme et gratuite. Toutes les mutuelles et la CAAMI offrent les mêmes formules d'assurance obligatoire avec remboursement fixé par </w:t>
      </w:r>
      <w:r w:rsidR="00CA6BF5">
        <w:t>l’</w:t>
      </w:r>
      <w:r>
        <w:t>Institut national d'assurance maladie-invalidité</w:t>
      </w:r>
      <w:r w:rsidR="00CA6BF5">
        <w:t xml:space="preserve"> (l'INAMI</w:t>
      </w:r>
      <w:r>
        <w:t>). La CAAMI et les mut</w:t>
      </w:r>
      <w:r w:rsidR="00364ECE">
        <w:t>uelles</w:t>
      </w:r>
      <w:r>
        <w:t xml:space="preserve"> paient aussi des indemnités dans des cas particuliers (par ex. incapacité de travail). Historiquement, le système belge repose sur l’association de participation aux frais du patient et d’une assurance obligatoire visant à garantir l’accessibilité à des soins de base. Il existe une offre d’assurance complémentaire auprès des </w:t>
      </w:r>
      <w:r w:rsidR="00364ECE">
        <w:t>mutuelles</w:t>
      </w:r>
      <w:r>
        <w:t xml:space="preserve"> privées permettant le remboursement d’autres prestations non couvertes par cette assurance obligatoire. En France, le</w:t>
      </w:r>
      <w:r>
        <w:rPr>
          <w:b/>
        </w:rPr>
        <w:t xml:space="preserve"> </w:t>
      </w:r>
      <w:r>
        <w:t>financement</w:t>
      </w:r>
      <w:r>
        <w:rPr>
          <w:b/>
        </w:rPr>
        <w:t xml:space="preserve"> </w:t>
      </w:r>
      <w:r>
        <w:t>du système est assuré en grande partie par la Sécurité sociale (SS), un organisme quasi-public encadré par l'État et complété notamment par des assurances privées (mutuelles). Le système de SS est universel et solidaire ; il englobe 4 domaines sociaux</w:t>
      </w:r>
      <w:r w:rsidR="00CB2986">
        <w:t xml:space="preserve"> </w:t>
      </w:r>
      <w:r>
        <w:t xml:space="preserve">: la maladie, la famille, la vieillesse et l’accident de travail. Les recettes de l’assurance maladie proviennent essentiellement des employeurs et des salariés/assurés via des cotisations sociales basées sur les salaires/revenus. Les frais de santé couverts par l’assurance maladie (et à concurrence du tarif conventionné), varient en fonction de la nature des prestations, de l’état de santé (reconnaissance d’une maladie chronique) mais aussi de conditions de ressources. En Suisse, toute personne résidente a l’obligation de souscrire un contrat d’assurance </w:t>
      </w:r>
      <w:r w:rsidR="00CA6BF5">
        <w:t xml:space="preserve">maladie </w:t>
      </w:r>
      <w:r>
        <w:t xml:space="preserve">obligatoire (AOS). Celui-ci prend la forme d’une prime-franchise souscrite auprès de l’une des 50 entreprises d’assurance </w:t>
      </w:r>
      <w:r w:rsidR="00CA6BF5">
        <w:t xml:space="preserve">maladie </w:t>
      </w:r>
      <w:r>
        <w:t xml:space="preserve">privées existant sur le marché. Ces dernières doivent accepter toute personne souhaitant s’assurer chez elles et ne sont pas autorisées à faire des bénéfices à travers l’AOS. Les primes ne dépendent pas du revenu des assurés. Les personnes ayant un revenu faible peuvent bénéficier d’un subside dont les modalités d'obtention varient selon le canton. L’AOS couvre un large panier de prestations définies au niveau fédéral. Les frais médicaux sont à la charge de l’assuré jusqu’à concurrence de la franchise. Au-delà, l’assureur couvre 90% des dépenses. Il est possible de payer des primes plus basses en sélectionnant un seuil de franchise plus élevé, ou en optant pour un modèle d’assurance alternatif. Des assurances </w:t>
      </w:r>
      <w:r w:rsidR="00364ECE">
        <w:t xml:space="preserve">complémentaires </w:t>
      </w:r>
      <w:r>
        <w:t>privées sont disponibles pour des prestations non couvertes par l’AOS. Sur ce marché, les assureurs sont autorisés à faire des bénéfices, discriminer par âge, sexe et état de santé.</w:t>
      </w:r>
    </w:p>
    <w:p w14:paraId="09015423" w14:textId="537ADEFF" w:rsidR="00322155" w:rsidRDefault="00F26A0A" w:rsidP="00322155">
      <w:pPr>
        <w:jc w:val="center"/>
        <w:rPr>
          <w:b/>
        </w:rPr>
      </w:pPr>
      <w:r>
        <w:rPr>
          <w:b/>
        </w:rPr>
        <w:t>Tableau 2 : Assurance maladie et financement dans les trois pays</w:t>
      </w:r>
    </w:p>
    <w:p w14:paraId="00000066" w14:textId="77777777" w:rsidR="006508EE" w:rsidRDefault="00F26A0A">
      <w:pPr>
        <w:pStyle w:val="Titre2"/>
      </w:pPr>
      <w:bookmarkStart w:id="0" w:name="_heading=h.xieyqexeh9ml" w:colFirst="0" w:colLast="0"/>
      <w:bookmarkEnd w:id="0"/>
      <w:r>
        <w:t>Politiques et mesures ciblées sur la participation aux frais de santé</w:t>
      </w:r>
    </w:p>
    <w:p w14:paraId="00000067" w14:textId="4D65F123" w:rsidR="006508EE" w:rsidRDefault="00F26A0A">
      <w:r>
        <w:t xml:space="preserve">Les trois pays ont des approches différentes concernant la prise en compte des ressources financières dans la participation aux frais de santé. Certains mécanismes résumés dans le tableau 2 permettent d’alléger le poids financier des soins et ainsi de réduire certaines dimensions de vulnérabilité. En Belgique, par exemple, devant l’accroissement des </w:t>
      </w:r>
      <w:r w:rsidR="00407CB8">
        <w:t>copaiements</w:t>
      </w:r>
      <w:r>
        <w:t xml:space="preserve"> pour certains groupes les plus </w:t>
      </w:r>
      <w:r w:rsidR="00CA6BF5">
        <w:t xml:space="preserve">vulnérables </w:t>
      </w:r>
      <w:r>
        <w:t>de la société (pauvres, malades, enfants), le maximum à facturer (</w:t>
      </w:r>
      <w:proofErr w:type="spellStart"/>
      <w:r>
        <w:t>MàF</w:t>
      </w:r>
      <w:proofErr w:type="spellEnd"/>
      <w:r>
        <w:t xml:space="preserve">) a été mis en place depuis 2007. Cette mesure ne remet pas en question l’existence </w:t>
      </w:r>
      <w:r w:rsidR="00407CB8">
        <w:t>de la participation aux frais</w:t>
      </w:r>
      <w:r>
        <w:t xml:space="preserve">, qui permet la responsabilité individuelle devant la consommation de soins, mais considère que l’accumulation de </w:t>
      </w:r>
      <w:r w:rsidR="00407CB8">
        <w:t>copaiements</w:t>
      </w:r>
      <w:r>
        <w:t xml:space="preserve"> n’est plus socialement acceptable lorsque la charge financière devient trop grande pour le patient. Ainsi, le </w:t>
      </w:r>
      <w:proofErr w:type="spellStart"/>
      <w:r>
        <w:t>MàF</w:t>
      </w:r>
      <w:proofErr w:type="spellEnd"/>
      <w:r>
        <w:t xml:space="preserve"> prend en compte l’ensemble des </w:t>
      </w:r>
      <w:r w:rsidR="00407CB8">
        <w:t>copaiements</w:t>
      </w:r>
      <w:r>
        <w:t xml:space="preserve"> annuels au niveau familial et ce montant est comparé à un plafond qui dépend des revenus familiaux nets imposables (de 478 à 1910 euros annuels en 2020). Les </w:t>
      </w:r>
      <w:r w:rsidR="00407CB8">
        <w:t xml:space="preserve">contributions </w:t>
      </w:r>
      <w:r>
        <w:t>au-delà de la valeur du plafond sont alors remboursés par l’assurance obligatoire</w:t>
      </w:r>
      <w:r>
        <w:rPr>
          <w:vertAlign w:val="superscript"/>
        </w:rPr>
        <w:footnoteReference w:id="1"/>
      </w:r>
      <w:r>
        <w:t xml:space="preserve">. Une diminution du plafond total de 100 euros est de plus ajoutée si un membre du ménage a une affection chronique. </w:t>
      </w:r>
      <w:proofErr w:type="spellStart"/>
      <w:r>
        <w:t>Malgre</w:t>
      </w:r>
      <w:proofErr w:type="spellEnd"/>
      <w:r>
        <w:t>́ cela, la quote-part des patients représente en moyenne 18% des dépenses totales de santé et 9,1% des ménages indiquent qu’ils ont dû reporter des soins de santé nécessaires pour des raisons financières au cours des 12 derniers mois (Enquête de Santé 2018</w:t>
      </w:r>
      <w:r>
        <w:rPr>
          <w:vertAlign w:val="superscript"/>
        </w:rPr>
        <w:footnoteReference w:id="2"/>
      </w:r>
      <w:r>
        <w:t>).</w:t>
      </w:r>
    </w:p>
    <w:bookmarkStart w:id="1" w:name="_heading=h.tfsawwudcrcm" w:colFirst="0" w:colLast="0"/>
    <w:bookmarkEnd w:id="1"/>
    <w:p w14:paraId="00000068" w14:textId="330C7692" w:rsidR="006508EE" w:rsidRDefault="00D25515">
      <w:pPr>
        <w:rPr>
          <w:i/>
        </w:rPr>
      </w:pPr>
      <w:sdt>
        <w:sdtPr>
          <w:tag w:val="goog_rdk_2"/>
          <w:id w:val="-1012522354"/>
        </w:sdtPr>
        <w:sdtEndPr/>
        <w:sdtContent/>
      </w:sdt>
      <w:r w:rsidR="00F26A0A">
        <w:t xml:space="preserve">En France, on note deux mesures particulières. La première, axée sur des critères médicaux, cible les personnes les plus malades et repose sur l’exonération des </w:t>
      </w:r>
      <w:r w:rsidR="00407CB8">
        <w:t>copaiements</w:t>
      </w:r>
      <w:r w:rsidR="00F26A0A">
        <w:t xml:space="preserve"> pour une trentaine de maladies chroniques (ALD). Tous les soins et médicaments en lien direct avec la prise en charge de la ou des maladies ALD bénéficient d’une prise </w:t>
      </w:r>
      <w:r w:rsidR="006F3842">
        <w:t xml:space="preserve">en charge </w:t>
      </w:r>
      <w:r w:rsidR="00F26A0A">
        <w:t>totale par l’assurance obligatoire, le temps de la maladie. La liste des ALD est définie par le ministre de la santé. La seconde mesure cible les plus vulnérables sur le plan socio-économique et leur permet de bénéficier gratuitement d’une couverture complémentaire santé (CSS, Tableau</w:t>
      </w:r>
      <w:r w:rsidR="00915910">
        <w:t xml:space="preserve"> 2</w:t>
      </w:r>
      <w:r w:rsidR="00F26A0A" w:rsidRPr="00915910">
        <w:t xml:space="preserve">). </w:t>
      </w:r>
      <w:r w:rsidR="006F3842">
        <w:t>Visant à améliorer l’accès aux soins, l</w:t>
      </w:r>
      <w:r w:rsidR="00F26A0A">
        <w:t xml:space="preserve">es deux mesures peuvent être cumulées. </w:t>
      </w:r>
    </w:p>
    <w:p w14:paraId="00000069" w14:textId="257600DE" w:rsidR="006508EE" w:rsidRDefault="00F26A0A">
      <w:r>
        <w:t>Pour la Suisse, mises à part les rares exemptions prévues dans la loi sur l’assurance maladie (voir tableau</w:t>
      </w:r>
      <w:r w:rsidR="00406EF9">
        <w:t xml:space="preserve"> 2</w:t>
      </w:r>
      <w:r>
        <w:t xml:space="preserve">), et des cas particuliers liés à des prestations d’assurances sociales, il n’existe pas de mesures soulageant ou réduisant la participation aux </w:t>
      </w:r>
      <w:r w:rsidR="00CB2986">
        <w:t xml:space="preserve">frais </w:t>
      </w:r>
      <w:r>
        <w:t xml:space="preserve">des assurés en Suisse. Au contraire, des discussions sont en cours allant dans le sens d’une augmentation du niveau des franchises. Des mesures ont toutefois été adoptées récemment au niveau cantonal et sont à l’étude au niveau fédéral pour limiter le fardeau des primes de l’assurance maladie obligatoire dans le budget des ménages. Dans le canton de Vaud par exemple, </w:t>
      </w:r>
      <w:r w:rsidR="00D70638">
        <w:t xml:space="preserve">un subside complémentaire est </w:t>
      </w:r>
      <w:r w:rsidR="00B72E48">
        <w:t>octroyé</w:t>
      </w:r>
      <w:r w:rsidR="00D70638">
        <w:t xml:space="preserve"> aux ménages</w:t>
      </w:r>
      <w:r w:rsidR="00B72E48">
        <w:t xml:space="preserve"> pour lesquels la charge des primes </w:t>
      </w:r>
      <w:r w:rsidR="00006C79">
        <w:t>reste particulièrement élevée</w:t>
      </w:r>
      <w:r>
        <w:t xml:space="preserve"> (</w:t>
      </w:r>
      <w:proofErr w:type="spellStart"/>
      <w:r>
        <w:t>LVLAMal</w:t>
      </w:r>
      <w:proofErr w:type="spellEnd"/>
      <w:r>
        <w:t xml:space="preserve"> article 17a alinéa 1</w:t>
      </w:r>
      <w:r>
        <w:rPr>
          <w:vertAlign w:val="superscript"/>
        </w:rPr>
        <w:footnoteReference w:id="3"/>
      </w:r>
      <w:r w:rsidR="00006C79" w:rsidRPr="00696788">
        <w:rPr>
          <w:vertAlign w:val="superscript"/>
        </w:rPr>
        <w:t>,</w:t>
      </w:r>
      <w:r w:rsidR="00006C79">
        <w:rPr>
          <w:rStyle w:val="Appelnotedebasdep"/>
        </w:rPr>
        <w:footnoteReference w:id="4"/>
      </w:r>
      <w:r>
        <w:t>).</w:t>
      </w:r>
      <w:r w:rsidR="00B72E48">
        <w:t xml:space="preserve"> </w:t>
      </w:r>
      <w:r>
        <w:t>D’autres initiatives concernent des populations ciblées (par exemple les soins dentaires pour les enfants).</w:t>
      </w:r>
    </w:p>
    <w:p w14:paraId="0000006A" w14:textId="77777777" w:rsidR="006508EE" w:rsidRDefault="00F26A0A">
      <w:pPr>
        <w:pStyle w:val="Titre1"/>
      </w:pPr>
      <w:bookmarkStart w:id="2" w:name="_heading=h.mueomve43gei" w:colFirst="0" w:colLast="0"/>
      <w:bookmarkEnd w:id="2"/>
      <w:r>
        <w:br w:type="page"/>
      </w:r>
    </w:p>
    <w:p w14:paraId="0000006B" w14:textId="12CD93C9" w:rsidR="006508EE" w:rsidRDefault="0094423C">
      <w:pPr>
        <w:pStyle w:val="Titre1"/>
      </w:pPr>
      <w:bookmarkStart w:id="3" w:name="_heading=h.p4hocmxi3adx" w:colFirst="0" w:colLast="0"/>
      <w:bookmarkEnd w:id="3"/>
      <w:r>
        <w:t>Discussion</w:t>
      </w:r>
    </w:p>
    <w:p w14:paraId="0000006C" w14:textId="00F8A081" w:rsidR="006508EE" w:rsidRDefault="00F26A0A">
      <w:r>
        <w:t xml:space="preserve">Dans les trois systèmes de santé étudiés, les ménages sont mis à contribution à des degrés divers pour le financement des soins, avec dans certains cas une prise en compte de leur capacité à payer (ressources) et/ou leur état de santé (besoins). La Suisse se distingue par la part importante de ses dépenses de santé financées par les ménages de manière directe (franchises, </w:t>
      </w:r>
      <w:r w:rsidR="00407CB8">
        <w:t>copaiements</w:t>
      </w:r>
      <w:r>
        <w:t xml:space="preserve">) et indirecte à travers des primes d’assurance maladie ne prenant que partiellement en compte les ressources financières. Les ménages suisses consacrent ainsi une part importante de leur revenu pour les soins de santé et les contributions obligatoires, et cette part est d'autant plus importante que les revenus sont bas. </w:t>
      </w:r>
    </w:p>
    <w:p w14:paraId="0000006D" w14:textId="29325853" w:rsidR="006508EE" w:rsidRDefault="00F26A0A">
      <w:r>
        <w:t xml:space="preserve">Si certains individus ne recourent pas </w:t>
      </w:r>
      <w:r w:rsidR="00407CB8">
        <w:t>à des</w:t>
      </w:r>
      <w:r>
        <w:t xml:space="preserve"> soins</w:t>
      </w:r>
      <w:r w:rsidR="00407CB8">
        <w:t xml:space="preserve"> nécessaires</w:t>
      </w:r>
      <w:r>
        <w:t xml:space="preserve"> du fait d’une participation aux frais de santé trop importante, cela conduira à un problème d’équité dans l'accès aux soins qui met en évidence une double peine liée aux deux vulnérabilités de mauvaise santé et de précarité financière. Les trois systèmes de santé présentés ici diffèrent largement dans leurs politiques publiques de réponse </w:t>
      </w:r>
      <w:r w:rsidR="00407CB8">
        <w:t xml:space="preserve">aux </w:t>
      </w:r>
      <w:r>
        <w:t>causes de</w:t>
      </w:r>
      <w:r w:rsidR="00407CB8">
        <w:t>s</w:t>
      </w:r>
      <w:r>
        <w:t xml:space="preserve"> inégalités de consommation de soins dans la population. Les systèmes belge et français ont mis en place des politiques facilitant un accès privilégié aux soins à la fois pour les malades chroniques et pour les plus pauvres. Si la Belgique conserve systématiquement une participation aux frais, la France couvre la totalité des soins pour les malades chroniques et les plus pauvres. Le système suisse agit essentiellement sur le fardeau financier des ménages mais ne prend pas en compte la surcharge financière des soins pour les plus malades indépendamment de leur statut socio-économique. </w:t>
      </w:r>
    </w:p>
    <w:p w14:paraId="0000006E" w14:textId="73AB3AFE" w:rsidR="006508EE" w:rsidRDefault="00F26A0A">
      <w:r w:rsidRPr="00915910">
        <w:t xml:space="preserve">Néanmoins, si réduire la participation aux frais de santé pour les plus pauvres ou les malades a permis de modérer l’accroissement des </w:t>
      </w:r>
      <w:r w:rsidR="00407CB8">
        <w:t>iniquités</w:t>
      </w:r>
      <w:r w:rsidRPr="00915910">
        <w:t xml:space="preserve"> de santé notamment en France et en Belgique, </w:t>
      </w:r>
      <w:r w:rsidR="00915910" w:rsidRPr="00915910">
        <w:t>c</w:t>
      </w:r>
      <w:r w:rsidRPr="00915910">
        <w:t>e mécanisme ne semble pas élimine</w:t>
      </w:r>
      <w:r w:rsidR="00407CB8">
        <w:t>r</w:t>
      </w:r>
      <w:r w:rsidR="00915910" w:rsidRPr="00915910">
        <w:t xml:space="preserve"> l</w:t>
      </w:r>
      <w:r w:rsidRPr="00915910">
        <w:t>eur présence</w:t>
      </w:r>
      <w:r w:rsidRPr="00915910">
        <w:rPr>
          <w:vertAlign w:val="superscript"/>
        </w:rPr>
        <w:t>14</w:t>
      </w:r>
      <w:r w:rsidRPr="00915910">
        <w:t>.</w:t>
      </w:r>
      <w:r>
        <w:t xml:space="preserve"> Quel serait le système de santé idéal pour concilier recherche d’efficience dans les soins consommés et équité dans l'accès aux soins ? Proposer une participation aux frais d’autant plus faible que le soin est considéré nécessaire et essentiel pourrait être la voie à suivre, encore faut-il être en mesure de définir ce que sont les soins à valeur ajoutée.</w:t>
      </w:r>
    </w:p>
    <w:p w14:paraId="0B030C3A" w14:textId="36A52942" w:rsidR="0094423C" w:rsidRDefault="0094423C" w:rsidP="0094423C">
      <w:pPr>
        <w:pStyle w:val="Titre1"/>
      </w:pPr>
      <w:r>
        <w:t>Conclusion</w:t>
      </w:r>
    </w:p>
    <w:p w14:paraId="1E7C4BCD" w14:textId="083E05ED" w:rsidR="0094423C" w:rsidRDefault="00397289" w:rsidP="00397289">
      <w:r w:rsidRPr="00397289">
        <w:t xml:space="preserve">Alors que </w:t>
      </w:r>
      <w:r w:rsidRPr="00712D8A">
        <w:rPr>
          <w:bCs/>
        </w:rPr>
        <w:t>l</w:t>
      </w:r>
      <w:r w:rsidRPr="00CB2986">
        <w:rPr>
          <w:bCs/>
        </w:rPr>
        <w:t>a</w:t>
      </w:r>
      <w:r w:rsidRPr="00397289">
        <w:t xml:space="preserve"> théorie économique standard fournit une justification aux mécanismes de participation aux frais </w:t>
      </w:r>
      <w:r w:rsidR="00CB2986">
        <w:t>de</w:t>
      </w:r>
      <w:r w:rsidR="00CB2986" w:rsidRPr="00397289">
        <w:t xml:space="preserve"> </w:t>
      </w:r>
      <w:r w:rsidRPr="00397289">
        <w:t>santé et de mise en place d’une couverture partielle d’assurance, ceux-ci peuvent induire des conséquences en termes d’accès aux soins de santé et d’équité dans la population. La participation financière sera un frein à l’accès aux soins d’autant plus important que les personnes sont pauvres et dans des situations précaires</w:t>
      </w:r>
      <w:r w:rsidR="00CB2986" w:rsidRPr="00CB2986">
        <w:t xml:space="preserve"> </w:t>
      </w:r>
      <w:r w:rsidR="00CB2986">
        <w:t>d’état de santé</w:t>
      </w:r>
      <w:r w:rsidRPr="00397289">
        <w:t xml:space="preserve">. Ainsi, ce type d’incitatifs doit prendre en compte </w:t>
      </w:r>
      <w:r w:rsidR="00CB2986">
        <w:t xml:space="preserve">à la fois </w:t>
      </w:r>
      <w:r w:rsidRPr="00397289">
        <w:t>la capacité à payer</w:t>
      </w:r>
      <w:r w:rsidR="0094423C">
        <w:t xml:space="preserve"> et l’état de santé</w:t>
      </w:r>
      <w:r w:rsidRPr="00397289">
        <w:t xml:space="preserve"> de la population pour limiter le renoncement aux soins et assurer l'équité dans l'accès aux soins en fonction des besoins et non en fonction des moyens.</w:t>
      </w:r>
    </w:p>
    <w:p w14:paraId="4F5DA3AD" w14:textId="77777777" w:rsidR="0094423C" w:rsidRDefault="0094423C">
      <w:r>
        <w:br w:type="page"/>
      </w:r>
    </w:p>
    <w:p w14:paraId="164A415F" w14:textId="3692A900" w:rsidR="0094423C" w:rsidRDefault="00B47F94" w:rsidP="00397289">
      <w:r>
        <w:rPr>
          <w:noProof/>
        </w:rPr>
        <mc:AlternateContent>
          <mc:Choice Requires="wps">
            <w:drawing>
              <wp:anchor distT="0" distB="0" distL="114300" distR="114300" simplePos="0" relativeHeight="251659264" behindDoc="0" locked="0" layoutInCell="1" allowOverlap="1" wp14:anchorId="701C1159" wp14:editId="4A3D19E7">
                <wp:simplePos x="0" y="0"/>
                <wp:positionH relativeFrom="margin">
                  <wp:align>left</wp:align>
                </wp:positionH>
                <wp:positionV relativeFrom="paragraph">
                  <wp:posOffset>419099</wp:posOffset>
                </wp:positionV>
                <wp:extent cx="5034280" cy="5838825"/>
                <wp:effectExtent l="0" t="0" r="13970" b="28575"/>
                <wp:wrapNone/>
                <wp:docPr id="1" name="Zone de texte 1"/>
                <wp:cNvGraphicFramePr/>
                <a:graphic xmlns:a="http://schemas.openxmlformats.org/drawingml/2006/main">
                  <a:graphicData uri="http://schemas.microsoft.com/office/word/2010/wordprocessingShape">
                    <wps:wsp>
                      <wps:cNvSpPr txBox="1"/>
                      <wps:spPr>
                        <a:xfrm>
                          <a:off x="0" y="0"/>
                          <a:ext cx="5034280" cy="5838825"/>
                        </a:xfrm>
                        <a:prstGeom prst="rect">
                          <a:avLst/>
                        </a:prstGeom>
                        <a:solidFill>
                          <a:sysClr val="window" lastClr="FFFFFF"/>
                        </a:solidFill>
                        <a:ln w="6350">
                          <a:solidFill>
                            <a:prstClr val="black"/>
                          </a:solidFill>
                        </a:ln>
                      </wps:spPr>
                      <wps:txbx>
                        <w:txbxContent>
                          <w:p w14:paraId="50881384" w14:textId="77777777" w:rsidR="0094423C" w:rsidRPr="00407CB8" w:rsidRDefault="0094423C" w:rsidP="0094423C">
                            <w:pPr>
                              <w:rPr>
                                <w:b/>
                                <w:bCs/>
                                <w:sz w:val="18"/>
                                <w:szCs w:val="18"/>
                              </w:rPr>
                            </w:pPr>
                            <w:r w:rsidRPr="00407CB8">
                              <w:rPr>
                                <w:b/>
                                <w:bCs/>
                                <w:sz w:val="18"/>
                                <w:szCs w:val="18"/>
                              </w:rPr>
                              <w:t>Cadre théorique sur la couverture maladie</w:t>
                            </w:r>
                          </w:p>
                          <w:p w14:paraId="34151792" w14:textId="3C833B73" w:rsidR="003819E6" w:rsidRPr="003819E6" w:rsidRDefault="0094423C" w:rsidP="003819E6">
                            <w:pPr>
                              <w:rPr>
                                <w:sz w:val="16"/>
                                <w:szCs w:val="16"/>
                              </w:rPr>
                            </w:pPr>
                            <w:r w:rsidRPr="00407CB8">
                              <w:rPr>
                                <w:sz w:val="16"/>
                                <w:szCs w:val="16"/>
                              </w:rPr>
                              <w:t>Le concept de couverture universelle se décrit traditionnellement selon trois dimensions : la part de la population couverte, l’étendue des services couverts, et la proportion des coûts couverts (ou la protection financière)</w:t>
                            </w:r>
                            <w:r w:rsidRPr="00407CB8">
                              <w:rPr>
                                <w:sz w:val="16"/>
                                <w:szCs w:val="16"/>
                                <w:vertAlign w:val="superscript"/>
                              </w:rPr>
                              <w:t>15</w:t>
                            </w:r>
                            <w:r w:rsidRPr="00407CB8">
                              <w:rPr>
                                <w:sz w:val="16"/>
                                <w:szCs w:val="16"/>
                              </w:rPr>
                              <w:t xml:space="preserve">, et est souvent représenté dans un cube reflétant les valeurs moyennes de chaque dimension pour un pays donné. Une prise en compte explicite de l’équité dans ce cadre conceptuel a été proposée </w:t>
                            </w:r>
                            <w:r w:rsidRPr="00407CB8">
                              <w:rPr>
                                <w:sz w:val="16"/>
                                <w:szCs w:val="16"/>
                                <w:vertAlign w:val="superscript"/>
                              </w:rPr>
                              <w:t>16</w:t>
                            </w:r>
                            <w:r w:rsidRPr="00407CB8">
                              <w:rPr>
                                <w:sz w:val="16"/>
                                <w:szCs w:val="16"/>
                              </w:rPr>
                              <w:t xml:space="preserve">, permettant de visualiser par exemple si la protection financière ou l’accès à certains services varie par sous-groupes de la population. Une adaptation proposée par </w:t>
                            </w:r>
                            <w:proofErr w:type="spellStart"/>
                            <w:r w:rsidRPr="00407CB8">
                              <w:rPr>
                                <w:sz w:val="16"/>
                                <w:szCs w:val="16"/>
                              </w:rPr>
                              <w:t>Wenzl</w:t>
                            </w:r>
                            <w:proofErr w:type="spellEnd"/>
                            <w:r w:rsidRPr="00407CB8">
                              <w:rPr>
                                <w:sz w:val="16"/>
                                <w:szCs w:val="16"/>
                              </w:rPr>
                              <w:t xml:space="preserve"> et al.</w:t>
                            </w:r>
                            <w:r w:rsidRPr="00407CB8">
                              <w:rPr>
                                <w:b/>
                                <w:sz w:val="16"/>
                                <w:szCs w:val="16"/>
                                <w:vertAlign w:val="superscript"/>
                              </w:rPr>
                              <w:t>1</w:t>
                            </w:r>
                            <w:r w:rsidRPr="00407CB8">
                              <w:rPr>
                                <w:sz w:val="16"/>
                                <w:szCs w:val="16"/>
                              </w:rPr>
                              <w:t xml:space="preserve"> reprend les trois dimensions et l’applique à la problématique spécifique de la couverture d’assurance maladie. On y décrit 1) la part de la population couverte ainsi que la contribution au financement de différents segments de la population (par ex. les ménages à bas revenus consacrent-ils une proportion plus élevée de leur revenu aux dépenses de santé ?), 2) l’étendue des services couverts (par ex. les soins dentaires sont-ils compris dans la couverture de base ?), et 3) la proportion des coûts couverts, c’est-à-dire dans quelle mesure les utilisateurs contribuent directement au financement de leur consommation de soins (par ex. à travers une franchise</w:t>
                            </w:r>
                            <w:r w:rsidR="00B47F94">
                              <w:rPr>
                                <w:sz w:val="16"/>
                                <w:szCs w:val="16"/>
                              </w:rPr>
                              <w:t xml:space="preserve"> ou</w:t>
                            </w:r>
                            <w:r w:rsidRPr="00407CB8">
                              <w:rPr>
                                <w:sz w:val="16"/>
                                <w:szCs w:val="16"/>
                              </w:rPr>
                              <w:t xml:space="preserve"> des </w:t>
                            </w:r>
                            <w:r w:rsidR="00B47F94" w:rsidRPr="00407CB8">
                              <w:rPr>
                                <w:sz w:val="16"/>
                                <w:szCs w:val="16"/>
                              </w:rPr>
                              <w:t>copaiements</w:t>
                            </w:r>
                            <w:r w:rsidR="00B47F94">
                              <w:rPr>
                                <w:sz w:val="16"/>
                                <w:szCs w:val="16"/>
                              </w:rPr>
                              <w:t>).</w:t>
                            </w:r>
                            <w:r w:rsidR="003819E6">
                              <w:rPr>
                                <w:sz w:val="16"/>
                                <w:szCs w:val="16"/>
                              </w:rPr>
                              <w:t xml:space="preserve"> </w:t>
                            </w:r>
                            <w:r w:rsidR="003819E6" w:rsidRPr="003819E6">
                              <w:rPr>
                                <w:sz w:val="16"/>
                                <w:szCs w:val="16"/>
                              </w:rPr>
                              <w:t xml:space="preserve">Le graphique ci-dessous illustre ce cadre conceptuel pour les 3 pays étudiés et distinguant </w:t>
                            </w:r>
                            <w:r w:rsidR="00572923" w:rsidRPr="00572923">
                              <w:rPr>
                                <w:sz w:val="16"/>
                                <w:szCs w:val="16"/>
                              </w:rPr>
                              <w:t>deux groupes vulnérables de population : les plus malades et/ou les plus pauvres</w:t>
                            </w:r>
                            <w:r w:rsidR="003819E6" w:rsidRPr="003819E6">
                              <w:rPr>
                                <w:sz w:val="16"/>
                                <w:szCs w:val="16"/>
                              </w:rPr>
                              <w:t>. La part du revenu consacrée aux dépenses de santé est plus importante pour les individus avec vulnérabilité</w:t>
                            </w:r>
                            <w:r w:rsidR="003C4640">
                              <w:rPr>
                                <w:sz w:val="16"/>
                                <w:szCs w:val="16"/>
                              </w:rPr>
                              <w:t>(</w:t>
                            </w:r>
                            <w:r w:rsidR="003819E6" w:rsidRPr="003819E6">
                              <w:rPr>
                                <w:sz w:val="16"/>
                                <w:szCs w:val="16"/>
                              </w:rPr>
                              <w:t>s</w:t>
                            </w:r>
                            <w:r w:rsidR="003C4640">
                              <w:rPr>
                                <w:sz w:val="16"/>
                                <w:szCs w:val="16"/>
                              </w:rPr>
                              <w:t>)</w:t>
                            </w:r>
                            <w:r w:rsidR="003819E6" w:rsidRPr="003819E6">
                              <w:rPr>
                                <w:sz w:val="16"/>
                                <w:szCs w:val="16"/>
                              </w:rPr>
                              <w:t xml:space="preserve"> que pour les individus sans vulnérabilité</w:t>
                            </w:r>
                            <w:r w:rsidR="003C4640">
                              <w:rPr>
                                <w:sz w:val="16"/>
                                <w:szCs w:val="16"/>
                              </w:rPr>
                              <w:t>(</w:t>
                            </w:r>
                            <w:r w:rsidR="003819E6" w:rsidRPr="003819E6">
                              <w:rPr>
                                <w:sz w:val="16"/>
                                <w:szCs w:val="16"/>
                              </w:rPr>
                              <w:t>s</w:t>
                            </w:r>
                            <w:r w:rsidR="003C4640">
                              <w:rPr>
                                <w:sz w:val="16"/>
                                <w:szCs w:val="16"/>
                              </w:rPr>
                              <w:t>)</w:t>
                            </w:r>
                            <w:r w:rsidR="003819E6" w:rsidRPr="003819E6">
                              <w:rPr>
                                <w:sz w:val="16"/>
                                <w:szCs w:val="16"/>
                              </w:rPr>
                              <w:t>. Cet effet est plus marqué en Suisse que dans les deux autres pays. En France et en Belgique la participation aux frais pour les individus avec vulnérabilité</w:t>
                            </w:r>
                            <w:r w:rsidR="003C4640">
                              <w:rPr>
                                <w:sz w:val="16"/>
                                <w:szCs w:val="16"/>
                              </w:rPr>
                              <w:t>(</w:t>
                            </w:r>
                            <w:r w:rsidR="003819E6" w:rsidRPr="003819E6">
                              <w:rPr>
                                <w:sz w:val="16"/>
                                <w:szCs w:val="16"/>
                              </w:rPr>
                              <w:t>s</w:t>
                            </w:r>
                            <w:r w:rsidR="003C4640">
                              <w:rPr>
                                <w:sz w:val="16"/>
                                <w:szCs w:val="16"/>
                              </w:rPr>
                              <w:t>)</w:t>
                            </w:r>
                            <w:r w:rsidR="003819E6" w:rsidRPr="003819E6">
                              <w:rPr>
                                <w:sz w:val="16"/>
                                <w:szCs w:val="16"/>
                              </w:rPr>
                              <w:t xml:space="preserve"> est réduite par rapport à celle de la population générale pour les soins qui relèvent de l’assurance obligatoire. Ce n’est pas le cas en Suisse. L’étendue des services est augmentée avec la souscription aux assurances privées qui permettent de compléter les services offerts par les assurances obligatoires. Si ce principe tient dans les 3 pays pour les individus sans vulnérabilité de santé, il peut ne pas l’être en Suisse pour certaines personnes. En effet, les assureurs privés peuvent refuser une personne ou émettre des réserves selon son état de santé et/ou son âge, limitant ainsi l’étendue de l’accès aux services complémentaires.</w:t>
                            </w:r>
                          </w:p>
                          <w:p w14:paraId="2F99898D" w14:textId="77777777" w:rsidR="0094423C" w:rsidRPr="00407CB8" w:rsidRDefault="0094423C" w:rsidP="0094423C">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1C1159" id="_x0000_t202" coordsize="21600,21600" o:spt="202" path="m,l,21600r21600,l21600,xe">
                <v:stroke joinstyle="miter"/>
                <v:path gradientshapeok="t" o:connecttype="rect"/>
              </v:shapetype>
              <v:shape id="Zone de texte 1" o:spid="_x0000_s1026" type="#_x0000_t202" style="position:absolute;left:0;text-align:left;margin-left:0;margin-top:33pt;width:396.4pt;height:459.7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" fillcolor="window" strokeweight=".5pt">
                <v:textbox>
                  <w:txbxContent>
                    <w:p w14:paraId="50881384" w14:textId="77777777" w:rsidR="0094423C" w:rsidRPr="00407CB8" w:rsidRDefault="0094423C" w:rsidP="0094423C">
                      <w:pPr>
                        <w:rPr>
                          <w:b/>
                          <w:bCs/>
                          <w:sz w:val="18"/>
                          <w:szCs w:val="18"/>
                        </w:rPr>
                      </w:pPr>
                      <w:r w:rsidRPr="00407CB8">
                        <w:rPr>
                          <w:b/>
                          <w:bCs/>
                          <w:sz w:val="18"/>
                          <w:szCs w:val="18"/>
                        </w:rPr>
                        <w:t>Cadre théorique sur la couverture maladie</w:t>
                      </w:r>
                    </w:p>
                    <w:p w14:paraId="34151792" w14:textId="3C833B73" w:rsidR="003819E6" w:rsidRPr="003819E6" w:rsidRDefault="0094423C" w:rsidP="003819E6">
                      <w:pPr>
                        <w:rPr>
                          <w:sz w:val="16"/>
                          <w:szCs w:val="16"/>
                        </w:rPr>
                      </w:pPr>
                      <w:r w:rsidRPr="00407CB8">
                        <w:rPr>
                          <w:sz w:val="16"/>
                          <w:szCs w:val="16"/>
                        </w:rPr>
                        <w:t>Le concept de couverture universelle se décrit traditionnellement selon trois dimensions : la part de la population couverte, l’étendue des services couverts, et la proportion des coûts couverts (ou la protection financière)</w:t>
                      </w:r>
                      <w:r w:rsidRPr="00407CB8">
                        <w:rPr>
                          <w:sz w:val="16"/>
                          <w:szCs w:val="16"/>
                          <w:vertAlign w:val="superscript"/>
                        </w:rPr>
                        <w:t>15</w:t>
                      </w:r>
                      <w:r w:rsidRPr="00407CB8">
                        <w:rPr>
                          <w:sz w:val="16"/>
                          <w:szCs w:val="16"/>
                        </w:rPr>
                        <w:t xml:space="preserve">, et est souvent représenté dans un cube reflétant les valeurs moyennes de chaque dimension pour un pays donné. Une prise en compte explicite de l’équité dans ce cadre conceptuel a été proposée </w:t>
                      </w:r>
                      <w:r w:rsidRPr="00407CB8">
                        <w:rPr>
                          <w:sz w:val="16"/>
                          <w:szCs w:val="16"/>
                          <w:vertAlign w:val="superscript"/>
                        </w:rPr>
                        <w:t>16</w:t>
                      </w:r>
                      <w:r w:rsidRPr="00407CB8">
                        <w:rPr>
                          <w:sz w:val="16"/>
                          <w:szCs w:val="16"/>
                        </w:rPr>
                        <w:t xml:space="preserve">, permettant de visualiser par exemple si la protection financière ou l’accès à certains services varie par sous-groupes de la population. Une adaptation proposée par </w:t>
                      </w:r>
                      <w:proofErr w:type="spellStart"/>
                      <w:r w:rsidRPr="00407CB8">
                        <w:rPr>
                          <w:sz w:val="16"/>
                          <w:szCs w:val="16"/>
                        </w:rPr>
                        <w:t>Wenzl</w:t>
                      </w:r>
                      <w:proofErr w:type="spellEnd"/>
                      <w:r w:rsidRPr="00407CB8">
                        <w:rPr>
                          <w:sz w:val="16"/>
                          <w:szCs w:val="16"/>
                        </w:rPr>
                        <w:t xml:space="preserve"> et al.</w:t>
                      </w:r>
                      <w:r w:rsidRPr="00407CB8">
                        <w:rPr>
                          <w:b/>
                          <w:sz w:val="16"/>
                          <w:szCs w:val="16"/>
                          <w:vertAlign w:val="superscript"/>
                        </w:rPr>
                        <w:t>1</w:t>
                      </w:r>
                      <w:r w:rsidRPr="00407CB8">
                        <w:rPr>
                          <w:sz w:val="16"/>
                          <w:szCs w:val="16"/>
                        </w:rPr>
                        <w:t xml:space="preserve"> reprend les trois dimensions et l’applique à la problématique spécifique de la couverture d’assurance maladie. On y décrit 1) la part de la population couverte ainsi que la contribution au financement de différents segments de la population (par ex. les ménages à bas revenus consacrent-ils une proportion plus élevée de leur revenu aux dépenses de santé ?), 2) l’étendue des services couverts (par ex. les soins dentaires sont-ils compris dans la couverture de base ?), et 3) la proportion des coûts couverts, c’est-à-dire dans quelle mesure les utilisateurs contribuent directement au financement de leur consommation de soins (par ex. à travers une franchise</w:t>
                      </w:r>
                      <w:r w:rsidR="00B47F94">
                        <w:rPr>
                          <w:sz w:val="16"/>
                          <w:szCs w:val="16"/>
                        </w:rPr>
                        <w:t xml:space="preserve"> ou</w:t>
                      </w:r>
                      <w:r w:rsidRPr="00407CB8">
                        <w:rPr>
                          <w:sz w:val="16"/>
                          <w:szCs w:val="16"/>
                        </w:rPr>
                        <w:t xml:space="preserve"> des </w:t>
                      </w:r>
                      <w:r w:rsidR="00B47F94" w:rsidRPr="00407CB8">
                        <w:rPr>
                          <w:sz w:val="16"/>
                          <w:szCs w:val="16"/>
                        </w:rPr>
                        <w:t>copaiements</w:t>
                      </w:r>
                      <w:r w:rsidR="00B47F94">
                        <w:rPr>
                          <w:sz w:val="16"/>
                          <w:szCs w:val="16"/>
                        </w:rPr>
                        <w:t>).</w:t>
                      </w:r>
                      <w:r w:rsidR="003819E6">
                        <w:rPr>
                          <w:sz w:val="16"/>
                          <w:szCs w:val="16"/>
                        </w:rPr>
                        <w:t xml:space="preserve"> </w:t>
                      </w:r>
                      <w:r w:rsidR="003819E6" w:rsidRPr="003819E6">
                        <w:rPr>
                          <w:sz w:val="16"/>
                          <w:szCs w:val="16"/>
                        </w:rPr>
                        <w:t xml:space="preserve">Le graphique ci-dessous illustre ce cadre conceptuel pour les 3 pays étudiés et distinguant </w:t>
                      </w:r>
                      <w:r w:rsidR="00572923" w:rsidRPr="00572923">
                        <w:rPr>
                          <w:sz w:val="16"/>
                          <w:szCs w:val="16"/>
                        </w:rPr>
                        <w:t>deux groupes vulnérables de population : les plus malades et/ou les plus pauvres</w:t>
                      </w:r>
                      <w:r w:rsidR="003819E6" w:rsidRPr="003819E6">
                        <w:rPr>
                          <w:sz w:val="16"/>
                          <w:szCs w:val="16"/>
                        </w:rPr>
                        <w:t>. La part du revenu consacrée aux dépenses de santé est plus importante pour les individus avec vulnérabilité</w:t>
                      </w:r>
                      <w:r w:rsidR="003C4640">
                        <w:rPr>
                          <w:sz w:val="16"/>
                          <w:szCs w:val="16"/>
                        </w:rPr>
                        <w:t>(</w:t>
                      </w:r>
                      <w:r w:rsidR="003819E6" w:rsidRPr="003819E6">
                        <w:rPr>
                          <w:sz w:val="16"/>
                          <w:szCs w:val="16"/>
                        </w:rPr>
                        <w:t>s</w:t>
                      </w:r>
                      <w:r w:rsidR="003C4640">
                        <w:rPr>
                          <w:sz w:val="16"/>
                          <w:szCs w:val="16"/>
                        </w:rPr>
                        <w:t>)</w:t>
                      </w:r>
                      <w:r w:rsidR="003819E6" w:rsidRPr="003819E6">
                        <w:rPr>
                          <w:sz w:val="16"/>
                          <w:szCs w:val="16"/>
                        </w:rPr>
                        <w:t xml:space="preserve"> que pour les individus sans vulnérabilité</w:t>
                      </w:r>
                      <w:r w:rsidR="003C4640">
                        <w:rPr>
                          <w:sz w:val="16"/>
                          <w:szCs w:val="16"/>
                        </w:rPr>
                        <w:t>(</w:t>
                      </w:r>
                      <w:r w:rsidR="003819E6" w:rsidRPr="003819E6">
                        <w:rPr>
                          <w:sz w:val="16"/>
                          <w:szCs w:val="16"/>
                        </w:rPr>
                        <w:t>s</w:t>
                      </w:r>
                      <w:r w:rsidR="003C4640">
                        <w:rPr>
                          <w:sz w:val="16"/>
                          <w:szCs w:val="16"/>
                        </w:rPr>
                        <w:t>)</w:t>
                      </w:r>
                      <w:r w:rsidR="003819E6" w:rsidRPr="003819E6">
                        <w:rPr>
                          <w:sz w:val="16"/>
                          <w:szCs w:val="16"/>
                        </w:rPr>
                        <w:t>. Cet effet est plus marqué en Suisse que dans les deux autres pays. En France et en Belgique la participation aux frais pour les individus avec vulnérabilité</w:t>
                      </w:r>
                      <w:r w:rsidR="003C4640">
                        <w:rPr>
                          <w:sz w:val="16"/>
                          <w:szCs w:val="16"/>
                        </w:rPr>
                        <w:t>(</w:t>
                      </w:r>
                      <w:r w:rsidR="003819E6" w:rsidRPr="003819E6">
                        <w:rPr>
                          <w:sz w:val="16"/>
                          <w:szCs w:val="16"/>
                        </w:rPr>
                        <w:t>s</w:t>
                      </w:r>
                      <w:r w:rsidR="003C4640">
                        <w:rPr>
                          <w:sz w:val="16"/>
                          <w:szCs w:val="16"/>
                        </w:rPr>
                        <w:t>)</w:t>
                      </w:r>
                      <w:r w:rsidR="003819E6" w:rsidRPr="003819E6">
                        <w:rPr>
                          <w:sz w:val="16"/>
                          <w:szCs w:val="16"/>
                        </w:rPr>
                        <w:t xml:space="preserve"> est réduite par rapport à celle de la population générale pour les soins qui relèvent de l’assurance obligatoire. Ce n’est pas le cas en Suisse. L’étendue des services est augmentée avec la souscription aux assurances privées qui permettent de compléter les services offerts par les assurances obligatoires. Si ce principe tient dans les 3 pays pour les individus sans vulnérabilité de santé, il peut ne pas l’être en Suisse pour certaines personnes. En effet, les assureurs privés peuvent refuser une personne ou émettre des réserves selon son état de santé et/ou son âge, limitant ainsi l’étendue de l’accès aux services complémentaires.</w:t>
                      </w:r>
                    </w:p>
                    <w:p w14:paraId="2F99898D" w14:textId="77777777" w:rsidR="0094423C" w:rsidRPr="00407CB8" w:rsidRDefault="0094423C" w:rsidP="0094423C">
                      <w:pPr>
                        <w:rPr>
                          <w:b/>
                          <w:bCs/>
                        </w:rPr>
                      </w:pPr>
                    </w:p>
                  </w:txbxContent>
                </v:textbox>
                <w10:wrap anchorx="margin"/>
              </v:shape>
            </w:pict>
          </mc:Fallback>
        </mc:AlternateContent>
      </w:r>
      <w:r w:rsidR="0094423C">
        <w:t>PROPOSITION D’ENCADRÉ</w:t>
      </w:r>
    </w:p>
    <w:p w14:paraId="462CA728" w14:textId="2665EFD1" w:rsidR="0094423C" w:rsidRDefault="0094423C" w:rsidP="00397289"/>
    <w:p w14:paraId="685A6E4A" w14:textId="77777777" w:rsidR="0094423C" w:rsidRDefault="0094423C" w:rsidP="00397289"/>
    <w:p w14:paraId="5F11002D" w14:textId="2A4097AA" w:rsidR="0094423C" w:rsidRDefault="0094423C" w:rsidP="00397289"/>
    <w:p w14:paraId="0B071C05" w14:textId="77777777" w:rsidR="0094423C" w:rsidRDefault="0094423C" w:rsidP="00397289"/>
    <w:p w14:paraId="2E33F07C" w14:textId="4D1950D4" w:rsidR="00407CB8" w:rsidRDefault="00407CB8" w:rsidP="00397289"/>
    <w:p w14:paraId="5F3EB599" w14:textId="77777777" w:rsidR="00407CB8" w:rsidRPr="00397289" w:rsidRDefault="00407CB8" w:rsidP="00397289"/>
    <w:p w14:paraId="0000006F" w14:textId="77777777" w:rsidR="006508EE" w:rsidRDefault="006508EE"/>
    <w:p w14:paraId="00000070" w14:textId="77777777" w:rsidR="006508EE" w:rsidRDefault="006508EE"/>
    <w:p w14:paraId="00000073" w14:textId="77777777" w:rsidR="006508EE" w:rsidRDefault="006508EE">
      <w:bookmarkStart w:id="4" w:name="_heading=h.c4e98w6imbcx" w:colFirst="0" w:colLast="0"/>
      <w:bookmarkEnd w:id="4"/>
    </w:p>
    <w:p w14:paraId="0D1F0E3F" w14:textId="7C70C03B" w:rsidR="00DC2D63" w:rsidRPr="003C4640" w:rsidRDefault="00DC2D63" w:rsidP="003C4640">
      <w:pPr>
        <w:spacing w:line="276" w:lineRule="auto"/>
        <w:jc w:val="left"/>
        <w:sectPr w:rsidR="00DC2D63" w:rsidRPr="003C4640">
          <w:footerReference w:type="even" r:id="rId12"/>
          <w:footerReference w:type="default" r:id="rId13"/>
          <w:pgSz w:w="12240" w:h="15840"/>
          <w:pgMar w:top="1440" w:right="1440" w:bottom="1440" w:left="1440" w:header="720" w:footer="720" w:gutter="0"/>
          <w:pgNumType w:start="1"/>
          <w:cols w:space="720"/>
        </w:sectPr>
      </w:pPr>
    </w:p>
    <w:p w14:paraId="5E99242D" w14:textId="2CC927C7" w:rsidR="003C4640" w:rsidRDefault="007014EF">
      <w:pPr>
        <w:rPr>
          <w:b/>
          <w:sz w:val="24"/>
          <w:szCs w:val="24"/>
        </w:rPr>
        <w:sectPr w:rsidR="003C4640" w:rsidSect="003C4640">
          <w:pgSz w:w="15840" w:h="12240" w:orient="landscape"/>
          <w:pgMar w:top="1440" w:right="1440" w:bottom="1440" w:left="1440" w:header="720" w:footer="720" w:gutter="0"/>
          <w:pgNumType w:start="1"/>
          <w:cols w:space="720"/>
          <w:docGrid w:linePitch="272"/>
        </w:sectPr>
      </w:pPr>
      <w:bookmarkStart w:id="5" w:name="_GoBack"/>
      <w:r>
        <w:rPr>
          <w:b/>
          <w:noProof/>
          <w:sz w:val="24"/>
          <w:szCs w:val="24"/>
        </w:rPr>
        <w:drawing>
          <wp:inline distT="0" distB="0" distL="0" distR="0" wp14:anchorId="3C07D2A3" wp14:editId="21DE01F9">
            <wp:extent cx="8229600" cy="46291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ubes_07.12_final.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bookmarkEnd w:id="5"/>
    </w:p>
    <w:p w14:paraId="00000075" w14:textId="0C8B7F23" w:rsidR="006508EE" w:rsidRDefault="00F26A0A">
      <w:pPr>
        <w:rPr>
          <w:b/>
          <w:sz w:val="24"/>
          <w:szCs w:val="24"/>
        </w:rPr>
      </w:pPr>
      <w:r>
        <w:rPr>
          <w:b/>
          <w:sz w:val="24"/>
          <w:szCs w:val="24"/>
        </w:rPr>
        <w:t>Références</w:t>
      </w:r>
    </w:p>
    <w:p w14:paraId="00000076" w14:textId="77777777" w:rsidR="006508EE" w:rsidRDefault="00F26A0A">
      <w:pPr>
        <w:numPr>
          <w:ilvl w:val="0"/>
          <w:numId w:val="2"/>
        </w:numPr>
        <w:pBdr>
          <w:top w:val="nil"/>
          <w:left w:val="nil"/>
          <w:bottom w:val="nil"/>
          <w:right w:val="nil"/>
          <w:between w:val="nil"/>
        </w:pBdr>
        <w:spacing w:after="0" w:line="240" w:lineRule="auto"/>
        <w:rPr>
          <w:color w:val="000000"/>
        </w:rPr>
      </w:pPr>
      <w:proofErr w:type="spellStart"/>
      <w:r w:rsidRPr="00915910">
        <w:rPr>
          <w:color w:val="000000"/>
          <w:lang w:val="en-GB"/>
        </w:rPr>
        <w:t>Wenzl</w:t>
      </w:r>
      <w:proofErr w:type="spellEnd"/>
      <w:r w:rsidRPr="00915910">
        <w:rPr>
          <w:color w:val="000000"/>
          <w:lang w:val="en-GB"/>
        </w:rPr>
        <w:t xml:space="preserve"> M, </w:t>
      </w:r>
      <w:proofErr w:type="spellStart"/>
      <w:r w:rsidRPr="00915910">
        <w:rPr>
          <w:color w:val="000000"/>
          <w:lang w:val="en-GB"/>
        </w:rPr>
        <w:t>Naci</w:t>
      </w:r>
      <w:proofErr w:type="spellEnd"/>
      <w:r w:rsidRPr="00915910">
        <w:rPr>
          <w:color w:val="000000"/>
          <w:lang w:val="en-GB"/>
        </w:rPr>
        <w:t xml:space="preserve"> H, Mossialos E. Health policy in times of austerity-A conceptual framework for evaluating effects of policy on efficiency and equity illustrated with examples from Europe since 2008. </w:t>
      </w:r>
      <w:r>
        <w:rPr>
          <w:i/>
          <w:color w:val="000000"/>
        </w:rPr>
        <w:t>Health Policy</w:t>
      </w:r>
      <w:r>
        <w:rPr>
          <w:color w:val="000000"/>
        </w:rPr>
        <w:t xml:space="preserve"> 2017;121(9):947-54. </w:t>
      </w:r>
      <w:proofErr w:type="spellStart"/>
      <w:proofErr w:type="gramStart"/>
      <w:r>
        <w:rPr>
          <w:color w:val="000000"/>
        </w:rPr>
        <w:t>doi</w:t>
      </w:r>
      <w:proofErr w:type="spellEnd"/>
      <w:proofErr w:type="gramEnd"/>
      <w:r>
        <w:rPr>
          <w:color w:val="000000"/>
        </w:rPr>
        <w:t>: 10.1016/j.healthpol.2017.07.005</w:t>
      </w:r>
    </w:p>
    <w:p w14:paraId="00000077" w14:textId="77777777" w:rsidR="006508EE" w:rsidRDefault="00F26A0A">
      <w:pPr>
        <w:numPr>
          <w:ilvl w:val="0"/>
          <w:numId w:val="2"/>
        </w:numPr>
        <w:pBdr>
          <w:top w:val="nil"/>
          <w:left w:val="nil"/>
          <w:bottom w:val="nil"/>
          <w:right w:val="nil"/>
          <w:between w:val="nil"/>
        </w:pBdr>
        <w:spacing w:after="0" w:line="240" w:lineRule="auto"/>
      </w:pPr>
      <w:proofErr w:type="spellStart"/>
      <w:r>
        <w:rPr>
          <w:color w:val="000000"/>
        </w:rPr>
        <w:t>Geoffard</w:t>
      </w:r>
      <w:proofErr w:type="spellEnd"/>
      <w:r>
        <w:rPr>
          <w:color w:val="000000"/>
        </w:rPr>
        <w:t xml:space="preserve"> P-Y. Dépenses de santé : l'hypothèse d'aléa moral. </w:t>
      </w:r>
      <w:r>
        <w:rPr>
          <w:i/>
          <w:color w:val="000000"/>
        </w:rPr>
        <w:t>Économie &amp; prévision</w:t>
      </w:r>
      <w:r>
        <w:rPr>
          <w:color w:val="000000"/>
        </w:rPr>
        <w:t xml:space="preserve"> 2000:123-35.</w:t>
      </w:r>
    </w:p>
    <w:p w14:paraId="00000078" w14:textId="77777777" w:rsidR="006508EE" w:rsidRPr="00712D8A" w:rsidRDefault="00F26A0A">
      <w:pPr>
        <w:numPr>
          <w:ilvl w:val="0"/>
          <w:numId w:val="2"/>
        </w:numPr>
        <w:pBdr>
          <w:top w:val="nil"/>
          <w:left w:val="nil"/>
          <w:bottom w:val="nil"/>
          <w:right w:val="nil"/>
          <w:between w:val="nil"/>
        </w:pBdr>
        <w:spacing w:after="0" w:line="240" w:lineRule="auto"/>
        <w:rPr>
          <w:color w:val="000000"/>
          <w:lang w:val="en-US"/>
        </w:rPr>
      </w:pPr>
      <w:r w:rsidRPr="00915910">
        <w:rPr>
          <w:color w:val="000000"/>
          <w:lang w:val="en-GB"/>
        </w:rPr>
        <w:t xml:space="preserve">Manning WG, Marquis MS. Health insurance: The </w:t>
      </w:r>
      <w:proofErr w:type="spellStart"/>
      <w:r w:rsidRPr="00915910">
        <w:rPr>
          <w:color w:val="000000"/>
          <w:lang w:val="en-GB"/>
        </w:rPr>
        <w:t>tradeoff</w:t>
      </w:r>
      <w:proofErr w:type="spellEnd"/>
      <w:r w:rsidRPr="00915910">
        <w:rPr>
          <w:color w:val="000000"/>
          <w:lang w:val="en-GB"/>
        </w:rPr>
        <w:t xml:space="preserve"> between risk pooling and moral hazard. </w:t>
      </w:r>
      <w:r w:rsidRPr="00712D8A">
        <w:rPr>
          <w:i/>
          <w:color w:val="000000"/>
          <w:lang w:val="en-US"/>
        </w:rPr>
        <w:t>J Health Econ</w:t>
      </w:r>
      <w:r w:rsidRPr="00712D8A">
        <w:rPr>
          <w:color w:val="000000"/>
          <w:lang w:val="en-US"/>
        </w:rPr>
        <w:t xml:space="preserve"> 1996;15(5):609-39. </w:t>
      </w:r>
      <w:proofErr w:type="spellStart"/>
      <w:r w:rsidRPr="00712D8A">
        <w:rPr>
          <w:color w:val="000000"/>
          <w:lang w:val="en-US"/>
        </w:rPr>
        <w:t>doi</w:t>
      </w:r>
      <w:proofErr w:type="spellEnd"/>
      <w:r w:rsidRPr="00712D8A">
        <w:rPr>
          <w:color w:val="000000"/>
          <w:lang w:val="en-US"/>
        </w:rPr>
        <w:t xml:space="preserve">: </w:t>
      </w:r>
      <w:proofErr w:type="spellStart"/>
      <w:r w:rsidRPr="00712D8A">
        <w:rPr>
          <w:color w:val="000000"/>
          <w:lang w:val="en-US"/>
        </w:rPr>
        <w:t>Doi</w:t>
      </w:r>
      <w:proofErr w:type="spellEnd"/>
      <w:r w:rsidRPr="00712D8A">
        <w:rPr>
          <w:color w:val="000000"/>
          <w:lang w:val="en-US"/>
        </w:rPr>
        <w:t xml:space="preserve"> 10.1016/S0167-6296(96)00497-3</w:t>
      </w:r>
    </w:p>
    <w:p w14:paraId="00000079" w14:textId="77777777" w:rsidR="006508EE" w:rsidRDefault="00F26A0A">
      <w:pPr>
        <w:numPr>
          <w:ilvl w:val="0"/>
          <w:numId w:val="2"/>
        </w:numPr>
        <w:pBdr>
          <w:top w:val="nil"/>
          <w:left w:val="nil"/>
          <w:bottom w:val="nil"/>
          <w:right w:val="nil"/>
          <w:between w:val="nil"/>
        </w:pBdr>
        <w:spacing w:after="0" w:line="240" w:lineRule="auto"/>
      </w:pPr>
      <w:proofErr w:type="spellStart"/>
      <w:r w:rsidRPr="00915910">
        <w:rPr>
          <w:color w:val="000000"/>
          <w:lang w:val="de-CH"/>
        </w:rPr>
        <w:t>Baicker</w:t>
      </w:r>
      <w:proofErr w:type="spellEnd"/>
      <w:r w:rsidRPr="00915910">
        <w:rPr>
          <w:color w:val="000000"/>
          <w:lang w:val="de-CH"/>
        </w:rPr>
        <w:t xml:space="preserve"> K, </w:t>
      </w:r>
      <w:proofErr w:type="spellStart"/>
      <w:r w:rsidRPr="00915910">
        <w:rPr>
          <w:color w:val="000000"/>
          <w:lang w:val="de-CH"/>
        </w:rPr>
        <w:t>Taubman</w:t>
      </w:r>
      <w:proofErr w:type="spellEnd"/>
      <w:r w:rsidRPr="00915910">
        <w:rPr>
          <w:color w:val="000000"/>
          <w:lang w:val="de-CH"/>
        </w:rPr>
        <w:t xml:space="preserve"> SL, Allen HL, et al. </w:t>
      </w:r>
      <w:r w:rsidRPr="00915910">
        <w:rPr>
          <w:color w:val="000000"/>
          <w:lang w:val="en-GB"/>
        </w:rPr>
        <w:t xml:space="preserve">The Oregon Experiment — Effects of Medicaid on Clinical Outcomes. </w:t>
      </w:r>
      <w:r>
        <w:rPr>
          <w:color w:val="000000"/>
        </w:rPr>
        <w:t xml:space="preserve">2013;368(18):1713-22. </w:t>
      </w:r>
      <w:proofErr w:type="spellStart"/>
      <w:proofErr w:type="gramStart"/>
      <w:r>
        <w:rPr>
          <w:color w:val="000000"/>
        </w:rPr>
        <w:t>doi</w:t>
      </w:r>
      <w:proofErr w:type="spellEnd"/>
      <w:proofErr w:type="gramEnd"/>
      <w:r>
        <w:rPr>
          <w:color w:val="000000"/>
        </w:rPr>
        <w:t>: 10.1056/NEJMsa1212321</w:t>
      </w:r>
    </w:p>
    <w:p w14:paraId="0000007A" w14:textId="77777777" w:rsidR="006508EE" w:rsidRPr="00915910" w:rsidRDefault="00F26A0A">
      <w:pPr>
        <w:numPr>
          <w:ilvl w:val="0"/>
          <w:numId w:val="2"/>
        </w:numPr>
        <w:pBdr>
          <w:top w:val="nil"/>
          <w:left w:val="nil"/>
          <w:bottom w:val="nil"/>
          <w:right w:val="nil"/>
          <w:between w:val="nil"/>
        </w:pBdr>
        <w:spacing w:after="0" w:line="240" w:lineRule="auto"/>
        <w:rPr>
          <w:color w:val="000000"/>
          <w:lang w:val="en-GB"/>
        </w:rPr>
      </w:pPr>
      <w:r w:rsidRPr="00915910">
        <w:rPr>
          <w:color w:val="000000"/>
          <w:lang w:val="de-CH"/>
        </w:rPr>
        <w:t xml:space="preserve">Lohr KN, Brook RH, </w:t>
      </w:r>
      <w:proofErr w:type="spellStart"/>
      <w:r w:rsidRPr="00915910">
        <w:rPr>
          <w:color w:val="000000"/>
          <w:lang w:val="de-CH"/>
        </w:rPr>
        <w:t>Kamberg</w:t>
      </w:r>
      <w:proofErr w:type="spellEnd"/>
      <w:r w:rsidRPr="00915910">
        <w:rPr>
          <w:color w:val="000000"/>
          <w:lang w:val="de-CH"/>
        </w:rPr>
        <w:t xml:space="preserve"> C, et al. </w:t>
      </w:r>
      <w:r w:rsidRPr="00915910">
        <w:rPr>
          <w:color w:val="000000"/>
          <w:lang w:val="en-GB"/>
        </w:rPr>
        <w:t>Use of Medical Care in the RAND Health Insurance Experiment: Diagnosis- and Service-specific Analyses in a Randomized Controlled Trial: RAND Corporation 1986.</w:t>
      </w:r>
    </w:p>
    <w:p w14:paraId="0000007B" w14:textId="77777777" w:rsidR="006508EE" w:rsidRDefault="00F26A0A">
      <w:pPr>
        <w:numPr>
          <w:ilvl w:val="0"/>
          <w:numId w:val="2"/>
        </w:numPr>
        <w:pBdr>
          <w:top w:val="nil"/>
          <w:left w:val="nil"/>
          <w:bottom w:val="nil"/>
          <w:right w:val="nil"/>
          <w:between w:val="nil"/>
        </w:pBdr>
        <w:spacing w:after="0" w:line="240" w:lineRule="auto"/>
      </w:pPr>
      <w:proofErr w:type="spellStart"/>
      <w:r>
        <w:rPr>
          <w:color w:val="000000"/>
        </w:rPr>
        <w:t>Desprès</w:t>
      </w:r>
      <w:proofErr w:type="spellEnd"/>
      <w:r>
        <w:rPr>
          <w:color w:val="000000"/>
        </w:rPr>
        <w:t xml:space="preserve"> C. Significations du renoncement aux soins : une analyse anthropologique. 2013;31(2):71-96. </w:t>
      </w:r>
      <w:proofErr w:type="spellStart"/>
      <w:proofErr w:type="gramStart"/>
      <w:r>
        <w:rPr>
          <w:color w:val="000000"/>
        </w:rPr>
        <w:t>doi</w:t>
      </w:r>
      <w:proofErr w:type="spellEnd"/>
      <w:proofErr w:type="gramEnd"/>
      <w:r>
        <w:rPr>
          <w:color w:val="000000"/>
        </w:rPr>
        <w:t>: 10.3917/sss.312.0071</w:t>
      </w:r>
    </w:p>
    <w:p w14:paraId="0000007C" w14:textId="77777777" w:rsidR="006508EE" w:rsidRDefault="00F26A0A">
      <w:pPr>
        <w:numPr>
          <w:ilvl w:val="0"/>
          <w:numId w:val="2"/>
        </w:numPr>
        <w:pBdr>
          <w:top w:val="nil"/>
          <w:left w:val="nil"/>
          <w:bottom w:val="nil"/>
          <w:right w:val="nil"/>
          <w:between w:val="nil"/>
        </w:pBdr>
        <w:spacing w:after="0" w:line="240" w:lineRule="auto"/>
        <w:rPr>
          <w:color w:val="000000"/>
        </w:rPr>
      </w:pPr>
      <w:proofErr w:type="spellStart"/>
      <w:r>
        <w:rPr>
          <w:color w:val="000000"/>
        </w:rPr>
        <w:t>Despres</w:t>
      </w:r>
      <w:proofErr w:type="spellEnd"/>
      <w:r>
        <w:rPr>
          <w:color w:val="000000"/>
        </w:rPr>
        <w:t xml:space="preserve"> C, </w:t>
      </w:r>
      <w:proofErr w:type="spellStart"/>
      <w:r>
        <w:rPr>
          <w:color w:val="000000"/>
        </w:rPr>
        <w:t>Dourgnon</w:t>
      </w:r>
      <w:proofErr w:type="spellEnd"/>
      <w:r>
        <w:rPr>
          <w:color w:val="000000"/>
        </w:rPr>
        <w:t xml:space="preserve"> P, </w:t>
      </w:r>
      <w:proofErr w:type="spellStart"/>
      <w:r>
        <w:rPr>
          <w:color w:val="000000"/>
        </w:rPr>
        <w:t>Fantin</w:t>
      </w:r>
      <w:proofErr w:type="spellEnd"/>
      <w:r>
        <w:rPr>
          <w:color w:val="000000"/>
        </w:rPr>
        <w:t xml:space="preserve"> R, et al. Le renoncement aux soins pour raisons financières : une approche économétrique. </w:t>
      </w:r>
      <w:r>
        <w:rPr>
          <w:i/>
          <w:color w:val="000000"/>
        </w:rPr>
        <w:t>QUESTIONS D'ECONOMIE DE LA SANTE (IRDES)</w:t>
      </w:r>
      <w:r>
        <w:rPr>
          <w:color w:val="000000"/>
        </w:rPr>
        <w:t xml:space="preserve"> 2011(170):6p.</w:t>
      </w:r>
    </w:p>
    <w:p w14:paraId="0000007D" w14:textId="77777777" w:rsidR="006508EE" w:rsidRDefault="00F26A0A">
      <w:pPr>
        <w:numPr>
          <w:ilvl w:val="0"/>
          <w:numId w:val="2"/>
        </w:numPr>
        <w:pBdr>
          <w:top w:val="nil"/>
          <w:left w:val="nil"/>
          <w:bottom w:val="nil"/>
          <w:right w:val="nil"/>
          <w:between w:val="nil"/>
        </w:pBdr>
        <w:spacing w:after="0" w:line="240" w:lineRule="auto"/>
        <w:rPr>
          <w:color w:val="000000"/>
        </w:rPr>
      </w:pPr>
      <w:proofErr w:type="spellStart"/>
      <w:r w:rsidRPr="00915910">
        <w:rPr>
          <w:color w:val="000000"/>
          <w:lang w:val="en-GB"/>
        </w:rPr>
        <w:t>Elstad</w:t>
      </w:r>
      <w:proofErr w:type="spellEnd"/>
      <w:r w:rsidRPr="00915910">
        <w:rPr>
          <w:color w:val="000000"/>
          <w:lang w:val="en-GB"/>
        </w:rPr>
        <w:t xml:space="preserve"> JI. Income inequality and foregone medical care in Europe during The Great Recession: multilevel analyses of EU-SILC surveys 2008–2013. </w:t>
      </w:r>
      <w:r>
        <w:rPr>
          <w:i/>
          <w:color w:val="000000"/>
        </w:rPr>
        <w:t xml:space="preserve">International Journal for </w:t>
      </w:r>
      <w:proofErr w:type="spellStart"/>
      <w:r>
        <w:rPr>
          <w:i/>
          <w:color w:val="000000"/>
        </w:rPr>
        <w:t>Equity</w:t>
      </w:r>
      <w:proofErr w:type="spellEnd"/>
      <w:r>
        <w:rPr>
          <w:i/>
          <w:color w:val="000000"/>
        </w:rPr>
        <w:t xml:space="preserve"> in Health</w:t>
      </w:r>
      <w:r>
        <w:rPr>
          <w:color w:val="000000"/>
        </w:rPr>
        <w:t xml:space="preserve"> 2016;15(1):101. </w:t>
      </w:r>
      <w:proofErr w:type="spellStart"/>
      <w:proofErr w:type="gramStart"/>
      <w:r>
        <w:rPr>
          <w:color w:val="000000"/>
        </w:rPr>
        <w:t>doi</w:t>
      </w:r>
      <w:proofErr w:type="spellEnd"/>
      <w:proofErr w:type="gramEnd"/>
      <w:r>
        <w:rPr>
          <w:color w:val="000000"/>
        </w:rPr>
        <w:t>: 10.1186/s12939-016-0389-6</w:t>
      </w:r>
    </w:p>
    <w:p w14:paraId="0000007E" w14:textId="77777777" w:rsidR="006508EE" w:rsidRPr="00712D8A" w:rsidRDefault="00F26A0A">
      <w:pPr>
        <w:numPr>
          <w:ilvl w:val="0"/>
          <w:numId w:val="2"/>
        </w:numPr>
        <w:pBdr>
          <w:top w:val="nil"/>
          <w:left w:val="nil"/>
          <w:bottom w:val="nil"/>
          <w:right w:val="nil"/>
          <w:between w:val="nil"/>
        </w:pBdr>
        <w:spacing w:after="0" w:line="240" w:lineRule="auto"/>
        <w:rPr>
          <w:color w:val="000000"/>
          <w:lang w:val="en-US"/>
        </w:rPr>
      </w:pPr>
      <w:r w:rsidRPr="00915910">
        <w:rPr>
          <w:color w:val="000000"/>
          <w:lang w:val="de-CH"/>
        </w:rPr>
        <w:t xml:space="preserve">Kim TJ, </w:t>
      </w:r>
      <w:proofErr w:type="spellStart"/>
      <w:r w:rsidRPr="00915910">
        <w:rPr>
          <w:color w:val="000000"/>
          <w:lang w:val="de-CH"/>
        </w:rPr>
        <w:t>Vonneilich</w:t>
      </w:r>
      <w:proofErr w:type="spellEnd"/>
      <w:r w:rsidRPr="00915910">
        <w:rPr>
          <w:color w:val="000000"/>
          <w:lang w:val="de-CH"/>
        </w:rPr>
        <w:t xml:space="preserve"> N, Lüdecke D, et al. </w:t>
      </w:r>
      <w:r w:rsidRPr="00915910">
        <w:rPr>
          <w:color w:val="000000"/>
          <w:lang w:val="en-GB"/>
        </w:rPr>
        <w:t xml:space="preserve">Income, financial barriers to health care and public health expenditure: A multilevel analysis of 28 countries. </w:t>
      </w:r>
      <w:r w:rsidRPr="00712D8A">
        <w:rPr>
          <w:i/>
          <w:color w:val="000000"/>
          <w:lang w:val="en-US"/>
        </w:rPr>
        <w:t>Social Science &amp; Medicine</w:t>
      </w:r>
      <w:r w:rsidRPr="00712D8A">
        <w:rPr>
          <w:color w:val="000000"/>
          <w:lang w:val="en-US"/>
        </w:rPr>
        <w:t xml:space="preserve"> 2017</w:t>
      </w:r>
      <w:proofErr w:type="gramStart"/>
      <w:r w:rsidRPr="00712D8A">
        <w:rPr>
          <w:color w:val="000000"/>
          <w:lang w:val="en-US"/>
        </w:rPr>
        <w:t>;176:158</w:t>
      </w:r>
      <w:proofErr w:type="gramEnd"/>
      <w:r w:rsidRPr="00712D8A">
        <w:rPr>
          <w:color w:val="000000"/>
          <w:lang w:val="en-US"/>
        </w:rPr>
        <w:t xml:space="preserve">-65. </w:t>
      </w:r>
      <w:proofErr w:type="spellStart"/>
      <w:r w:rsidRPr="00712D8A">
        <w:rPr>
          <w:color w:val="000000"/>
          <w:lang w:val="en-US"/>
        </w:rPr>
        <w:t>doi</w:t>
      </w:r>
      <w:proofErr w:type="spellEnd"/>
      <w:r w:rsidRPr="00712D8A">
        <w:rPr>
          <w:color w:val="000000"/>
          <w:lang w:val="en-US"/>
        </w:rPr>
        <w:t xml:space="preserve">: </w:t>
      </w:r>
      <w:hyperlink r:id="rId15">
        <w:r w:rsidRPr="00712D8A">
          <w:rPr>
            <w:color w:val="0000FF"/>
            <w:u w:val="single"/>
            <w:lang w:val="en-US"/>
          </w:rPr>
          <w:t>https://doi.org/10.1016/j.socscimed.2017.01.044</w:t>
        </w:r>
      </w:hyperlink>
    </w:p>
    <w:p w14:paraId="0000007F" w14:textId="77777777" w:rsidR="006508EE" w:rsidRDefault="00F26A0A">
      <w:pPr>
        <w:numPr>
          <w:ilvl w:val="0"/>
          <w:numId w:val="2"/>
        </w:numPr>
        <w:pBdr>
          <w:top w:val="nil"/>
          <w:left w:val="nil"/>
          <w:bottom w:val="nil"/>
          <w:right w:val="nil"/>
          <w:between w:val="nil"/>
        </w:pBdr>
        <w:spacing w:after="0" w:line="240" w:lineRule="auto"/>
        <w:rPr>
          <w:color w:val="000000"/>
        </w:rPr>
      </w:pPr>
      <w:r w:rsidRPr="00915910">
        <w:rPr>
          <w:color w:val="000000"/>
          <w:lang w:val="en-GB"/>
        </w:rPr>
        <w:t xml:space="preserve">Wolff H, </w:t>
      </w:r>
      <w:proofErr w:type="spellStart"/>
      <w:r w:rsidRPr="00915910">
        <w:rPr>
          <w:color w:val="000000"/>
          <w:lang w:val="en-GB"/>
        </w:rPr>
        <w:t>Gaspoz</w:t>
      </w:r>
      <w:proofErr w:type="spellEnd"/>
      <w:r w:rsidRPr="00915910">
        <w:rPr>
          <w:color w:val="000000"/>
          <w:lang w:val="en-GB"/>
        </w:rPr>
        <w:t xml:space="preserve"> JM, </w:t>
      </w:r>
      <w:proofErr w:type="spellStart"/>
      <w:r w:rsidRPr="00915910">
        <w:rPr>
          <w:color w:val="000000"/>
          <w:lang w:val="en-GB"/>
        </w:rPr>
        <w:t>Guessous</w:t>
      </w:r>
      <w:proofErr w:type="spellEnd"/>
      <w:r w:rsidRPr="00915910">
        <w:rPr>
          <w:color w:val="000000"/>
          <w:lang w:val="en-GB"/>
        </w:rPr>
        <w:t xml:space="preserve"> I. Health care renunciation for economic reasons in Switzerland. </w:t>
      </w:r>
      <w:r>
        <w:rPr>
          <w:i/>
          <w:color w:val="000000"/>
        </w:rPr>
        <w:t xml:space="preserve">Swiss Med </w:t>
      </w:r>
      <w:proofErr w:type="spellStart"/>
      <w:r>
        <w:rPr>
          <w:i/>
          <w:color w:val="000000"/>
        </w:rPr>
        <w:t>Wkly</w:t>
      </w:r>
      <w:proofErr w:type="spellEnd"/>
      <w:r>
        <w:rPr>
          <w:color w:val="000000"/>
        </w:rPr>
        <w:t xml:space="preserve"> 2011;</w:t>
      </w:r>
      <w:proofErr w:type="gramStart"/>
      <w:r>
        <w:rPr>
          <w:color w:val="000000"/>
        </w:rPr>
        <w:t>141:w</w:t>
      </w:r>
      <w:proofErr w:type="gramEnd"/>
      <w:r>
        <w:rPr>
          <w:color w:val="000000"/>
        </w:rPr>
        <w:t xml:space="preserve">13165. </w:t>
      </w:r>
      <w:proofErr w:type="spellStart"/>
      <w:proofErr w:type="gramStart"/>
      <w:r>
        <w:rPr>
          <w:color w:val="000000"/>
        </w:rPr>
        <w:t>doi</w:t>
      </w:r>
      <w:proofErr w:type="spellEnd"/>
      <w:proofErr w:type="gramEnd"/>
      <w:r>
        <w:rPr>
          <w:color w:val="000000"/>
        </w:rPr>
        <w:t>: 10.4414/smw.2011.13165 [</w:t>
      </w:r>
      <w:proofErr w:type="spellStart"/>
      <w:r>
        <w:rPr>
          <w:color w:val="000000"/>
        </w:rPr>
        <w:t>published</w:t>
      </w:r>
      <w:proofErr w:type="spellEnd"/>
      <w:r>
        <w:rPr>
          <w:color w:val="000000"/>
        </w:rPr>
        <w:t xml:space="preserve"> Online First: 2011/02/22]</w:t>
      </w:r>
    </w:p>
    <w:p w14:paraId="00000080" w14:textId="77777777" w:rsidR="006508EE" w:rsidRDefault="00F26A0A">
      <w:pPr>
        <w:numPr>
          <w:ilvl w:val="0"/>
          <w:numId w:val="2"/>
        </w:numPr>
        <w:pBdr>
          <w:top w:val="nil"/>
          <w:left w:val="nil"/>
          <w:bottom w:val="nil"/>
          <w:right w:val="nil"/>
          <w:between w:val="nil"/>
        </w:pBdr>
        <w:spacing w:after="0" w:line="240" w:lineRule="auto"/>
        <w:rPr>
          <w:color w:val="000000"/>
        </w:rPr>
      </w:pPr>
      <w:r w:rsidRPr="00915910">
        <w:rPr>
          <w:color w:val="000000"/>
          <w:lang w:val="en-GB"/>
        </w:rPr>
        <w:t xml:space="preserve">Chandra A, Gruber J, McKnight R. Patient Cost-Sharing and Hospitalization Offsets in the Elderly %J American Economic Review. </w:t>
      </w:r>
      <w:r>
        <w:rPr>
          <w:color w:val="000000"/>
        </w:rPr>
        <w:t xml:space="preserve">2010;100(1):193-213. </w:t>
      </w:r>
      <w:proofErr w:type="spellStart"/>
      <w:proofErr w:type="gramStart"/>
      <w:r>
        <w:rPr>
          <w:color w:val="000000"/>
        </w:rPr>
        <w:t>doi</w:t>
      </w:r>
      <w:proofErr w:type="spellEnd"/>
      <w:proofErr w:type="gramEnd"/>
      <w:r>
        <w:rPr>
          <w:color w:val="000000"/>
        </w:rPr>
        <w:t>: 10.1257/aer.100.1.193</w:t>
      </w:r>
    </w:p>
    <w:p w14:paraId="00000081" w14:textId="77777777" w:rsidR="006508EE" w:rsidRPr="00915910" w:rsidRDefault="00F26A0A">
      <w:pPr>
        <w:numPr>
          <w:ilvl w:val="0"/>
          <w:numId w:val="2"/>
        </w:numPr>
        <w:pBdr>
          <w:top w:val="nil"/>
          <w:left w:val="nil"/>
          <w:bottom w:val="nil"/>
          <w:right w:val="nil"/>
          <w:between w:val="nil"/>
        </w:pBdr>
        <w:spacing w:after="0" w:line="240" w:lineRule="auto"/>
        <w:rPr>
          <w:color w:val="000000"/>
          <w:lang w:val="en-GB"/>
        </w:rPr>
      </w:pPr>
      <w:r w:rsidRPr="00915910">
        <w:rPr>
          <w:color w:val="000000"/>
          <w:lang w:val="en-GB"/>
        </w:rPr>
        <w:t xml:space="preserve">Gemmill MC, Thomson S, Mossialos E. What impact do prescription drug charges have on efficiency and equity? Evidence from high-income countries. </w:t>
      </w:r>
      <w:r w:rsidRPr="00915910">
        <w:rPr>
          <w:i/>
          <w:color w:val="000000"/>
          <w:lang w:val="en-GB"/>
        </w:rPr>
        <w:t>International Journal for Equity in Health</w:t>
      </w:r>
      <w:r w:rsidRPr="00915910">
        <w:rPr>
          <w:color w:val="000000"/>
          <w:lang w:val="en-GB"/>
        </w:rPr>
        <w:t xml:space="preserve"> 2008;7(1):12. </w:t>
      </w:r>
      <w:proofErr w:type="spellStart"/>
      <w:r w:rsidRPr="00915910">
        <w:rPr>
          <w:color w:val="000000"/>
          <w:lang w:val="en-GB"/>
        </w:rPr>
        <w:t>doi</w:t>
      </w:r>
      <w:proofErr w:type="spellEnd"/>
      <w:r w:rsidRPr="00915910">
        <w:rPr>
          <w:color w:val="000000"/>
          <w:lang w:val="en-GB"/>
        </w:rPr>
        <w:t>: 10.1186/1475-9276-7-12</w:t>
      </w:r>
    </w:p>
    <w:p w14:paraId="00000082" w14:textId="77777777" w:rsidR="006508EE" w:rsidRPr="00915910" w:rsidRDefault="00F26A0A">
      <w:pPr>
        <w:numPr>
          <w:ilvl w:val="0"/>
          <w:numId w:val="2"/>
        </w:numPr>
        <w:pBdr>
          <w:top w:val="nil"/>
          <w:left w:val="nil"/>
          <w:bottom w:val="nil"/>
          <w:right w:val="nil"/>
          <w:between w:val="nil"/>
        </w:pBdr>
        <w:spacing w:after="0" w:line="240" w:lineRule="auto"/>
        <w:rPr>
          <w:color w:val="000000"/>
          <w:lang w:val="en-GB"/>
        </w:rPr>
      </w:pPr>
      <w:r w:rsidRPr="00915910">
        <w:rPr>
          <w:color w:val="000000"/>
          <w:lang w:val="en-GB"/>
        </w:rPr>
        <w:t xml:space="preserve">Hsu J, Price M, Huang J, et al. Unintended consequences of caps on Medicare drug benefits. </w:t>
      </w:r>
      <w:r w:rsidRPr="00915910">
        <w:rPr>
          <w:i/>
          <w:color w:val="000000"/>
          <w:lang w:val="en-GB"/>
        </w:rPr>
        <w:t>The New England journal of medicine</w:t>
      </w:r>
      <w:r w:rsidRPr="00915910">
        <w:rPr>
          <w:color w:val="000000"/>
          <w:lang w:val="en-GB"/>
        </w:rPr>
        <w:t xml:space="preserve"> 2006;354(22):2349-59. </w:t>
      </w:r>
      <w:proofErr w:type="spellStart"/>
      <w:r w:rsidRPr="00915910">
        <w:rPr>
          <w:color w:val="000000"/>
          <w:lang w:val="en-GB"/>
        </w:rPr>
        <w:t>doi</w:t>
      </w:r>
      <w:proofErr w:type="spellEnd"/>
      <w:r w:rsidRPr="00915910">
        <w:rPr>
          <w:color w:val="000000"/>
          <w:lang w:val="en-GB"/>
        </w:rPr>
        <w:t>: 10.1056/NEJMsa054436 [published Online First: 2006/06/02]</w:t>
      </w:r>
    </w:p>
    <w:p w14:paraId="00000083" w14:textId="77777777" w:rsidR="006508EE" w:rsidRDefault="00F26A0A">
      <w:pPr>
        <w:numPr>
          <w:ilvl w:val="0"/>
          <w:numId w:val="2"/>
        </w:numPr>
        <w:pBdr>
          <w:top w:val="nil"/>
          <w:left w:val="nil"/>
          <w:bottom w:val="nil"/>
          <w:right w:val="nil"/>
          <w:between w:val="nil"/>
        </w:pBdr>
        <w:spacing w:after="0" w:line="240" w:lineRule="auto"/>
        <w:rPr>
          <w:color w:val="000000"/>
        </w:rPr>
      </w:pPr>
      <w:r>
        <w:rPr>
          <w:color w:val="000000"/>
        </w:rPr>
        <w:t>OECD. Health for Everyone?2019</w:t>
      </w:r>
    </w:p>
    <w:p w14:paraId="00000084" w14:textId="77777777" w:rsidR="006508EE" w:rsidRPr="00915910" w:rsidRDefault="00F26A0A">
      <w:pPr>
        <w:numPr>
          <w:ilvl w:val="0"/>
          <w:numId w:val="2"/>
        </w:numPr>
        <w:pBdr>
          <w:top w:val="nil"/>
          <w:left w:val="nil"/>
          <w:bottom w:val="nil"/>
          <w:right w:val="nil"/>
          <w:between w:val="nil"/>
        </w:pBdr>
        <w:spacing w:after="0" w:line="240" w:lineRule="auto"/>
        <w:rPr>
          <w:color w:val="000000"/>
          <w:lang w:val="en-GB"/>
        </w:rPr>
      </w:pPr>
      <w:r w:rsidRPr="00915910">
        <w:rPr>
          <w:color w:val="000000"/>
          <w:lang w:val="en-GB"/>
        </w:rPr>
        <w:t xml:space="preserve">David B Evans, </w:t>
      </w:r>
      <w:proofErr w:type="spellStart"/>
      <w:r w:rsidRPr="00915910">
        <w:rPr>
          <w:color w:val="000000"/>
          <w:lang w:val="en-GB"/>
        </w:rPr>
        <w:t>Riku</w:t>
      </w:r>
      <w:proofErr w:type="spellEnd"/>
      <w:r w:rsidRPr="00915910">
        <w:rPr>
          <w:color w:val="000000"/>
          <w:lang w:val="en-GB"/>
        </w:rPr>
        <w:t xml:space="preserve"> </w:t>
      </w:r>
      <w:proofErr w:type="spellStart"/>
      <w:r w:rsidRPr="00915910">
        <w:rPr>
          <w:color w:val="000000"/>
          <w:lang w:val="en-GB"/>
        </w:rPr>
        <w:t>Elovainio</w:t>
      </w:r>
      <w:proofErr w:type="spellEnd"/>
      <w:r w:rsidRPr="00915910">
        <w:rPr>
          <w:color w:val="000000"/>
          <w:lang w:val="en-GB"/>
        </w:rPr>
        <w:t>, Gary Humphreys, et al. World health report: Health systems financing: the path to universal coverage: World Health Organisation, 2012.</w:t>
      </w:r>
    </w:p>
    <w:p w14:paraId="00000085" w14:textId="77777777" w:rsidR="006508EE" w:rsidRPr="00915910" w:rsidRDefault="00F26A0A">
      <w:pPr>
        <w:numPr>
          <w:ilvl w:val="0"/>
          <w:numId w:val="2"/>
        </w:numPr>
        <w:pBdr>
          <w:top w:val="nil"/>
          <w:left w:val="nil"/>
          <w:bottom w:val="nil"/>
          <w:right w:val="nil"/>
          <w:between w:val="nil"/>
        </w:pBdr>
        <w:spacing w:after="60" w:line="240" w:lineRule="auto"/>
        <w:rPr>
          <w:color w:val="000000"/>
          <w:lang w:val="en-GB"/>
        </w:rPr>
      </w:pPr>
      <w:proofErr w:type="spellStart"/>
      <w:r w:rsidRPr="00915910">
        <w:rPr>
          <w:color w:val="000000"/>
          <w:lang w:val="en-GB"/>
        </w:rPr>
        <w:t>Mj</w:t>
      </w:r>
      <w:proofErr w:type="spellEnd"/>
      <w:r w:rsidRPr="00915910">
        <w:rPr>
          <w:color w:val="000000"/>
          <w:lang w:val="en-GB"/>
        </w:rPr>
        <w:t xml:space="preserve"> R, Hsiao W, Berman P, et al. Getting Health Reform Right: A Guide to Improving Performance and Equity2004.</w:t>
      </w:r>
    </w:p>
    <w:p w14:paraId="00000086" w14:textId="77777777" w:rsidR="006508EE" w:rsidRPr="00915910" w:rsidRDefault="006508EE">
      <w:pPr>
        <w:pBdr>
          <w:top w:val="nil"/>
          <w:left w:val="nil"/>
          <w:bottom w:val="nil"/>
          <w:right w:val="nil"/>
          <w:between w:val="nil"/>
        </w:pBdr>
        <w:spacing w:line="240" w:lineRule="auto"/>
        <w:ind w:left="720" w:hanging="720"/>
        <w:jc w:val="left"/>
        <w:rPr>
          <w:color w:val="000000"/>
          <w:lang w:val="en-GB"/>
        </w:rPr>
      </w:pPr>
      <w:bookmarkStart w:id="6" w:name="_heading=h.gjdgxs" w:colFirst="0" w:colLast="0"/>
      <w:bookmarkEnd w:id="6"/>
    </w:p>
    <w:sectPr w:rsidR="006508EE" w:rsidRPr="00915910" w:rsidSect="00DC2D63">
      <w:pgSz w:w="12240" w:h="15840"/>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0FBA9" w14:textId="77777777" w:rsidR="003D5E19" w:rsidRDefault="003D5E19">
      <w:pPr>
        <w:spacing w:after="0" w:line="240" w:lineRule="auto"/>
      </w:pPr>
      <w:r>
        <w:separator/>
      </w:r>
    </w:p>
  </w:endnote>
  <w:endnote w:type="continuationSeparator" w:id="0">
    <w:p w14:paraId="50CAE77F" w14:textId="77777777" w:rsidR="003D5E19" w:rsidRDefault="003D5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437056243"/>
      <w:docPartObj>
        <w:docPartGallery w:val="Page Numbers (Bottom of Page)"/>
        <w:docPartUnique/>
      </w:docPartObj>
    </w:sdtPr>
    <w:sdtEndPr>
      <w:rPr>
        <w:rStyle w:val="Numrodepage"/>
      </w:rPr>
    </w:sdtEndPr>
    <w:sdtContent>
      <w:p w14:paraId="38308FB2" w14:textId="7C195DCE" w:rsidR="00CB2986" w:rsidRDefault="00CB2986" w:rsidP="000917E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01747F7" w14:textId="77777777" w:rsidR="00CB2986" w:rsidRDefault="00CB2986" w:rsidP="00406EF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407031428"/>
      <w:docPartObj>
        <w:docPartGallery w:val="Page Numbers (Bottom of Page)"/>
        <w:docPartUnique/>
      </w:docPartObj>
    </w:sdtPr>
    <w:sdtEndPr>
      <w:rPr>
        <w:rStyle w:val="Numrodepage"/>
      </w:rPr>
    </w:sdtEndPr>
    <w:sdtContent>
      <w:p w14:paraId="47A41422" w14:textId="6C38999B" w:rsidR="00CB2986" w:rsidRDefault="00CB2986" w:rsidP="000917E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7014EF">
          <w:rPr>
            <w:rStyle w:val="Numrodepage"/>
            <w:noProof/>
          </w:rPr>
          <w:t>1</w:t>
        </w:r>
        <w:r>
          <w:rPr>
            <w:rStyle w:val="Numrodepage"/>
          </w:rPr>
          <w:fldChar w:fldCharType="end"/>
        </w:r>
      </w:p>
    </w:sdtContent>
  </w:sdt>
  <w:p w14:paraId="2DA90150" w14:textId="77777777" w:rsidR="00CB2986" w:rsidRDefault="00CB2986" w:rsidP="00406EF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789AD" w14:textId="77777777" w:rsidR="003D5E19" w:rsidRDefault="003D5E19">
      <w:pPr>
        <w:spacing w:after="0" w:line="240" w:lineRule="auto"/>
      </w:pPr>
      <w:r>
        <w:separator/>
      </w:r>
    </w:p>
  </w:footnote>
  <w:footnote w:type="continuationSeparator" w:id="0">
    <w:p w14:paraId="22C7EBA4" w14:textId="77777777" w:rsidR="003D5E19" w:rsidRDefault="003D5E19">
      <w:pPr>
        <w:spacing w:after="0" w:line="240" w:lineRule="auto"/>
      </w:pPr>
      <w:r>
        <w:continuationSeparator/>
      </w:r>
    </w:p>
  </w:footnote>
  <w:footnote w:id="1">
    <w:p w14:paraId="00000087" w14:textId="129BDAD5" w:rsidR="006508EE" w:rsidRDefault="00F26A0A">
      <w:pPr>
        <w:spacing w:after="0" w:line="240" w:lineRule="auto"/>
      </w:pPr>
      <w:r>
        <w:rPr>
          <w:rStyle w:val="Appelnotedebasdep"/>
        </w:rPr>
        <w:footnoteRef/>
      </w:r>
      <w:r>
        <w:rPr>
          <w:sz w:val="16"/>
          <w:szCs w:val="16"/>
        </w:rPr>
        <w:t xml:space="preserve">Tranches de revenus et plafonds en </w:t>
      </w:r>
      <w:r w:rsidR="00CB2986">
        <w:rPr>
          <w:sz w:val="16"/>
          <w:szCs w:val="16"/>
        </w:rPr>
        <w:t>2020 :</w:t>
      </w:r>
      <w:r>
        <w:rPr>
          <w:sz w:val="16"/>
          <w:szCs w:val="16"/>
        </w:rPr>
        <w:t xml:space="preserve"> de 0,00 à 19.278 EUR - 478 EUR; de 19.278 à 29.636 EUR - 690 EUR; de 29.636 à 39.994 EUR - 1.061 EUR; de 39.994 à 49.920 EUR - 1.486 EUR; dès 49.920 EUR - 1.910 EUR</w:t>
      </w:r>
    </w:p>
  </w:footnote>
  <w:footnote w:id="2">
    <w:p w14:paraId="00000088" w14:textId="77777777" w:rsidR="006508EE" w:rsidRDefault="00F26A0A">
      <w:pPr>
        <w:pBdr>
          <w:top w:val="nil"/>
          <w:left w:val="nil"/>
          <w:bottom w:val="nil"/>
          <w:right w:val="nil"/>
          <w:between w:val="nil"/>
        </w:pBdr>
        <w:spacing w:after="0" w:line="240" w:lineRule="auto"/>
        <w:rPr>
          <w:color w:val="000000"/>
          <w:sz w:val="16"/>
          <w:szCs w:val="16"/>
        </w:rPr>
      </w:pPr>
      <w:r>
        <w:rPr>
          <w:rStyle w:val="Appelnotedebasdep"/>
        </w:rPr>
        <w:footnoteRef/>
      </w:r>
      <w:r>
        <w:rPr>
          <w:color w:val="000000"/>
          <w:sz w:val="16"/>
          <w:szCs w:val="16"/>
        </w:rPr>
        <w:t xml:space="preserve"> https://his.wiv-isp.be/fr/SitePages/Accueil.aspx</w:t>
      </w:r>
    </w:p>
  </w:footnote>
  <w:footnote w:id="3">
    <w:p w14:paraId="00000089" w14:textId="77777777" w:rsidR="006508EE" w:rsidRDefault="00F26A0A">
      <w:pPr>
        <w:pBdr>
          <w:top w:val="nil"/>
          <w:left w:val="nil"/>
          <w:bottom w:val="nil"/>
          <w:right w:val="nil"/>
          <w:between w:val="nil"/>
        </w:pBdr>
        <w:spacing w:after="0" w:line="240" w:lineRule="auto"/>
        <w:rPr>
          <w:color w:val="000000"/>
          <w:sz w:val="16"/>
          <w:szCs w:val="16"/>
        </w:rPr>
      </w:pPr>
      <w:r>
        <w:rPr>
          <w:rStyle w:val="Appelnotedebasdep"/>
        </w:rPr>
        <w:footnoteRef/>
      </w:r>
      <w:r>
        <w:rPr>
          <w:color w:val="000000"/>
        </w:rPr>
        <w:t xml:space="preserve"> </w:t>
      </w:r>
      <w:r w:rsidRPr="00712D8A">
        <w:rPr>
          <w:color w:val="000000"/>
          <w:sz w:val="16"/>
          <w:szCs w:val="16"/>
        </w:rPr>
        <w:t>L</w:t>
      </w:r>
      <w:r>
        <w:rPr>
          <w:color w:val="000000"/>
          <w:sz w:val="16"/>
          <w:szCs w:val="16"/>
        </w:rPr>
        <w:t>oi d’application vaudoise de la loi fédérale sur l’assurance maladie (</w:t>
      </w:r>
      <w:proofErr w:type="spellStart"/>
      <w:r>
        <w:rPr>
          <w:color w:val="000000"/>
          <w:sz w:val="16"/>
          <w:szCs w:val="16"/>
        </w:rPr>
        <w:t>LVLAMal</w:t>
      </w:r>
      <w:proofErr w:type="spellEnd"/>
      <w:r>
        <w:rPr>
          <w:color w:val="000000"/>
          <w:sz w:val="16"/>
          <w:szCs w:val="16"/>
        </w:rPr>
        <w:t>) : https://www.lexfind.ch/tolv/131631/fr</w:t>
      </w:r>
    </w:p>
  </w:footnote>
  <w:footnote w:id="4">
    <w:p w14:paraId="53737AD7" w14:textId="77777777" w:rsidR="00006C79" w:rsidRDefault="00006C79" w:rsidP="00006C79">
      <w:pPr>
        <w:pStyle w:val="Notedebasdepage"/>
        <w:rPr>
          <w:sz w:val="16"/>
        </w:rPr>
      </w:pPr>
      <w:r>
        <w:rPr>
          <w:rStyle w:val="Appelnotedebasdep"/>
        </w:rPr>
        <w:footnoteRef/>
      </w:r>
      <w:r>
        <w:t xml:space="preserve"> « </w:t>
      </w:r>
      <w:r w:rsidRPr="00F7452F">
        <w:rPr>
          <w:sz w:val="16"/>
        </w:rPr>
        <w:t>Un subside complémentaire, appelé subside spécifique est octroyé aux ménages</w:t>
      </w:r>
      <w:r>
        <w:rPr>
          <w:sz w:val="16"/>
        </w:rPr>
        <w:t xml:space="preserve"> </w:t>
      </w:r>
      <w:r w:rsidRPr="00F7452F">
        <w:rPr>
          <w:sz w:val="16"/>
        </w:rPr>
        <w:t>dont le taux d’effort dépasse le 10% du revenu déterminant unifié</w:t>
      </w:r>
      <w:r>
        <w:rPr>
          <w:sz w:val="16"/>
        </w:rPr>
        <w:t xml:space="preserve"> (RDU). </w:t>
      </w:r>
      <w:r w:rsidRPr="006649C8">
        <w:rPr>
          <w:sz w:val="16"/>
        </w:rPr>
        <w:t>Le taux d’effort correspond au rapport entre le total annu</w:t>
      </w:r>
      <w:r>
        <w:rPr>
          <w:sz w:val="16"/>
        </w:rPr>
        <w:t>alisé des primes des membres du ménage</w:t>
      </w:r>
      <w:r w:rsidRPr="006649C8">
        <w:rPr>
          <w:sz w:val="16"/>
        </w:rPr>
        <w:t xml:space="preserve"> – déduction faite des éventuels</w:t>
      </w:r>
      <w:r>
        <w:rPr>
          <w:sz w:val="16"/>
        </w:rPr>
        <w:t xml:space="preserve"> </w:t>
      </w:r>
      <w:r w:rsidRPr="006649C8">
        <w:rPr>
          <w:sz w:val="16"/>
        </w:rPr>
        <w:t>subsides ordinaires octroyés – et le RDU avant l’éventuelle déduction pour enfant(s) à charge</w:t>
      </w:r>
      <w:r>
        <w:rPr>
          <w:sz w:val="16"/>
        </w:rPr>
        <w:t> ». Explications détaillées accessibles en ligne :</w:t>
      </w:r>
    </w:p>
    <w:p w14:paraId="103C6F90" w14:textId="77777777" w:rsidR="00006C79" w:rsidRDefault="00006C79" w:rsidP="00006C79">
      <w:pPr>
        <w:pStyle w:val="Notedebasdepage"/>
      </w:pPr>
      <w:r w:rsidRPr="006649C8">
        <w:rPr>
          <w:sz w:val="16"/>
        </w:rPr>
        <w:t>https://www.vd.ch/fileadmin/user_upload/themes/social/Prestations__assurance_et_soutien/Assurance_maladie/Subside/Notice_explicative_2021.pdf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12758"/>
    <w:multiLevelType w:val="multilevel"/>
    <w:tmpl w:val="2048B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213AC8"/>
    <w:multiLevelType w:val="multilevel"/>
    <w:tmpl w:val="95DEE0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8EE"/>
    <w:rsid w:val="00006C79"/>
    <w:rsid w:val="0005068A"/>
    <w:rsid w:val="00194AE9"/>
    <w:rsid w:val="001D5983"/>
    <w:rsid w:val="002A3CC4"/>
    <w:rsid w:val="00322155"/>
    <w:rsid w:val="0034598A"/>
    <w:rsid w:val="00364ECE"/>
    <w:rsid w:val="003819E6"/>
    <w:rsid w:val="00397289"/>
    <w:rsid w:val="003C4640"/>
    <w:rsid w:val="003D5E19"/>
    <w:rsid w:val="00406EF9"/>
    <w:rsid w:val="00407CB8"/>
    <w:rsid w:val="004104E6"/>
    <w:rsid w:val="004D6177"/>
    <w:rsid w:val="00572923"/>
    <w:rsid w:val="005D64E1"/>
    <w:rsid w:val="0064111D"/>
    <w:rsid w:val="006508EE"/>
    <w:rsid w:val="006649C8"/>
    <w:rsid w:val="00696788"/>
    <w:rsid w:val="006A13B0"/>
    <w:rsid w:val="006F3842"/>
    <w:rsid w:val="007014EF"/>
    <w:rsid w:val="00712D8A"/>
    <w:rsid w:val="007511CB"/>
    <w:rsid w:val="007E3CAA"/>
    <w:rsid w:val="008014FE"/>
    <w:rsid w:val="0086529E"/>
    <w:rsid w:val="008A0E65"/>
    <w:rsid w:val="00915910"/>
    <w:rsid w:val="0094423C"/>
    <w:rsid w:val="00962DAA"/>
    <w:rsid w:val="009A1E0C"/>
    <w:rsid w:val="009E22D9"/>
    <w:rsid w:val="00A9174F"/>
    <w:rsid w:val="00B47F94"/>
    <w:rsid w:val="00B51919"/>
    <w:rsid w:val="00B72E48"/>
    <w:rsid w:val="00C511C8"/>
    <w:rsid w:val="00CA6BF5"/>
    <w:rsid w:val="00CB2986"/>
    <w:rsid w:val="00CF45C4"/>
    <w:rsid w:val="00D70638"/>
    <w:rsid w:val="00DA5F89"/>
    <w:rsid w:val="00DB61C1"/>
    <w:rsid w:val="00DC2D63"/>
    <w:rsid w:val="00E979AC"/>
    <w:rsid w:val="00EF364C"/>
    <w:rsid w:val="00F26A0A"/>
    <w:rsid w:val="00F57B2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7237F"/>
  <w15:docId w15:val="{E5D87E8F-D217-411F-B11D-D5705187D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fr-CH" w:eastAsia="fr-CH" w:bidi="ar-SA"/>
      </w:rPr>
    </w:rPrDefault>
    <w:pPrDefault>
      <w:pPr>
        <w:spacing w:after="200"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8E8"/>
  </w:style>
  <w:style w:type="paragraph" w:styleId="Titre1">
    <w:name w:val="heading 1"/>
    <w:basedOn w:val="Normal"/>
    <w:next w:val="Normal"/>
    <w:link w:val="Titre1Car"/>
    <w:uiPriority w:val="9"/>
    <w:qFormat/>
    <w:rsid w:val="007868E8"/>
    <w:pPr>
      <w:keepNext/>
      <w:keepLines/>
      <w:spacing w:before="240" w:after="0"/>
      <w:outlineLvl w:val="0"/>
    </w:pPr>
    <w:rPr>
      <w:rFonts w:eastAsiaTheme="majorEastAsia" w:cstheme="majorBidi"/>
      <w:b/>
      <w:sz w:val="24"/>
      <w:szCs w:val="32"/>
    </w:rPr>
  </w:style>
  <w:style w:type="paragraph" w:styleId="Titre2">
    <w:name w:val="heading 2"/>
    <w:basedOn w:val="Normal"/>
    <w:next w:val="Normal"/>
    <w:link w:val="Titre2Car"/>
    <w:uiPriority w:val="9"/>
    <w:unhideWhenUsed/>
    <w:qFormat/>
    <w:rsid w:val="007868E8"/>
    <w:pPr>
      <w:keepNext/>
      <w:keepLines/>
      <w:spacing w:before="40" w:after="0"/>
      <w:outlineLvl w:val="1"/>
    </w:pPr>
    <w:rPr>
      <w:rFonts w:eastAsiaTheme="majorEastAsia" w:cstheme="majorBidi"/>
      <w:b/>
      <w:szCs w:val="2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link w:val="TitreCar"/>
    <w:uiPriority w:val="10"/>
    <w:qFormat/>
    <w:rsid w:val="007868E8"/>
    <w:pPr>
      <w:spacing w:after="0" w:line="240" w:lineRule="auto"/>
      <w:contextualSpacing/>
    </w:pPr>
    <w:rPr>
      <w:rFonts w:asciiTheme="majorHAnsi" w:eastAsiaTheme="majorEastAsia" w:hAnsiTheme="majorHAnsi" w:cstheme="majorBidi"/>
      <w:spacing w:val="-10"/>
      <w:kern w:val="28"/>
      <w:sz w:val="56"/>
      <w:szCs w:val="56"/>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character" w:customStyle="1" w:styleId="Titre1Car">
    <w:name w:val="Titre 1 Car"/>
    <w:basedOn w:val="Policepardfaut"/>
    <w:link w:val="Titre1"/>
    <w:uiPriority w:val="9"/>
    <w:rsid w:val="007868E8"/>
    <w:rPr>
      <w:rFonts w:ascii="Arial" w:eastAsiaTheme="majorEastAsia" w:hAnsi="Arial" w:cstheme="majorBidi"/>
      <w:b/>
      <w:sz w:val="24"/>
      <w:szCs w:val="32"/>
      <w:lang w:val="fr-CH" w:eastAsia="fr-CH"/>
    </w:rPr>
  </w:style>
  <w:style w:type="character" w:customStyle="1" w:styleId="Titre2Car">
    <w:name w:val="Titre 2 Car"/>
    <w:basedOn w:val="Policepardfaut"/>
    <w:link w:val="Titre2"/>
    <w:uiPriority w:val="9"/>
    <w:rsid w:val="007868E8"/>
    <w:rPr>
      <w:rFonts w:ascii="Arial" w:eastAsiaTheme="majorEastAsia" w:hAnsi="Arial" w:cstheme="majorBidi"/>
      <w:b/>
      <w:sz w:val="20"/>
      <w:szCs w:val="26"/>
      <w:lang w:val="fr-CH" w:eastAsia="fr-CH"/>
    </w:rPr>
  </w:style>
  <w:style w:type="character" w:customStyle="1" w:styleId="TitreCar">
    <w:name w:val="Titre Car"/>
    <w:basedOn w:val="Policepardfaut"/>
    <w:link w:val="Titre"/>
    <w:uiPriority w:val="10"/>
    <w:rsid w:val="007868E8"/>
    <w:rPr>
      <w:rFonts w:asciiTheme="majorHAnsi" w:eastAsiaTheme="majorEastAsia" w:hAnsiTheme="majorHAnsi" w:cstheme="majorBidi"/>
      <w:spacing w:val="-10"/>
      <w:kern w:val="28"/>
      <w:sz w:val="56"/>
      <w:szCs w:val="56"/>
      <w:lang w:val="fr-CH" w:eastAsia="fr-CH"/>
    </w:rPr>
  </w:style>
  <w:style w:type="paragraph" w:styleId="Textedebulles">
    <w:name w:val="Balloon Text"/>
    <w:basedOn w:val="Normal"/>
    <w:link w:val="TextedebullesCar"/>
    <w:uiPriority w:val="99"/>
    <w:semiHidden/>
    <w:unhideWhenUsed/>
    <w:rsid w:val="007868E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868E8"/>
    <w:rPr>
      <w:rFonts w:ascii="Segoe UI" w:eastAsia="Arial" w:hAnsi="Segoe UI" w:cs="Segoe UI"/>
      <w:sz w:val="18"/>
      <w:szCs w:val="18"/>
      <w:lang w:val="fr-CH" w:eastAsia="fr-CH"/>
    </w:rPr>
  </w:style>
  <w:style w:type="paragraph" w:customStyle="1" w:styleId="EndNoteBibliographyTitle">
    <w:name w:val="EndNote Bibliography Title"/>
    <w:basedOn w:val="Normal"/>
    <w:link w:val="EndNoteBibliographyTitleCar"/>
    <w:rsid w:val="007868E8"/>
    <w:pPr>
      <w:spacing w:after="0"/>
      <w:jc w:val="center"/>
    </w:pPr>
    <w:rPr>
      <w:noProof/>
    </w:rPr>
  </w:style>
  <w:style w:type="character" w:customStyle="1" w:styleId="EndNoteBibliographyTitleCar">
    <w:name w:val="EndNote Bibliography Title Car"/>
    <w:basedOn w:val="Policepardfaut"/>
    <w:link w:val="EndNoteBibliographyTitle"/>
    <w:rsid w:val="007868E8"/>
    <w:rPr>
      <w:noProof/>
    </w:rPr>
  </w:style>
  <w:style w:type="paragraph" w:customStyle="1" w:styleId="EndNoteBibliography">
    <w:name w:val="EndNote Bibliography"/>
    <w:basedOn w:val="Normal"/>
    <w:link w:val="EndNoteBibliographyCar"/>
    <w:rsid w:val="007868E8"/>
    <w:pPr>
      <w:spacing w:line="240" w:lineRule="auto"/>
    </w:pPr>
    <w:rPr>
      <w:noProof/>
    </w:rPr>
  </w:style>
  <w:style w:type="character" w:customStyle="1" w:styleId="EndNoteBibliographyCar">
    <w:name w:val="EndNote Bibliography Car"/>
    <w:basedOn w:val="Policepardfaut"/>
    <w:link w:val="EndNoteBibliography"/>
    <w:rsid w:val="007868E8"/>
    <w:rPr>
      <w:noProof/>
    </w:rPr>
  </w:style>
  <w:style w:type="character" w:styleId="Lienhypertexte">
    <w:name w:val="Hyperlink"/>
    <w:basedOn w:val="Policepardfaut"/>
    <w:uiPriority w:val="99"/>
    <w:unhideWhenUsed/>
    <w:rsid w:val="007868E8"/>
    <w:rPr>
      <w:color w:val="0000FF" w:themeColor="hyperlink"/>
      <w:u w:val="single"/>
    </w:rPr>
  </w:style>
  <w:style w:type="paragraph" w:styleId="Notedebasdepage">
    <w:name w:val="footnote text"/>
    <w:basedOn w:val="Normal"/>
    <w:link w:val="NotedebasdepageCar"/>
    <w:uiPriority w:val="99"/>
    <w:unhideWhenUsed/>
    <w:rsid w:val="00FF1C75"/>
    <w:pPr>
      <w:spacing w:after="0" w:line="240" w:lineRule="auto"/>
    </w:pPr>
  </w:style>
  <w:style w:type="character" w:customStyle="1" w:styleId="NotedebasdepageCar">
    <w:name w:val="Note de bas de page Car"/>
    <w:basedOn w:val="Policepardfaut"/>
    <w:link w:val="Notedebasdepage"/>
    <w:uiPriority w:val="99"/>
    <w:rsid w:val="00FF1C75"/>
    <w:rPr>
      <w:rFonts w:ascii="Arial" w:eastAsia="Arial" w:hAnsi="Arial" w:cs="Arial"/>
      <w:sz w:val="20"/>
      <w:szCs w:val="20"/>
      <w:lang w:val="fr-CH" w:eastAsia="fr-CH"/>
    </w:rPr>
  </w:style>
  <w:style w:type="character" w:styleId="Appelnotedebasdep">
    <w:name w:val="footnote reference"/>
    <w:basedOn w:val="Policepardfaut"/>
    <w:uiPriority w:val="99"/>
    <w:semiHidden/>
    <w:unhideWhenUsed/>
    <w:rsid w:val="00FF1C75"/>
    <w:rPr>
      <w:vertAlign w:val="superscript"/>
    </w:r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rFonts w:ascii="Arial" w:eastAsia="Arial" w:hAnsi="Arial" w:cs="Arial"/>
      <w:sz w:val="20"/>
      <w:szCs w:val="20"/>
      <w:lang w:val="fr-CH" w:eastAsia="fr-CH"/>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C61FC6"/>
    <w:rPr>
      <w:b/>
      <w:bCs/>
    </w:rPr>
  </w:style>
  <w:style w:type="character" w:customStyle="1" w:styleId="ObjetducommentaireCar">
    <w:name w:val="Objet du commentaire Car"/>
    <w:basedOn w:val="CommentaireCar"/>
    <w:link w:val="Objetducommentaire"/>
    <w:uiPriority w:val="99"/>
    <w:semiHidden/>
    <w:rsid w:val="00C61FC6"/>
    <w:rPr>
      <w:rFonts w:ascii="Arial" w:eastAsia="Arial" w:hAnsi="Arial" w:cs="Arial"/>
      <w:b/>
      <w:bCs/>
      <w:sz w:val="20"/>
      <w:szCs w:val="20"/>
      <w:lang w:val="fr-CH" w:eastAsia="fr-CH"/>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auNormal"/>
    <w:tblPr>
      <w:tblStyleRowBandSize w:val="1"/>
      <w:tblStyleColBandSize w:val="1"/>
      <w:tblCellMar>
        <w:left w:w="115" w:type="dxa"/>
        <w:right w:w="115" w:type="dxa"/>
      </w:tblCellMar>
    </w:tblPr>
  </w:style>
  <w:style w:type="table" w:customStyle="1" w:styleId="a0">
    <w:basedOn w:val="TableauNormal"/>
    <w:tblPr>
      <w:tblStyleRowBandSize w:val="1"/>
      <w:tblStyleColBandSize w:val="1"/>
      <w:tblCellMar>
        <w:left w:w="115" w:type="dxa"/>
        <w:right w:w="115" w:type="dxa"/>
      </w:tblCellMar>
    </w:tblPr>
  </w:style>
  <w:style w:type="table" w:customStyle="1" w:styleId="a1">
    <w:basedOn w:val="TableauNormal"/>
    <w:tblPr>
      <w:tblStyleRowBandSize w:val="1"/>
      <w:tblStyleColBandSize w:val="1"/>
      <w:tblCellMar>
        <w:left w:w="115" w:type="dxa"/>
        <w:right w:w="115" w:type="dxa"/>
      </w:tblCellMar>
    </w:tblPr>
  </w:style>
  <w:style w:type="table" w:customStyle="1" w:styleId="a2">
    <w:basedOn w:val="TableauNormal"/>
    <w:tblPr>
      <w:tblStyleRowBandSize w:val="1"/>
      <w:tblStyleColBandSize w:val="1"/>
      <w:tblCellMar>
        <w:left w:w="115" w:type="dxa"/>
        <w:right w:w="115" w:type="dxa"/>
      </w:tblCellMar>
    </w:tblPr>
  </w:style>
  <w:style w:type="table" w:customStyle="1" w:styleId="a3">
    <w:basedOn w:val="TableauNormal"/>
    <w:tblPr>
      <w:tblStyleRowBandSize w:val="1"/>
      <w:tblStyleColBandSize w:val="1"/>
      <w:tblCellMar>
        <w:left w:w="115" w:type="dxa"/>
        <w:right w:w="115" w:type="dxa"/>
      </w:tblCellMar>
    </w:tblPr>
  </w:style>
  <w:style w:type="table" w:customStyle="1" w:styleId="a4">
    <w:basedOn w:val="TableauNormal"/>
    <w:tblPr>
      <w:tblStyleRowBandSize w:val="1"/>
      <w:tblStyleColBandSize w:val="1"/>
      <w:tblCellMar>
        <w:left w:w="115" w:type="dxa"/>
        <w:right w:w="115" w:type="dxa"/>
      </w:tblCellMar>
    </w:tblPr>
  </w:style>
  <w:style w:type="table" w:customStyle="1" w:styleId="a5">
    <w:basedOn w:val="TableauNormal"/>
    <w:tblPr>
      <w:tblStyleRowBandSize w:val="1"/>
      <w:tblStyleColBandSize w:val="1"/>
      <w:tblCellMar>
        <w:left w:w="115" w:type="dxa"/>
        <w:right w:w="115" w:type="dxa"/>
      </w:tblCellMar>
    </w:tblPr>
  </w:style>
  <w:style w:type="table" w:customStyle="1" w:styleId="a6">
    <w:basedOn w:val="TableauNormal"/>
    <w:tblPr>
      <w:tblStyleRowBandSize w:val="1"/>
      <w:tblStyleColBandSize w:val="1"/>
      <w:tblCellMar>
        <w:left w:w="115" w:type="dxa"/>
        <w:right w:w="115" w:type="dxa"/>
      </w:tblCellMar>
    </w:tblPr>
  </w:style>
  <w:style w:type="table" w:customStyle="1" w:styleId="a7">
    <w:basedOn w:val="TableauNormal"/>
    <w:tblPr>
      <w:tblStyleRowBandSize w:val="1"/>
      <w:tblStyleColBandSize w:val="1"/>
      <w:tblCellMar>
        <w:left w:w="115" w:type="dxa"/>
        <w:right w:w="115" w:type="dxa"/>
      </w:tblCellMar>
    </w:tblPr>
  </w:style>
  <w:style w:type="table" w:customStyle="1" w:styleId="a8">
    <w:basedOn w:val="TableauNormal"/>
    <w:tblPr>
      <w:tblStyleRowBandSize w:val="1"/>
      <w:tblStyleColBandSize w:val="1"/>
      <w:tblCellMar>
        <w:left w:w="115" w:type="dxa"/>
        <w:right w:w="115" w:type="dxa"/>
      </w:tblCellMar>
    </w:tblPr>
  </w:style>
  <w:style w:type="table" w:customStyle="1" w:styleId="a9">
    <w:basedOn w:val="TableauNormal"/>
    <w:tblPr>
      <w:tblStyleRowBandSize w:val="1"/>
      <w:tblStyleColBandSize w:val="1"/>
      <w:tblCellMar>
        <w:left w:w="115" w:type="dxa"/>
        <w:right w:w="115" w:type="dxa"/>
      </w:tblCellMar>
    </w:tblPr>
  </w:style>
  <w:style w:type="table" w:customStyle="1" w:styleId="aa">
    <w:basedOn w:val="TableauNormal"/>
    <w:tblPr>
      <w:tblStyleRowBandSize w:val="1"/>
      <w:tblStyleColBandSize w:val="1"/>
      <w:tblCellMar>
        <w:left w:w="115" w:type="dxa"/>
        <w:right w:w="115" w:type="dxa"/>
      </w:tblCellMar>
    </w:tblPr>
  </w:style>
  <w:style w:type="table" w:customStyle="1" w:styleId="ab">
    <w:basedOn w:val="TableauNormal"/>
    <w:tblPr>
      <w:tblStyleRowBandSize w:val="1"/>
      <w:tblStyleColBandSize w:val="1"/>
      <w:tblCellMar>
        <w:left w:w="115" w:type="dxa"/>
        <w:right w:w="115" w:type="dxa"/>
      </w:tblCellMar>
    </w:tblPr>
  </w:style>
  <w:style w:type="table" w:customStyle="1" w:styleId="ac">
    <w:basedOn w:val="TableauNormal"/>
    <w:tblPr>
      <w:tblStyleRowBandSize w:val="1"/>
      <w:tblStyleColBandSize w:val="1"/>
      <w:tblCellMar>
        <w:left w:w="115" w:type="dxa"/>
        <w:right w:w="115" w:type="dxa"/>
      </w:tblCellMar>
    </w:tblPr>
  </w:style>
  <w:style w:type="table" w:customStyle="1" w:styleId="ad">
    <w:basedOn w:val="TableauNormal"/>
    <w:tblPr>
      <w:tblStyleRowBandSize w:val="1"/>
      <w:tblStyleColBandSize w:val="1"/>
      <w:tblCellMar>
        <w:left w:w="115" w:type="dxa"/>
        <w:right w:w="115" w:type="dxa"/>
      </w:tblCellMar>
    </w:tblPr>
  </w:style>
  <w:style w:type="table" w:customStyle="1" w:styleId="ae">
    <w:basedOn w:val="TableauNormal"/>
    <w:tblPr>
      <w:tblStyleRowBandSize w:val="1"/>
      <w:tblStyleColBandSize w:val="1"/>
      <w:tblCellMar>
        <w:left w:w="115" w:type="dxa"/>
        <w:right w:w="115" w:type="dxa"/>
      </w:tblCellMar>
    </w:tblPr>
  </w:style>
  <w:style w:type="table" w:customStyle="1" w:styleId="af">
    <w:basedOn w:val="TableauNormal"/>
    <w:tblPr>
      <w:tblStyleRowBandSize w:val="1"/>
      <w:tblStyleColBandSize w:val="1"/>
      <w:tblCellMar>
        <w:left w:w="115" w:type="dxa"/>
        <w:right w:w="115" w:type="dxa"/>
      </w:tblCellMar>
    </w:tblPr>
  </w:style>
  <w:style w:type="table" w:customStyle="1" w:styleId="af0">
    <w:basedOn w:val="TableauNormal"/>
    <w:tblPr>
      <w:tblStyleRowBandSize w:val="1"/>
      <w:tblStyleColBandSize w:val="1"/>
      <w:tblCellMar>
        <w:left w:w="115" w:type="dxa"/>
        <w:right w:w="115" w:type="dxa"/>
      </w:tblCellMar>
    </w:tblPr>
  </w:style>
  <w:style w:type="table" w:customStyle="1" w:styleId="af1">
    <w:basedOn w:val="TableauNormal"/>
    <w:tblPr>
      <w:tblStyleRowBandSize w:val="1"/>
      <w:tblStyleColBandSize w:val="1"/>
      <w:tblCellMar>
        <w:left w:w="115" w:type="dxa"/>
        <w:right w:w="115" w:type="dxa"/>
      </w:tblCellMar>
    </w:tblPr>
  </w:style>
  <w:style w:type="table" w:customStyle="1" w:styleId="af2">
    <w:basedOn w:val="TableauNormal"/>
    <w:tblPr>
      <w:tblStyleRowBandSize w:val="1"/>
      <w:tblStyleColBandSize w:val="1"/>
      <w:tblCellMar>
        <w:left w:w="115" w:type="dxa"/>
        <w:right w:w="115" w:type="dxa"/>
      </w:tblCellMar>
    </w:tblPr>
  </w:style>
  <w:style w:type="table" w:customStyle="1" w:styleId="af3">
    <w:basedOn w:val="TableauNormal"/>
    <w:tblPr>
      <w:tblStyleRowBandSize w:val="1"/>
      <w:tblStyleColBandSize w:val="1"/>
      <w:tblCellMar>
        <w:left w:w="115" w:type="dxa"/>
        <w:right w:w="115" w:type="dxa"/>
      </w:tblCellMar>
    </w:tblPr>
  </w:style>
  <w:style w:type="table" w:customStyle="1" w:styleId="af4">
    <w:basedOn w:val="TableauNormal"/>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tblPr>
      <w:tblStyleRowBandSize w:val="1"/>
      <w:tblStyleColBandSize w:val="1"/>
      <w:tblCellMar>
        <w:left w:w="115" w:type="dxa"/>
        <w:right w:w="115" w:type="dxa"/>
      </w:tblCellMar>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115" w:type="dxa"/>
        <w:right w:w="115" w:type="dxa"/>
      </w:tblCellMar>
    </w:tblPr>
  </w:style>
  <w:style w:type="paragraph" w:styleId="Paragraphedeliste">
    <w:name w:val="List Paragraph"/>
    <w:basedOn w:val="Normal"/>
    <w:uiPriority w:val="34"/>
    <w:qFormat/>
    <w:rsid w:val="00517B22"/>
    <w:pPr>
      <w:ind w:left="720"/>
      <w:contextualSpacing/>
    </w:pPr>
  </w:style>
  <w:style w:type="table" w:customStyle="1" w:styleId="aff0">
    <w:basedOn w:val="TableauNormal"/>
    <w:tblPr>
      <w:tblStyleRowBandSize w:val="1"/>
      <w:tblStyleColBandSize w:val="1"/>
      <w:tblCellMar>
        <w:left w:w="115" w:type="dxa"/>
        <w:right w:w="115" w:type="dxa"/>
      </w:tblCellMar>
    </w:tblPr>
  </w:style>
  <w:style w:type="table" w:customStyle="1" w:styleId="aff1">
    <w:basedOn w:val="TableauNormal"/>
    <w:tblPr>
      <w:tblStyleRowBandSize w:val="1"/>
      <w:tblStyleColBandSize w:val="1"/>
      <w:tblCellMar>
        <w:left w:w="115" w:type="dxa"/>
        <w:right w:w="115" w:type="dxa"/>
      </w:tblCellMar>
    </w:tblPr>
  </w:style>
  <w:style w:type="table" w:customStyle="1" w:styleId="aff2">
    <w:basedOn w:val="TableauNormal"/>
    <w:tblPr>
      <w:tblStyleRowBandSize w:val="1"/>
      <w:tblStyleColBandSize w:val="1"/>
      <w:tblCellMar>
        <w:left w:w="115" w:type="dxa"/>
        <w:right w:w="115" w:type="dxa"/>
      </w:tblCellMar>
    </w:tblPr>
  </w:style>
  <w:style w:type="table" w:customStyle="1" w:styleId="aff3">
    <w:basedOn w:val="TableauNormal"/>
    <w:tblPr>
      <w:tblStyleRowBandSize w:val="1"/>
      <w:tblStyleColBandSize w:val="1"/>
      <w:tblCellMar>
        <w:left w:w="115" w:type="dxa"/>
        <w:right w:w="115" w:type="dxa"/>
      </w:tblCellMar>
    </w:tblPr>
  </w:style>
  <w:style w:type="table" w:customStyle="1" w:styleId="aff4">
    <w:basedOn w:val="TableauNormal"/>
    <w:tblPr>
      <w:tblStyleRowBandSize w:val="1"/>
      <w:tblStyleColBandSize w:val="1"/>
      <w:tblCellMar>
        <w:left w:w="115" w:type="dxa"/>
        <w:right w:w="115" w:type="dxa"/>
      </w:tblCellMar>
    </w:tblPr>
  </w:style>
  <w:style w:type="table" w:customStyle="1" w:styleId="aff5">
    <w:basedOn w:val="TableauNormal"/>
    <w:tblPr>
      <w:tblStyleRowBandSize w:val="1"/>
      <w:tblStyleColBandSize w:val="1"/>
      <w:tblCellMar>
        <w:left w:w="115" w:type="dxa"/>
        <w:right w:w="115" w:type="dxa"/>
      </w:tblCellMar>
    </w:tblPr>
  </w:style>
  <w:style w:type="table" w:customStyle="1" w:styleId="aff6">
    <w:basedOn w:val="TableauNormal"/>
    <w:tblPr>
      <w:tblStyleRowBandSize w:val="1"/>
      <w:tblStyleColBandSize w:val="1"/>
      <w:tblCellMar>
        <w:left w:w="115" w:type="dxa"/>
        <w:right w:w="115" w:type="dxa"/>
      </w:tblCellMar>
    </w:tblPr>
  </w:style>
  <w:style w:type="table" w:customStyle="1" w:styleId="aff7">
    <w:basedOn w:val="TableauNormal"/>
    <w:tblPr>
      <w:tblStyleRowBandSize w:val="1"/>
      <w:tblStyleColBandSize w:val="1"/>
      <w:tblCellMar>
        <w:left w:w="115" w:type="dxa"/>
        <w:right w:w="115" w:type="dxa"/>
      </w:tblCellMar>
    </w:tblPr>
  </w:style>
  <w:style w:type="table" w:customStyle="1" w:styleId="aff8">
    <w:basedOn w:val="TableauNormal"/>
    <w:tblPr>
      <w:tblStyleRowBandSize w:val="1"/>
      <w:tblStyleColBandSize w:val="1"/>
      <w:tblCellMar>
        <w:left w:w="115" w:type="dxa"/>
        <w:right w:w="115" w:type="dxa"/>
      </w:tblCellMar>
    </w:tblPr>
  </w:style>
  <w:style w:type="table" w:customStyle="1" w:styleId="aff9">
    <w:basedOn w:val="TableauNormal"/>
    <w:tblPr>
      <w:tblStyleRowBandSize w:val="1"/>
      <w:tblStyleColBandSize w:val="1"/>
      <w:tblCellMar>
        <w:left w:w="115" w:type="dxa"/>
        <w:right w:w="115" w:type="dxa"/>
      </w:tblCellMar>
    </w:tblPr>
  </w:style>
  <w:style w:type="table" w:customStyle="1" w:styleId="affa">
    <w:basedOn w:val="TableauNormal"/>
    <w:tblPr>
      <w:tblStyleRowBandSize w:val="1"/>
      <w:tblStyleColBandSize w:val="1"/>
      <w:tblCellMar>
        <w:left w:w="115" w:type="dxa"/>
        <w:right w:w="115" w:type="dxa"/>
      </w:tblCellMar>
    </w:tblPr>
  </w:style>
  <w:style w:type="table" w:customStyle="1" w:styleId="affb">
    <w:basedOn w:val="TableauNormal"/>
    <w:tblPr>
      <w:tblStyleRowBandSize w:val="1"/>
      <w:tblStyleColBandSize w:val="1"/>
      <w:tblCellMar>
        <w:left w:w="115" w:type="dxa"/>
        <w:right w:w="115" w:type="dxa"/>
      </w:tblCellMar>
    </w:tblPr>
  </w:style>
  <w:style w:type="table" w:customStyle="1" w:styleId="affc">
    <w:basedOn w:val="TableauNormal"/>
    <w:tblPr>
      <w:tblStyleRowBandSize w:val="1"/>
      <w:tblStyleColBandSize w:val="1"/>
      <w:tblCellMar>
        <w:left w:w="115" w:type="dxa"/>
        <w:right w:w="115" w:type="dxa"/>
      </w:tblCellMar>
    </w:tblPr>
  </w:style>
  <w:style w:type="table" w:customStyle="1" w:styleId="affd">
    <w:basedOn w:val="TableauNormal"/>
    <w:tblPr>
      <w:tblStyleRowBandSize w:val="1"/>
      <w:tblStyleColBandSize w:val="1"/>
      <w:tblCellMar>
        <w:left w:w="115" w:type="dxa"/>
        <w:right w:w="115" w:type="dxa"/>
      </w:tblCellMar>
    </w:tblPr>
  </w:style>
  <w:style w:type="table" w:customStyle="1" w:styleId="affe">
    <w:basedOn w:val="TableauNormal"/>
    <w:tblPr>
      <w:tblStyleRowBandSize w:val="1"/>
      <w:tblStyleColBandSize w:val="1"/>
      <w:tblCellMar>
        <w:left w:w="115" w:type="dxa"/>
        <w:right w:w="115" w:type="dxa"/>
      </w:tblCellMar>
    </w:tblPr>
  </w:style>
  <w:style w:type="table" w:customStyle="1" w:styleId="afff">
    <w:basedOn w:val="TableauNormal"/>
    <w:tblPr>
      <w:tblStyleRowBandSize w:val="1"/>
      <w:tblStyleColBandSize w:val="1"/>
      <w:tblCellMar>
        <w:left w:w="115" w:type="dxa"/>
        <w:right w:w="115" w:type="dxa"/>
      </w:tblCellMar>
    </w:tblPr>
  </w:style>
  <w:style w:type="table" w:customStyle="1" w:styleId="afff0">
    <w:basedOn w:val="TableauNormal"/>
    <w:tblPr>
      <w:tblStyleRowBandSize w:val="1"/>
      <w:tblStyleColBandSize w:val="1"/>
      <w:tblCellMar>
        <w:left w:w="115" w:type="dxa"/>
        <w:right w:w="115" w:type="dxa"/>
      </w:tblCellMar>
    </w:tblPr>
  </w:style>
  <w:style w:type="table" w:customStyle="1" w:styleId="afff1">
    <w:basedOn w:val="TableauNormal"/>
    <w:tblPr>
      <w:tblStyleRowBandSize w:val="1"/>
      <w:tblStyleColBandSize w:val="1"/>
      <w:tblCellMar>
        <w:left w:w="115" w:type="dxa"/>
        <w:right w:w="115" w:type="dxa"/>
      </w:tblCellMar>
    </w:tblPr>
  </w:style>
  <w:style w:type="table" w:customStyle="1" w:styleId="afff2">
    <w:basedOn w:val="TableauNormal"/>
    <w:tblPr>
      <w:tblStyleRowBandSize w:val="1"/>
      <w:tblStyleColBandSize w:val="1"/>
      <w:tblCellMar>
        <w:left w:w="115" w:type="dxa"/>
        <w:right w:w="115" w:type="dxa"/>
      </w:tblCellMar>
    </w:tblPr>
  </w:style>
  <w:style w:type="table" w:customStyle="1" w:styleId="afff3">
    <w:basedOn w:val="TableauNormal"/>
    <w:tblPr>
      <w:tblStyleRowBandSize w:val="1"/>
      <w:tblStyleColBandSize w:val="1"/>
      <w:tblCellMar>
        <w:left w:w="115" w:type="dxa"/>
        <w:right w:w="115" w:type="dxa"/>
      </w:tblCellMar>
    </w:tblPr>
  </w:style>
  <w:style w:type="table" w:customStyle="1" w:styleId="afff4">
    <w:basedOn w:val="TableauNormal"/>
    <w:tblPr>
      <w:tblStyleRowBandSize w:val="1"/>
      <w:tblStyleColBandSize w:val="1"/>
      <w:tblCellMar>
        <w:left w:w="115" w:type="dxa"/>
        <w:right w:w="115" w:type="dxa"/>
      </w:tblCellMar>
    </w:tblPr>
  </w:style>
  <w:style w:type="table" w:customStyle="1" w:styleId="afff5">
    <w:basedOn w:val="TableauNormal"/>
    <w:tblPr>
      <w:tblStyleRowBandSize w:val="1"/>
      <w:tblStyleColBandSize w:val="1"/>
      <w:tblCellMar>
        <w:left w:w="115" w:type="dxa"/>
        <w:right w:w="115" w:type="dxa"/>
      </w:tblCellMar>
    </w:tblPr>
  </w:style>
  <w:style w:type="paragraph" w:styleId="Pieddepage">
    <w:name w:val="footer"/>
    <w:basedOn w:val="Normal"/>
    <w:link w:val="PieddepageCar"/>
    <w:uiPriority w:val="99"/>
    <w:unhideWhenUsed/>
    <w:rsid w:val="00CB298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B2986"/>
  </w:style>
  <w:style w:type="character" w:styleId="Numrodepage">
    <w:name w:val="page number"/>
    <w:basedOn w:val="Policepardfaut"/>
    <w:uiPriority w:val="99"/>
    <w:semiHidden/>
    <w:unhideWhenUsed/>
    <w:rsid w:val="00CB2986"/>
  </w:style>
  <w:style w:type="paragraph" w:styleId="Rvision">
    <w:name w:val="Revision"/>
    <w:hidden/>
    <w:uiPriority w:val="99"/>
    <w:semiHidden/>
    <w:rsid w:val="00712D8A"/>
    <w:pPr>
      <w:spacing w:after="0" w:line="240" w:lineRule="auto"/>
      <w:jc w:val="left"/>
    </w:pPr>
  </w:style>
  <w:style w:type="paragraph" w:styleId="En-tte">
    <w:name w:val="header"/>
    <w:basedOn w:val="Normal"/>
    <w:link w:val="En-tteCar"/>
    <w:uiPriority w:val="99"/>
    <w:unhideWhenUsed/>
    <w:rsid w:val="00712D8A"/>
    <w:pPr>
      <w:tabs>
        <w:tab w:val="center" w:pos="4536"/>
        <w:tab w:val="right" w:pos="9072"/>
      </w:tabs>
      <w:spacing w:after="0" w:line="240" w:lineRule="auto"/>
    </w:pPr>
  </w:style>
  <w:style w:type="character" w:customStyle="1" w:styleId="En-tteCar">
    <w:name w:val="En-tête Car"/>
    <w:basedOn w:val="Policepardfaut"/>
    <w:link w:val="En-tte"/>
    <w:uiPriority w:val="99"/>
    <w:rsid w:val="00712D8A"/>
  </w:style>
  <w:style w:type="paragraph" w:styleId="NormalWeb">
    <w:name w:val="Normal (Web)"/>
    <w:basedOn w:val="Normal"/>
    <w:uiPriority w:val="99"/>
    <w:semiHidden/>
    <w:unhideWhenUsed/>
    <w:rsid w:val="003819E6"/>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1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ats.oecd.org/" TargetMode="External"/><Relationship Id="rId5" Type="http://schemas.openxmlformats.org/officeDocument/2006/relationships/settings" Target="settings.xml"/><Relationship Id="rId15" Type="http://schemas.openxmlformats.org/officeDocument/2006/relationships/hyperlink" Target="https://doi.org/10.1016/j.socscimed.2017.01.044" TargetMode="Externa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stats.oecd.org/" TargetMode="External"/><Relationship Id="rId1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D2yFqltQ/osrVEVnwPvNeZ6gw==">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</go:docsCustomData>
</go:gDocsCustomXmlDataStorage>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81A260E-E734-4D15-B5A7-C77C63E5A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3179</Words>
  <Characters>17490</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Spycher Jacques</dc:creator>
  <cp:lastModifiedBy>Marti Joachim</cp:lastModifiedBy>
  <cp:revision>4</cp:revision>
  <dcterms:created xsi:type="dcterms:W3CDTF">2020-12-08T08:07:00Z</dcterms:created>
  <dcterms:modified xsi:type="dcterms:W3CDTF">2020-12-08T08:18:00Z</dcterms:modified>
</cp:coreProperties>
</file>