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36FE" w:rsidRPr="007D3558" w:rsidRDefault="007D3558">
      <w:pPr>
        <w:pStyle w:val="Titre1"/>
        <w:ind w:left="-5"/>
        <w:rPr>
          <w:lang w:val="fr-BE"/>
        </w:rPr>
      </w:pPr>
      <w:proofErr w:type="spellStart"/>
      <w:r w:rsidRPr="007D3558">
        <w:rPr>
          <w:lang w:val="fr-BE"/>
        </w:rPr>
        <w:t>Authors</w:t>
      </w:r>
      <w:proofErr w:type="spellEnd"/>
    </w:p>
    <w:p w:rsidR="00D036FE" w:rsidRPr="007D3558" w:rsidRDefault="007D3558">
      <w:pPr>
        <w:ind w:left="-5" w:right="62"/>
        <w:rPr>
          <w:lang w:val="fr-BE"/>
        </w:rPr>
      </w:pPr>
      <w:proofErr w:type="spellStart"/>
      <w:r w:rsidRPr="007D3558">
        <w:rPr>
          <w:lang w:val="fr-BE"/>
        </w:rPr>
        <w:t>Zeimers</w:t>
      </w:r>
      <w:proofErr w:type="spellEnd"/>
      <w:r w:rsidRPr="007D3558">
        <w:rPr>
          <w:lang w:val="fr-BE"/>
        </w:rPr>
        <w:t>, Géraldine</w:t>
      </w:r>
    </w:p>
    <w:p w:rsidR="00D036FE" w:rsidRPr="007D3558" w:rsidRDefault="007D3558">
      <w:pPr>
        <w:ind w:left="-5" w:right="62"/>
        <w:rPr>
          <w:lang w:val="fr-BE"/>
        </w:rPr>
      </w:pPr>
      <w:r w:rsidRPr="007D3558">
        <w:rPr>
          <w:lang w:val="fr-BE"/>
        </w:rPr>
        <w:t xml:space="preserve">Institution: Université catholique de Louvain - </w:t>
      </w:r>
      <w:proofErr w:type="spellStart"/>
      <w:r w:rsidRPr="007D3558">
        <w:rPr>
          <w:lang w:val="fr-BE"/>
        </w:rPr>
        <w:t>Ghent</w:t>
      </w:r>
      <w:proofErr w:type="spellEnd"/>
      <w:r w:rsidRPr="007D3558">
        <w:rPr>
          <w:lang w:val="fr-BE"/>
        </w:rPr>
        <w:t xml:space="preserve"> </w:t>
      </w:r>
      <w:proofErr w:type="spellStart"/>
      <w:r w:rsidRPr="007D3558">
        <w:rPr>
          <w:lang w:val="fr-BE"/>
        </w:rPr>
        <w:t>University</w:t>
      </w:r>
      <w:proofErr w:type="spellEnd"/>
    </w:p>
    <w:p w:rsidR="00D036FE" w:rsidRDefault="007D3558">
      <w:pPr>
        <w:ind w:left="-5" w:right="62"/>
      </w:pPr>
      <w:r>
        <w:t>Phone: +3210473857</w:t>
      </w:r>
    </w:p>
    <w:p w:rsidR="00D036FE" w:rsidRDefault="007D3558">
      <w:pPr>
        <w:spacing w:after="189"/>
        <w:ind w:left="-5" w:right="62"/>
      </w:pPr>
      <w:r>
        <w:t>Email: geraldine.zeimers@uclouvain.be</w:t>
      </w:r>
    </w:p>
    <w:p w:rsidR="00D036FE" w:rsidRDefault="007D3558">
      <w:pPr>
        <w:ind w:left="-5" w:right="62"/>
      </w:pPr>
      <w:proofErr w:type="spellStart"/>
      <w:r>
        <w:t>Anagnostopoulos</w:t>
      </w:r>
      <w:proofErr w:type="spellEnd"/>
      <w:r>
        <w:t>, Christos -- ADVISOR</w:t>
      </w:r>
    </w:p>
    <w:p w:rsidR="00D036FE" w:rsidRDefault="007D3558">
      <w:pPr>
        <w:ind w:left="-5" w:right="62"/>
      </w:pPr>
      <w:r>
        <w:t>Institution: University of Central Lancashire</w:t>
      </w:r>
    </w:p>
    <w:p w:rsidR="00D036FE" w:rsidRDefault="007D3558">
      <w:pPr>
        <w:ind w:left="-5" w:right="62"/>
      </w:pPr>
      <w:r>
        <w:t>Phone: +35799101881</w:t>
      </w:r>
    </w:p>
    <w:p w:rsidR="00D036FE" w:rsidRDefault="007D3558">
      <w:pPr>
        <w:spacing w:after="189"/>
        <w:ind w:left="-5" w:right="62"/>
      </w:pPr>
      <w:r>
        <w:t>Email: christos.anagnostopoulos@himolde.no</w:t>
      </w:r>
    </w:p>
    <w:p w:rsidR="00D036FE" w:rsidRDefault="007D3558">
      <w:pPr>
        <w:ind w:left="-5" w:right="62"/>
      </w:pPr>
      <w:r>
        <w:t>Zintz, Thierry</w:t>
      </w:r>
    </w:p>
    <w:p w:rsidR="00D036FE" w:rsidRPr="007D3558" w:rsidRDefault="007D3558">
      <w:pPr>
        <w:ind w:left="-5" w:right="62"/>
        <w:rPr>
          <w:lang w:val="fr-BE"/>
        </w:rPr>
      </w:pPr>
      <w:r w:rsidRPr="007D3558">
        <w:rPr>
          <w:lang w:val="fr-BE"/>
        </w:rPr>
        <w:t>Institution: Université catholique de Louvain</w:t>
      </w:r>
    </w:p>
    <w:p w:rsidR="00D036FE" w:rsidRPr="007D3558" w:rsidRDefault="007D3558">
      <w:pPr>
        <w:ind w:left="-5" w:right="62"/>
        <w:rPr>
          <w:lang w:val="fr-BE"/>
        </w:rPr>
      </w:pPr>
      <w:r w:rsidRPr="007D3558">
        <w:rPr>
          <w:lang w:val="fr-BE"/>
        </w:rPr>
        <w:t>Phone: +3210472257</w:t>
      </w:r>
    </w:p>
    <w:p w:rsidR="00D036FE" w:rsidRDefault="007D3558">
      <w:pPr>
        <w:spacing w:after="189"/>
        <w:ind w:left="-5" w:right="62"/>
      </w:pPr>
      <w:r>
        <w:t>Email: thierry.zintz@uclouvain.be</w:t>
      </w:r>
    </w:p>
    <w:p w:rsidR="00D036FE" w:rsidRDefault="007D3558">
      <w:pPr>
        <w:ind w:left="-5" w:right="62"/>
      </w:pPr>
      <w:r>
        <w:t>Willem, Annick</w:t>
      </w:r>
    </w:p>
    <w:p w:rsidR="00D036FE" w:rsidRDefault="007D3558">
      <w:pPr>
        <w:ind w:left="-5" w:right="62"/>
      </w:pPr>
      <w:r>
        <w:t>Institution: Ghent University</w:t>
      </w:r>
    </w:p>
    <w:p w:rsidR="00D036FE" w:rsidRDefault="007D3558">
      <w:pPr>
        <w:ind w:left="-5" w:right="62"/>
      </w:pPr>
      <w:r>
        <w:t>Phone: +3209264 63 33</w:t>
      </w:r>
    </w:p>
    <w:p w:rsidR="00D036FE" w:rsidRDefault="007D3558">
      <w:pPr>
        <w:spacing w:after="520"/>
        <w:ind w:left="-5" w:right="62"/>
      </w:pPr>
      <w:r>
        <w:t>Email: annick.willem@UGent.be</w:t>
      </w:r>
    </w:p>
    <w:p w:rsidR="00D036FE" w:rsidRDefault="007D3558">
      <w:pPr>
        <w:pStyle w:val="Titre1"/>
        <w:ind w:left="-5"/>
      </w:pPr>
      <w:r>
        <w:t>Abstract</w:t>
      </w:r>
    </w:p>
    <w:p w:rsidR="00D036FE" w:rsidRDefault="007D3558">
      <w:pPr>
        <w:ind w:left="-5" w:right="908"/>
      </w:pPr>
      <w:r>
        <w:t xml:space="preserve">Title: Teaming-up for Social Responsibility Programs: The Case of Belgian </w:t>
      </w:r>
      <w:proofErr w:type="spellStart"/>
      <w:r>
        <w:t>Nonprofit</w:t>
      </w:r>
      <w:proofErr w:type="spellEnd"/>
      <w:r>
        <w:t xml:space="preserve"> Sport Organizations </w:t>
      </w:r>
      <w:bookmarkStart w:id="0" w:name="_GoBack"/>
      <w:bookmarkEnd w:id="0"/>
    </w:p>
    <w:p w:rsidR="00D036FE" w:rsidRDefault="007D3558">
      <w:pPr>
        <w:ind w:left="-5" w:right="62"/>
      </w:pPr>
      <w:r>
        <w:t>-------------------------------------------------------------------------------</w:t>
      </w:r>
    </w:p>
    <w:p w:rsidR="00D036FE" w:rsidRDefault="007D3558">
      <w:pPr>
        <w:ind w:left="-5" w:right="62"/>
      </w:pPr>
      <w:r>
        <w:t xml:space="preserve">Background/Purpose. Sport organizations </w:t>
      </w:r>
      <w:proofErr w:type="gramStart"/>
      <w:r>
        <w:t>are continually pressured</w:t>
      </w:r>
      <w:proofErr w:type="gramEnd"/>
      <w:r>
        <w:t xml:space="preserve"> to adapt, embrace new approaches, and refine their practices in order to survive (</w:t>
      </w:r>
      <w:proofErr w:type="spellStart"/>
      <w:r>
        <w:t>Misener</w:t>
      </w:r>
      <w:proofErr w:type="spellEnd"/>
      <w:r>
        <w:t xml:space="preserve"> &amp; Doherty, 2012). Much emphasis of such practices is increasingly given towards addressing their social responsibilities in an impactful way (</w:t>
      </w:r>
      <w:proofErr w:type="spellStart"/>
      <w:r>
        <w:t>Kihl</w:t>
      </w:r>
      <w:proofErr w:type="spellEnd"/>
      <w:r>
        <w:t xml:space="preserve">, </w:t>
      </w:r>
      <w:proofErr w:type="spellStart"/>
      <w:r>
        <w:t>Babiak</w:t>
      </w:r>
      <w:proofErr w:type="spellEnd"/>
      <w:r>
        <w:t xml:space="preserve">, &amp; </w:t>
      </w:r>
      <w:proofErr w:type="spellStart"/>
      <w:r>
        <w:t>Tainsky</w:t>
      </w:r>
      <w:proofErr w:type="spellEnd"/>
      <w:r>
        <w:t xml:space="preserve">, 2014; Walker, Hills, &amp; </w:t>
      </w:r>
      <w:proofErr w:type="spellStart"/>
      <w:r>
        <w:t>Heere</w:t>
      </w:r>
      <w:proofErr w:type="spellEnd"/>
      <w:r>
        <w:t xml:space="preserve">, 2015). Over the recent </w:t>
      </w:r>
      <w:proofErr w:type="gramStart"/>
      <w:r>
        <w:t>years</w:t>
      </w:r>
      <w:proofErr w:type="gramEnd"/>
      <w:r>
        <w:t xml:space="preserve"> a proliferation of studies has managed to capture these practices by drawing on the ‘umbrella’ notion of corporate social responsibility (CSR) (</w:t>
      </w:r>
      <w:proofErr w:type="spellStart"/>
      <w:r>
        <w:t>Breitbarth</w:t>
      </w:r>
      <w:proofErr w:type="spellEnd"/>
      <w:r>
        <w:t xml:space="preserve"> et al., 2015; </w:t>
      </w:r>
      <w:proofErr w:type="spellStart"/>
      <w:r>
        <w:t>Chelladurai</w:t>
      </w:r>
      <w:proofErr w:type="spellEnd"/>
      <w:r>
        <w:t xml:space="preserve">, 2016). Indeed, empirical insights have now shed light on a number of issues. These include, but are not limited to, the strategic implementation of CSR (e.g., </w:t>
      </w:r>
      <w:proofErr w:type="spellStart"/>
      <w:r>
        <w:t>Babiak</w:t>
      </w:r>
      <w:proofErr w:type="spellEnd"/>
      <w:r>
        <w:t xml:space="preserve"> &amp; Wolfe, 2009; </w:t>
      </w:r>
      <w:proofErr w:type="spellStart"/>
      <w:r>
        <w:t>Heinze</w:t>
      </w:r>
      <w:proofErr w:type="spellEnd"/>
      <w:r>
        <w:t xml:space="preserve">, </w:t>
      </w:r>
      <w:proofErr w:type="spellStart"/>
      <w:r>
        <w:t>Soderstrom</w:t>
      </w:r>
      <w:proofErr w:type="spellEnd"/>
      <w:r>
        <w:t xml:space="preserve">, &amp; </w:t>
      </w:r>
      <w:proofErr w:type="spellStart"/>
      <w:r>
        <w:t>Zdroik</w:t>
      </w:r>
      <w:proofErr w:type="spellEnd"/>
      <w:r>
        <w:t xml:space="preserve">, 2014); the financial benefits derived from implementing CSR (e.g., Inoue, Kent, &amp; Lee, 2011); or the charitable foundation model of delivering community programs (e.g., </w:t>
      </w:r>
      <w:proofErr w:type="spellStart"/>
      <w:r>
        <w:t>Anagnostopoulos</w:t>
      </w:r>
      <w:proofErr w:type="spellEnd"/>
      <w:r>
        <w:t xml:space="preserve">, Byers, &amp; </w:t>
      </w:r>
      <w:proofErr w:type="spellStart"/>
      <w:r>
        <w:t>Shilbury</w:t>
      </w:r>
      <w:proofErr w:type="spellEnd"/>
      <w:r>
        <w:t xml:space="preserve">, 2014; </w:t>
      </w:r>
      <w:proofErr w:type="spellStart"/>
      <w:r>
        <w:t>Anagnost</w:t>
      </w:r>
      <w:proofErr w:type="spellEnd"/>
      <w:r>
        <w:t xml:space="preserve"> </w:t>
      </w:r>
      <w:proofErr w:type="spellStart"/>
      <w:r>
        <w:t>opoulos</w:t>
      </w:r>
      <w:proofErr w:type="spellEnd"/>
      <w:r>
        <w:t xml:space="preserve"> &amp; </w:t>
      </w:r>
      <w:proofErr w:type="spellStart"/>
      <w:r>
        <w:t>Shilbury</w:t>
      </w:r>
      <w:proofErr w:type="spellEnd"/>
      <w:r>
        <w:t>, 2013; Walters &amp; Chadwick, 2009). Much of this literature draws on the context of professional teams to examine the determinants, processes and outputs of such social involvement (</w:t>
      </w:r>
      <w:proofErr w:type="spellStart"/>
      <w:r>
        <w:t>Anagnostopoulos</w:t>
      </w:r>
      <w:proofErr w:type="spellEnd"/>
      <w:r>
        <w:t xml:space="preserve">, Inoue, </w:t>
      </w:r>
      <w:proofErr w:type="spellStart"/>
      <w:r>
        <w:t>Kihl</w:t>
      </w:r>
      <w:proofErr w:type="spellEnd"/>
      <w:r>
        <w:t xml:space="preserve">, &amp; </w:t>
      </w:r>
      <w:proofErr w:type="spellStart"/>
      <w:r>
        <w:t>Babiak</w:t>
      </w:r>
      <w:proofErr w:type="spellEnd"/>
      <w:r>
        <w:t xml:space="preserve">, 2016). An overlooked area in the extant CSR in sport literature, however, is the interaction between the sport federations and sport clubs for the practice of socially responsible programs. The purpose of this study, therefore, is to ‘unpack’ the </w:t>
      </w:r>
      <w:proofErr w:type="spellStart"/>
      <w:r>
        <w:t>interorganizational</w:t>
      </w:r>
      <w:proofErr w:type="spellEnd"/>
      <w:r>
        <w:t xml:space="preserve"> </w:t>
      </w:r>
      <w:r>
        <w:lastRenderedPageBreak/>
        <w:t xml:space="preserve">relationship in this </w:t>
      </w:r>
      <w:proofErr w:type="spellStart"/>
      <w:r>
        <w:t>nonprofit</w:t>
      </w:r>
      <w:proofErr w:type="spellEnd"/>
      <w:r>
        <w:t xml:space="preserve"> sport setting and to examine the implementation process for socially responsible programs. </w:t>
      </w:r>
    </w:p>
    <w:p w:rsidR="00D036FE" w:rsidRDefault="007D3558">
      <w:pPr>
        <w:ind w:left="-5" w:right="62"/>
      </w:pPr>
      <w:r>
        <w:t xml:space="preserve">Theoretical Background. </w:t>
      </w:r>
      <w:proofErr w:type="spellStart"/>
      <w:r>
        <w:t>Interorganizational</w:t>
      </w:r>
      <w:proofErr w:type="spellEnd"/>
      <w:r>
        <w:t xml:space="preserve"> relationships (IORs) exist in a variety of forms such as alliances, joint ventures, supply agreements, licensing, cobranding, franchising, cross-sector partnerships, networks, trade associations, and consortia (</w:t>
      </w:r>
      <w:proofErr w:type="spellStart"/>
      <w:r>
        <w:t>Parmigiani</w:t>
      </w:r>
      <w:proofErr w:type="spellEnd"/>
      <w:r>
        <w:t xml:space="preserve"> &amp; Rivera-Santos, 2011). According to </w:t>
      </w:r>
      <w:proofErr w:type="spellStart"/>
      <w:r>
        <w:t>Babiak</w:t>
      </w:r>
      <w:proofErr w:type="spellEnd"/>
      <w:r>
        <w:t xml:space="preserve"> and </w:t>
      </w:r>
      <w:proofErr w:type="spellStart"/>
      <w:r>
        <w:t>Thibault</w:t>
      </w:r>
      <w:proofErr w:type="spellEnd"/>
      <w:r>
        <w:t xml:space="preserve"> (2008), IORs in the sport setting are “voluntary, close, long-term, planned strategic action between two or more organizations with the objective of serving mutually beneficial purposes in a problem domain” (p. 282). Scholars have currently investigated IORs in the sport sector in a range of different settings, such as elite sport policy (</w:t>
      </w:r>
      <w:proofErr w:type="spellStart"/>
      <w:r>
        <w:t>Babiak</w:t>
      </w:r>
      <w:proofErr w:type="spellEnd"/>
      <w:r>
        <w:t xml:space="preserve">, 2007; </w:t>
      </w:r>
      <w:proofErr w:type="spellStart"/>
      <w:r>
        <w:t>Sotiriadou</w:t>
      </w:r>
      <w:proofErr w:type="spellEnd"/>
      <w:r>
        <w:t xml:space="preserve"> et al, 2016), sport tourism (Devine et al, 2011; </w:t>
      </w:r>
      <w:proofErr w:type="spellStart"/>
      <w:r>
        <w:t>Huxam</w:t>
      </w:r>
      <w:proofErr w:type="spellEnd"/>
      <w:r>
        <w:t xml:space="preserve"> and </w:t>
      </w:r>
      <w:proofErr w:type="spellStart"/>
      <w:r>
        <w:t>Vangen</w:t>
      </w:r>
      <w:proofErr w:type="spellEnd"/>
      <w:r>
        <w:t>, 2005), sport participation (</w:t>
      </w:r>
      <w:proofErr w:type="spellStart"/>
      <w:r>
        <w:t>Dobbels</w:t>
      </w:r>
      <w:proofErr w:type="spellEnd"/>
      <w:r>
        <w:t xml:space="preserve"> et al., 2016; </w:t>
      </w:r>
      <w:proofErr w:type="spellStart"/>
      <w:r>
        <w:t>Vos</w:t>
      </w:r>
      <w:proofErr w:type="spellEnd"/>
      <w:r>
        <w:t xml:space="preserve"> et al., 2016), community development (</w:t>
      </w:r>
      <w:proofErr w:type="spellStart"/>
      <w:r>
        <w:t>Marlier</w:t>
      </w:r>
      <w:proofErr w:type="spellEnd"/>
      <w:r>
        <w:t xml:space="preserve"> et al</w:t>
      </w:r>
      <w:proofErr w:type="gramStart"/>
      <w:r>
        <w:t>.,</w:t>
      </w:r>
      <w:proofErr w:type="gramEnd"/>
    </w:p>
    <w:p w:rsidR="00D036FE" w:rsidRDefault="007D3558">
      <w:pPr>
        <w:ind w:left="-5" w:right="62"/>
      </w:pPr>
      <w:r>
        <w:t xml:space="preserve">2014; </w:t>
      </w:r>
      <w:proofErr w:type="spellStart"/>
      <w:r>
        <w:t>Misener</w:t>
      </w:r>
      <w:proofErr w:type="spellEnd"/>
      <w:r>
        <w:t xml:space="preserve"> &amp; Doherty, 2013) or sport for development (Lindsey &amp; Banda, 2011). The literature suggests that engagement in IORs is a critical dimension of overall organizational capacity in </w:t>
      </w:r>
      <w:proofErr w:type="spellStart"/>
      <w:r>
        <w:t>nonprofit</w:t>
      </w:r>
      <w:proofErr w:type="spellEnd"/>
      <w:r>
        <w:t xml:space="preserve"> sport organizations (Hall et al., 2003; </w:t>
      </w:r>
      <w:proofErr w:type="spellStart"/>
      <w:r>
        <w:t>Misener</w:t>
      </w:r>
      <w:proofErr w:type="spellEnd"/>
      <w:r>
        <w:t xml:space="preserve"> &amp; Doherty, 2009). A widely used theoretical approach of studies drawing on IORs is the resource-based view (RVB) that postulates that organizations will form IORs to obtain access to complementary resources (Barney, 1991; Penrose, 1959</w:t>
      </w:r>
      <w:proofErr w:type="gramStart"/>
      <w:r>
        <w:t>) .</w:t>
      </w:r>
      <w:proofErr w:type="gramEnd"/>
      <w:r>
        <w:t xml:space="preserve"> In this respect, </w:t>
      </w:r>
      <w:proofErr w:type="spellStart"/>
      <w:r>
        <w:t>Misener</w:t>
      </w:r>
      <w:proofErr w:type="spellEnd"/>
      <w:r>
        <w:t xml:space="preserve"> and Doherty (2012) note that sport organizations at the community level </w:t>
      </w:r>
      <w:proofErr w:type="gramStart"/>
      <w:r>
        <w:t>are connected</w:t>
      </w:r>
      <w:proofErr w:type="gramEnd"/>
      <w:r>
        <w:t xml:space="preserve"> to multiple partners across different sectors such other sport clubs and national sports organizations. </w:t>
      </w:r>
      <w:proofErr w:type="gramStart"/>
      <w:r>
        <w:t>In the present case, beyond the institutional linkages prevailing in the Belgium sporting system between National and Regional Sport Organizations (NSOs-RSOs) and the Sports Clubs (SCs) to achieve their sports-delivery missions (</w:t>
      </w:r>
      <w:proofErr w:type="spellStart"/>
      <w:r>
        <w:t>Sotiriadou</w:t>
      </w:r>
      <w:proofErr w:type="spellEnd"/>
      <w:r>
        <w:t xml:space="preserve"> et al., 2016; </w:t>
      </w:r>
      <w:proofErr w:type="spellStart"/>
      <w:r>
        <w:t>Winand</w:t>
      </w:r>
      <w:proofErr w:type="spellEnd"/>
      <w:r>
        <w:t xml:space="preserve"> et al., 2014), we study IORs from the perspective of the extra-voluntarily interaction in which these actors have decided to work together for the delivery of socially responsible programs.</w:t>
      </w:r>
      <w:proofErr w:type="gramEnd"/>
      <w:r>
        <w:t xml:space="preserve"> In line with previous research (e.g., Austin &amp; </w:t>
      </w:r>
      <w:proofErr w:type="spellStart"/>
      <w:r>
        <w:t>Seitanidi</w:t>
      </w:r>
      <w:proofErr w:type="spellEnd"/>
      <w:r>
        <w:t xml:space="preserve">, 2010; </w:t>
      </w:r>
      <w:proofErr w:type="spellStart"/>
      <w:r>
        <w:t>Babiak</w:t>
      </w:r>
      <w:proofErr w:type="spellEnd"/>
      <w:r>
        <w:t xml:space="preserve">, 2007, 2009; Dowling et al., 2013; </w:t>
      </w:r>
      <w:proofErr w:type="spellStart"/>
      <w:r>
        <w:t>Heinze</w:t>
      </w:r>
      <w:proofErr w:type="spellEnd"/>
      <w:r>
        <w:t xml:space="preserve"> et al., 2014;</w:t>
      </w:r>
    </w:p>
    <w:p w:rsidR="00D036FE" w:rsidRDefault="007D3558">
      <w:pPr>
        <w:ind w:left="-5"/>
      </w:pPr>
      <w:proofErr w:type="spellStart"/>
      <w:r>
        <w:t>Kihl</w:t>
      </w:r>
      <w:proofErr w:type="spellEnd"/>
      <w:r>
        <w:t xml:space="preserve"> et al., 2014; Oliver, 1990; O’Toole, 1993; Parent &amp; Harvey, 2009; Walters &amp; </w:t>
      </w:r>
      <w:proofErr w:type="spellStart"/>
      <w:r>
        <w:t>Anagnostopoulos</w:t>
      </w:r>
      <w:proofErr w:type="spellEnd"/>
      <w:r>
        <w:t xml:space="preserve">, 2012), we examine the three stages in the evolution and implementation of IORs by </w:t>
      </w:r>
      <w:proofErr w:type="spellStart"/>
      <w:r>
        <w:t>nonprofit</w:t>
      </w:r>
      <w:proofErr w:type="spellEnd"/>
      <w:r>
        <w:t xml:space="preserve"> sport </w:t>
      </w:r>
      <w:proofErr w:type="spellStart"/>
      <w:r>
        <w:t>orga</w:t>
      </w:r>
      <w:proofErr w:type="spellEnd"/>
      <w:r>
        <w:t xml:space="preserve"> </w:t>
      </w:r>
      <w:proofErr w:type="spellStart"/>
      <w:r>
        <w:t>nizations</w:t>
      </w:r>
      <w:proofErr w:type="spellEnd"/>
      <w:r>
        <w:t xml:space="preserve"> (</w:t>
      </w:r>
      <w:proofErr w:type="spellStart"/>
      <w:r>
        <w:t>Sotiriadou</w:t>
      </w:r>
      <w:proofErr w:type="spellEnd"/>
      <w:r>
        <w:t xml:space="preserve"> et al., 2016). The formation stage reflects to the contextual, shared and organizational determinants, motives and antecedents to enter a relationship. The management stage refers to the managerial factors, control mechanisms and challenges of the management of the interaction. Lastly, the evaluation stage outlines the outcomes and effectiveness of the relationship on the implemented program(s). Method. This study employs an interpretive approach though a single case study in the context of field hockey in the French speaking community of Belgium. Sport organizations from three different organizational levels </w:t>
      </w:r>
      <w:proofErr w:type="gramStart"/>
      <w:r>
        <w:t>were selected</w:t>
      </w:r>
      <w:proofErr w:type="gramEnd"/>
      <w:r>
        <w:t xml:space="preserve">: the national federation, the regional federation, and seven clubs that were actively involved in community involvement programs (mostly diversity and environmental initiatives). Face-to-face, semi-structured interviews (n = 16) were conducted with key organizational actors from the federations and the clubs as well as with external </w:t>
      </w:r>
      <w:proofErr w:type="spellStart"/>
      <w:r>
        <w:t>sta</w:t>
      </w:r>
      <w:proofErr w:type="spellEnd"/>
      <w:r>
        <w:t xml:space="preserve"> </w:t>
      </w:r>
      <w:proofErr w:type="spellStart"/>
      <w:r>
        <w:t>keholders</w:t>
      </w:r>
      <w:proofErr w:type="spellEnd"/>
      <w:r>
        <w:t xml:space="preserve"> such as public sport governing bodies. Interviews </w:t>
      </w:r>
      <w:proofErr w:type="spellStart"/>
      <w:r>
        <w:t>centered</w:t>
      </w:r>
      <w:proofErr w:type="spellEnd"/>
      <w:r>
        <w:t xml:space="preserve"> on the </w:t>
      </w:r>
      <w:r>
        <w:lastRenderedPageBreak/>
        <w:t xml:space="preserve">motives for engaging in socially responsible programs through IOR; on the ways the relationships take place; on the role and responsibilities of the actors; and on the formalization of this social engagement. Each interview lasted between 0.45min-1.5h, it </w:t>
      </w:r>
      <w:proofErr w:type="gramStart"/>
      <w:r>
        <w:t>was recorded and transcribed verbatim</w:t>
      </w:r>
      <w:proofErr w:type="gramEnd"/>
      <w:r>
        <w:t xml:space="preserve">. The data </w:t>
      </w:r>
      <w:proofErr w:type="gramStart"/>
      <w:r>
        <w:t>are complemented</w:t>
      </w:r>
      <w:proofErr w:type="gramEnd"/>
      <w:r>
        <w:t xml:space="preserve"> by documentation (official documents, strategy plans, websites and archival records). Employing an </w:t>
      </w:r>
      <w:proofErr w:type="spellStart"/>
      <w:r>
        <w:t>abductive</w:t>
      </w:r>
      <w:proofErr w:type="spellEnd"/>
      <w:r>
        <w:t xml:space="preserve"> approach (Koenig, 1993; Peirce, </w:t>
      </w:r>
      <w:proofErr w:type="gramStart"/>
      <w:r>
        <w:t>1955)</w:t>
      </w:r>
      <w:proofErr w:type="gramEnd"/>
      <w:r>
        <w:t xml:space="preserve"> data were </w:t>
      </w:r>
      <w:proofErr w:type="spellStart"/>
      <w:r>
        <w:t>analyzed</w:t>
      </w:r>
      <w:proofErr w:type="spellEnd"/>
      <w:r>
        <w:t xml:space="preserve"> with the assistance of the </w:t>
      </w:r>
      <w:proofErr w:type="spellStart"/>
      <w:r>
        <w:t>NVivo</w:t>
      </w:r>
      <w:proofErr w:type="spellEnd"/>
      <w:r>
        <w:t xml:space="preserve"> content analysis software. </w:t>
      </w:r>
    </w:p>
    <w:p w:rsidR="00D036FE" w:rsidRDefault="007D3558">
      <w:pPr>
        <w:ind w:left="-5" w:right="62"/>
      </w:pPr>
      <w:r>
        <w:t xml:space="preserve">Preliminary Results and Conclusions. </w:t>
      </w:r>
      <w:proofErr w:type="gramStart"/>
      <w:r>
        <w:t xml:space="preserve">This study is in progress, but preliminary findings indicate that hockey federation and clubs play a significant role in supporting and encouraging shared socially responsible practices, which reveal the collaborative value creation (Austin &amp; </w:t>
      </w:r>
      <w:proofErr w:type="spellStart"/>
      <w:r>
        <w:t>Seitanidi</w:t>
      </w:r>
      <w:proofErr w:type="spellEnd"/>
      <w:r>
        <w:t xml:space="preserve">, 2012) and the ‘collective impact’ (Kramer &amp; </w:t>
      </w:r>
      <w:proofErr w:type="spellStart"/>
      <w:r>
        <w:t>Pfitzer</w:t>
      </w:r>
      <w:proofErr w:type="spellEnd"/>
      <w:r>
        <w:t xml:space="preserve">, 2016) dynamics in </w:t>
      </w:r>
      <w:proofErr w:type="spellStart"/>
      <w:r>
        <w:t>th</w:t>
      </w:r>
      <w:proofErr w:type="spellEnd"/>
      <w:r>
        <w:t xml:space="preserve"> e implementation of social responsibility Through both formal and informal control mechanisms, the federations and the clubs are engaged in a top down and bottom up process via the resource availability and sharing.</w:t>
      </w:r>
      <w:proofErr w:type="gramEnd"/>
      <w:r>
        <w:t xml:space="preserve"> Individual level factors such as personal or network of contacts and strategic determinants have interestingly attracted our attention and </w:t>
      </w:r>
      <w:proofErr w:type="gramStart"/>
      <w:r>
        <w:t>will be investigated</w:t>
      </w:r>
      <w:proofErr w:type="gramEnd"/>
      <w:r>
        <w:t xml:space="preserve"> further. IORs remain one of the most challenging undertakings within the sport context. We contend that this organizational challenge is also evident within the context of ‘CSR’ in and through </w:t>
      </w:r>
      <w:proofErr w:type="spellStart"/>
      <w:r>
        <w:t>nonprofit</w:t>
      </w:r>
      <w:proofErr w:type="spellEnd"/>
      <w:r>
        <w:t xml:space="preserve"> sport organizations. We intend to elaborate a conceptual </w:t>
      </w:r>
      <w:proofErr w:type="gramStart"/>
      <w:r>
        <w:t>model which</w:t>
      </w:r>
      <w:proofErr w:type="gramEnd"/>
      <w:r>
        <w:t xml:space="preserve"> reveals the type of IOR, the motives and the management mechanisms driving the relationship and influencing the development of social responsibility within this </w:t>
      </w:r>
      <w:proofErr w:type="spellStart"/>
      <w:r>
        <w:t>nonprofit</w:t>
      </w:r>
      <w:proofErr w:type="spellEnd"/>
      <w:r>
        <w:t xml:space="preserve"> sport context.</w:t>
      </w:r>
    </w:p>
    <w:p w:rsidR="00D036FE" w:rsidRDefault="007D3558">
      <w:pPr>
        <w:ind w:left="-5" w:right="62"/>
      </w:pPr>
      <w:r>
        <w:t>Selected References</w:t>
      </w:r>
    </w:p>
    <w:p w:rsidR="00D036FE" w:rsidRDefault="007D3558">
      <w:pPr>
        <w:ind w:left="-5" w:right="62"/>
      </w:pPr>
      <w:proofErr w:type="spellStart"/>
      <w:r>
        <w:t>Anagnostopoulos</w:t>
      </w:r>
      <w:proofErr w:type="spellEnd"/>
      <w:r>
        <w:t xml:space="preserve">, C., Inoue, Y., </w:t>
      </w:r>
      <w:proofErr w:type="spellStart"/>
      <w:r>
        <w:t>Kihl</w:t>
      </w:r>
      <w:proofErr w:type="spellEnd"/>
      <w:r>
        <w:t xml:space="preserve">, L., &amp; </w:t>
      </w:r>
      <w:proofErr w:type="spellStart"/>
      <w:r>
        <w:t>Babiak</w:t>
      </w:r>
      <w:proofErr w:type="spellEnd"/>
      <w:r>
        <w:t xml:space="preserve">, K. (2016). An Analysis of Scholarly Literature on CSR in Sport: Looking Back to Move Forward. Paper presented at the NASSM, Orlando. </w:t>
      </w:r>
    </w:p>
    <w:p w:rsidR="00D036FE" w:rsidRDefault="007D3558">
      <w:pPr>
        <w:ind w:left="-5" w:right="62"/>
      </w:pPr>
      <w:r>
        <w:t xml:space="preserve">Austin, J., &amp; </w:t>
      </w:r>
      <w:proofErr w:type="spellStart"/>
      <w:r>
        <w:t>Seitanidi</w:t>
      </w:r>
      <w:proofErr w:type="spellEnd"/>
      <w:r>
        <w:t xml:space="preserve">, M. (2010). Collaborative Value Creation: A Review of </w:t>
      </w:r>
      <w:proofErr w:type="gramStart"/>
      <w:r>
        <w:t>Partnering</w:t>
      </w:r>
      <w:proofErr w:type="gramEnd"/>
      <w:r>
        <w:t xml:space="preserve"> Between </w:t>
      </w:r>
      <w:proofErr w:type="spellStart"/>
      <w:r>
        <w:t>Nonprofits</w:t>
      </w:r>
      <w:proofErr w:type="spellEnd"/>
      <w:r>
        <w:t xml:space="preserve"> and Businesses: Part I. Value Creation Spectrum and Collaboration Stages. </w:t>
      </w:r>
      <w:proofErr w:type="spellStart"/>
      <w:r>
        <w:t>Nonprofit</w:t>
      </w:r>
      <w:proofErr w:type="spellEnd"/>
      <w:r>
        <w:t xml:space="preserve"> and Voluntary Sector Quarterly, XX(X), 1-33. </w:t>
      </w:r>
      <w:proofErr w:type="spellStart"/>
      <w:r>
        <w:t>Babiak</w:t>
      </w:r>
      <w:proofErr w:type="spellEnd"/>
      <w:r>
        <w:t xml:space="preserve">, K., &amp; </w:t>
      </w:r>
      <w:proofErr w:type="spellStart"/>
      <w:r>
        <w:t>Thibault</w:t>
      </w:r>
      <w:proofErr w:type="spellEnd"/>
      <w:r>
        <w:t xml:space="preserve">, L. (2008). Managing inter-organisational relationships: the art of plate spinning. International journal of sport management and marketing, 3, 281-302. </w:t>
      </w:r>
    </w:p>
    <w:p w:rsidR="00D036FE" w:rsidRDefault="007D3558">
      <w:pPr>
        <w:spacing w:after="0" w:line="216" w:lineRule="auto"/>
        <w:ind w:left="-5" w:right="121"/>
        <w:jc w:val="both"/>
      </w:pPr>
      <w:proofErr w:type="spellStart"/>
      <w:r>
        <w:t>Misener</w:t>
      </w:r>
      <w:proofErr w:type="spellEnd"/>
      <w:r>
        <w:t xml:space="preserve">, K., &amp; Doherty, A. (2012). Connecting the community through sport club partnerships. International Journal of Sport Policy and Politics, 4(2), 243-255. </w:t>
      </w:r>
      <w:proofErr w:type="spellStart"/>
      <w:r>
        <w:t>Sotiriadou</w:t>
      </w:r>
      <w:proofErr w:type="spellEnd"/>
      <w:r>
        <w:t xml:space="preserve">, P., </w:t>
      </w:r>
      <w:proofErr w:type="spellStart"/>
      <w:r>
        <w:t>Brouwers</w:t>
      </w:r>
      <w:proofErr w:type="spellEnd"/>
      <w:r>
        <w:t xml:space="preserve">, J., De </w:t>
      </w:r>
      <w:proofErr w:type="spellStart"/>
      <w:r>
        <w:t>Bosscher</w:t>
      </w:r>
      <w:proofErr w:type="spellEnd"/>
      <w:r>
        <w:t xml:space="preserve">, V., &amp; </w:t>
      </w:r>
      <w:proofErr w:type="spellStart"/>
      <w:r>
        <w:t>Cuskelly</w:t>
      </w:r>
      <w:proofErr w:type="spellEnd"/>
      <w:r>
        <w:t>, G. (2016). The Role of Inter-Organizational Relationships on Elite Athlete Development Processes.</w:t>
      </w:r>
    </w:p>
    <w:p w:rsidR="00D036FE" w:rsidRDefault="007D3558">
      <w:pPr>
        <w:ind w:left="-5" w:right="62"/>
      </w:pPr>
      <w:r>
        <w:t xml:space="preserve">Journal of Sport Management, 1-51. </w:t>
      </w:r>
    </w:p>
    <w:sectPr w:rsidR="00D036FE">
      <w:pgSz w:w="11900" w:h="16820"/>
      <w:pgMar w:top="1062" w:right="1567" w:bottom="1125" w:left="15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6FE"/>
    <w:rsid w:val="007D3558"/>
    <w:rsid w:val="00934A31"/>
    <w:rsid w:val="00D036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4ABAB49-E71B-4BC4-884B-0A4C04D387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3" w:line="265" w:lineRule="auto"/>
      <w:ind w:left="10" w:hanging="10"/>
    </w:pPr>
    <w:rPr>
      <w:rFonts w:ascii="Tahoma" w:eastAsia="Tahoma" w:hAnsi="Tahoma" w:cs="Tahoma"/>
      <w:color w:val="000000"/>
      <w:sz w:val="24"/>
    </w:rPr>
  </w:style>
  <w:style w:type="paragraph" w:styleId="Titre1">
    <w:name w:val="heading 1"/>
    <w:next w:val="Normal"/>
    <w:link w:val="Titre1Car"/>
    <w:uiPriority w:val="9"/>
    <w:unhideWhenUsed/>
    <w:qFormat/>
    <w:pPr>
      <w:keepNext/>
      <w:keepLines/>
      <w:spacing w:after="180"/>
      <w:ind w:left="10" w:hanging="10"/>
      <w:outlineLvl w:val="0"/>
    </w:pPr>
    <w:rPr>
      <w:rFonts w:ascii="Tahoma" w:eastAsia="Tahoma" w:hAnsi="Tahoma" w:cs="Tahoma"/>
      <w:b/>
      <w:color w:val="000000"/>
      <w:sz w:val="29"/>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rPr>
      <w:rFonts w:ascii="Tahoma" w:eastAsia="Tahoma" w:hAnsi="Tahoma" w:cs="Tahoma"/>
      <w:b/>
      <w:color w:val="000000"/>
      <w:sz w:val="2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1262</Words>
  <Characters>7196</Characters>
  <Application>Microsoft Office Word</Application>
  <DocSecurity>0</DocSecurity>
  <Lines>59</Lines>
  <Paragraphs>16</Paragraphs>
  <ScaleCrop>false</ScaleCrop>
  <Company>Université Catholique de Louvain</Company>
  <LinksUpToDate>false</LinksUpToDate>
  <CharactersWithSpaces>8442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Heike Rämer</dc:creator>
  <cp:keywords/>
  <cp:lastModifiedBy>Heike Rämer</cp:lastModifiedBy>
  <cp:revision>3</cp:revision>
  <dcterms:created xsi:type="dcterms:W3CDTF">2018-05-17T08:56:00Z</dcterms:created>
  <dcterms:modified xsi:type="dcterms:W3CDTF">2018-05-17T08:56:00Z</dcterms:modified>
</cp:coreProperties>
</file>