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A4FEA" w:rsidRPr="00D04393" w:rsidRDefault="007A4FEA" w:rsidP="007A4FEA">
      <w:pPr>
        <w:pStyle w:val="Title"/>
      </w:pPr>
      <w:r w:rsidRPr="00D04393">
        <w:t>UNE BANQUE CENTRALE AU-DESSUS DES NATIONS</w:t>
      </w:r>
      <w:r>
        <w:t xml:space="preserve"> </w:t>
      </w:r>
      <w:r w:rsidRPr="00D04393">
        <w:t>? FAIRE PESER LES INTÉRÊTS NATIONAUX AU SEIN DE LA BANQUE CENTRALE EUROPÉENNE</w:t>
      </w:r>
    </w:p>
    <w:p w:rsidR="007A4FEA" w:rsidRPr="00A157AA" w:rsidRDefault="007A4FEA" w:rsidP="007A4FEA">
      <w:pPr>
        <w:pStyle w:val="Auteur-identit"/>
      </w:pPr>
      <w:r w:rsidRPr="00A157AA">
        <w:t>Clément FONTAN</w:t>
      </w:r>
    </w:p>
    <w:p w:rsidR="007A4FEA" w:rsidRPr="00D04393" w:rsidRDefault="006D0939" w:rsidP="007A4FEA">
      <w:pPr>
        <w:pStyle w:val="Auteur-fonction"/>
        <w:rPr>
          <w:u w:val="single"/>
        </w:rPr>
      </w:pPr>
      <w:r>
        <w:t>Ingénieur de recherche CNRS</w:t>
      </w:r>
      <w:r w:rsidR="007A4FEA" w:rsidRPr="00D04393">
        <w:t xml:space="preserve">, </w:t>
      </w:r>
      <w:r>
        <w:t>PACTE, UMR 5194</w:t>
      </w:r>
    </w:p>
    <w:p w:rsidR="007A4FEA" w:rsidRPr="00D04393" w:rsidRDefault="007A4FEA" w:rsidP="007A4FEA">
      <w:pPr>
        <w:pStyle w:val="Rsum-annonce"/>
        <w:rPr>
          <w:u w:val="single"/>
        </w:rPr>
      </w:pPr>
      <w:r w:rsidRPr="00D04393">
        <w:t>Résumé</w:t>
      </w:r>
    </w:p>
    <w:p w:rsidR="007A4FEA" w:rsidRPr="00D04393" w:rsidRDefault="007A4FEA" w:rsidP="007A4FEA">
      <w:pPr>
        <w:pStyle w:val="Rsum-texte"/>
      </w:pPr>
      <w:r w:rsidRPr="00D04393">
        <w:t xml:space="preserve">Bien que la Banque </w:t>
      </w:r>
      <w:r>
        <w:t>c</w:t>
      </w:r>
      <w:r w:rsidRPr="00D04393">
        <w:t xml:space="preserve">entrale </w:t>
      </w:r>
      <w:r>
        <w:t>e</w:t>
      </w:r>
      <w:r w:rsidRPr="00D04393">
        <w:t>uropéenne (BCE) dispose d'un niveau élevé d'indépendance, les représentants étatiques ont gardé un moyen de contrôle sur la politique monétaire en nommant de manière autonome les six membres de son directoire. Cet article montre d'abord que ces nominations sont structurées par un jeu à double niveau où les dirigeants doivent prendre en compte les logiques du jeu politique domestique et de la négociation intergouvernementale. Puis, l'article revient sur l'écart existant entre les nouveaux enjeux générés par la réponse de la BCE à la crise et l'absence de leur prise en compte dans le processus de nomination du directoire.</w:t>
      </w:r>
      <w:r w:rsidR="0067552B">
        <w:t xml:space="preserve"> </w:t>
      </w:r>
    </w:p>
    <w:p w:rsidR="007A4FEA" w:rsidRPr="00D04393" w:rsidRDefault="007A4FEA" w:rsidP="007A4FEA">
      <w:pPr>
        <w:pStyle w:val="Mots-clefs-annonce"/>
      </w:pPr>
      <w:r>
        <w:t>Mots-clefs</w:t>
      </w:r>
    </w:p>
    <w:p w:rsidR="007A4FEA" w:rsidRPr="00D04393" w:rsidRDefault="007A4FEA" w:rsidP="007A4FEA">
      <w:pPr>
        <w:pStyle w:val="Mots-clefs-texte"/>
        <w:rPr>
          <w:u w:val="single"/>
        </w:rPr>
      </w:pPr>
      <w:r w:rsidRPr="00D04393">
        <w:t xml:space="preserve">Banque centrale </w:t>
      </w:r>
      <w:r>
        <w:t>e</w:t>
      </w:r>
      <w:r w:rsidRPr="00D04393">
        <w:t>uropéenne, jeu à double niveau, crise de la zone euro, politiques monétaires non conventionnelles</w:t>
      </w:r>
    </w:p>
    <w:p w:rsidR="007A4FEA" w:rsidRPr="00D04393" w:rsidRDefault="007A4FEA" w:rsidP="007A4FEA">
      <w:pPr>
        <w:pStyle w:val="Abstract-annonce"/>
        <w:rPr>
          <w:u w:val="single"/>
          <w:lang w:val="en-US"/>
        </w:rPr>
      </w:pPr>
      <w:r w:rsidRPr="00D04393">
        <w:rPr>
          <w:lang w:val="en-US"/>
        </w:rPr>
        <w:t>Abstract</w:t>
      </w:r>
    </w:p>
    <w:p w:rsidR="007A4FEA" w:rsidRPr="00D04393" w:rsidRDefault="00874B20" w:rsidP="007A4FEA">
      <w:pPr>
        <w:pStyle w:val="Abstract-texte"/>
        <w:rPr>
          <w:lang w:val="en-US"/>
        </w:rPr>
      </w:pPr>
      <w:r w:rsidRPr="00874B20">
        <w:rPr>
          <w:lang w:val="en-US"/>
        </w:rPr>
        <w:t xml:space="preserve">– </w:t>
      </w:r>
      <w:r w:rsidR="00E11C51">
        <w:rPr>
          <w:lang w:val="en-US"/>
        </w:rPr>
        <w:t xml:space="preserve">A central bank above nations? Taking into account national interests within the European central </w:t>
      </w:r>
      <w:r w:rsidR="00E11C51" w:rsidRPr="00E11C51">
        <w:rPr>
          <w:lang w:val="en-US"/>
        </w:rPr>
        <w:t>bank</w:t>
      </w:r>
      <w:r w:rsidRPr="00874B20">
        <w:rPr>
          <w:lang w:val="en-US"/>
        </w:rPr>
        <w:t xml:space="preserve"> –</w:t>
      </w:r>
      <w:r w:rsidR="00294F01">
        <w:rPr>
          <w:lang w:val="en-US"/>
        </w:rPr>
        <w:t xml:space="preserve"> </w:t>
      </w:r>
      <w:r w:rsidR="007A4FEA" w:rsidRPr="00D04393">
        <w:rPr>
          <w:lang w:val="en-US"/>
        </w:rPr>
        <w:t xml:space="preserve">Even though the European Central Bank (ECB) is one of the most </w:t>
      </w:r>
      <w:proofErr w:type="spellStart"/>
      <w:r w:rsidR="007A4FEA" w:rsidRPr="00D04393">
        <w:rPr>
          <w:lang w:val="en-US"/>
        </w:rPr>
        <w:t>independant</w:t>
      </w:r>
      <w:proofErr w:type="spellEnd"/>
      <w:r w:rsidR="007A4FEA" w:rsidRPr="00D04393">
        <w:rPr>
          <w:lang w:val="en-US"/>
        </w:rPr>
        <w:t xml:space="preserve"> central banks in the </w:t>
      </w:r>
      <w:proofErr w:type="gramStart"/>
      <w:r w:rsidR="007A4FEA" w:rsidRPr="00D04393">
        <w:rPr>
          <w:lang w:val="en-US"/>
        </w:rPr>
        <w:t>world,</w:t>
      </w:r>
      <w:proofErr w:type="gramEnd"/>
      <w:r w:rsidR="007A4FEA" w:rsidRPr="00D04393">
        <w:rPr>
          <w:lang w:val="en-US"/>
        </w:rPr>
        <w:t xml:space="preserve"> national leaders can still influence its activities through the nomination of its six members' board. This article examines first how a two-level game structures the nomination process in which domestic leaders must take into account domestic influences and </w:t>
      </w:r>
      <w:proofErr w:type="spellStart"/>
      <w:r w:rsidR="007A4FEA" w:rsidRPr="00D04393">
        <w:rPr>
          <w:lang w:val="en-US"/>
        </w:rPr>
        <w:t>intergovernemental</w:t>
      </w:r>
      <w:proofErr w:type="spellEnd"/>
      <w:r w:rsidR="007A4FEA" w:rsidRPr="00D04393">
        <w:rPr>
          <w:lang w:val="en-US"/>
        </w:rPr>
        <w:t xml:space="preserve"> constraints. Then, I present the discrepancy between the problematic ECB's answer to the crisis and the stakes of the nomination process. </w:t>
      </w:r>
    </w:p>
    <w:p w:rsidR="007A4FEA" w:rsidRPr="00D04393" w:rsidRDefault="007A4FEA" w:rsidP="007A4FEA">
      <w:pPr>
        <w:pStyle w:val="Keywords-annonce"/>
        <w:rPr>
          <w:lang w:val="en-US"/>
        </w:rPr>
      </w:pPr>
      <w:r w:rsidRPr="00D04393">
        <w:rPr>
          <w:lang w:val="en-US"/>
        </w:rPr>
        <w:t>Keywords </w:t>
      </w:r>
    </w:p>
    <w:p w:rsidR="007A4FEA" w:rsidRPr="00D04393" w:rsidRDefault="007A4FEA" w:rsidP="007A4FEA">
      <w:pPr>
        <w:pStyle w:val="Keywords-texte"/>
      </w:pPr>
      <w:r w:rsidRPr="00D04393">
        <w:t xml:space="preserve">European Central Bank, </w:t>
      </w:r>
      <w:proofErr w:type="gramStart"/>
      <w:r w:rsidRPr="00D04393">
        <w:t>two-levels</w:t>
      </w:r>
      <w:proofErr w:type="gramEnd"/>
      <w:r w:rsidRPr="00D04393">
        <w:t xml:space="preserve"> game, Eurozone crisis, Unconventional monetary policies</w:t>
      </w:r>
    </w:p>
    <w:p w:rsidR="007A4FEA" w:rsidRPr="00D04393" w:rsidRDefault="007A4FEA" w:rsidP="007A4FEA">
      <w:r w:rsidRPr="00D04393">
        <w:t xml:space="preserve">La Banque </w:t>
      </w:r>
      <w:r>
        <w:t>c</w:t>
      </w:r>
      <w:r w:rsidRPr="00D04393">
        <w:t xml:space="preserve">entrale </w:t>
      </w:r>
      <w:r>
        <w:t>e</w:t>
      </w:r>
      <w:r w:rsidRPr="00D04393">
        <w:t xml:space="preserve">uropéenne (BCE) est souvent considérée comme un des meilleurs exemples du caractère supranational de l'intégration européenne : quel symbole plus puissant que celui de l'abandon du pouvoir de battre monnaie à une institution isolée des pressions politiques pour incarner la construction d'un nouvel ordre économique et politique </w:t>
      </w:r>
      <w:r w:rsidRPr="00D04393">
        <w:lastRenderedPageBreak/>
        <w:t>au-delà des espaces nationaux</w:t>
      </w:r>
      <w:r>
        <w:t> ?</w:t>
      </w:r>
      <w:r w:rsidRPr="00D04393">
        <w:rPr>
          <w:rStyle w:val="FootnoteReference"/>
        </w:rPr>
        <w:footnoteReference w:id="1"/>
      </w:r>
      <w:r w:rsidRPr="00D04393">
        <w:t xml:space="preserve"> Cette perception de l'intégration européenne est d'abord alimentée par les banquiers centraux qui rappellent régulièrement leur rôle de </w:t>
      </w:r>
      <w:r w:rsidR="00DB4B77">
        <w:t>« </w:t>
      </w:r>
      <w:r w:rsidRPr="00D04393">
        <w:t>gardien</w:t>
      </w:r>
      <w:r w:rsidR="00DB4B77">
        <w:t> »</w:t>
      </w:r>
      <w:r w:rsidRPr="00D04393">
        <w:t xml:space="preserve"> supranational de la zone euro et encouragent une intégration plus poussée des politiques macro-économiques de l'Union </w:t>
      </w:r>
      <w:r>
        <w:t>européenne</w:t>
      </w:r>
      <w:r w:rsidRPr="00D04393">
        <w:t xml:space="preserve">, surtout depuis le début de la crise (Trichet, 2010). Parallèlement, alors que les dirigeants étatiques accusent régulièrement la Commission </w:t>
      </w:r>
      <w:r>
        <w:t>européenne</w:t>
      </w:r>
      <w:r w:rsidRPr="00D04393">
        <w:t xml:space="preserve"> de ne pas respecter sa mission de promotion de l’intérêt général européen en favorisant certains intérêts nationaux dans ses décisions, la BCE est épargnée de telles critiques (Fontan, 2013, 37). Pourtant, ces perceptions indiquent davantage le succès d'une stratégie de communication des banquiers centraux qu'une </w:t>
      </w:r>
      <w:r w:rsidR="006D0939">
        <w:t>absence</w:t>
      </w:r>
      <w:r w:rsidRPr="00D04393">
        <w:t xml:space="preserve"> totale d</w:t>
      </w:r>
      <w:r w:rsidR="006D0939">
        <w:t>’influences</w:t>
      </w:r>
      <w:r w:rsidRPr="00D04393">
        <w:t xml:space="preserve"> nationales dans la conduite des politiques de la BCE.</w:t>
      </w:r>
    </w:p>
    <w:p w:rsidR="007A4FEA" w:rsidRPr="00D04393" w:rsidRDefault="007A4FEA" w:rsidP="007A4FEA">
      <w:r w:rsidRPr="00D04393">
        <w:t>Rappelons d'abord que la prise de décision monétaire dans la zone euro est localisée au sein du Conseil des gouverneurs de l'</w:t>
      </w:r>
      <w:proofErr w:type="spellStart"/>
      <w:r w:rsidRPr="00D04393">
        <w:t>Eurosystème</w:t>
      </w:r>
      <w:proofErr w:type="spellEnd"/>
      <w:r w:rsidRPr="00D04393">
        <w:t xml:space="preserve"> qui réunit les gouverneurs des banques centrales nationales (BCN) des pays ayant adopté la monnaie unique et les six membres du directoire de la BCE, dont son président. La plupart des décisions prises au Conseil des gouverneurs peuvent être soumises à un vote à la majorité simple selon le principe « une voix par membre »</w:t>
      </w:r>
      <w:r w:rsidRPr="00D04393">
        <w:rPr>
          <w:rStyle w:val="FootnoteReference"/>
        </w:rPr>
        <w:footnoteReference w:id="2"/>
      </w:r>
      <w:r w:rsidRPr="00D04393">
        <w:t xml:space="preserve"> même si, en pratique, les décisions sont majoritairement prises selon un consensus informel et ne sont pas soumises au vote. </w:t>
      </w:r>
      <w:commentRangeStart w:id="0"/>
      <w:r w:rsidRPr="00D04393">
        <w:t xml:space="preserve">Étant donné que le directoire exerce un pouvoir de cadrage important et </w:t>
      </w:r>
      <w:proofErr w:type="gramStart"/>
      <w:r w:rsidRPr="00D04393">
        <w:t>dispose</w:t>
      </w:r>
      <w:proofErr w:type="gramEnd"/>
      <w:r w:rsidRPr="00D04393">
        <w:t xml:space="preserve"> de la capacité de forger des alliances au sein du Conseil des gouverneurs, il est l'organe le plus déterminant dans la gouvernance monétaire de la zone euro (</w:t>
      </w:r>
      <w:proofErr w:type="spellStart"/>
      <w:r w:rsidRPr="00D04393">
        <w:t>Quaglia</w:t>
      </w:r>
      <w:proofErr w:type="spellEnd"/>
      <w:r w:rsidRPr="00D04393">
        <w:t>, 2008)</w:t>
      </w:r>
      <w:r w:rsidR="006D0939">
        <w:rPr>
          <w:rStyle w:val="FootnoteReference"/>
        </w:rPr>
        <w:footnoteReference w:id="3"/>
      </w:r>
      <w:r w:rsidRPr="00D04393">
        <w:t>.</w:t>
      </w:r>
      <w:commentRangeEnd w:id="0"/>
      <w:r w:rsidR="0067552B">
        <w:rPr>
          <w:rStyle w:val="CommentReference"/>
        </w:rPr>
        <w:commentReference w:id="0"/>
      </w:r>
      <w:r w:rsidRPr="00D04393">
        <w:t xml:space="preserve"> Les membres du directoire sont nommés à la majorité</w:t>
      </w:r>
      <w:r w:rsidR="00B5166B">
        <w:t xml:space="preserve"> qualifiée</w:t>
      </w:r>
      <w:r w:rsidRPr="00D04393">
        <w:t xml:space="preserve"> </w:t>
      </w:r>
      <w:r w:rsidRPr="00D04393">
        <w:lastRenderedPageBreak/>
        <w:t>par les chefs d'États, sur recommandation du Conseil ECOFIN</w:t>
      </w:r>
      <w:r w:rsidR="00267D6E">
        <w:rPr>
          <w:rStyle w:val="FootnoteReference"/>
        </w:rPr>
        <w:footnoteReference w:id="4"/>
      </w:r>
      <w:r w:rsidRPr="00D04393">
        <w:t xml:space="preserve"> et après consultation du Parlement </w:t>
      </w:r>
      <w:r>
        <w:t>e</w:t>
      </w:r>
      <w:r w:rsidRPr="00D04393">
        <w:t xml:space="preserve">uropéen et du Conseil des </w:t>
      </w:r>
      <w:r>
        <w:t>g</w:t>
      </w:r>
      <w:r w:rsidRPr="00D04393">
        <w:t>ouverneurs de la BCE, pour un mandat de huit ans irrévocable et non-renouvelable, sur les seuls critères de la reconnaissance de leur autorité et de leur expérience professionnelle dans le domaine monétaire ou bancaire</w:t>
      </w:r>
      <w:r w:rsidRPr="00D04393">
        <w:rPr>
          <w:rStyle w:val="FootnoteReference"/>
        </w:rPr>
        <w:footnoteReference w:id="5"/>
      </w:r>
      <w:r w:rsidRPr="00D04393">
        <w:t>. L'indépendance d'une banque centrale comporte plusieurs dimensions incluant sa capacité à disposer de ses propres ressources financières, les protections juridiques de son statut, et aussi l'indépendance de son personnel. Étant donné que la nomination des membres du directoire de la BCE est le moyen le plus direct pour les États de peser sur la formulation des politiques monétaires, cette dernière dimension de l'indépendance est la plus problématique pour la BCE car ses dirigeants sont soumis à un processus de recrutement dominé par des logiques intergouvernementales (</w:t>
      </w:r>
      <w:proofErr w:type="spellStart"/>
      <w:r w:rsidRPr="00D04393">
        <w:t>Howarth</w:t>
      </w:r>
      <w:proofErr w:type="spellEnd"/>
      <w:r w:rsidRPr="00D04393">
        <w:t xml:space="preserve"> et </w:t>
      </w:r>
      <w:proofErr w:type="spellStart"/>
      <w:r w:rsidRPr="00D04393">
        <w:t>Loedel</w:t>
      </w:r>
      <w:proofErr w:type="spellEnd"/>
      <w:r w:rsidRPr="00D04393">
        <w:t>, 2005).</w:t>
      </w:r>
    </w:p>
    <w:p w:rsidR="007A4FEA" w:rsidRPr="00D04393" w:rsidRDefault="007A4FEA" w:rsidP="007A4FEA">
      <w:r w:rsidRPr="00D04393">
        <w:t>La littérature d'économie politique s'est penchée sur l'enjeu des nominations des banquiers centraux à travers deux questions : en quoi les parcours professionnels dans les milieux financiers ou gouvernementaux peuvent</w:t>
      </w:r>
      <w:r>
        <w:t>-ils</w:t>
      </w:r>
      <w:r w:rsidRPr="00D04393">
        <w:t xml:space="preserve"> influencer les décisions des banquiers centraux quand ceux-ci entrent en poste ? En quoi la nomination d'un banquier central par un gouvernement de gauche ou de droite peut</w:t>
      </w:r>
      <w:r>
        <w:t>-il</w:t>
      </w:r>
      <w:r w:rsidRPr="00D04393">
        <w:t xml:space="preserve"> influer sur la politique monétaire ? </w:t>
      </w:r>
      <w:fldSimple w:instr="">
        <w:r w:rsidRPr="00D04393">
          <w:t>Pour Rogoff (1985), un banquier central qui appartient à la communauté financière et favorise les intérêts de celle-ci dans ses décisions est « conservateur »; le contrat social optimal consiste, selon lui, à désigner un banquier central conservateur pour gagner la confiance des marchés.</w:t>
        </w:r>
      </w:fldSimple>
      <w:r w:rsidRPr="00D04393">
        <w:t xml:space="preserve"> Cette intuition théorique a été confirmée empiriquement par l'étude des trajectoires professionnelles passées et des perspectives de carrières futures des banquiers centraux : les banquiers centraux ont tendance à donner des signaux positifs aux acteurs financiers (par des décisions monétaires conservatrices) quand ils ont été socialisés dans les milieux financiers et/ou qu’ils souhaitent se reconvertir dans ces milieux, pour des raisons souvent pécuniaires (Adolph, 2013)</w:t>
      </w:r>
      <w:r w:rsidRPr="00D04393">
        <w:rPr>
          <w:rStyle w:val="FootnoteReference"/>
        </w:rPr>
        <w:footnoteReference w:id="6"/>
      </w:r>
      <w:r w:rsidRPr="00D04393">
        <w:t xml:space="preserve">. Les gouvernements de droite et de gauche sont alors censés nommer des banquiers centraux plus ou moins conservateurs (dénommés « faucons » et « colombes ») qui </w:t>
      </w:r>
      <w:r w:rsidRPr="00D04393">
        <w:lastRenderedPageBreak/>
        <w:t>favoriseront davantage soit la stabilité des prix, soit la croissance économique (</w:t>
      </w:r>
      <w:proofErr w:type="spellStart"/>
      <w:r w:rsidR="00AE3F1F">
        <w:t>waele</w:t>
      </w:r>
      <w:proofErr w:type="spellEnd"/>
      <w:r w:rsidRPr="00D04393">
        <w:t xml:space="preserve"> </w:t>
      </w:r>
      <w:r w:rsidRPr="00D04393">
        <w:rPr>
          <w:i/>
          <w:iCs/>
        </w:rPr>
        <w:t>et al,</w:t>
      </w:r>
      <w:r w:rsidRPr="00D04393">
        <w:t xml:space="preserve"> 2010). Les chercheurs utilisaient pour indicateurs les taux d’intérêts fixés par les banques centrales et la manière dont elles se positionnaient dans l'arbitrage entre ces deux objectifs, dans le but de mesurer le degré de conservatisme (ou de capture) des banquiers centraux. </w:t>
      </w:r>
      <w:proofErr w:type="spellStart"/>
      <w:r w:rsidRPr="00D04393">
        <w:t>Lebaron</w:t>
      </w:r>
      <w:proofErr w:type="spellEnd"/>
      <w:r w:rsidRPr="00D04393">
        <w:t xml:space="preserve"> (2012) s’intéresse davantage à la composition des comités de banquiers centraux en se focalisant sur leurs titres scolaires et leurs sources de légitimité professionnelle. </w:t>
      </w:r>
    </w:p>
    <w:p w:rsidR="007A4FEA" w:rsidRPr="00D04393" w:rsidRDefault="007A4FEA" w:rsidP="007A4FEA">
      <w:r w:rsidRPr="00D04393">
        <w:t>Cependant, la méthodologie quantitative et comparative de ces recherches laisse des questions ouvertes sur le cas de la BCE : quelles sont les logiques des politiques nationales dans le choix d'un candidat au directoire</w:t>
      </w:r>
      <w:r>
        <w:t xml:space="preserve"> </w:t>
      </w:r>
      <w:r w:rsidRPr="00D04393">
        <w:t>? Quelles sont les dynamiques des négociations intergouvernementales quant à la composition du directoire</w:t>
      </w:r>
      <w:r>
        <w:t xml:space="preserve"> </w:t>
      </w:r>
      <w:r w:rsidRPr="00D04393">
        <w:t>? Quels sont les changements provoqués par la crise financière dans ces dynamiques de nomination</w:t>
      </w:r>
      <w:r>
        <w:t xml:space="preserve"> </w:t>
      </w:r>
      <w:r w:rsidRPr="00D04393">
        <w:t xml:space="preserve">? Cet article offre successivement des éléments de réponse à ces trois questions en considérant que la nomination des membres du directoire de la BCE est fondamentalement un jeu à deux niveaux où les dirigeants doivent prendre en compte les logiques du jeu politique domestique et de la négociation internationale (Putnam, 1988, </w:t>
      </w:r>
      <w:proofErr w:type="spellStart"/>
      <w:r w:rsidRPr="00D04393">
        <w:t>Moravcsik</w:t>
      </w:r>
      <w:proofErr w:type="spellEnd"/>
      <w:r w:rsidRPr="00D04393">
        <w:t>, 1998). Par conséquent</w:t>
      </w:r>
      <w:r>
        <w:t>,</w:t>
      </w:r>
      <w:r w:rsidRPr="00D04393">
        <w:t xml:space="preserve"> les dirigeants étatiques sont attentifs</w:t>
      </w:r>
      <w:r>
        <w:t>,</w:t>
      </w:r>
      <w:r w:rsidRPr="00D04393">
        <w:t xml:space="preserve"> à la fois</w:t>
      </w:r>
      <w:r>
        <w:t>,</w:t>
      </w:r>
      <w:r w:rsidRPr="00D04393">
        <w:t xml:space="preserve"> aux contraintes institutionnelles et idéelles préexistantes au niveau européen et aux luttes d'influence entre des réseaux politiques nationaux concurrents dans leur choix d'un candidat. Par la suite, les négociations intergouvernementales sur la nationalité des candidats influencent fortement les dynamiques de nomination au sein du directoire, aussi bien dans les choix effectués au Conseil </w:t>
      </w:r>
      <w:r>
        <w:t>e</w:t>
      </w:r>
      <w:r w:rsidRPr="00D04393">
        <w:t xml:space="preserve">uropéen que lors des auditions des candidats au Parlement </w:t>
      </w:r>
      <w:r>
        <w:t>e</w:t>
      </w:r>
      <w:r w:rsidRPr="00D04393">
        <w:t xml:space="preserve">uropéen. Enfin, la focalisation des débats sur la nationalité des candidats relègue au second plan les autres enjeux macro-économiques et démocratiques de leur nomination, qui </w:t>
      </w:r>
      <w:proofErr w:type="gramStart"/>
      <w:r w:rsidRPr="00D04393">
        <w:t>sont</w:t>
      </w:r>
      <w:proofErr w:type="gramEnd"/>
      <w:r w:rsidRPr="00D04393">
        <w:t xml:space="preserve"> pourtant devenus bien plus saillants depuis que la BCE met en œuvre des politiques monétaires non-conventionnelles.</w:t>
      </w:r>
      <w:r w:rsidR="0067552B">
        <w:t xml:space="preserve"> </w:t>
      </w:r>
    </w:p>
    <w:p w:rsidR="007A4FEA" w:rsidRPr="00D04393" w:rsidRDefault="007A4FEA" w:rsidP="007A4FEA">
      <w:r w:rsidRPr="00D04393">
        <w:t>La démarche méthodologique adoptée dans cet article consiste à analyser les parcours biographiques des membres du directoire</w:t>
      </w:r>
      <w:r w:rsidRPr="00D04393">
        <w:rPr>
          <w:rStyle w:val="FootnoteReference"/>
        </w:rPr>
        <w:footnoteReference w:id="7"/>
      </w:r>
      <w:r w:rsidRPr="00D04393">
        <w:t xml:space="preserve"> ainsi que les éléments institutionnels cadrant leur </w:t>
      </w:r>
      <w:r w:rsidRPr="00D04393">
        <w:lastRenderedPageBreak/>
        <w:t xml:space="preserve">nomination au niveau européen depuis 2010. En effet, depuis cette date, le directoire a été entièrement renouvelé dans un contexte controversé de mise en œuvre de politiques monétaires non-conventionnelles. Étant donné qu'il n'est pas possible de documenter les négociations au sein du Conseil </w:t>
      </w:r>
      <w:r>
        <w:t>européen</w:t>
      </w:r>
      <w:r w:rsidRPr="00D04393">
        <w:t xml:space="preserve"> et du Conseil des gouverneurs jusqu'à l'ouverture de leurs archives</w:t>
      </w:r>
      <w:r w:rsidRPr="00D04393">
        <w:rPr>
          <w:rStyle w:val="FootnoteReference"/>
        </w:rPr>
        <w:footnoteReference w:id="8"/>
      </w:r>
      <w:r w:rsidRPr="00D04393">
        <w:t>, les sources primaires mobilisées par cet article sont</w:t>
      </w:r>
      <w:r w:rsidR="0067552B">
        <w:t xml:space="preserve"> </w:t>
      </w:r>
      <w:r w:rsidRPr="00D04393">
        <w:t xml:space="preserve">les auditions des candidats au directoire devant le comité des affaires économiques du Parlement </w:t>
      </w:r>
      <w:r>
        <w:t>européen</w:t>
      </w:r>
      <w:r w:rsidRPr="00D04393">
        <w:t>. Bien que l'avis du Parlement ne soit que consultatif et que le contenu des auditions soit cadré de manière préalable par la BCE, les matériaux fournis aux parlementaires (</w:t>
      </w:r>
      <w:r w:rsidRPr="007A4FEA">
        <w:rPr>
          <w:i/>
        </w:rPr>
        <w:t>curriculum vitae</w:t>
      </w:r>
      <w:r w:rsidRPr="00D04393">
        <w:t xml:space="preserve"> et liste de questions-réponses sur les politiques de la BCE) dévoilent les signaux que les candidats veulent envoyer aux institutions européennes lors de leur nomination et les réseaux politiques ayant eu une influence à l'échelle nationale.</w:t>
      </w:r>
    </w:p>
    <w:p w:rsidR="007A4FEA" w:rsidRPr="00D04393" w:rsidRDefault="007A4FEA" w:rsidP="007A4FEA">
      <w:pPr>
        <w:pStyle w:val="Heading1"/>
      </w:pPr>
      <w:r w:rsidRPr="00D04393">
        <w:t>LE CHOIX NATIONAL DES MEMBRES DU DIRECTOIRE ENTRE IMPÉRATIFS EUROPÉENS ET RÉSEAUX NATIONAUX</w:t>
      </w:r>
    </w:p>
    <w:p w:rsidR="007A4FEA" w:rsidRPr="00D04393" w:rsidRDefault="007A4FEA" w:rsidP="007A4FEA">
      <w:r w:rsidRPr="00D04393">
        <w:t xml:space="preserve">Pour comprendre le choix d'un candidat au niveau national, il faut d'abord repérer les éléments biographiques nécessaires à une candidature qui sont induits par la logique intergouvernementale du processus de nomination au Conseil </w:t>
      </w:r>
      <w:r>
        <w:t>européen</w:t>
      </w:r>
      <w:r w:rsidRPr="00D04393">
        <w:t xml:space="preserve">. Au sein de ces contraintes, les dirigeants nationaux gardent une marge de manœuvre dans le choix de candidats au profil adéquat ; l'exemple français montre que les rapports de force entre les réseaux politiques au sein du pouvoir sont alors des éléments déterminants pour la réussite d'une candidature. </w:t>
      </w:r>
    </w:p>
    <w:p w:rsidR="007A4FEA" w:rsidRPr="007A4FEA" w:rsidRDefault="007A4FEA" w:rsidP="007A4FEA">
      <w:pPr>
        <w:pStyle w:val="Titre-Tableaux-schmas-graphique"/>
        <w:rPr>
          <w:rFonts w:eastAsia="Droid Sans Fallback"/>
          <w:lang w:val="fr-CA" w:eastAsia="zh-CN" w:bidi="hi-IN"/>
        </w:rPr>
      </w:pPr>
      <w:r w:rsidRPr="007A4FEA">
        <w:rPr>
          <w:rFonts w:eastAsia="Droid Sans Fallback"/>
          <w:lang w:val="fr-CA" w:eastAsia="zh-CN" w:bidi="hi-IN"/>
        </w:rPr>
        <w:t>Tableau n° 1 : Biographies des nouveaux membres du directoire depuis 2010.</w:t>
      </w:r>
    </w:p>
    <w:p w:rsidR="007A4FEA" w:rsidRPr="007A4FEA" w:rsidRDefault="007A4FEA" w:rsidP="007A4FEA">
      <w:pPr>
        <w:widowControl w:val="0"/>
        <w:spacing w:before="0" w:after="0" w:line="240" w:lineRule="auto"/>
        <w:ind w:firstLine="0"/>
        <w:rPr>
          <w:rFonts w:eastAsia="Droid Sans Fallback"/>
          <w:kern w:val="1"/>
          <w:lang w:val="fr-CA" w:eastAsia="zh-CN" w:bidi="hi-IN"/>
        </w:rPr>
      </w:pPr>
    </w:p>
    <w:tbl>
      <w:tblPr>
        <w:tblW w:w="10375" w:type="dxa"/>
        <w:tblInd w:w="55" w:type="dxa"/>
        <w:tblLayout w:type="fixed"/>
        <w:tblCellMar>
          <w:top w:w="55" w:type="dxa"/>
          <w:left w:w="55" w:type="dxa"/>
          <w:bottom w:w="55" w:type="dxa"/>
          <w:right w:w="55" w:type="dxa"/>
        </w:tblCellMar>
        <w:tblLook w:val="0000"/>
      </w:tblPr>
      <w:tblGrid>
        <w:gridCol w:w="1650"/>
        <w:gridCol w:w="842"/>
        <w:gridCol w:w="1358"/>
        <w:gridCol w:w="1938"/>
        <w:gridCol w:w="1412"/>
        <w:gridCol w:w="3175"/>
      </w:tblGrid>
      <w:tr w:rsidR="007A4FEA" w:rsidRPr="007A4FEA" w:rsidTr="007A4FEA">
        <w:tc>
          <w:tcPr>
            <w:tcW w:w="1650" w:type="dxa"/>
            <w:tcBorders>
              <w:top w:val="none" w:sz="1" w:space="0" w:color="000000"/>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lastRenderedPageBreak/>
              <w:t>Nom et date de nomination</w:t>
            </w:r>
          </w:p>
        </w:tc>
        <w:tc>
          <w:tcPr>
            <w:tcW w:w="842" w:type="dxa"/>
            <w:tcBorders>
              <w:top w:val="none" w:sz="1" w:space="0" w:color="000000"/>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Naissance</w:t>
            </w:r>
          </w:p>
        </w:tc>
        <w:tc>
          <w:tcPr>
            <w:tcW w:w="1358" w:type="dxa"/>
            <w:tcBorders>
              <w:top w:val="none" w:sz="1" w:space="0" w:color="000000"/>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Nationalité</w:t>
            </w:r>
          </w:p>
        </w:tc>
        <w:tc>
          <w:tcPr>
            <w:tcW w:w="1938" w:type="dxa"/>
            <w:tcBorders>
              <w:top w:val="none" w:sz="1" w:space="0" w:color="000000"/>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Expérience internationale</w:t>
            </w:r>
          </w:p>
        </w:tc>
        <w:tc>
          <w:tcPr>
            <w:tcW w:w="1412" w:type="dxa"/>
            <w:tcBorders>
              <w:top w:val="none" w:sz="1" w:space="0" w:color="000000"/>
              <w:left w:val="none" w:sz="1" w:space="0" w:color="000000"/>
              <w:bottom w:val="none" w:sz="1" w:space="0" w:color="000000"/>
            </w:tcBorders>
            <w:shd w:val="clear" w:color="auto" w:fill="auto"/>
          </w:tcPr>
          <w:p w:rsidR="007A4FEA" w:rsidRPr="007A4FEA" w:rsidRDefault="0067552B" w:rsidP="007A4FEA">
            <w:pPr>
              <w:widowControl w:val="0"/>
              <w:suppressLineNumbers/>
              <w:spacing w:before="0" w:after="0" w:line="240" w:lineRule="auto"/>
              <w:ind w:firstLine="0"/>
              <w:jc w:val="left"/>
              <w:rPr>
                <w:rFonts w:eastAsia="Droid Sans Fallback"/>
                <w:kern w:val="1"/>
                <w:lang w:val="fr-CA" w:eastAsia="zh-CN" w:bidi="hi-IN"/>
              </w:rPr>
            </w:pPr>
            <w:r>
              <w:rPr>
                <w:rFonts w:eastAsia="Droid Sans Fallback"/>
                <w:kern w:val="1"/>
                <w:lang w:val="fr-CA" w:eastAsia="zh-CN" w:bidi="hi-IN"/>
              </w:rPr>
              <w:t>Expérience</w:t>
            </w:r>
            <w:r w:rsidRPr="007A4FEA">
              <w:rPr>
                <w:rFonts w:eastAsia="Droid Sans Fallback"/>
                <w:kern w:val="1"/>
                <w:lang w:val="fr-CA" w:eastAsia="zh-CN" w:bidi="hi-IN"/>
              </w:rPr>
              <w:t xml:space="preserve"> </w:t>
            </w:r>
            <w:r w:rsidR="007A4FEA" w:rsidRPr="007A4FEA">
              <w:rPr>
                <w:rFonts w:eastAsia="Droid Sans Fallback"/>
                <w:kern w:val="1"/>
                <w:lang w:val="fr-CA" w:eastAsia="zh-CN" w:bidi="hi-IN"/>
              </w:rPr>
              <w:t>dans la finance</w:t>
            </w:r>
          </w:p>
        </w:tc>
        <w:tc>
          <w:tcPr>
            <w:tcW w:w="3175" w:type="dxa"/>
            <w:tcBorders>
              <w:top w:val="none" w:sz="1" w:space="0" w:color="000000"/>
              <w:left w:val="none" w:sz="1" w:space="0" w:color="000000"/>
              <w:bottom w:val="none" w:sz="1" w:space="0" w:color="000000"/>
              <w:right w:val="none" w:sz="1" w:space="0" w:color="000000"/>
            </w:tcBorders>
            <w:shd w:val="clear" w:color="auto" w:fill="auto"/>
          </w:tcPr>
          <w:p w:rsidR="007A4FEA" w:rsidRPr="007A4FEA" w:rsidRDefault="0067552B" w:rsidP="007A4FEA">
            <w:pPr>
              <w:widowControl w:val="0"/>
              <w:suppressLineNumbers/>
              <w:spacing w:before="0" w:after="0" w:line="240" w:lineRule="auto"/>
              <w:ind w:firstLine="0"/>
              <w:jc w:val="left"/>
              <w:rPr>
                <w:rFonts w:eastAsia="Droid Sans Fallback"/>
                <w:kern w:val="1"/>
                <w:lang w:val="fr-CA" w:eastAsia="zh-CN" w:bidi="hi-IN"/>
              </w:rPr>
            </w:pPr>
            <w:r>
              <w:rPr>
                <w:rFonts w:eastAsia="Droid Sans Fallback"/>
                <w:kern w:val="1"/>
                <w:lang w:val="fr-CA" w:eastAsia="zh-CN" w:bidi="hi-IN"/>
              </w:rPr>
              <w:t>Expérience étatique</w:t>
            </w:r>
          </w:p>
        </w:tc>
      </w:tr>
      <w:tr w:rsidR="007A4FEA" w:rsidRPr="007A4FEA" w:rsidTr="007A4FEA">
        <w:tc>
          <w:tcPr>
            <w:tcW w:w="1650"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 xml:space="preserve">Mario </w:t>
            </w:r>
            <w:proofErr w:type="spellStart"/>
            <w:r w:rsidRPr="007A4FEA">
              <w:rPr>
                <w:rFonts w:eastAsia="Droid Sans Fallback"/>
                <w:kern w:val="1"/>
                <w:lang w:val="fr-CA" w:eastAsia="zh-CN" w:bidi="hi-IN"/>
              </w:rPr>
              <w:t>Draghi</w:t>
            </w:r>
            <w:proofErr w:type="spellEnd"/>
          </w:p>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(2011-)</w:t>
            </w:r>
          </w:p>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p>
        </w:tc>
        <w:tc>
          <w:tcPr>
            <w:tcW w:w="842"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1947</w:t>
            </w:r>
          </w:p>
        </w:tc>
        <w:tc>
          <w:tcPr>
            <w:tcW w:w="1358"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Italien</w:t>
            </w:r>
          </w:p>
        </w:tc>
        <w:tc>
          <w:tcPr>
            <w:tcW w:w="1938"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Banque Mondiale (1984-1990)</w:t>
            </w:r>
          </w:p>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Groupe des Trente (2006-)</w:t>
            </w:r>
          </w:p>
        </w:tc>
        <w:tc>
          <w:tcPr>
            <w:tcW w:w="1412"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Goldman Sachs</w:t>
            </w:r>
          </w:p>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 xml:space="preserve"> (2002-2005)</w:t>
            </w:r>
          </w:p>
        </w:tc>
        <w:tc>
          <w:tcPr>
            <w:tcW w:w="3175" w:type="dxa"/>
            <w:tcBorders>
              <w:left w:val="none" w:sz="1" w:space="0" w:color="000000"/>
              <w:bottom w:val="none" w:sz="1" w:space="0" w:color="000000"/>
              <w:right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Trésor (1991-2001)</w:t>
            </w:r>
          </w:p>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BCN (2006-2011)</w:t>
            </w:r>
          </w:p>
        </w:tc>
      </w:tr>
      <w:tr w:rsidR="007A4FEA" w:rsidRPr="007A4FEA" w:rsidTr="007A4FEA">
        <w:tc>
          <w:tcPr>
            <w:tcW w:w="1650"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 xml:space="preserve">Benoit </w:t>
            </w:r>
            <w:proofErr w:type="spellStart"/>
            <w:r w:rsidRPr="007A4FEA">
              <w:rPr>
                <w:rFonts w:eastAsia="Droid Sans Fallback"/>
                <w:kern w:val="1"/>
                <w:lang w:val="fr-CA" w:eastAsia="zh-CN" w:bidi="hi-IN"/>
              </w:rPr>
              <w:t>Cœuré</w:t>
            </w:r>
            <w:proofErr w:type="spellEnd"/>
          </w:p>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(2012-)</w:t>
            </w:r>
          </w:p>
        </w:tc>
        <w:tc>
          <w:tcPr>
            <w:tcW w:w="842"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1966</w:t>
            </w:r>
          </w:p>
        </w:tc>
        <w:tc>
          <w:tcPr>
            <w:tcW w:w="1358"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Français</w:t>
            </w:r>
          </w:p>
        </w:tc>
        <w:tc>
          <w:tcPr>
            <w:tcW w:w="1938"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Club de Paris (2007-09)</w:t>
            </w:r>
          </w:p>
        </w:tc>
        <w:tc>
          <w:tcPr>
            <w:tcW w:w="1412"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Non</w:t>
            </w:r>
          </w:p>
        </w:tc>
        <w:tc>
          <w:tcPr>
            <w:tcW w:w="3175" w:type="dxa"/>
            <w:tcBorders>
              <w:left w:val="none" w:sz="1" w:space="0" w:color="000000"/>
              <w:bottom w:val="none" w:sz="1" w:space="0" w:color="000000"/>
              <w:right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Trésor (1995-2011)</w:t>
            </w:r>
          </w:p>
        </w:tc>
      </w:tr>
      <w:tr w:rsidR="007A4FEA" w:rsidRPr="007A4FEA" w:rsidTr="007A4FEA">
        <w:tc>
          <w:tcPr>
            <w:tcW w:w="1650"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Jörg</w:t>
            </w:r>
            <w:r w:rsidRPr="007A4FEA">
              <w:rPr>
                <w:rFonts w:eastAsia="Droid Sans Fallback"/>
                <w:i/>
                <w:iCs/>
                <w:kern w:val="1"/>
                <w:lang w:val="fr-CA" w:eastAsia="zh-CN" w:bidi="hi-IN"/>
              </w:rPr>
              <w:t xml:space="preserve"> </w:t>
            </w:r>
            <w:proofErr w:type="spellStart"/>
            <w:r w:rsidRPr="007A4FEA">
              <w:rPr>
                <w:rFonts w:eastAsia="Droid Sans Fallback"/>
                <w:kern w:val="1"/>
                <w:lang w:val="fr-CA" w:eastAsia="zh-CN" w:bidi="hi-IN"/>
              </w:rPr>
              <w:t>Asmussen</w:t>
            </w:r>
            <w:proofErr w:type="spellEnd"/>
          </w:p>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(2012-2013)</w:t>
            </w:r>
          </w:p>
        </w:tc>
        <w:tc>
          <w:tcPr>
            <w:tcW w:w="842"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1966</w:t>
            </w:r>
          </w:p>
        </w:tc>
        <w:tc>
          <w:tcPr>
            <w:tcW w:w="1358"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Allemand</w:t>
            </w:r>
          </w:p>
        </w:tc>
        <w:tc>
          <w:tcPr>
            <w:tcW w:w="1938"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Non</w:t>
            </w:r>
          </w:p>
        </w:tc>
        <w:tc>
          <w:tcPr>
            <w:tcW w:w="1412"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Non</w:t>
            </w:r>
          </w:p>
        </w:tc>
        <w:tc>
          <w:tcPr>
            <w:tcW w:w="3175" w:type="dxa"/>
            <w:tcBorders>
              <w:left w:val="none" w:sz="1" w:space="0" w:color="000000"/>
              <w:bottom w:val="none" w:sz="1" w:space="0" w:color="000000"/>
              <w:right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Trésor (1996-2012)</w:t>
            </w:r>
          </w:p>
        </w:tc>
      </w:tr>
      <w:tr w:rsidR="007A4FEA" w:rsidRPr="007A4FEA" w:rsidTr="007A4FEA">
        <w:tc>
          <w:tcPr>
            <w:tcW w:w="1650"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Yves Mersch</w:t>
            </w:r>
          </w:p>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(2012-)</w:t>
            </w:r>
          </w:p>
        </w:tc>
        <w:tc>
          <w:tcPr>
            <w:tcW w:w="842"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1949</w:t>
            </w:r>
          </w:p>
        </w:tc>
        <w:tc>
          <w:tcPr>
            <w:tcW w:w="1358"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Luxembourg</w:t>
            </w:r>
          </w:p>
        </w:tc>
        <w:tc>
          <w:tcPr>
            <w:tcW w:w="1938"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 xml:space="preserve">FMI </w:t>
            </w:r>
          </w:p>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(1976-78)</w:t>
            </w:r>
          </w:p>
        </w:tc>
        <w:tc>
          <w:tcPr>
            <w:tcW w:w="1412"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Non</w:t>
            </w:r>
          </w:p>
        </w:tc>
        <w:tc>
          <w:tcPr>
            <w:tcW w:w="3175" w:type="dxa"/>
            <w:tcBorders>
              <w:left w:val="none" w:sz="1" w:space="0" w:color="000000"/>
              <w:bottom w:val="none" w:sz="1" w:space="0" w:color="000000"/>
              <w:right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Trésor (1989-1998)</w:t>
            </w:r>
          </w:p>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BCN (1998-2012)</w:t>
            </w:r>
          </w:p>
        </w:tc>
      </w:tr>
      <w:tr w:rsidR="007A4FEA" w:rsidRPr="007A4FEA" w:rsidTr="007A4FEA">
        <w:tc>
          <w:tcPr>
            <w:tcW w:w="1650"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Peter Praet</w:t>
            </w:r>
          </w:p>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(2011-)</w:t>
            </w:r>
          </w:p>
        </w:tc>
        <w:tc>
          <w:tcPr>
            <w:tcW w:w="842"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1949</w:t>
            </w:r>
          </w:p>
        </w:tc>
        <w:tc>
          <w:tcPr>
            <w:tcW w:w="1358"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Belge</w:t>
            </w:r>
          </w:p>
        </w:tc>
        <w:tc>
          <w:tcPr>
            <w:tcW w:w="1938"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 xml:space="preserve">FMI </w:t>
            </w:r>
          </w:p>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(1978-1980)</w:t>
            </w:r>
          </w:p>
        </w:tc>
        <w:tc>
          <w:tcPr>
            <w:tcW w:w="1412"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Fortis banque (1987-1999)</w:t>
            </w:r>
          </w:p>
        </w:tc>
        <w:tc>
          <w:tcPr>
            <w:tcW w:w="3175" w:type="dxa"/>
            <w:tcBorders>
              <w:left w:val="none" w:sz="1" w:space="0" w:color="000000"/>
              <w:bottom w:val="none" w:sz="1" w:space="0" w:color="000000"/>
              <w:right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Trésor (1999-2000)</w:t>
            </w:r>
          </w:p>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BCN (2000-2011)</w:t>
            </w:r>
          </w:p>
        </w:tc>
      </w:tr>
      <w:tr w:rsidR="007A4FEA" w:rsidRPr="007A4FEA" w:rsidTr="007A4FEA">
        <w:tc>
          <w:tcPr>
            <w:tcW w:w="1650"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proofErr w:type="spellStart"/>
            <w:r w:rsidRPr="007A4FEA">
              <w:rPr>
                <w:rFonts w:eastAsia="Droid Sans Fallback"/>
                <w:kern w:val="1"/>
                <w:lang w:val="fr-CA" w:eastAsia="zh-CN" w:bidi="hi-IN"/>
              </w:rPr>
              <w:t>Vitor</w:t>
            </w:r>
            <w:proofErr w:type="spellEnd"/>
            <w:r w:rsidRPr="007A4FEA">
              <w:rPr>
                <w:rFonts w:eastAsia="Droid Sans Fallback"/>
                <w:kern w:val="1"/>
                <w:lang w:val="fr-CA" w:eastAsia="zh-CN" w:bidi="hi-IN"/>
              </w:rPr>
              <w:t xml:space="preserve"> </w:t>
            </w:r>
            <w:proofErr w:type="spellStart"/>
            <w:r w:rsidRPr="007A4FEA">
              <w:rPr>
                <w:rFonts w:eastAsia="Droid Sans Fallback"/>
                <w:kern w:val="1"/>
                <w:lang w:val="fr-CA" w:eastAsia="zh-CN" w:bidi="hi-IN"/>
              </w:rPr>
              <w:t>Constâncio</w:t>
            </w:r>
            <w:proofErr w:type="spellEnd"/>
          </w:p>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(2010-)</w:t>
            </w:r>
          </w:p>
        </w:tc>
        <w:tc>
          <w:tcPr>
            <w:tcW w:w="842"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1943</w:t>
            </w:r>
          </w:p>
        </w:tc>
        <w:tc>
          <w:tcPr>
            <w:tcW w:w="1358"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Portugais</w:t>
            </w:r>
          </w:p>
        </w:tc>
        <w:tc>
          <w:tcPr>
            <w:tcW w:w="1938"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Banque Mondiale (1989-1992)</w:t>
            </w:r>
          </w:p>
        </w:tc>
        <w:tc>
          <w:tcPr>
            <w:tcW w:w="1412"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Non</w:t>
            </w:r>
          </w:p>
        </w:tc>
        <w:tc>
          <w:tcPr>
            <w:tcW w:w="3175" w:type="dxa"/>
            <w:tcBorders>
              <w:left w:val="none" w:sz="1" w:space="0" w:color="000000"/>
              <w:bottom w:val="none" w:sz="1" w:space="0" w:color="000000"/>
              <w:right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Ministre des finances (1978)</w:t>
            </w:r>
          </w:p>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Député (1987-88)</w:t>
            </w:r>
          </w:p>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BCN (2000-10)</w:t>
            </w:r>
          </w:p>
        </w:tc>
      </w:tr>
      <w:tr w:rsidR="007A4FEA" w:rsidRPr="007A4FEA" w:rsidTr="007A4FEA">
        <w:tc>
          <w:tcPr>
            <w:tcW w:w="1650"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Sabine</w:t>
            </w:r>
            <w:r w:rsidR="0067552B">
              <w:rPr>
                <w:rFonts w:eastAsia="Droid Sans Fallback"/>
                <w:kern w:val="1"/>
                <w:lang w:val="fr-CA" w:eastAsia="zh-CN" w:bidi="hi-IN"/>
              </w:rPr>
              <w:t xml:space="preserve"> </w:t>
            </w:r>
            <w:proofErr w:type="spellStart"/>
            <w:r w:rsidRPr="007A4FEA">
              <w:rPr>
                <w:rFonts w:eastAsia="Droid Sans Fallback"/>
                <w:kern w:val="1"/>
                <w:lang w:val="fr-CA" w:eastAsia="zh-CN" w:bidi="hi-IN"/>
              </w:rPr>
              <w:t>Lautenschläger</w:t>
            </w:r>
            <w:proofErr w:type="spellEnd"/>
          </w:p>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(2014-)</w:t>
            </w:r>
          </w:p>
        </w:tc>
        <w:tc>
          <w:tcPr>
            <w:tcW w:w="842"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1964</w:t>
            </w:r>
          </w:p>
        </w:tc>
        <w:tc>
          <w:tcPr>
            <w:tcW w:w="1358"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Allemande</w:t>
            </w:r>
          </w:p>
        </w:tc>
        <w:tc>
          <w:tcPr>
            <w:tcW w:w="1938"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Comités de supervision bancaire (Bâle)</w:t>
            </w:r>
          </w:p>
        </w:tc>
        <w:tc>
          <w:tcPr>
            <w:tcW w:w="1412" w:type="dxa"/>
            <w:tcBorders>
              <w:left w:val="none" w:sz="1" w:space="0" w:color="000000"/>
              <w:bottom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Non</w:t>
            </w:r>
          </w:p>
        </w:tc>
        <w:tc>
          <w:tcPr>
            <w:tcW w:w="3175" w:type="dxa"/>
            <w:tcBorders>
              <w:left w:val="none" w:sz="1" w:space="0" w:color="000000"/>
              <w:bottom w:val="none" w:sz="1" w:space="0" w:color="000000"/>
              <w:right w:val="none" w:sz="1" w:space="0" w:color="000000"/>
            </w:tcBorders>
            <w:shd w:val="clear" w:color="auto" w:fill="auto"/>
          </w:tcPr>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Agence de supervision (1995-2011)</w:t>
            </w:r>
          </w:p>
          <w:p w:rsidR="007A4FEA" w:rsidRPr="007A4FEA" w:rsidRDefault="007A4FEA" w:rsidP="007A4FEA">
            <w:pPr>
              <w:widowControl w:val="0"/>
              <w:suppressLineNumbers/>
              <w:spacing w:before="0" w:after="0" w:line="240" w:lineRule="auto"/>
              <w:ind w:firstLine="0"/>
              <w:jc w:val="left"/>
              <w:rPr>
                <w:rFonts w:eastAsia="Droid Sans Fallback"/>
                <w:kern w:val="1"/>
                <w:lang w:val="fr-CA" w:eastAsia="zh-CN" w:bidi="hi-IN"/>
              </w:rPr>
            </w:pPr>
            <w:r w:rsidRPr="007A4FEA">
              <w:rPr>
                <w:rFonts w:eastAsia="Droid Sans Fallback"/>
                <w:kern w:val="1"/>
                <w:lang w:val="fr-CA" w:eastAsia="zh-CN" w:bidi="hi-IN"/>
              </w:rPr>
              <w:t>BCN (2011-14)</w:t>
            </w:r>
          </w:p>
        </w:tc>
      </w:tr>
    </w:tbl>
    <w:p w:rsidR="007A4FEA" w:rsidRDefault="007A4FEA" w:rsidP="007A4FEA">
      <w:pPr>
        <w:widowControl w:val="0"/>
        <w:spacing w:before="0" w:after="0" w:line="240" w:lineRule="auto"/>
        <w:ind w:firstLine="0"/>
        <w:rPr>
          <w:rFonts w:eastAsia="Droid Sans Fallback"/>
          <w:kern w:val="1"/>
          <w:sz w:val="20"/>
          <w:szCs w:val="20"/>
          <w:lang w:val="fr-CA" w:eastAsia="zh-CN" w:bidi="hi-IN"/>
        </w:rPr>
      </w:pPr>
      <w:r w:rsidRPr="007A4FEA">
        <w:rPr>
          <w:rFonts w:eastAsia="Droid Sans Fallback"/>
          <w:kern w:val="1"/>
          <w:sz w:val="20"/>
          <w:szCs w:val="20"/>
          <w:lang w:val="fr-CA" w:eastAsia="zh-CN" w:bidi="hi-IN"/>
        </w:rPr>
        <w:t xml:space="preserve">Sources : Rapports du Parlement </w:t>
      </w:r>
      <w:r w:rsidR="004F050C">
        <w:rPr>
          <w:rFonts w:eastAsia="Droid Sans Fallback"/>
          <w:kern w:val="1"/>
          <w:sz w:val="20"/>
          <w:szCs w:val="20"/>
          <w:lang w:val="fr-CA" w:eastAsia="zh-CN" w:bidi="hi-IN"/>
        </w:rPr>
        <w:t>e</w:t>
      </w:r>
      <w:r w:rsidRPr="007A4FEA">
        <w:rPr>
          <w:rFonts w:eastAsia="Droid Sans Fallback"/>
          <w:kern w:val="1"/>
          <w:sz w:val="20"/>
          <w:szCs w:val="20"/>
          <w:lang w:val="fr-CA" w:eastAsia="zh-CN" w:bidi="hi-IN"/>
        </w:rPr>
        <w:t>uropéen sur la nomination des membres du directoire.</w:t>
      </w:r>
    </w:p>
    <w:p w:rsidR="0067552B" w:rsidRPr="007A4FEA" w:rsidRDefault="0067552B" w:rsidP="007A4FEA">
      <w:pPr>
        <w:widowControl w:val="0"/>
        <w:spacing w:before="0" w:after="0" w:line="240" w:lineRule="auto"/>
        <w:ind w:firstLine="0"/>
        <w:rPr>
          <w:rFonts w:eastAsia="Droid Sans Fallback"/>
          <w:kern w:val="1"/>
          <w:sz w:val="20"/>
          <w:szCs w:val="20"/>
          <w:lang w:val="fr-CA" w:eastAsia="zh-CN" w:bidi="hi-IN"/>
        </w:rPr>
      </w:pPr>
      <w:r>
        <w:rPr>
          <w:rFonts w:eastAsia="Droid Sans Fallback"/>
          <w:kern w:val="1"/>
          <w:sz w:val="20"/>
          <w:szCs w:val="20"/>
          <w:lang w:val="fr-CA" w:eastAsia="zh-CN" w:bidi="hi-IN"/>
        </w:rPr>
        <w:t>Nota : BCN : Banque centrale nationale</w:t>
      </w:r>
    </w:p>
    <w:p w:rsidR="007A4FEA" w:rsidRPr="00D04393" w:rsidRDefault="007A4FEA" w:rsidP="004F050C">
      <w:pPr>
        <w:pStyle w:val="Heading2"/>
      </w:pPr>
      <w:r w:rsidRPr="00D04393">
        <w:t>Quelles sont les caractéristiques biographiques communes aux membres du directoire</w:t>
      </w:r>
      <w:r>
        <w:t xml:space="preserve"> </w:t>
      </w:r>
      <w:r w:rsidRPr="00D04393">
        <w:t xml:space="preserve">? </w:t>
      </w:r>
    </w:p>
    <w:p w:rsidR="007A4FEA" w:rsidRPr="00D04393" w:rsidRDefault="007A4FEA" w:rsidP="007A4FEA">
      <w:r w:rsidRPr="00D04393">
        <w:t>Soulignons d'abord que les dix-neuf personnes ayant siégé au directoire depuis la création de la BCE en 1999 sont en très grande majorité des hommes blancs plutôt âgés : aucun candidat de minorité visible, de moins de quarante ans et seulement trois femmes se distinguent. Puis, leur parcours scolaire comporte des similitudes : les formations d'économistes sont dominantes et inscrites dans l'orthodoxie</w:t>
      </w:r>
      <w:r w:rsidR="0067552B">
        <w:t xml:space="preserve"> </w:t>
      </w:r>
      <w:r w:rsidRPr="00D04393">
        <w:t xml:space="preserve">néo-classique de la discipline. Plus précisément, sur les sept nouveaux membres actuels du directoire depuis 2010, seuls Sabine </w:t>
      </w:r>
      <w:proofErr w:type="spellStart"/>
      <w:r w:rsidRPr="00D04393">
        <w:t>Lautenschläger</w:t>
      </w:r>
      <w:proofErr w:type="spellEnd"/>
      <w:r w:rsidRPr="00D04393">
        <w:t xml:space="preserve"> et Yves Mersch ont une formation de juriste. Les formations en économie des autres membres du directoire sont inscrites dans le volet orthodoxe néo-classique de la discipline ; seuls deux d'entre eux détiennent une thèse, ce qui est relativement peu en comparaison avec les banques centrales américaine et japonaise (</w:t>
      </w:r>
      <w:proofErr w:type="spellStart"/>
      <w:r w:rsidRPr="00D04393">
        <w:t>Lebaron</w:t>
      </w:r>
      <w:proofErr w:type="spellEnd"/>
      <w:r w:rsidRPr="00D04393">
        <w:t xml:space="preserve">, 2012). Ainsi, Mario </w:t>
      </w:r>
      <w:proofErr w:type="spellStart"/>
      <w:r w:rsidRPr="00D04393">
        <w:t>Draghi</w:t>
      </w:r>
      <w:proofErr w:type="spellEnd"/>
      <w:r w:rsidRPr="00D04393">
        <w:t xml:space="preserve"> a effectué sa thèse au </w:t>
      </w:r>
      <w:r w:rsidRPr="00D04393">
        <w:rPr>
          <w:i/>
          <w:iCs/>
        </w:rPr>
        <w:t xml:space="preserve">Massachusetts Institute of </w:t>
      </w:r>
      <w:proofErr w:type="spellStart"/>
      <w:r w:rsidRPr="00D04393">
        <w:rPr>
          <w:i/>
          <w:iCs/>
        </w:rPr>
        <w:t>Technology</w:t>
      </w:r>
      <w:proofErr w:type="spellEnd"/>
      <w:r w:rsidRPr="00D04393">
        <w:t xml:space="preserve"> en 1976 </w:t>
      </w:r>
      <w:r w:rsidRPr="00D04393">
        <w:lastRenderedPageBreak/>
        <w:t xml:space="preserve">sous la direction de Robert Solow et Franco Modigliani, deux figures majeures de la synthèse néo-classique qui recevront chacun un prix Nobel pour avoir développé cette nouvelle orthodoxie (Beaud et </w:t>
      </w:r>
      <w:proofErr w:type="spellStart"/>
      <w:r w:rsidRPr="00D04393">
        <w:t>Dostaler</w:t>
      </w:r>
      <w:proofErr w:type="spellEnd"/>
      <w:r w:rsidRPr="00D04393">
        <w:t xml:space="preserve">, 1996, chap.5). De même, l'expérience académique de </w:t>
      </w:r>
      <w:r w:rsidRPr="00D04393">
        <w:rPr>
          <w:rStyle w:val="Emphasis"/>
          <w:i w:val="0"/>
          <w:iCs w:val="0"/>
        </w:rPr>
        <w:t>Jörg</w:t>
      </w:r>
      <w:r w:rsidRPr="00D04393">
        <w:t xml:space="preserve"> </w:t>
      </w:r>
      <w:proofErr w:type="spellStart"/>
      <w:r w:rsidRPr="00D04393">
        <w:t>Asmussen</w:t>
      </w:r>
      <w:proofErr w:type="spellEnd"/>
      <w:r w:rsidRPr="00D04393">
        <w:t xml:space="preserve"> est fortement marquée par l'ordo-libéralisme en ayant étudié l'économie à l'</w:t>
      </w:r>
      <w:r w:rsidR="004F050C">
        <w:t>U</w:t>
      </w:r>
      <w:r w:rsidRPr="00D04393">
        <w:t>niversité de Bonn sous la direction d'Axel Weber</w:t>
      </w:r>
      <w:r w:rsidRPr="00D04393">
        <w:rPr>
          <w:rStyle w:val="FootnoteReference"/>
        </w:rPr>
        <w:footnoteReference w:id="9"/>
      </w:r>
      <w:r w:rsidRPr="00D04393">
        <w:t>. Puis, il a approfondi sa formation à l'</w:t>
      </w:r>
      <w:r w:rsidR="004F050C">
        <w:t>U</w:t>
      </w:r>
      <w:r w:rsidRPr="00D04393">
        <w:t xml:space="preserve">niversité de </w:t>
      </w:r>
      <w:proofErr w:type="spellStart"/>
      <w:r w:rsidRPr="00D04393">
        <w:t>Bocconi</w:t>
      </w:r>
      <w:proofErr w:type="spellEnd"/>
      <w:r w:rsidRPr="00D04393">
        <w:t xml:space="preserve"> </w:t>
      </w:r>
      <w:r w:rsidR="0004113D">
        <w:t>où les théories du choix public sont liées à</w:t>
      </w:r>
      <w:r w:rsidRPr="00D04393">
        <w:t xml:space="preserve"> l'ordo-libéralisme </w:t>
      </w:r>
      <w:r w:rsidR="004C3D52">
        <w:t>par</w:t>
      </w:r>
      <w:r w:rsidRPr="00D04393">
        <w:t xml:space="preserve"> </w:t>
      </w:r>
      <w:r w:rsidR="0004113D">
        <w:t xml:space="preserve">le </w:t>
      </w:r>
      <w:r w:rsidRPr="00D04393">
        <w:t xml:space="preserve">concept d'austérité expansionniste (Blyth, 2013, chap.5). Enfin, Benoit </w:t>
      </w:r>
      <w:proofErr w:type="spellStart"/>
      <w:r w:rsidRPr="00D04393">
        <w:t>Cœuré</w:t>
      </w:r>
      <w:proofErr w:type="spellEnd"/>
      <w:r w:rsidRPr="00D04393">
        <w:t xml:space="preserve"> a été formé à l'</w:t>
      </w:r>
      <w:r w:rsidR="004F050C">
        <w:t>É</w:t>
      </w:r>
      <w:r w:rsidRPr="00D04393">
        <w:t xml:space="preserve">cole Polytechnique puis à l'École </w:t>
      </w:r>
      <w:r w:rsidR="004F050C">
        <w:t>n</w:t>
      </w:r>
      <w:r w:rsidRPr="00D04393">
        <w:t xml:space="preserve">ationale de la </w:t>
      </w:r>
      <w:r w:rsidR="004F050C">
        <w:t>s</w:t>
      </w:r>
      <w:r w:rsidRPr="00D04393">
        <w:t xml:space="preserve">tatistique et de </w:t>
      </w:r>
      <w:r w:rsidR="004F050C">
        <w:t>l</w:t>
      </w:r>
      <w:r w:rsidRPr="00D04393">
        <w:t>'</w:t>
      </w:r>
      <w:r w:rsidR="004F050C">
        <w:t>a</w:t>
      </w:r>
      <w:r w:rsidRPr="00D04393">
        <w:t xml:space="preserve">dministration </w:t>
      </w:r>
      <w:r w:rsidR="004F050C">
        <w:t>é</w:t>
      </w:r>
      <w:r w:rsidRPr="00D04393">
        <w:t xml:space="preserve">conomique (ENSAE), soit deux des grandes écoles qui ont importé les modèles économétriques américains et revendiquent le monopole de la recherche théorique formalisée en France (Fourcade, 2010, chap.4). Cette affiliation institutionnelle reste présente pour la suite de sa carrière, comme le montre son appartenance au Cercle des </w:t>
      </w:r>
      <w:r w:rsidR="004F050C">
        <w:t>é</w:t>
      </w:r>
      <w:r w:rsidRPr="00D04393">
        <w:t xml:space="preserve">conomistes largement composé d'anciens de l'ENSAE. </w:t>
      </w:r>
    </w:p>
    <w:p w:rsidR="007A4FEA" w:rsidRPr="00D04393" w:rsidRDefault="007A4FEA" w:rsidP="007A4FEA">
      <w:r w:rsidRPr="00D04393">
        <w:t xml:space="preserve">L'homogénéité des parcours universitaires des membres du directoire est reflétée dans leurs expériences professionnelles. En effet, l'ensemble des candidats nommés depuis 2010 a une expérience gouvernementale extensive parcourant le Trésor et les banques centrales nationales (BCN). Seule Sabine </w:t>
      </w:r>
      <w:proofErr w:type="spellStart"/>
      <w:r w:rsidRPr="00D04393">
        <w:t>Lautenschläger</w:t>
      </w:r>
      <w:proofErr w:type="spellEnd"/>
      <w:r w:rsidRPr="00D04393">
        <w:t xml:space="preserve"> se distingue par sa forte spécialisation dans le domaine de la supervision bancaire, valorisée à l'heure où la BCE gagne de telles compétences. Cependant, la ligne de distinction entre carrières privée et publique est floue car les membres du directoire n'ont pas seulement exercé des fonctions étatiques pendant leur carrière : deux d'entre eux ont aussi une expérience dans le secteur financier privé. Ainsi, la carrière de Mario </w:t>
      </w:r>
      <w:proofErr w:type="spellStart"/>
      <w:r w:rsidRPr="00D04393">
        <w:t>Draghi</w:t>
      </w:r>
      <w:proofErr w:type="spellEnd"/>
      <w:r w:rsidRPr="00D04393">
        <w:t xml:space="preserve"> montre que, à l’instar des administrations nationales en France (</w:t>
      </w:r>
      <w:proofErr w:type="spellStart"/>
      <w:r w:rsidRPr="00D04393">
        <w:t>Mény</w:t>
      </w:r>
      <w:proofErr w:type="spellEnd"/>
      <w:r w:rsidRPr="00D04393">
        <w:t>, 1992), la pratique des « portes tournantes</w:t>
      </w:r>
      <w:r w:rsidRPr="00D04393">
        <w:rPr>
          <w:rStyle w:val="FootnoteReference"/>
        </w:rPr>
        <w:footnoteReference w:id="10"/>
      </w:r>
      <w:r w:rsidRPr="00D04393">
        <w:t xml:space="preserve">» est valorisée dans le processus de </w:t>
      </w:r>
      <w:r w:rsidRPr="00D04393">
        <w:lastRenderedPageBreak/>
        <w:t xml:space="preserve">nomination du directoire (nous revenons plus longuement sur ce sujet dans la dernière partie de cet article). Par ailleurs, depuis la mise en marché de la dette étatique pendant les années 1970 et 1980, les carrières au Trésor impliquent des contacts très réguliers avec les dirigeants des grandes institutions financières (Lemoine, 2011), de manière similaire à celles des banquiers centraux qui, par définition, sont situés </w:t>
      </w:r>
      <w:r w:rsidRPr="00D04393">
        <w:t xml:space="preserve">à l'interface des systèmes gouvernementaux et financiers. Cet ensemble de remarques remet en cause la distinction traditionnelle entre carrières privées et publiques qui marquerait l’allégeance d'un </w:t>
      </w:r>
      <w:r w:rsidR="009D3D19">
        <w:t xml:space="preserve">banquier central </w:t>
      </w:r>
      <w:r w:rsidRPr="00D04393">
        <w:t>envers un de ces deux secteurs par des mécanismes de socialisation (</w:t>
      </w:r>
      <w:proofErr w:type="spellStart"/>
      <w:r w:rsidRPr="00D04393">
        <w:t>Lebaron</w:t>
      </w:r>
      <w:proofErr w:type="spellEnd"/>
      <w:r w:rsidRPr="00D04393">
        <w:t xml:space="preserve">, 2012, Adolph, 2013). </w:t>
      </w:r>
    </w:p>
    <w:p w:rsidR="007A4FEA" w:rsidRPr="00D04393" w:rsidRDefault="007A4FEA" w:rsidP="007A4FEA">
      <w:r w:rsidRPr="00D04393">
        <w:t>Le dernier élément biographique nécessaire pour une candidature réussie au directoire consiste en une expérience internationale et européenne, à la manière des hauts postes de direction dans les autres institutions européennes (Georgakakis 2012). Cette expérience peut se</w:t>
      </w:r>
      <w:r w:rsidR="0067552B">
        <w:t xml:space="preserve"> </w:t>
      </w:r>
      <w:r w:rsidRPr="00D04393">
        <w:t xml:space="preserve">dérouler de manière exclusive au sein d'organisations internationales qui diffusaient les principes issus du « consensus de Washington » avant le déclenchement de la crise (Banque </w:t>
      </w:r>
      <w:r w:rsidR="004F050C">
        <w:t>m</w:t>
      </w:r>
      <w:r w:rsidRPr="00D04393">
        <w:t>ondiale ou FMI)</w:t>
      </w:r>
      <w:r w:rsidRPr="00D04393">
        <w:rPr>
          <w:rStyle w:val="FootnoteReference"/>
        </w:rPr>
        <w:footnoteReference w:id="11"/>
      </w:r>
      <w:r w:rsidRPr="00D04393">
        <w:t>, et elle peut aussi découler des carrières nationales. Ainsi, les passages au Trésor impliquent une participation à la création de l'euro (avant 1999) et ensuite aux enceintes de gouvernance macroéconomique européenne (le Conseil E</w:t>
      </w:r>
      <w:r w:rsidR="004F050C" w:rsidRPr="00D04393">
        <w:t>COFIN</w:t>
      </w:r>
      <w:r w:rsidRPr="00D04393">
        <w:t xml:space="preserve"> et ses comités préparatoires) et aux groupes de travail de l'OCDE. De même, les carrières de banquiers centraux sont liées à une participation à la création de l'euro avant 1999, puis au Conseil des gouverneurs et aux comités de Bâle III. Les candidats au directoire valorisent ces expériences pendant leurs auditions dans un style héroïque propre à l'exercice (Ross, 2011) et, </w:t>
      </w:r>
      <w:r w:rsidR="004F050C" w:rsidRPr="00D04393">
        <w:t>par-là</w:t>
      </w:r>
      <w:r w:rsidRPr="00D04393">
        <w:t>, participent à la diffusion des perceptions sur le caractère supranational de l'intégration monétaire.</w:t>
      </w:r>
      <w:r w:rsidR="0067552B">
        <w:t xml:space="preserve"> </w:t>
      </w:r>
    </w:p>
    <w:p w:rsidR="007A4FEA" w:rsidRPr="00D04393" w:rsidRDefault="007A4FEA" w:rsidP="007A4FEA">
      <w:r w:rsidRPr="00D04393">
        <w:t>Un candidat au directoire doit donc réunir ces trois caractéristiques dans son parcours biographique dans le but de montrer à la fois une volonté d'émancipation des logiques nationales et son appartenance à une pensée économique orthodoxe. Étant donné qu'il existe</w:t>
      </w:r>
      <w:r w:rsidR="0067552B">
        <w:t xml:space="preserve"> </w:t>
      </w:r>
      <w:r w:rsidRPr="00D04393">
        <w:t xml:space="preserve">plusieurs candidats pouvant réunir ces conditions, le choix par les autorités nationales est aussi effectué selon leur inscription dans certains réseaux politiques. Prenons l'exemple français où le choix des candidats nationaux pour la BCE et la Banque de France se fait par le </w:t>
      </w:r>
      <w:r w:rsidRPr="00D04393">
        <w:lastRenderedPageBreak/>
        <w:t>chef de l'État, sous proposition du ministre de l'</w:t>
      </w:r>
      <w:r w:rsidR="004F050C">
        <w:t>é</w:t>
      </w:r>
      <w:r w:rsidRPr="00D04393">
        <w:t xml:space="preserve">conomie. Deux réseaux politiques structurent la compétition pour les postes économiques prestigieux en France, celui du grand corps de l'Inspection </w:t>
      </w:r>
      <w:r w:rsidR="004F050C">
        <w:t>g</w:t>
      </w:r>
      <w:r w:rsidRPr="00D04393">
        <w:t xml:space="preserve">énérale des </w:t>
      </w:r>
      <w:r w:rsidR="004F050C">
        <w:t>f</w:t>
      </w:r>
      <w:r w:rsidRPr="00D04393">
        <w:t xml:space="preserve">inances (IGF) et celui de l'École </w:t>
      </w:r>
      <w:r w:rsidR="004F050C">
        <w:t>n</w:t>
      </w:r>
      <w:r w:rsidRPr="00D04393">
        <w:t xml:space="preserve">ationale de la </w:t>
      </w:r>
      <w:r w:rsidR="004F050C">
        <w:t>s</w:t>
      </w:r>
      <w:r w:rsidRPr="00D04393">
        <w:t>tatistique et de l'</w:t>
      </w:r>
      <w:r w:rsidR="004F050C">
        <w:t>a</w:t>
      </w:r>
      <w:r w:rsidRPr="00D04393">
        <w:t xml:space="preserve">dministration </w:t>
      </w:r>
      <w:r w:rsidR="004F050C">
        <w:t>é</w:t>
      </w:r>
      <w:r w:rsidRPr="00D04393">
        <w:t xml:space="preserve">conomique (Fourcade, 2010). Avant sa nomination au directoire de la BCE, Benoît </w:t>
      </w:r>
      <w:proofErr w:type="spellStart"/>
      <w:r w:rsidRPr="00D04393">
        <w:t>Cœuré</w:t>
      </w:r>
      <w:proofErr w:type="spellEnd"/>
      <w:r w:rsidRPr="00D04393">
        <w:t xml:space="preserve"> (ENSAE) occupait la place de directeur adjoint du Trésor alors dirigé par Ramon Fernandez qui n'est pas un ancien de l'IGF. Il était en concurrence avec Jean-Pierre Landau, sous-directeur de la Banque de France, ancien de l’École </w:t>
      </w:r>
      <w:r w:rsidR="004F050C">
        <w:t>n</w:t>
      </w:r>
      <w:r w:rsidRPr="00D04393">
        <w:t>ationale d'</w:t>
      </w:r>
      <w:r w:rsidR="004F050C">
        <w:t>a</w:t>
      </w:r>
      <w:r w:rsidRPr="00D04393">
        <w:t xml:space="preserve">dministration </w:t>
      </w:r>
      <w:r w:rsidR="004F050C">
        <w:t xml:space="preserve">(ENA) </w:t>
      </w:r>
      <w:r w:rsidRPr="00D04393">
        <w:t xml:space="preserve">et </w:t>
      </w:r>
      <w:r w:rsidR="00DD3DD6">
        <w:t>inspecteur général des finances</w:t>
      </w:r>
      <w:r w:rsidRPr="00D04393">
        <w:t>. Le réseau des anciens de l'IGF</w:t>
      </w:r>
      <w:r w:rsidRPr="00D04393">
        <w:rPr>
          <w:rStyle w:val="FootnoteReference"/>
        </w:rPr>
        <w:footnoteReference w:id="12"/>
      </w:r>
      <w:r w:rsidRPr="00D04393">
        <w:t xml:space="preserve"> a néanmoins sécurisé la présence de l'un des siens au Conseil des </w:t>
      </w:r>
      <w:r w:rsidR="004F050C">
        <w:t>g</w:t>
      </w:r>
      <w:r w:rsidRPr="00D04393">
        <w:t xml:space="preserve">ouverneurs de la BCE par la nomination de François </w:t>
      </w:r>
      <w:proofErr w:type="spellStart"/>
      <w:r w:rsidRPr="00D04393">
        <w:t>Villeroy</w:t>
      </w:r>
      <w:proofErr w:type="spellEnd"/>
      <w:r w:rsidRPr="00D04393">
        <w:t xml:space="preserve"> de </w:t>
      </w:r>
      <w:proofErr w:type="spellStart"/>
      <w:r w:rsidRPr="00D04393">
        <w:t>Galhau</w:t>
      </w:r>
      <w:proofErr w:type="spellEnd"/>
      <w:r w:rsidRPr="00D04393">
        <w:t xml:space="preserve"> (IGF) pour succéder à Christian Noyer (IGF) à la tête de la Banque de France en septembre 2015, alors que Benoît </w:t>
      </w:r>
      <w:proofErr w:type="spellStart"/>
      <w:r w:rsidRPr="00D04393">
        <w:t>Cœuré</w:t>
      </w:r>
      <w:proofErr w:type="spellEnd"/>
      <w:r w:rsidRPr="00D04393">
        <w:t xml:space="preserve"> semblait favori pour briguer le poste. En effet, si Benoît </w:t>
      </w:r>
      <w:proofErr w:type="spellStart"/>
      <w:r w:rsidRPr="00D04393">
        <w:t>Cœuré</w:t>
      </w:r>
      <w:proofErr w:type="spellEnd"/>
      <w:r w:rsidRPr="00D04393">
        <w:t xml:space="preserve"> avait été nommé à la tête de la Banque de France, sa remplaçante probable au directoire de la BCE aurait été Claire </w:t>
      </w:r>
      <w:proofErr w:type="spellStart"/>
      <w:r w:rsidRPr="00D04393">
        <w:t>Waysand</w:t>
      </w:r>
      <w:proofErr w:type="spellEnd"/>
      <w:r w:rsidRPr="00D04393">
        <w:t xml:space="preserve"> (ENSAE), alors directrice du cabinet du ministère des finances (</w:t>
      </w:r>
      <w:proofErr w:type="spellStart"/>
      <w:r w:rsidRPr="00D04393">
        <w:t>Chanut</w:t>
      </w:r>
      <w:proofErr w:type="spellEnd"/>
      <w:r w:rsidRPr="00D04393">
        <w:t xml:space="preserve"> et Godin, 2015). </w:t>
      </w:r>
    </w:p>
    <w:p w:rsidR="007A4FEA" w:rsidRPr="00D04393" w:rsidRDefault="007A4FEA" w:rsidP="007A4FEA">
      <w:r w:rsidRPr="00D04393">
        <w:t xml:space="preserve">La centralité des luttes d'influence entre les représentants de réseaux politiques concurrents a deux conséquences sur le choix national des candidats au Conseil des </w:t>
      </w:r>
      <w:r w:rsidR="004F050C">
        <w:t>g</w:t>
      </w:r>
      <w:r w:rsidRPr="00D04393">
        <w:t xml:space="preserve">ouverneurs de la BCE. D'abord, les candidats ne sont pas sélectionnés en fonction de leur proximité partisane : Benoît </w:t>
      </w:r>
      <w:proofErr w:type="spellStart"/>
      <w:r w:rsidRPr="00D04393">
        <w:t>Cœuré</w:t>
      </w:r>
      <w:proofErr w:type="spellEnd"/>
      <w:r w:rsidRPr="00D04393">
        <w:t xml:space="preserve"> proche du mouvement </w:t>
      </w:r>
      <w:proofErr w:type="spellStart"/>
      <w:r w:rsidRPr="00D04393">
        <w:t>strauss</w:t>
      </w:r>
      <w:proofErr w:type="spellEnd"/>
      <w:r w:rsidRPr="00D04393">
        <w:t>-</w:t>
      </w:r>
      <w:proofErr w:type="spellStart"/>
      <w:r w:rsidRPr="00D04393">
        <w:t>kahnien</w:t>
      </w:r>
      <w:proofErr w:type="spellEnd"/>
      <w:r w:rsidRPr="00D04393">
        <w:t xml:space="preserve"> a été nommé par Nicolas Sarkozy et, dans le cas allemand, Jörg </w:t>
      </w:r>
      <w:proofErr w:type="spellStart"/>
      <w:r w:rsidRPr="00D04393">
        <w:t>Asmussen</w:t>
      </w:r>
      <w:proofErr w:type="spellEnd"/>
      <w:r w:rsidRPr="00D04393">
        <w:t xml:space="preserve"> a été nommé par le gouvernement</w:t>
      </w:r>
      <w:r w:rsidR="0067552B">
        <w:t xml:space="preserve"> </w:t>
      </w:r>
      <w:r w:rsidRPr="00D04393">
        <w:t xml:space="preserve">d'Angela </w:t>
      </w:r>
      <w:proofErr w:type="spellStart"/>
      <w:r w:rsidRPr="00D04393">
        <w:t>Merkel</w:t>
      </w:r>
      <w:proofErr w:type="spellEnd"/>
      <w:r w:rsidRPr="00D04393">
        <w:t xml:space="preserve"> en 2012 malgré son appartenance au SPD depuis 1987. Ensuite, le choix de François </w:t>
      </w:r>
      <w:proofErr w:type="spellStart"/>
      <w:r w:rsidRPr="00D04393">
        <w:t>Villeroy</w:t>
      </w:r>
      <w:proofErr w:type="spellEnd"/>
      <w:r w:rsidRPr="00D04393">
        <w:t xml:space="preserve"> de </w:t>
      </w:r>
      <w:proofErr w:type="spellStart"/>
      <w:r w:rsidRPr="00D04393">
        <w:t>Galhau</w:t>
      </w:r>
      <w:proofErr w:type="spellEnd"/>
      <w:r w:rsidRPr="00D04393">
        <w:t xml:space="preserve"> comme gouverneur de la Banque de France montre que son inscription dans le réseau des anciens de l'IGF a relégué au second plan le risque de conflits d’intérêts induit par son passage de plus de dix ans au sein du groupe BNP-Paribas (il n'a démissionné que six mois avant d'être nommé). </w:t>
      </w:r>
    </w:p>
    <w:p w:rsidR="007A4FEA" w:rsidRPr="00D04393" w:rsidRDefault="007A4FEA" w:rsidP="007A4FEA">
      <w:r w:rsidRPr="00D04393">
        <w:t xml:space="preserve">Au final, les parcours biographiques valorisés pour une nomination au directoire de la BCE sont fortement liées aux dynamiques du jeu à double niveau. D'une part, le profil des candidats doit être ancré dans une conception orthodoxe dominante de l'économie et, d'autre part, les autorités nationales conservent une marge de manœuvre politique qui permet, dans le </w:t>
      </w:r>
      <w:r w:rsidRPr="00D04393">
        <w:lastRenderedPageBreak/>
        <w:t xml:space="preserve">cas français, de récompenser l'inscription des candidats dans certains réseaux politiques nationaux plutôt que d'autres. Une fois le candidat choisi au niveau national, les dynamiques des négociations intergouvernementales au niveau européen vont expliquer la composition finale du directoire. </w:t>
      </w:r>
    </w:p>
    <w:p w:rsidR="007A4FEA" w:rsidRPr="00D04393" w:rsidRDefault="007A4FEA" w:rsidP="004F050C">
      <w:pPr>
        <w:pStyle w:val="Heading1"/>
      </w:pPr>
      <w:r w:rsidRPr="00D04393">
        <w:t>LES NÉGOCIATIONS INTERGOUVERNEMENTALES AU CŒUR DE LA COMPOSITION DU DIRECTOIRE</w:t>
      </w:r>
    </w:p>
    <w:p w:rsidR="007A4FEA" w:rsidRPr="00D04393" w:rsidRDefault="007A4FEA" w:rsidP="007A4FEA">
      <w:r w:rsidRPr="00D04393">
        <w:t>À l'instar des commissaires européens, la composition du directoire de la BCE est soumise à une logique intergouvernementale (</w:t>
      </w:r>
      <w:proofErr w:type="spellStart"/>
      <w:r w:rsidRPr="00D04393">
        <w:t>Howart</w:t>
      </w:r>
      <w:proofErr w:type="spellEnd"/>
      <w:r w:rsidRPr="00D04393">
        <w:t xml:space="preserve"> et </w:t>
      </w:r>
      <w:proofErr w:type="spellStart"/>
      <w:r w:rsidRPr="00D04393">
        <w:t>Loedel</w:t>
      </w:r>
      <w:proofErr w:type="spellEnd"/>
      <w:r w:rsidRPr="00D04393">
        <w:t xml:space="preserve">, 2005). Selon </w:t>
      </w:r>
      <w:proofErr w:type="spellStart"/>
      <w:r w:rsidRPr="00D04393">
        <w:t>Moravcsik</w:t>
      </w:r>
      <w:proofErr w:type="spellEnd"/>
      <w:r w:rsidRPr="00D04393">
        <w:t xml:space="preserve"> (1998), cette logique se caractérise par une négociation constante entre les États soucieux de préserver leurs intérêts, qui favorise les plus puissants d'entre eux. Par conséquent, la stratégie des candidats au directoire consiste à reproduire les rôles valorisés au sein de la BCE afin de minimiser les critiques potentielles sur leur profil pendant leur nomination, ce qui éclipse les autres facteurs qui auraient pu avoir un rôle à jouer dans le choix d'un candidat. </w:t>
      </w:r>
    </w:p>
    <w:p w:rsidR="007A4FEA" w:rsidRPr="00D04393" w:rsidRDefault="007A4FEA" w:rsidP="007A4FEA">
      <w:r w:rsidRPr="00D04393">
        <w:t xml:space="preserve">D'abord, l'équilibre entre les nationalités a déterminé l’identité des deux premiers présidents de la BCE, la candidature de Wim Duisenberg (1998-2003) étant soutenue par l’Allemagne tandis que la France soutenait celle de Jean-Claude Trichet (2003-2011). De même, le soutien du gouvernement allemand à la candidature de Mario </w:t>
      </w:r>
      <w:proofErr w:type="spellStart"/>
      <w:r w:rsidRPr="00D04393">
        <w:t>Draghi</w:t>
      </w:r>
      <w:proofErr w:type="spellEnd"/>
      <w:r w:rsidRPr="00D04393">
        <w:t>, en échange d’un accord sur des règles de gouvernance économique de la zone euro plus strictes, a été une étape indispensable à sa nomination en 2011. Le moment symbolique de cet épisode a été le soutien du journal populaire</w:t>
      </w:r>
      <w:r w:rsidRPr="00D04393">
        <w:rPr>
          <w:i/>
          <w:iCs/>
        </w:rPr>
        <w:t xml:space="preserve"> </w:t>
      </w:r>
      <w:proofErr w:type="spellStart"/>
      <w:r w:rsidRPr="00D04393">
        <w:rPr>
          <w:i/>
          <w:iCs/>
        </w:rPr>
        <w:t>Bild</w:t>
      </w:r>
      <w:proofErr w:type="spellEnd"/>
      <w:r w:rsidRPr="00D04393">
        <w:rPr>
          <w:i/>
          <w:iCs/>
        </w:rPr>
        <w:t xml:space="preserve"> Zeitung </w:t>
      </w:r>
      <w:r w:rsidRPr="00D04393">
        <w:t xml:space="preserve">qui titrait le 29 avril 2011 que M. </w:t>
      </w:r>
      <w:proofErr w:type="spellStart"/>
      <w:r w:rsidRPr="00D04393">
        <w:t>Draghi</w:t>
      </w:r>
      <w:proofErr w:type="spellEnd"/>
      <w:r w:rsidRPr="00D04393">
        <w:t xml:space="preserve"> était le plus allemand des candidats restants en le représentant caricaturé avec un casque à pointe. </w:t>
      </w:r>
      <w:commentRangeStart w:id="1"/>
      <w:r w:rsidRPr="00D04393">
        <w:t>Dans le cas de la nomination des autres membres du directoire</w:t>
      </w:r>
      <w:r w:rsidR="00975E92">
        <w:t xml:space="preserve">, </w:t>
      </w:r>
      <w:r w:rsidRPr="00D04393">
        <w:t>les ministres des finances</w:t>
      </w:r>
      <w:r w:rsidR="001E7401">
        <w:t xml:space="preserve"> réunis au sein </w:t>
      </w:r>
      <w:r w:rsidR="00267D6E">
        <w:t xml:space="preserve">du Conseil </w:t>
      </w:r>
      <w:proofErr w:type="spellStart"/>
      <w:r w:rsidR="00267D6E">
        <w:t>Ecofin</w:t>
      </w:r>
      <w:proofErr w:type="spellEnd"/>
      <w:r w:rsidRPr="00D04393">
        <w:t xml:space="preserve"> </w:t>
      </w:r>
      <w:r w:rsidR="00595536">
        <w:t>recommanden</w:t>
      </w:r>
      <w:r w:rsidRPr="00D04393">
        <w:t xml:space="preserve">t </w:t>
      </w:r>
      <w:r w:rsidR="001E7401">
        <w:t xml:space="preserve">un </w:t>
      </w:r>
      <w:r w:rsidR="00267D6E">
        <w:t xml:space="preserve">ou plusieurs </w:t>
      </w:r>
      <w:r w:rsidR="00595536">
        <w:t>candidat</w:t>
      </w:r>
      <w:r w:rsidR="00267D6E">
        <w:t>s</w:t>
      </w:r>
      <w:r w:rsidRPr="00D04393">
        <w:t xml:space="preserve"> aux chefs d'États</w:t>
      </w:r>
      <w:r w:rsidR="00DB4B77">
        <w:t xml:space="preserve"> et de gouvernement</w:t>
      </w:r>
      <w:r w:rsidR="001E7401">
        <w:t xml:space="preserve"> réunis au sein du Conseil Européen</w:t>
      </w:r>
      <w:r w:rsidR="001E7401">
        <w:rPr>
          <w:rStyle w:val="FootnoteReference"/>
        </w:rPr>
        <w:footnoteReference w:id="13"/>
      </w:r>
      <w:r w:rsidRPr="00D04393">
        <w:t xml:space="preserve">, qui font leur choix final après les avis </w:t>
      </w:r>
      <w:r w:rsidRPr="00D04393">
        <w:lastRenderedPageBreak/>
        <w:t xml:space="preserve">du Parlement </w:t>
      </w:r>
      <w:r>
        <w:t>européen</w:t>
      </w:r>
      <w:r w:rsidRPr="00D04393">
        <w:t xml:space="preserve"> et de la BCE.</w:t>
      </w:r>
      <w:commentRangeEnd w:id="1"/>
      <w:r w:rsidR="0067552B">
        <w:rPr>
          <w:rStyle w:val="CommentReference"/>
        </w:rPr>
        <w:commentReference w:id="1"/>
      </w:r>
      <w:r w:rsidRPr="00D04393">
        <w:t xml:space="preserve"> Notons que si les avis de ces deux institutions ne sont que consultatifs, ceux de la BCE semblent peser davantage que celles du Parlement. Ainsi, le Parlement </w:t>
      </w:r>
      <w:r>
        <w:t>européen</w:t>
      </w:r>
      <w:r w:rsidRPr="00D04393">
        <w:t xml:space="preserve"> avait émis un avis défavorable sur la nomination d'Yves Mersch du fait de l'absence de femmes au sein du directoire. Après quelques mois de délai, les chefs d'États n'ont pas pris en compte l’opposition du Parlement et ont procédé à sa nomination, avec l'appui de la BCE. </w:t>
      </w:r>
    </w:p>
    <w:p w:rsidR="007A4FEA" w:rsidRPr="00D04393" w:rsidRDefault="007A4FEA" w:rsidP="007A4FEA">
      <w:r w:rsidRPr="00D04393">
        <w:t xml:space="preserve">En effet, le choix entre les candidats de différents pays est principalement déterminé par la taille des pays qu'ils </w:t>
      </w:r>
      <w:r w:rsidRPr="00D04393">
        <w:t xml:space="preserve">représentent et la situation économique de ceux-ci. Ainsi, les pays les plus peuplés de la zone euro (l’Allemagne, </w:t>
      </w:r>
      <w:r w:rsidR="00DD3DD6" w:rsidRPr="00D04393">
        <w:t xml:space="preserve">la France, </w:t>
      </w:r>
      <w:r w:rsidR="0067552B" w:rsidRPr="00D04393">
        <w:t>l'</w:t>
      </w:r>
      <w:r w:rsidR="00DD3DD6">
        <w:t xml:space="preserve">Italie et </w:t>
      </w:r>
      <w:r w:rsidR="00DD3DD6" w:rsidRPr="00D04393">
        <w:t>l'</w:t>
      </w:r>
      <w:r w:rsidR="00DD3DD6">
        <w:t>Espagne</w:t>
      </w:r>
      <w:r w:rsidRPr="00D04393">
        <w:t xml:space="preserve">) ont toujours su imposer un de leurs représentants au sein du directoire, même si ce n'est plus vrai pour l'Espagne depuis mi-2012. Par exemple, après la succession de Jean-Claude Trichet </w:t>
      </w:r>
      <w:r w:rsidRPr="00D04393">
        <w:t xml:space="preserve">par Mario </w:t>
      </w:r>
      <w:proofErr w:type="spellStart"/>
      <w:r w:rsidRPr="00D04393">
        <w:t>Draghi</w:t>
      </w:r>
      <w:proofErr w:type="spellEnd"/>
      <w:r w:rsidRPr="00D04393">
        <w:t>, le gouvernement français a exercé des pressions sur Lorenzo Bini-</w:t>
      </w:r>
      <w:proofErr w:type="spellStart"/>
      <w:r w:rsidRPr="00D04393">
        <w:t>Smaghi</w:t>
      </w:r>
      <w:proofErr w:type="spellEnd"/>
      <w:r w:rsidRPr="00D04393">
        <w:t xml:space="preserve">, un membre italien du directoire, qui ont mené à sa démission en 2011 et à son remplacement par Benoît </w:t>
      </w:r>
      <w:proofErr w:type="spellStart"/>
      <w:r w:rsidRPr="00D04393">
        <w:t>Cœuré</w:t>
      </w:r>
      <w:proofErr w:type="spellEnd"/>
      <w:r w:rsidRPr="00D04393">
        <w:t xml:space="preserve">. Par ailleurs, l'absence d'un représentant espagnol reflète le rapport de force des États créditeurs sur les débiteurs pendant la crise (Dyson, 2014). En effet, depuis 2010 et à l'exception du Portugais </w:t>
      </w:r>
      <w:proofErr w:type="spellStart"/>
      <w:r w:rsidRPr="00D04393">
        <w:t>Vitor</w:t>
      </w:r>
      <w:proofErr w:type="spellEnd"/>
      <w:r w:rsidRPr="00D04393">
        <w:t xml:space="preserve"> </w:t>
      </w:r>
      <w:proofErr w:type="spellStart"/>
      <w:r w:rsidRPr="00D04393">
        <w:t>Constâncio</w:t>
      </w:r>
      <w:proofErr w:type="spellEnd"/>
      <w:r w:rsidRPr="00D04393">
        <w:t xml:space="preserve">, une prime est accordée aux candidats des États jugés vertueux </w:t>
      </w:r>
      <w:commentRangeStart w:id="2"/>
      <w:commentRangeStart w:id="3"/>
      <w:r w:rsidRPr="00D04393">
        <w:t>économiquement</w:t>
      </w:r>
      <w:commentRangeEnd w:id="2"/>
      <w:r w:rsidR="00DB4B77">
        <w:rPr>
          <w:rStyle w:val="CommentReference"/>
        </w:rPr>
        <w:commentReference w:id="2"/>
      </w:r>
      <w:commentRangeEnd w:id="3"/>
      <w:r w:rsidR="004C3D52">
        <w:rPr>
          <w:rStyle w:val="CommentReference"/>
        </w:rPr>
        <w:commentReference w:id="3"/>
      </w:r>
      <w:r w:rsidRPr="00D04393">
        <w:t xml:space="preserve">, comme le montre la nomination controversée du luxembourgeois Yves Mersch en 2012. </w:t>
      </w:r>
    </w:p>
    <w:p w:rsidR="007A4FEA" w:rsidRPr="00D04393" w:rsidRDefault="007A4FEA" w:rsidP="007A4FEA">
      <w:r w:rsidRPr="00D04393">
        <w:t>Ensuite, la logique intergouvernementale des négociations a un</w:t>
      </w:r>
      <w:r w:rsidR="004F050C">
        <w:t>e incidence</w:t>
      </w:r>
      <w:r w:rsidRPr="00D04393">
        <w:t xml:space="preserve"> sur le contenu des auditions devant la commission des affaires économiques et monétaires du Parlement </w:t>
      </w:r>
      <w:r>
        <w:t>européen</w:t>
      </w:r>
      <w:r w:rsidRPr="00D04393">
        <w:t xml:space="preserve">. De manière préalable à celles-ci, les candidats doivent répondre par écrit à une série de 45 questions qui ont pour but d'exposer leur parcours personnel et leurs opinions sur des sujets aussi bien monétaires qu’économiques. Cependant, les candidats contournent cet exercice en offrant un exercice de communication fondé sur des techniques de copié-collé du discours usuel de la BCE, à l'image des auditions de son Président au </w:t>
      </w:r>
      <w:r w:rsidRPr="00D04393">
        <w:lastRenderedPageBreak/>
        <w:t xml:space="preserve">Parlement </w:t>
      </w:r>
      <w:r>
        <w:t>européen</w:t>
      </w:r>
      <w:r w:rsidRPr="00D04393">
        <w:t xml:space="preserve"> (</w:t>
      </w:r>
      <w:proofErr w:type="spellStart"/>
      <w:r w:rsidRPr="00D04393">
        <w:t>Jabko</w:t>
      </w:r>
      <w:proofErr w:type="spellEnd"/>
      <w:r w:rsidRPr="00D04393">
        <w:t xml:space="preserve"> 2001). Les rares déviations à ce discours ont pour but de neutraliser les critiques axées sur la nationalité et le parcours biographique du candidat ou d'offrir une perspective légèrement différente sur un sujet qui n'est pas au cœur du domaine monétaire. Par exemple, Benoît </w:t>
      </w:r>
      <w:proofErr w:type="spellStart"/>
      <w:r w:rsidRPr="00D04393">
        <w:t>Cœuré</w:t>
      </w:r>
      <w:proofErr w:type="spellEnd"/>
      <w:r w:rsidRPr="00D04393">
        <w:t xml:space="preserve"> a été questionné sur la politique budgétaire française, jugée trop laxiste, et sur ses critiques passées à propos du Pacte de </w:t>
      </w:r>
      <w:r w:rsidR="004F050C">
        <w:t>s</w:t>
      </w:r>
      <w:r w:rsidRPr="00D04393">
        <w:t xml:space="preserve">tabilité et de </w:t>
      </w:r>
      <w:r w:rsidR="004F050C">
        <w:t>c</w:t>
      </w:r>
      <w:r w:rsidRPr="00D04393">
        <w:t xml:space="preserve">roissance. Pour y répondre, le candidat a repris des éléments de discours de la BCE sur la politique économique française </w:t>
      </w:r>
      <w:r w:rsidRPr="00D04393">
        <w:t xml:space="preserve">(la taxation doit être plus favorable à la croissance) et a justifié ses critiques passées sur le Pacte de </w:t>
      </w:r>
      <w:r w:rsidR="004F050C">
        <w:t>s</w:t>
      </w:r>
      <w:r w:rsidRPr="00D04393">
        <w:t xml:space="preserve">tabilité par les réformes de la gouvernance économique européenne </w:t>
      </w:r>
      <w:r w:rsidR="00195931">
        <w:t xml:space="preserve">induites </w:t>
      </w:r>
      <w:r w:rsidRPr="00D04393">
        <w:t xml:space="preserve">par la crise. De plus, l'indépendance de Jörg </w:t>
      </w:r>
      <w:proofErr w:type="spellStart"/>
      <w:r w:rsidRPr="00D04393">
        <w:t>Asmussen</w:t>
      </w:r>
      <w:proofErr w:type="spellEnd"/>
      <w:r w:rsidRPr="00D04393">
        <w:t xml:space="preserve"> a été mise en question du fait de son appartenance au ministère des finances allemand avant sa nomination. En guise de défense, l'auditionné a invoqué l'exemple de banquiers centraux allemands et conservateurs (Hans Tietmeyer et Jürgen Stark) dont l'indépendance </w:t>
      </w:r>
      <w:r w:rsidRPr="00D04393">
        <w:t xml:space="preserve">n'est pas remise en cause dans les cercles européens et qui ont eu une trajectoire similaire à la sienne. Jörg </w:t>
      </w:r>
      <w:proofErr w:type="spellStart"/>
      <w:r w:rsidRPr="00D04393">
        <w:t>Asmussen</w:t>
      </w:r>
      <w:proofErr w:type="spellEnd"/>
      <w:r w:rsidRPr="00D04393">
        <w:t xml:space="preserve"> ne se distingue du discours officiel de la BCE et des autres membres du directoire que sur son opinion favorable à une mise en œuvre de la taxe sur les transactions financières, un sujet sur lequel la BCE n'a pas de compétences. Plusieurs hypothèses peuvent être proposées pour expliquer la focalisation des auditions parlementaires sur la dimension nationale de l’indépendance des candidats au directoire. D'abord, les parlementaires peuvent s'assurer que les dysfonctionnements institutionnels de la zone euro liées aux positions nationales divergentes ne soient pas reproduits au sein du directoire de la BCE. Ensuite, les parlementaires</w:t>
      </w:r>
      <w:r w:rsidR="0067552B">
        <w:t xml:space="preserve"> </w:t>
      </w:r>
      <w:r w:rsidRPr="00D04393">
        <w:t xml:space="preserve">peuvent percevoir les enjeux monétaires comme trop complexes et techniques et, </w:t>
      </w:r>
      <w:r w:rsidR="004F050C" w:rsidRPr="00D04393">
        <w:t>par-là</w:t>
      </w:r>
      <w:r w:rsidRPr="00D04393">
        <w:t>, éprouver des difficultés à établir une position politique sur ceux-ci (</w:t>
      </w:r>
      <w:proofErr w:type="spellStart"/>
      <w:r w:rsidRPr="004F050C">
        <w:t>Marcussen</w:t>
      </w:r>
      <w:proofErr w:type="spellEnd"/>
      <w:r w:rsidRPr="004F050C">
        <w:t>, 2009</w:t>
      </w:r>
      <w:r w:rsidRPr="00D04393">
        <w:t xml:space="preserve">). Enfin, les divisions idéologiques existant sur les questions monétaires au sein des groupes politiques du Parlement peuvent aussi neutraliser le débat politique </w:t>
      </w:r>
      <w:r w:rsidRPr="004F050C">
        <w:t>(</w:t>
      </w:r>
      <w:proofErr w:type="spellStart"/>
      <w:r w:rsidRPr="004F050C">
        <w:t>Jabko</w:t>
      </w:r>
      <w:proofErr w:type="spellEnd"/>
      <w:r w:rsidRPr="004F050C">
        <w:t xml:space="preserve">, 2001) </w:t>
      </w:r>
      <w:r w:rsidRPr="00D04393">
        <w:t xml:space="preserve">et le réorienter sur les traits nationaux des candidats. </w:t>
      </w:r>
    </w:p>
    <w:p w:rsidR="007A4FEA" w:rsidRPr="00D04393" w:rsidRDefault="007A4FEA" w:rsidP="007A4FEA">
      <w:r w:rsidRPr="00D04393">
        <w:t xml:space="preserve">Cette focalisation a comme conséquence de reléguer au second plan les débats sur l’indépendance des candidats par rapport aux institutions financières privées. Ainsi, au cours de sa carrière, Mario </w:t>
      </w:r>
      <w:proofErr w:type="spellStart"/>
      <w:r w:rsidRPr="00D04393">
        <w:t>Draghi</w:t>
      </w:r>
      <w:proofErr w:type="spellEnd"/>
      <w:r w:rsidRPr="00D04393">
        <w:t xml:space="preserve"> a participé à des opérations, légales mais controversées, qui ont contribué au déclenchement de la crise européenne : la restructuration de la dette italienne grâce à des produits financiers dérivés pour respecter les critères de convergence pour la zone euro quand il était directeur du Trésor et celle de la dette publique grecque lors de son passage à la banque d'affaires </w:t>
      </w:r>
      <w:r w:rsidRPr="00D04393">
        <w:rPr>
          <w:i/>
          <w:iCs/>
        </w:rPr>
        <w:t>Goldman Sachs</w:t>
      </w:r>
      <w:r w:rsidRPr="00D04393">
        <w:t xml:space="preserve">. Ce dernier point a été abordé lors de son audition mais </w:t>
      </w:r>
      <w:r w:rsidRPr="00D04393">
        <w:lastRenderedPageBreak/>
        <w:t xml:space="preserve">Mario </w:t>
      </w:r>
      <w:proofErr w:type="spellStart"/>
      <w:r w:rsidRPr="00D04393">
        <w:t>Draghi</w:t>
      </w:r>
      <w:proofErr w:type="spellEnd"/>
      <w:r w:rsidRPr="00D04393">
        <w:t xml:space="preserve"> a clôt le débat en répondant qu'il n'était pas au courant de l'opération et qu'il ne traitait pas des clients souverains, néanmoins des points d'interrogations subsistent quant à la consistance de ses réponses (</w:t>
      </w:r>
      <w:proofErr w:type="spellStart"/>
      <w:r w:rsidRPr="00D04393">
        <w:t>Landon</w:t>
      </w:r>
      <w:proofErr w:type="spellEnd"/>
      <w:r w:rsidRPr="00D04393">
        <w:t xml:space="preserve"> et Ewing, 2011). De manière similaire, Jörg </w:t>
      </w:r>
      <w:proofErr w:type="spellStart"/>
      <w:r w:rsidRPr="00D04393">
        <w:t>Asmussen</w:t>
      </w:r>
      <w:proofErr w:type="spellEnd"/>
      <w:r w:rsidRPr="00D04393">
        <w:t xml:space="preserve"> a été un des personnages clés ayant accepté le développement du système bancaire parallèle en Allemagne pendant ses années passées au ministère où il était notamment superviseur de la </w:t>
      </w:r>
      <w:r w:rsidRPr="00D04393">
        <w:rPr>
          <w:i/>
          <w:iCs/>
        </w:rPr>
        <w:t>B</w:t>
      </w:r>
      <w:r w:rsidR="004F050C" w:rsidRPr="00D04393">
        <w:rPr>
          <w:i/>
          <w:iCs/>
        </w:rPr>
        <w:t>AFIN</w:t>
      </w:r>
      <w:r w:rsidRPr="00D04393">
        <w:t>, l'agence de régulation financière allemande (</w:t>
      </w:r>
      <w:proofErr w:type="spellStart"/>
      <w:r w:rsidRPr="00D04393">
        <w:t>Engelen</w:t>
      </w:r>
      <w:proofErr w:type="spellEnd"/>
      <w:r w:rsidRPr="00D04393">
        <w:t xml:space="preserve">, 2008, 67). Quant à Peter Praet, aucune question sur un potentiel conflit d’intérêt dû à une longue carrière dans le milieu bancaire privé ne lui a été adressée pendant son audition. Alors que les </w:t>
      </w:r>
      <w:r w:rsidR="00DB4B77">
        <w:t>membres</w:t>
      </w:r>
      <w:r w:rsidRPr="00D04393">
        <w:t xml:space="preserve"> de la BCE doivent être indépendants aussi bien envers les États que les institutions financières privés, il existe </w:t>
      </w:r>
      <w:r w:rsidR="00195931">
        <w:t xml:space="preserve">visiblement </w:t>
      </w:r>
      <w:r w:rsidRPr="00D04393">
        <w:t>un biais des parlementaires sur la première dimension de leur indépendance, au détriment de la seconde</w:t>
      </w:r>
    </w:p>
    <w:p w:rsidR="007A4FEA" w:rsidRPr="00D04393" w:rsidRDefault="007A4FEA" w:rsidP="007A4FEA">
      <w:r w:rsidRPr="00D04393">
        <w:t xml:space="preserve">En conclusion, la logique intergouvernementale prévalant dans la composition du directoire neutralise tout débat macroéconomique et renforce paradoxalement les effets institutionnels </w:t>
      </w:r>
      <w:proofErr w:type="spellStart"/>
      <w:r w:rsidRPr="00D04393">
        <w:t>cadrants</w:t>
      </w:r>
      <w:proofErr w:type="spellEnd"/>
      <w:r w:rsidRPr="00D04393">
        <w:t xml:space="preserve"> de la communauté des banquiers centraux tels que l'emphase sur la stabilité des prix et la rigueur fiscale. Par conséquent, certains éléments cruciaux pour le contrôle des États envers les activités de la BCE, tels que la proximité des futurs banquiers centraux avec les milieux financiers, sont marginalisés dans les débats et les négociations. Pourtant, ces enjeux ne sont pas sans lien avec les politiques menées par la BCE depuis 2010.</w:t>
      </w:r>
    </w:p>
    <w:p w:rsidR="007A4FEA" w:rsidRPr="00D04393" w:rsidRDefault="007A4FEA" w:rsidP="004F050C">
      <w:pPr>
        <w:pStyle w:val="Heading1"/>
      </w:pPr>
      <w:r w:rsidRPr="00D04393">
        <w:t>LE JEU À DEUX NIVEAUX ET LES POLITIQUES DE LA BCE DEPUIS 2010</w:t>
      </w:r>
    </w:p>
    <w:p w:rsidR="007A4FEA" w:rsidRPr="00D04393" w:rsidRDefault="007A4FEA" w:rsidP="007A4FEA">
      <w:r w:rsidRPr="00D04393">
        <w:t xml:space="preserve">Depuis mai 2010 et la mise en œuvre de son premier programme de rachat de titres souverains, la BCE a opéré une rupture avec ses politiques monétaires préexistantes inspirées par le modèle de la </w:t>
      </w:r>
      <w:r w:rsidRPr="00D04393">
        <w:rPr>
          <w:i/>
          <w:iCs/>
        </w:rPr>
        <w:t>Bundesbank.</w:t>
      </w:r>
      <w:r w:rsidRPr="00D04393">
        <w:t xml:space="preserve"> Ce changement paradigmatique mène à reconsidérer les modèles théoriques existant sur la nomination des banquiers centraux et le contrôle de leurs activités par les </w:t>
      </w:r>
      <w:r w:rsidR="001E7401">
        <w:t xml:space="preserve">autorités politiques. </w:t>
      </w:r>
      <w:r w:rsidRPr="00D04393">
        <w:t xml:space="preserve"> </w:t>
      </w:r>
    </w:p>
    <w:p w:rsidR="007A4FEA" w:rsidRPr="00D04393" w:rsidRDefault="007A4FEA" w:rsidP="007A4FEA">
      <w:r w:rsidRPr="00D04393">
        <w:t xml:space="preserve">Ainsi, à l'instar des autres banques centrales, les politiques monétaires de la BCE ont changé radicalement de nature depuis le déclenchement de la crise financière de 2007. Ce passage du Rubicon a provoqué la démission des deux membres les plus conservateurs du Conseil des gouverneurs en 2011 : Axel Weber, le président de la </w:t>
      </w:r>
      <w:r w:rsidRPr="00D04393">
        <w:rPr>
          <w:i/>
          <w:iCs/>
        </w:rPr>
        <w:t>Bundesbank</w:t>
      </w:r>
      <w:r w:rsidRPr="00D04393">
        <w:t xml:space="preserve">, alors candidat </w:t>
      </w:r>
      <w:r w:rsidRPr="00D04393">
        <w:lastRenderedPageBreak/>
        <w:t>à la présidence de la BCE et Jürgen Stark, le chef économiste au directoire de la BCE (Fontan, 2014). En effet, alors que les banquiers centraux étaient focalisés sur leur mission de stabilité des prix au moyen de la fixation des taux d’intérêts directeurs, ceux-ci sont devenus les préteurs en dernier ressort des États et des opérateurs financiers grâce à des injections massives de liquidités sur les marchés financiers qui ont causé une expansion notable de leurs balances commerciales</w:t>
      </w:r>
      <w:r w:rsidRPr="00D04393">
        <w:rPr>
          <w:rStyle w:val="FootnoteReference"/>
        </w:rPr>
        <w:footnoteReference w:id="14"/>
      </w:r>
      <w:r w:rsidRPr="00D04393">
        <w:t xml:space="preserve"> (</w:t>
      </w:r>
      <w:proofErr w:type="spellStart"/>
      <w:r w:rsidRPr="00D04393">
        <w:t>Borio</w:t>
      </w:r>
      <w:proofErr w:type="spellEnd"/>
      <w:r w:rsidRPr="00D04393">
        <w:t>, 2011). Ainsi, la BCE a accordé des conditions bien plus avantageuses pour les prêts accordés aux banques commerciales et mis en œuvre des programmes de rachat de dettes souveraines sur les marchés financiers</w:t>
      </w:r>
      <w:r w:rsidR="004F050C">
        <w:t xml:space="preserve"> </w:t>
      </w:r>
      <w:r w:rsidRPr="00D04393">
        <w:t xml:space="preserve">; l'ensemble de ces mesures profitent d'abord </w:t>
      </w:r>
      <w:r w:rsidR="00E117EF">
        <w:t xml:space="preserve">aux institutions financières elles-mêmes </w:t>
      </w:r>
      <w:r w:rsidRPr="00D04393">
        <w:t>(</w:t>
      </w:r>
      <w:proofErr w:type="spellStart"/>
      <w:r w:rsidRPr="00D04393">
        <w:t>Ertürk</w:t>
      </w:r>
      <w:proofErr w:type="spellEnd"/>
      <w:r w:rsidRPr="00D04393">
        <w:t>, 2014). Dans les deux cas, la BCE a atteint ses objectifs : ses interventions ont stabilisé les marchés financiers et ont diminué les tensions sur les dettes souveraines. Ces mesures génèrent néanmoins des « effets inattendus », tels que le renforcement des inégalités économiques, l’apparition de nouvelles bulles spéculatives et le sauvetage d’institutions financières insolvables, dont les coûts pourraient dépasser les bénéfices (White, 2012).</w:t>
      </w:r>
    </w:p>
    <w:p w:rsidR="007A4FEA" w:rsidRPr="00D04393" w:rsidRDefault="007A4FEA" w:rsidP="007A4FEA">
      <w:r w:rsidRPr="00D04393">
        <w:t xml:space="preserve">Ce changement paradigmatique interroge les modèles théoriques sur la nomination des banquiers centraux présentés dans l'introduction de cet article. En temps de crise, comment définir les intérêts </w:t>
      </w:r>
      <w:r w:rsidRPr="00D04393">
        <w:t>des décideurs politiques dans la nomination des banquiers centraux? Comment mesurer leur degré de conservatisme quand les taux d’intérêt restent fixés aux alentours de 0</w:t>
      </w:r>
      <w:r w:rsidR="004F050C">
        <w:t xml:space="preserve"> % </w:t>
      </w:r>
      <w:r w:rsidRPr="00D04393">
        <w:t>?</w:t>
      </w:r>
      <w:r w:rsidR="0067552B">
        <w:t xml:space="preserve"> </w:t>
      </w:r>
      <w:r w:rsidRPr="00D04393">
        <w:t xml:space="preserve">Je propose ici deux hypothèses qui devront être étayées par de futures recherches. </w:t>
      </w:r>
    </w:p>
    <w:p w:rsidR="007A4FEA" w:rsidRPr="00D04393" w:rsidRDefault="007A4FEA" w:rsidP="007A4FEA">
      <w:r w:rsidRPr="00D04393">
        <w:t xml:space="preserve">D'abord, en temps de crise, l'incertitude des décideurs politiques augmente et leur horizon temporel se raccourcit (Allison et </w:t>
      </w:r>
      <w:proofErr w:type="spellStart"/>
      <w:r w:rsidRPr="00D04393">
        <w:t>Zelikow</w:t>
      </w:r>
      <w:proofErr w:type="spellEnd"/>
      <w:r w:rsidRPr="00D04393">
        <w:t xml:space="preserve">, 1999). Par conséquent, les décisions politiques qui offrent des solutions à court </w:t>
      </w:r>
      <w:r w:rsidRPr="00D04393">
        <w:t>terme pour résoudre la crise sont davantage valorisées. Dans le cas de la zone euro, où les dynamiques des crises bancaires et de dettes souveraines sont imbriquées, l’hypothèse est que les décideurs politiques cherchent prioritairement à éviter à la fois une recapitalisation de leur système bancaire (</w:t>
      </w:r>
      <w:proofErr w:type="spellStart"/>
      <w:r w:rsidRPr="00D04393">
        <w:t>Woll</w:t>
      </w:r>
      <w:proofErr w:type="spellEnd"/>
      <w:r w:rsidRPr="00D04393">
        <w:t xml:space="preserve">, 2014) et </w:t>
      </w:r>
      <w:r w:rsidRPr="00D04393">
        <w:lastRenderedPageBreak/>
        <w:t xml:space="preserve">des taux d’intérêt trop élevés pour le refinancement de leur dette. Si cette hypothèse est confirmée, les politiques monétaires non-conventionnelles de la BCE correspondent aux préférences des décideurs. Parmi les éléments qui pourraient confirmer cette hypothèse, soulignons que l'annonce du programme de rachat de titres de la BCE en janvier 2015 a été </w:t>
      </w:r>
      <w:proofErr w:type="gramStart"/>
      <w:r w:rsidRPr="00D04393">
        <w:t>saluée</w:t>
      </w:r>
      <w:proofErr w:type="gramEnd"/>
      <w:r w:rsidRPr="00D04393">
        <w:t xml:space="preserve"> aussi bien par le ministre des finances français (Le </w:t>
      </w:r>
      <w:proofErr w:type="spellStart"/>
      <w:r w:rsidRPr="00D04393">
        <w:t>Guernigou</w:t>
      </w:r>
      <w:proofErr w:type="spellEnd"/>
      <w:r w:rsidRPr="00D04393">
        <w:t>, 2015) que la chancelière allemande (</w:t>
      </w:r>
      <w:proofErr w:type="spellStart"/>
      <w:r w:rsidRPr="00D04393">
        <w:t>Donahue</w:t>
      </w:r>
      <w:proofErr w:type="spellEnd"/>
      <w:r w:rsidRPr="00D04393">
        <w:t>, 2015)</w:t>
      </w:r>
      <w:r w:rsidRPr="00D04393">
        <w:rPr>
          <w:rStyle w:val="FootnoteReference"/>
        </w:rPr>
        <w:footnoteReference w:id="15"/>
      </w:r>
      <w:r w:rsidRPr="00D04393">
        <w:t xml:space="preserve">, alors que ces deux gouvernements n'appartiennent pas à la même famille politique et ont des priorités </w:t>
      </w:r>
      <w:r w:rsidRPr="00D04393">
        <w:t xml:space="preserve">économiques différenciées. De même, lors d'un débat sur la dette souveraine de la zone euro à l'Assemblée </w:t>
      </w:r>
      <w:r w:rsidR="004F050C">
        <w:t>n</w:t>
      </w:r>
      <w:r w:rsidRPr="00D04393">
        <w:t xml:space="preserve">ationale française, les parlementaires appartenant aux groupes politiques </w:t>
      </w:r>
      <w:r w:rsidR="00DD3DD6">
        <w:t>« S</w:t>
      </w:r>
      <w:r w:rsidR="00874B20" w:rsidRPr="00874B20">
        <w:t>ocialiste</w:t>
      </w:r>
      <w:r w:rsidR="00195931">
        <w:t>, écologiste et républicain</w:t>
      </w:r>
      <w:r w:rsidR="00DD3DD6">
        <w:t> » et « Les Républicains »</w:t>
      </w:r>
      <w:r w:rsidRPr="00D04393">
        <w:t> ont souligné l'action décisive de la BCE pour faire baisser les coûts d'emprunt des États</w:t>
      </w:r>
      <w:r w:rsidRPr="00D04393">
        <w:rPr>
          <w:rStyle w:val="FootnoteReference"/>
        </w:rPr>
        <w:footnoteReference w:id="16"/>
      </w:r>
      <w:r w:rsidRPr="00D04393">
        <w:t xml:space="preserve">. À l'inverse, les positions critiques sur les effets inattendus de ses politiques non-conventionnelles proviennent de familles politiques </w:t>
      </w:r>
      <w:r w:rsidRPr="00D04393">
        <w:t>ne participant pas aux coalitions gouvernementales (Front National et Front de Gauche). Par conséquent, les décideurs politiques appartenant aux partis gouvernementaux de centre-gauche ou de centre-droit semblent partager des préférences similaires sur les politiques de la BCE, ce qui correspond à l’homogénéité de leurs positions sur les politiques macro-économiques en général (</w:t>
      </w:r>
      <w:proofErr w:type="spellStart"/>
      <w:r w:rsidRPr="00D04393">
        <w:t>Crouch</w:t>
      </w:r>
      <w:proofErr w:type="spellEnd"/>
      <w:r w:rsidRPr="00D04393">
        <w:t xml:space="preserve">, 2004, De </w:t>
      </w:r>
      <w:proofErr w:type="spellStart"/>
      <w:r w:rsidRPr="00D04393">
        <w:t>Waele</w:t>
      </w:r>
      <w:proofErr w:type="spellEnd"/>
      <w:r w:rsidRPr="00D04393">
        <w:t xml:space="preserve"> </w:t>
      </w:r>
      <w:r w:rsidRPr="00D04393">
        <w:rPr>
          <w:i/>
          <w:iCs/>
        </w:rPr>
        <w:t>et al</w:t>
      </w:r>
      <w:r w:rsidRPr="00D04393">
        <w:t xml:space="preserve">, 2013). Il n'est donc pas surprenant que les candidats au directoire se déclarent tous favorables aux politiques non-conventionnelles mises en œuvre par la BCE depuis la crise dans leur audition au Parlement : ce soutien est davantage un atout pour leur nomination qu'un sujet clivant. </w:t>
      </w:r>
      <w:commentRangeStart w:id="4"/>
      <w:r w:rsidRPr="00D04393">
        <w:t>Ainsi, même Yves Mersch</w:t>
      </w:r>
      <w:r w:rsidR="00E117EF">
        <w:rPr>
          <w:rStyle w:val="FootnoteReference"/>
        </w:rPr>
        <w:footnoteReference w:id="17"/>
      </w:r>
      <w:r w:rsidRPr="00D04393">
        <w:t xml:space="preserve"> et Sabine </w:t>
      </w:r>
      <w:proofErr w:type="spellStart"/>
      <w:r w:rsidRPr="00D04393">
        <w:t>Lautenschläger</w:t>
      </w:r>
      <w:proofErr w:type="spellEnd"/>
      <w:r w:rsidRPr="00D04393">
        <w:t>, qui sont censés représenter</w:t>
      </w:r>
      <w:r w:rsidR="00195931">
        <w:t xml:space="preserve">, </w:t>
      </w:r>
      <w:r w:rsidR="00195931" w:rsidRPr="00D04393">
        <w:t>au sein du directoire</w:t>
      </w:r>
      <w:r w:rsidR="00195931">
        <w:t>,</w:t>
      </w:r>
      <w:r w:rsidRPr="00D04393">
        <w:t xml:space="preserve"> la conception orthodoxe de </w:t>
      </w:r>
      <w:r w:rsidRPr="00D04393">
        <w:lastRenderedPageBreak/>
        <w:t xml:space="preserve">la politique monétaire </w:t>
      </w:r>
      <w:r w:rsidR="00195931">
        <w:t>défendue par</w:t>
      </w:r>
      <w:r w:rsidR="00195931" w:rsidRPr="00D04393">
        <w:t xml:space="preserve"> </w:t>
      </w:r>
      <w:r w:rsidRPr="00D04393">
        <w:t xml:space="preserve">la </w:t>
      </w:r>
      <w:r w:rsidRPr="00D04393">
        <w:rPr>
          <w:i/>
          <w:iCs/>
        </w:rPr>
        <w:t>Bundesbank</w:t>
      </w:r>
      <w:r w:rsidRPr="00D04393">
        <w:t xml:space="preserve">, </w:t>
      </w:r>
      <w:commentRangeEnd w:id="4"/>
      <w:r w:rsidR="00195931">
        <w:rPr>
          <w:rStyle w:val="CommentReference"/>
        </w:rPr>
        <w:commentReference w:id="4"/>
      </w:r>
      <w:r w:rsidRPr="00D04393">
        <w:t xml:space="preserve">reprennent les éléments de communication officiels de la BCE pendant leur audition en indiquant que les mesures non </w:t>
      </w:r>
      <w:proofErr w:type="gramStart"/>
      <w:r w:rsidRPr="00D04393">
        <w:t>conventionnelles</w:t>
      </w:r>
      <w:proofErr w:type="gramEnd"/>
      <w:r w:rsidRPr="00D04393">
        <w:t xml:space="preserve"> sont destinées à rétablir les canaux de transmission monétaire et sont temporaires par nature. Par ailleurs, seule Sabine </w:t>
      </w:r>
      <w:proofErr w:type="spellStart"/>
      <w:r w:rsidRPr="00D04393">
        <w:t>Lautenschläger</w:t>
      </w:r>
      <w:proofErr w:type="spellEnd"/>
      <w:r w:rsidRPr="00D04393">
        <w:t xml:space="preserve"> semble s’être opposée au programme de rachat de titre de janvier 2015 ; les profils sociologiques des autres membres du directoire, qui sont marqués par une plus grande proximité avec les milieux financiers privés et une inscription dans un champ académique « américanisé », favorisent la mise en œuvre de ces mesures innovantes (</w:t>
      </w:r>
      <w:proofErr w:type="spellStart"/>
      <w:r w:rsidRPr="00D04393">
        <w:t>Lebaron</w:t>
      </w:r>
      <w:proofErr w:type="spellEnd"/>
      <w:r w:rsidRPr="00D04393">
        <w:t xml:space="preserve">, 2015). </w:t>
      </w:r>
    </w:p>
    <w:p w:rsidR="007A4FEA" w:rsidRPr="00D04393" w:rsidRDefault="007A4FEA" w:rsidP="007A4FEA">
      <w:r w:rsidRPr="00D04393">
        <w:t xml:space="preserve">Ensuite, il faut repenser les indicateurs de mesure du degré de conservatisme des banquiers centraux à l'aune de leurs nouveaux outils de politique monétaire. L’hypothèse proposée ici est que cette mesure peut être effectuée en fonction des positions des banquiers centraux sur les effets inattendus de leurs politiques monétaires. Plus précisément, il faudrait déterminer dans quelle mesure les banquiers centraux reconnaissent les effets négatifs de ces nouveaux instruments (cf. </w:t>
      </w:r>
      <w:r w:rsidRPr="00D04393">
        <w:rPr>
          <w:i/>
          <w:iCs/>
        </w:rPr>
        <w:t>supra</w:t>
      </w:r>
      <w:r w:rsidRPr="00D04393">
        <w:t>) et identifier les actions qu'ils préconisent pour les mitiger. De ce point de vue, les membres du directoire de la BCE sont bien plus conservateurs que les banquiers centraux anglais car ils n'admettent pas pleinement que leurs mesures monétaires destinées à stabiliser les marchés financiers et de dettes souveraines contribuent à l'augmentation des inégalités économiques et au risque de nouvelles bulles spéculatives (</w:t>
      </w:r>
      <w:proofErr w:type="spellStart"/>
      <w:r w:rsidRPr="00D04393">
        <w:t>Fontan</w:t>
      </w:r>
      <w:proofErr w:type="spellEnd"/>
      <w:r w:rsidRPr="00D04393">
        <w:t xml:space="preserve"> </w:t>
      </w:r>
      <w:r w:rsidRPr="00D04393">
        <w:rPr>
          <w:i/>
          <w:iCs/>
        </w:rPr>
        <w:t>et al</w:t>
      </w:r>
      <w:r w:rsidR="0004113D">
        <w:t>, 2016</w:t>
      </w:r>
      <w:r w:rsidRPr="00D04393">
        <w:t xml:space="preserve">). En effet, pour les membres du directoire de la BCE, ces problèmes relèvent plutôt de la responsabilité des dirigeants étatiques et du manque de mise en œuvre de réformes structurelles destinées à flexibiliser les différents marchés. Par contraste, la </w:t>
      </w:r>
      <w:r w:rsidRPr="00D04393">
        <w:rPr>
          <w:i/>
          <w:iCs/>
        </w:rPr>
        <w:t xml:space="preserve">Bank of </w:t>
      </w:r>
      <w:proofErr w:type="spellStart"/>
      <w:r w:rsidRPr="00D04393">
        <w:rPr>
          <w:i/>
          <w:iCs/>
        </w:rPr>
        <w:t>England</w:t>
      </w:r>
      <w:proofErr w:type="spellEnd"/>
      <w:r w:rsidRPr="00D04393">
        <w:t xml:space="preserve"> a été la première à dévoiler que ses mesures monétaires profitent d'abord aux ménages les plus riches. Ses dirigeants proposent une régulation plus stricte du système bancaire pour les mitiger. Par conséquent, les mesures proposées par le directoire de la BCE pour </w:t>
      </w:r>
      <w:r w:rsidR="009462C6">
        <w:t>minimiser</w:t>
      </w:r>
      <w:r w:rsidRPr="00D04393">
        <w:t xml:space="preserve"> les effets négatifs de leur politique monétaire permettent de les qualifier de banquiers centraux conservateurs, bien qu'ils n'aient jamais été interrogés sur ces questions pendant leurs auditions au Parlement. </w:t>
      </w:r>
    </w:p>
    <w:p w:rsidR="007A4FEA" w:rsidRPr="00D04393" w:rsidRDefault="007A4FEA" w:rsidP="007A4FEA">
      <w:r w:rsidRPr="00D04393">
        <w:t xml:space="preserve">Au final, un lien peut être effectué entre le profil des membres du directoire choisis pendant la crise et les innovations monétaires entreprises par la BCE depuis 2010. En effet, leurs parcours scolaires et professionnels sont inscrits dans un référentiel néo-classique, où l'arbitrage du marché est une étape indispensable pour toute politique macro-économique, et ils encouragent des mesures favorables aux opérateurs financiers. Ces mesures n'ont pas été </w:t>
      </w:r>
      <w:r w:rsidRPr="00D04393">
        <w:lastRenderedPageBreak/>
        <w:t xml:space="preserve">développées à l'ombre des décideurs politiques qui ont renouvelé la totalité des membres du directoire entre 2010 et 2015 en s'assurant que les candidats ne s'opposeraient pas aux politiques monétaires non-conventionnelles, sans se pencher pour autant sur leurs « effets inattendus ». </w:t>
      </w:r>
    </w:p>
    <w:p w:rsidR="007A4FEA" w:rsidRDefault="004F050C" w:rsidP="004F050C">
      <w:pPr>
        <w:pStyle w:val="Conclusion-"/>
      </w:pPr>
      <w:r>
        <w:t>*</w:t>
      </w:r>
    </w:p>
    <w:p w:rsidR="004F050C" w:rsidRPr="00D04393" w:rsidRDefault="004F050C" w:rsidP="004F050C">
      <w:pPr>
        <w:pStyle w:val="Conclusion-"/>
        <w:rPr>
          <w:sz w:val="24"/>
          <w:szCs w:val="24"/>
        </w:rPr>
      </w:pPr>
      <w:r>
        <w:t>*</w:t>
      </w:r>
      <w:r w:rsidR="0067552B">
        <w:t xml:space="preserve">  </w:t>
      </w:r>
      <w:r w:rsidR="00DD3DD6">
        <w:t xml:space="preserve">         </w:t>
      </w:r>
      <w:r w:rsidR="0067552B">
        <w:t xml:space="preserve">   </w:t>
      </w:r>
      <w:r>
        <w:t>*</w:t>
      </w:r>
    </w:p>
    <w:p w:rsidR="007A4FEA" w:rsidRPr="00D04393" w:rsidRDefault="007A4FEA" w:rsidP="007A4FEA">
      <w:r w:rsidRPr="00D04393">
        <w:t>Malgré le niveau élevé d'indépendance de la BCE, les dirigeants nationaux ont un</w:t>
      </w:r>
      <w:r w:rsidR="00195931">
        <w:t xml:space="preserve">e possibilité d’influencer </w:t>
      </w:r>
      <w:r w:rsidRPr="00D04393">
        <w:t xml:space="preserve">sur ses politiques </w:t>
      </w:r>
      <w:r w:rsidR="00DD3DD6">
        <w:t>via</w:t>
      </w:r>
      <w:r w:rsidR="00DD3DD6" w:rsidRPr="00D04393">
        <w:t xml:space="preserve"> </w:t>
      </w:r>
      <w:r w:rsidRPr="00D04393">
        <w:t xml:space="preserve">la nomination des membres du directoire. Ces nominations sont fortement structurées par les logiques du jeu à double niveau : les autorités nationales proposent un candidat de leur choix dont le profil doit correspondre aux standards d’orthodoxie économique dominants au sein des institutions européennes. Ensuite, le choix entre les différents candidats s'effectue au Conseil </w:t>
      </w:r>
      <w:r>
        <w:t>européen</w:t>
      </w:r>
      <w:r w:rsidRPr="00D04393">
        <w:t xml:space="preserve"> selon une logique intergouvernementale qui favorise les États les plus puissants d'un point de vue économique. Les auditions au Parlement </w:t>
      </w:r>
      <w:r>
        <w:t>européen</w:t>
      </w:r>
      <w:r w:rsidRPr="00D04393">
        <w:t xml:space="preserve"> montrent que ce marchandage est un facteur décisif dans la composition du directoire. Enfin, la crise a radicalement changé à la fois</w:t>
      </w:r>
      <w:r w:rsidR="0067552B">
        <w:t xml:space="preserve"> </w:t>
      </w:r>
      <w:r w:rsidRPr="00D04393">
        <w:t xml:space="preserve">les instruments de politique monétaire et les intérêts des dirigeants européens envers le rôle de la BCE. Pourtant, la prédominance des logiques intergouvernementales éclipse les nouveaux </w:t>
      </w:r>
      <w:r w:rsidRPr="00D04393">
        <w:t xml:space="preserve">enjeux démocratiques et macro-économiques qu'impliquent ces changements dans la nomination des membres du directoire. </w:t>
      </w:r>
    </w:p>
    <w:p w:rsidR="007A4FEA" w:rsidRPr="00D04393" w:rsidRDefault="007A4FEA" w:rsidP="007A4FEA">
      <w:r w:rsidRPr="00D04393">
        <w:t xml:space="preserve">Les </w:t>
      </w:r>
      <w:r w:rsidRPr="00D04393">
        <w:t>procédures de nomination pourraient être davantage adaptées aux nouveaux enjeux de politique monétaire de deux manières. D'abord, les</w:t>
      </w:r>
      <w:r w:rsidR="0067552B">
        <w:t xml:space="preserve"> </w:t>
      </w:r>
      <w:r w:rsidRPr="00D04393">
        <w:t xml:space="preserve">critères </w:t>
      </w:r>
      <w:r w:rsidR="00195931">
        <w:t>fixés par l</w:t>
      </w:r>
      <w:r w:rsidR="00195931" w:rsidRPr="00D04393">
        <w:t xml:space="preserve">es </w:t>
      </w:r>
      <w:r w:rsidRPr="00D04393">
        <w:t xml:space="preserve">traités européens </w:t>
      </w:r>
      <w:r w:rsidR="00195931">
        <w:t xml:space="preserve">concernant </w:t>
      </w:r>
      <w:r w:rsidRPr="00D04393">
        <w:t xml:space="preserve">« la reconnaissance de leur autorité et de leur expérience professionnelle dans le domaine monétaire ou bancaire » pourraient être interprétés différemment dans la nomination des banquiers centraux. En effet, à l'heure où les politiques monétaires de la BCE ont de plus en plus de conséquences distributives </w:t>
      </w:r>
      <w:r w:rsidRPr="00D04393">
        <w:t xml:space="preserve">et lui permettent aussi d'exercer une influence plus forte sur davantage de politiques publiques (Fontan, 2013), une plus grande hétérogénéité professionnelle de son directoire pourrait favoriser l'adaptation de </w:t>
      </w:r>
      <w:r w:rsidRPr="00D04393">
        <w:lastRenderedPageBreak/>
        <w:t>la BCE aux nouveaux enjeux qu'elle rencontre</w:t>
      </w:r>
      <w:r w:rsidRPr="00D04393">
        <w:rPr>
          <w:rStyle w:val="FootnoteReference"/>
        </w:rPr>
        <w:footnoteReference w:id="18"/>
      </w:r>
      <w:r w:rsidR="004F050C">
        <w:t>.</w:t>
      </w:r>
      <w:r w:rsidRPr="00D04393">
        <w:t xml:space="preserve"> Ensuite, le positionnement des banquiers centraux sur la question des « effets inattendus » devrait être central à la fois dans les choix nationaux des candidats, mais aussi dans leur désignation au Conseil </w:t>
      </w:r>
      <w:r>
        <w:t>européen</w:t>
      </w:r>
      <w:r w:rsidRPr="00D04393">
        <w:t xml:space="preserve"> et dans leur auditions au Parlement, afin de permettre une meilleure lisibilité du degré de conservatisme du directoire de la BCE, et, </w:t>
      </w:r>
      <w:r w:rsidR="004F050C" w:rsidRPr="00D04393">
        <w:t>par-là</w:t>
      </w:r>
      <w:r w:rsidRPr="00D04393">
        <w:t>, favoriser une plus grande diversité de croyances économiques en son sein, à l'image des autres banques centrales</w:t>
      </w:r>
      <w:r w:rsidRPr="00D04393">
        <w:rPr>
          <w:rStyle w:val="FootnoteReference"/>
        </w:rPr>
        <w:footnoteReference w:id="19"/>
      </w:r>
      <w:r w:rsidRPr="00D04393">
        <w:t xml:space="preserve">. </w:t>
      </w:r>
    </w:p>
    <w:p w:rsidR="007A4FEA" w:rsidRPr="004F050C" w:rsidRDefault="007A4FEA" w:rsidP="007A4FEA">
      <w:pPr>
        <w:rPr>
          <w:b/>
          <w:lang w:val="en-US"/>
        </w:rPr>
      </w:pPr>
      <w:proofErr w:type="spellStart"/>
      <w:r w:rsidRPr="004F050C">
        <w:rPr>
          <w:b/>
          <w:lang w:val="en-US"/>
        </w:rPr>
        <w:t>Références</w:t>
      </w:r>
      <w:proofErr w:type="spellEnd"/>
      <w:r w:rsidRPr="004F050C">
        <w:rPr>
          <w:b/>
          <w:lang w:val="en-US"/>
        </w:rPr>
        <w:t xml:space="preserve"> </w:t>
      </w:r>
      <w:proofErr w:type="spellStart"/>
      <w:r w:rsidRPr="004F050C">
        <w:rPr>
          <w:b/>
          <w:lang w:val="en-US"/>
        </w:rPr>
        <w:t>bibliographiques</w:t>
      </w:r>
      <w:proofErr w:type="spellEnd"/>
    </w:p>
    <w:p w:rsidR="007A4FEA" w:rsidRPr="00D04393" w:rsidRDefault="007A4FEA" w:rsidP="007A4FEA">
      <w:pPr>
        <w:rPr>
          <w:lang w:val="en-US"/>
        </w:rPr>
      </w:pPr>
      <w:r w:rsidRPr="00D04393">
        <w:rPr>
          <w:lang w:val="en-US"/>
        </w:rPr>
        <w:t xml:space="preserve">Adolph, Christopher (2013), </w:t>
      </w:r>
      <w:r w:rsidRPr="00D04393">
        <w:rPr>
          <w:i/>
          <w:lang w:val="en-US"/>
        </w:rPr>
        <w:t>Bankers, Bureaucrats, and Central Bank Politics: The Myth of Neutrality,</w:t>
      </w:r>
      <w:r w:rsidRPr="00D04393">
        <w:rPr>
          <w:lang w:val="en-US"/>
        </w:rPr>
        <w:t xml:space="preserve"> Cambridge, </w:t>
      </w:r>
      <w:proofErr w:type="gramStart"/>
      <w:r w:rsidRPr="00D04393">
        <w:rPr>
          <w:lang w:val="en-US"/>
        </w:rPr>
        <w:t>Cambridge</w:t>
      </w:r>
      <w:proofErr w:type="gramEnd"/>
      <w:r w:rsidRPr="00D04393">
        <w:rPr>
          <w:lang w:val="en-US"/>
        </w:rPr>
        <w:t xml:space="preserve"> University Press.</w:t>
      </w:r>
    </w:p>
    <w:p w:rsidR="007A4FEA" w:rsidRPr="00D04393" w:rsidRDefault="007A4FEA" w:rsidP="007A4FEA">
      <w:pPr>
        <w:rPr>
          <w:lang w:val="en-US"/>
        </w:rPr>
      </w:pPr>
      <w:r w:rsidRPr="00D04393">
        <w:rPr>
          <w:lang w:val="en-US"/>
        </w:rPr>
        <w:t xml:space="preserve">Allison, Graham T. et </w:t>
      </w:r>
      <w:proofErr w:type="spellStart"/>
      <w:r w:rsidRPr="00D04393">
        <w:rPr>
          <w:lang w:val="en-US"/>
        </w:rPr>
        <w:t>Zelikow</w:t>
      </w:r>
      <w:proofErr w:type="spellEnd"/>
      <w:r w:rsidRPr="00D04393">
        <w:rPr>
          <w:lang w:val="en-US"/>
        </w:rPr>
        <w:t xml:space="preserve">, Philip (1999), </w:t>
      </w:r>
      <w:r w:rsidRPr="00D04393">
        <w:rPr>
          <w:i/>
          <w:lang w:val="en-US"/>
        </w:rPr>
        <w:t>Essence of Decision: Explaining the Cuban Missile Crisis,</w:t>
      </w:r>
      <w:r w:rsidRPr="00D04393">
        <w:rPr>
          <w:lang w:val="en-US"/>
        </w:rPr>
        <w:t xml:space="preserve"> 2ème </w:t>
      </w:r>
      <w:proofErr w:type="spellStart"/>
      <w:proofErr w:type="gramStart"/>
      <w:r w:rsidRPr="00D04393">
        <w:rPr>
          <w:lang w:val="en-US"/>
        </w:rPr>
        <w:t>éd</w:t>
      </w:r>
      <w:proofErr w:type="spellEnd"/>
      <w:r w:rsidRPr="00D04393">
        <w:rPr>
          <w:lang w:val="en-US"/>
        </w:rPr>
        <w:t>.,</w:t>
      </w:r>
      <w:proofErr w:type="gramEnd"/>
      <w:r w:rsidRPr="00D04393">
        <w:rPr>
          <w:lang w:val="en-US"/>
        </w:rPr>
        <w:t xml:space="preserve"> Harlow, Longman.</w:t>
      </w:r>
    </w:p>
    <w:p w:rsidR="007A4FEA" w:rsidRPr="00D04393" w:rsidRDefault="007A4FEA" w:rsidP="007A4FEA">
      <w:pPr>
        <w:rPr>
          <w:lang w:val="en-US"/>
        </w:rPr>
      </w:pPr>
      <w:proofErr w:type="spellStart"/>
      <w:r w:rsidRPr="00D04393">
        <w:rPr>
          <w:lang w:val="en-US"/>
        </w:rPr>
        <w:t>Beaud</w:t>
      </w:r>
      <w:proofErr w:type="spellEnd"/>
      <w:r w:rsidRPr="00D04393">
        <w:rPr>
          <w:lang w:val="en-US"/>
        </w:rPr>
        <w:t xml:space="preserve">, Michel </w:t>
      </w:r>
      <w:proofErr w:type="gramStart"/>
      <w:r w:rsidRPr="00D04393">
        <w:rPr>
          <w:lang w:val="en-US"/>
        </w:rPr>
        <w:t>et</w:t>
      </w:r>
      <w:proofErr w:type="gramEnd"/>
      <w:r w:rsidRPr="00D04393">
        <w:rPr>
          <w:lang w:val="en-US"/>
        </w:rPr>
        <w:t xml:space="preserve"> </w:t>
      </w:r>
      <w:proofErr w:type="spellStart"/>
      <w:r w:rsidRPr="00D04393">
        <w:rPr>
          <w:lang w:val="en-US"/>
        </w:rPr>
        <w:t>Dostaler</w:t>
      </w:r>
      <w:proofErr w:type="spellEnd"/>
      <w:r w:rsidRPr="00D04393">
        <w:rPr>
          <w:lang w:val="en-US"/>
        </w:rPr>
        <w:t xml:space="preserve">, Gilles (1997), </w:t>
      </w:r>
      <w:r w:rsidRPr="00D04393">
        <w:rPr>
          <w:i/>
          <w:lang w:val="en-US"/>
        </w:rPr>
        <w:t>Economic Thought since Keynes: A History and Dictionary of Major Economists,</w:t>
      </w:r>
      <w:r w:rsidRPr="00D04393">
        <w:rPr>
          <w:lang w:val="en-US"/>
        </w:rPr>
        <w:t xml:space="preserve"> </w:t>
      </w:r>
      <w:proofErr w:type="spellStart"/>
      <w:r w:rsidRPr="00D04393">
        <w:rPr>
          <w:lang w:val="en-US"/>
        </w:rPr>
        <w:t>Londres</w:t>
      </w:r>
      <w:proofErr w:type="spellEnd"/>
      <w:r w:rsidRPr="00D04393">
        <w:rPr>
          <w:lang w:val="en-US"/>
        </w:rPr>
        <w:t xml:space="preserve">, </w:t>
      </w:r>
      <w:proofErr w:type="spellStart"/>
      <w:r w:rsidRPr="00D04393">
        <w:rPr>
          <w:lang w:val="en-US"/>
        </w:rPr>
        <w:t>Routledge</w:t>
      </w:r>
      <w:proofErr w:type="spellEnd"/>
      <w:r w:rsidRPr="00D04393">
        <w:rPr>
          <w:lang w:val="en-US"/>
        </w:rPr>
        <w:t>.</w:t>
      </w:r>
    </w:p>
    <w:p w:rsidR="007A4FEA" w:rsidRPr="00D04393" w:rsidRDefault="007A4FEA" w:rsidP="007A4FEA">
      <w:pPr>
        <w:rPr>
          <w:lang w:val="en-US"/>
        </w:rPr>
      </w:pPr>
      <w:r w:rsidRPr="00D04393">
        <w:rPr>
          <w:lang w:val="en-US"/>
        </w:rPr>
        <w:t xml:space="preserve">Blyth, Mark (2013), </w:t>
      </w:r>
      <w:r w:rsidRPr="00D04393">
        <w:rPr>
          <w:i/>
          <w:lang w:val="en-US"/>
        </w:rPr>
        <w:t>Austerity: The History of a Dangerous Idea</w:t>
      </w:r>
      <w:r w:rsidRPr="00D04393">
        <w:rPr>
          <w:lang w:val="en-US"/>
        </w:rPr>
        <w:t>, Oxford, Oxford University Press.</w:t>
      </w:r>
    </w:p>
    <w:p w:rsidR="007A4FEA" w:rsidRPr="00D04393" w:rsidRDefault="007A4FEA" w:rsidP="007A4FEA">
      <w:pPr>
        <w:rPr>
          <w:lang w:val="en-US"/>
        </w:rPr>
      </w:pPr>
      <w:proofErr w:type="spellStart"/>
      <w:r w:rsidRPr="00D04393">
        <w:rPr>
          <w:lang w:val="en-US"/>
        </w:rPr>
        <w:t>Bonefeld</w:t>
      </w:r>
      <w:proofErr w:type="spellEnd"/>
      <w:r w:rsidRPr="00D04393">
        <w:rPr>
          <w:lang w:val="en-US"/>
        </w:rPr>
        <w:t xml:space="preserve">, Werner (2012), « Freedom and the strong state: on German </w:t>
      </w:r>
      <w:proofErr w:type="spellStart"/>
      <w:r w:rsidRPr="00D04393">
        <w:rPr>
          <w:lang w:val="en-US"/>
        </w:rPr>
        <w:t>ordoliberalism</w:t>
      </w:r>
      <w:proofErr w:type="spellEnd"/>
      <w:r w:rsidRPr="00D04393">
        <w:rPr>
          <w:lang w:val="en-US"/>
        </w:rPr>
        <w:t xml:space="preserve"> », </w:t>
      </w:r>
      <w:r w:rsidRPr="00D04393">
        <w:rPr>
          <w:i/>
          <w:lang w:val="en-US"/>
        </w:rPr>
        <w:t xml:space="preserve">New Political Economy, </w:t>
      </w:r>
      <w:r w:rsidRPr="00D04393">
        <w:rPr>
          <w:lang w:val="en-US"/>
        </w:rPr>
        <w:t>vol. 17 (5), p.</w:t>
      </w:r>
      <w:r w:rsidR="004F050C">
        <w:rPr>
          <w:lang w:val="en-US"/>
        </w:rPr>
        <w:t> </w:t>
      </w:r>
      <w:r w:rsidRPr="00D04393">
        <w:rPr>
          <w:lang w:val="en-US"/>
        </w:rPr>
        <w:t>633</w:t>
      </w:r>
      <w:r w:rsidRPr="00D04393">
        <w:rPr>
          <w:lang w:val="en-US"/>
        </w:rPr>
        <w:noBreakHyphen/>
        <w:t>56.</w:t>
      </w:r>
    </w:p>
    <w:p w:rsidR="007A4FEA" w:rsidRPr="00D04393" w:rsidRDefault="007A4FEA" w:rsidP="007A4FEA">
      <w:pPr>
        <w:rPr>
          <w:lang w:val="en-US"/>
        </w:rPr>
      </w:pPr>
      <w:proofErr w:type="spellStart"/>
      <w:r w:rsidRPr="00D04393">
        <w:rPr>
          <w:lang w:val="en-US"/>
        </w:rPr>
        <w:t>Borio</w:t>
      </w:r>
      <w:proofErr w:type="spellEnd"/>
      <w:r w:rsidRPr="00D04393">
        <w:rPr>
          <w:lang w:val="en-US"/>
        </w:rPr>
        <w:t xml:space="preserve">, Claudio (2011), « Central banking post-crisis: What compass for unchartered waters? », </w:t>
      </w:r>
      <w:r w:rsidRPr="00D04393">
        <w:rPr>
          <w:i/>
          <w:lang w:val="en-US"/>
        </w:rPr>
        <w:t xml:space="preserve">BIS working paper, </w:t>
      </w:r>
      <w:r w:rsidRPr="00D04393">
        <w:rPr>
          <w:lang w:val="en-US"/>
        </w:rPr>
        <w:t>No. 353</w:t>
      </w:r>
      <w:r w:rsidR="006F47F5">
        <w:rPr>
          <w:lang w:val="en-US"/>
        </w:rPr>
        <w:t>.</w:t>
      </w:r>
    </w:p>
    <w:p w:rsidR="007A4FEA" w:rsidRPr="00D04393" w:rsidRDefault="007A4FEA" w:rsidP="007A4FEA">
      <w:proofErr w:type="spellStart"/>
      <w:r w:rsidRPr="00D04393">
        <w:lastRenderedPageBreak/>
        <w:t>Chanut</w:t>
      </w:r>
      <w:proofErr w:type="spellEnd"/>
      <w:r w:rsidRPr="00D04393">
        <w:t xml:space="preserve">, Jean-Christophe et Godin, Romaric (2015), « L’adjoint de </w:t>
      </w:r>
      <w:proofErr w:type="spellStart"/>
      <w:r w:rsidRPr="00D04393">
        <w:t>Draghi</w:t>
      </w:r>
      <w:proofErr w:type="spellEnd"/>
      <w:r w:rsidRPr="00D04393">
        <w:t xml:space="preserve"> bientôt gouv</w:t>
      </w:r>
      <w:r w:rsidR="006F47F5">
        <w:t>erneur de la Banque de France »,</w:t>
      </w:r>
      <w:r w:rsidRPr="00D04393">
        <w:t xml:space="preserve"> </w:t>
      </w:r>
      <w:r w:rsidRPr="00D04393">
        <w:rPr>
          <w:i/>
        </w:rPr>
        <w:t>La Tribune</w:t>
      </w:r>
      <w:r w:rsidRPr="00D04393">
        <w:t>, 13</w:t>
      </w:r>
      <w:r w:rsidR="0067552B">
        <w:t xml:space="preserve"> </w:t>
      </w:r>
      <w:r w:rsidRPr="00D04393">
        <w:t>mars</w:t>
      </w:r>
      <w:r w:rsidR="006F47F5">
        <w:t>.</w:t>
      </w:r>
    </w:p>
    <w:p w:rsidR="007A4FEA" w:rsidRPr="00294F01" w:rsidRDefault="007A4FEA" w:rsidP="007A4FEA">
      <w:pPr>
        <w:rPr>
          <w:lang w:val="en-US"/>
        </w:rPr>
      </w:pPr>
      <w:proofErr w:type="gramStart"/>
      <w:r w:rsidRPr="00294F01">
        <w:rPr>
          <w:lang w:val="en-US"/>
        </w:rPr>
        <w:t>Crouch, Colin</w:t>
      </w:r>
      <w:r w:rsidR="0067552B">
        <w:rPr>
          <w:lang w:val="en-US"/>
        </w:rPr>
        <w:t xml:space="preserve"> </w:t>
      </w:r>
      <w:r w:rsidRPr="00294F01">
        <w:rPr>
          <w:lang w:val="en-US"/>
        </w:rPr>
        <w:t xml:space="preserve">(2004), </w:t>
      </w:r>
      <w:r w:rsidRPr="00294F01">
        <w:rPr>
          <w:i/>
          <w:lang w:val="en-US"/>
        </w:rPr>
        <w:t>Post-democracy,</w:t>
      </w:r>
      <w:r w:rsidRPr="00294F01">
        <w:rPr>
          <w:lang w:val="en-US"/>
        </w:rPr>
        <w:t xml:space="preserve"> Cambridge, Polity.</w:t>
      </w:r>
      <w:proofErr w:type="gramEnd"/>
      <w:r w:rsidRPr="00294F01">
        <w:rPr>
          <w:lang w:val="en-US"/>
        </w:rPr>
        <w:t xml:space="preserve"> </w:t>
      </w:r>
    </w:p>
    <w:p w:rsidR="007A4FEA" w:rsidRPr="00294F01" w:rsidRDefault="007A4FEA" w:rsidP="007A4FEA">
      <w:pPr>
        <w:rPr>
          <w:lang w:val="en-US"/>
        </w:rPr>
      </w:pPr>
      <w:r w:rsidRPr="00294F01">
        <w:rPr>
          <w:lang w:val="en-US"/>
        </w:rPr>
        <w:t xml:space="preserve">Donahue, Patrick (2015), « Merkel Defends ECB </w:t>
      </w:r>
      <w:proofErr w:type="gramStart"/>
      <w:r w:rsidRPr="00294F01">
        <w:rPr>
          <w:lang w:val="en-US"/>
        </w:rPr>
        <w:t>From German Criticism After</w:t>
      </w:r>
      <w:proofErr w:type="gramEnd"/>
      <w:r w:rsidRPr="00294F01">
        <w:rPr>
          <w:lang w:val="en-US"/>
        </w:rPr>
        <w:t xml:space="preserve"> Deflation Scare », </w:t>
      </w:r>
      <w:r w:rsidRPr="00294F01">
        <w:rPr>
          <w:i/>
          <w:lang w:val="en-US"/>
        </w:rPr>
        <w:t xml:space="preserve">Bloomberg, </w:t>
      </w:r>
      <w:r w:rsidRPr="00294F01">
        <w:rPr>
          <w:lang w:val="en-US"/>
        </w:rPr>
        <w:t xml:space="preserve">12 </w:t>
      </w:r>
      <w:proofErr w:type="spellStart"/>
      <w:r w:rsidRPr="00294F01">
        <w:rPr>
          <w:lang w:val="en-US"/>
        </w:rPr>
        <w:t>juin</w:t>
      </w:r>
      <w:proofErr w:type="spellEnd"/>
      <w:r w:rsidRPr="00294F01">
        <w:rPr>
          <w:lang w:val="en-US"/>
        </w:rPr>
        <w:t xml:space="preserve">, </w:t>
      </w:r>
      <w:proofErr w:type="spellStart"/>
      <w:r w:rsidRPr="00294F01">
        <w:rPr>
          <w:lang w:val="en-US"/>
        </w:rPr>
        <w:t>consulté</w:t>
      </w:r>
      <w:proofErr w:type="spellEnd"/>
      <w:r w:rsidRPr="00294F01">
        <w:rPr>
          <w:lang w:val="en-US"/>
        </w:rPr>
        <w:t xml:space="preserve"> le 28 </w:t>
      </w:r>
      <w:proofErr w:type="spellStart"/>
      <w:r w:rsidRPr="00294F01">
        <w:rPr>
          <w:lang w:val="en-US"/>
        </w:rPr>
        <w:t>octobre</w:t>
      </w:r>
      <w:proofErr w:type="spellEnd"/>
      <w:r w:rsidRPr="00294F01">
        <w:rPr>
          <w:lang w:val="en-US"/>
        </w:rPr>
        <w:t xml:space="preserve"> </w:t>
      </w:r>
      <w:proofErr w:type="spellStart"/>
      <w:r w:rsidRPr="00294F01">
        <w:rPr>
          <w:lang w:val="en-US"/>
        </w:rPr>
        <w:t>sur</w:t>
      </w:r>
      <w:proofErr w:type="spellEnd"/>
      <w:r w:rsidRPr="00294F01">
        <w:rPr>
          <w:lang w:val="en-US"/>
        </w:rPr>
        <w:t xml:space="preserve"> http://www.bloomberg.com/news/articles/2015-06-12/merkel-defends-ecb-from-german-criticism-after-deflation-scare.</w:t>
      </w:r>
    </w:p>
    <w:p w:rsidR="007A4FEA" w:rsidRPr="00D04393" w:rsidRDefault="007A4FEA" w:rsidP="007A4FEA">
      <w:proofErr w:type="spellStart"/>
      <w:r w:rsidRPr="00D04393">
        <w:t>Dezalay</w:t>
      </w:r>
      <w:proofErr w:type="spellEnd"/>
      <w:r w:rsidRPr="00D04393">
        <w:t xml:space="preserve">, Yves et Bryant, Garth (2002), </w:t>
      </w:r>
      <w:r w:rsidRPr="00D04393">
        <w:rPr>
          <w:i/>
          <w:iCs/>
        </w:rPr>
        <w:t xml:space="preserve">La mondialisation des guerres de palais, </w:t>
      </w:r>
      <w:r w:rsidRPr="00D04393">
        <w:t>Paris, Seuil.</w:t>
      </w:r>
    </w:p>
    <w:p w:rsidR="007A4FEA" w:rsidRPr="00D04393" w:rsidRDefault="007A4FEA" w:rsidP="007A4FEA">
      <w:pPr>
        <w:rPr>
          <w:lang w:val="en-US"/>
        </w:rPr>
      </w:pPr>
      <w:r w:rsidRPr="00D04393">
        <w:rPr>
          <w:lang w:val="en-US"/>
        </w:rPr>
        <w:t xml:space="preserve">Dyson, Kenneth (2014), </w:t>
      </w:r>
      <w:r w:rsidRPr="00D04393">
        <w:rPr>
          <w:i/>
          <w:lang w:val="en-US"/>
        </w:rPr>
        <w:t>States, Debt, and Power: « Saints » and « Sinners » in European History and Integration</w:t>
      </w:r>
      <w:r w:rsidR="006F47F5">
        <w:rPr>
          <w:lang w:val="en-US"/>
        </w:rPr>
        <w:t>,</w:t>
      </w:r>
      <w:r w:rsidRPr="00D04393">
        <w:rPr>
          <w:lang w:val="en-US"/>
        </w:rPr>
        <w:t xml:space="preserve"> Oxford, Oxford University Press.</w:t>
      </w:r>
    </w:p>
    <w:p w:rsidR="007A4FEA" w:rsidRPr="00D04393" w:rsidRDefault="007A4FEA" w:rsidP="007A4FEA">
      <w:pPr>
        <w:rPr>
          <w:lang w:val="en-US"/>
        </w:rPr>
      </w:pPr>
      <w:proofErr w:type="spellStart"/>
      <w:r w:rsidRPr="00D04393">
        <w:rPr>
          <w:lang w:val="en-US"/>
        </w:rPr>
        <w:t>Engelen</w:t>
      </w:r>
      <w:proofErr w:type="spellEnd"/>
      <w:r w:rsidRPr="00D04393">
        <w:rPr>
          <w:lang w:val="en-US"/>
        </w:rPr>
        <w:t>, Klaus (2008), « The Post-Subprime Regulation Scramble »</w:t>
      </w:r>
      <w:r w:rsidR="006F47F5">
        <w:rPr>
          <w:lang w:val="en-US"/>
        </w:rPr>
        <w:t>,</w:t>
      </w:r>
      <w:r w:rsidRPr="00D04393">
        <w:rPr>
          <w:lang w:val="en-US"/>
        </w:rPr>
        <w:t xml:space="preserve"> </w:t>
      </w:r>
      <w:proofErr w:type="gramStart"/>
      <w:r w:rsidRPr="00D04393">
        <w:rPr>
          <w:i/>
          <w:lang w:val="en-US"/>
        </w:rPr>
        <w:t>The</w:t>
      </w:r>
      <w:proofErr w:type="gramEnd"/>
      <w:r w:rsidRPr="00D04393">
        <w:rPr>
          <w:i/>
          <w:lang w:val="en-US"/>
        </w:rPr>
        <w:t xml:space="preserve"> International Economy,</w:t>
      </w:r>
      <w:r w:rsidRPr="00D04393">
        <w:rPr>
          <w:lang w:val="en-US"/>
        </w:rPr>
        <w:t xml:space="preserve"> vol. 22 (1), p.</w:t>
      </w:r>
      <w:r w:rsidR="006F47F5">
        <w:rPr>
          <w:lang w:val="en-US"/>
        </w:rPr>
        <w:t> </w:t>
      </w:r>
      <w:r w:rsidRPr="00D04393">
        <w:rPr>
          <w:lang w:val="en-US"/>
        </w:rPr>
        <w:t>62</w:t>
      </w:r>
      <w:r w:rsidRPr="00D04393">
        <w:rPr>
          <w:lang w:val="en-US"/>
        </w:rPr>
        <w:noBreakHyphen/>
        <w:t>69.</w:t>
      </w:r>
    </w:p>
    <w:p w:rsidR="007A4FEA" w:rsidRPr="00D04393" w:rsidRDefault="007A4FEA" w:rsidP="007A4FEA">
      <w:pPr>
        <w:rPr>
          <w:lang w:val="en-US"/>
        </w:rPr>
      </w:pPr>
      <w:proofErr w:type="spellStart"/>
      <w:r w:rsidRPr="00D04393">
        <w:rPr>
          <w:lang w:val="en-US"/>
        </w:rPr>
        <w:t>Ertürk</w:t>
      </w:r>
      <w:proofErr w:type="spellEnd"/>
      <w:r w:rsidRPr="00D04393">
        <w:rPr>
          <w:lang w:val="en-US"/>
        </w:rPr>
        <w:t>, Ismail (2014)</w:t>
      </w:r>
      <w:r w:rsidR="006F47F5">
        <w:rPr>
          <w:lang w:val="en-US"/>
        </w:rPr>
        <w:t>,</w:t>
      </w:r>
      <w:r w:rsidRPr="00D04393">
        <w:rPr>
          <w:lang w:val="en-US"/>
        </w:rPr>
        <w:t xml:space="preserve"> « </w:t>
      </w:r>
      <w:proofErr w:type="spellStart"/>
      <w:r w:rsidRPr="00D04393">
        <w:rPr>
          <w:lang w:val="en-US"/>
        </w:rPr>
        <w:t>Reconceptualizing</w:t>
      </w:r>
      <w:proofErr w:type="spellEnd"/>
      <w:r w:rsidRPr="00D04393">
        <w:rPr>
          <w:lang w:val="en-US"/>
        </w:rPr>
        <w:t xml:space="preserve"> Central Bank Unconventional Policies: Long Positions on No-Growth Capitalism », </w:t>
      </w:r>
      <w:r w:rsidRPr="006F47F5">
        <w:rPr>
          <w:i/>
          <w:lang w:val="en-US"/>
        </w:rPr>
        <w:t>in</w:t>
      </w:r>
      <w:r w:rsidRPr="00D04393">
        <w:rPr>
          <w:lang w:val="en-US"/>
        </w:rPr>
        <w:t xml:space="preserve"> </w:t>
      </w:r>
      <w:proofErr w:type="spellStart"/>
      <w:r w:rsidRPr="00D04393">
        <w:rPr>
          <w:lang w:val="en-US"/>
        </w:rPr>
        <w:t>Goodhart</w:t>
      </w:r>
      <w:proofErr w:type="spellEnd"/>
      <w:r w:rsidRPr="00D04393">
        <w:rPr>
          <w:lang w:val="en-US"/>
        </w:rPr>
        <w:t xml:space="preserve">, Charles (dir.), </w:t>
      </w:r>
      <w:r w:rsidRPr="00D04393">
        <w:rPr>
          <w:i/>
          <w:lang w:val="en-US"/>
        </w:rPr>
        <w:t>Central Banking at a Crossroads: Europe and Beyond</w:t>
      </w:r>
      <w:r w:rsidRPr="00D04393">
        <w:rPr>
          <w:lang w:val="en-US"/>
        </w:rPr>
        <w:t xml:space="preserve">, </w:t>
      </w:r>
      <w:proofErr w:type="spellStart"/>
      <w:r w:rsidRPr="00D04393">
        <w:rPr>
          <w:lang w:val="en-US"/>
        </w:rPr>
        <w:t>Londres</w:t>
      </w:r>
      <w:proofErr w:type="spellEnd"/>
      <w:r w:rsidRPr="00D04393">
        <w:rPr>
          <w:lang w:val="en-US"/>
        </w:rPr>
        <w:t>, Anthem Press, p. 217</w:t>
      </w:r>
      <w:r w:rsidRPr="00D04393">
        <w:rPr>
          <w:lang w:val="en-US"/>
        </w:rPr>
        <w:noBreakHyphen/>
        <w:t>29.</w:t>
      </w:r>
    </w:p>
    <w:p w:rsidR="007A4FEA" w:rsidRPr="00D04393" w:rsidRDefault="007A4FEA" w:rsidP="007A4FEA">
      <w:r w:rsidRPr="00D04393">
        <w:t>Fontan, Clément (2013), « Frankenstein en Europe. L’impact de la Banque centrale européenne sur la gestion de la crise de la zone euro</w:t>
      </w:r>
      <w:r w:rsidR="006F47F5">
        <w:t> </w:t>
      </w:r>
      <w:r w:rsidRPr="00D04393">
        <w:t xml:space="preserve">», </w:t>
      </w:r>
      <w:r w:rsidRPr="00D04393">
        <w:rPr>
          <w:i/>
        </w:rPr>
        <w:t>Politique européenne,</w:t>
      </w:r>
      <w:r w:rsidR="006F47F5">
        <w:t xml:space="preserve"> vol.42 (4), p. </w:t>
      </w:r>
      <w:r w:rsidRPr="00D04393">
        <w:t>22</w:t>
      </w:r>
      <w:r w:rsidRPr="00D04393">
        <w:noBreakHyphen/>
        <w:t>45.</w:t>
      </w:r>
    </w:p>
    <w:p w:rsidR="007A4FEA" w:rsidRPr="00D04393" w:rsidRDefault="006F47F5" w:rsidP="007A4FEA">
      <w:r w:rsidRPr="00D04393">
        <w:t xml:space="preserve">Fontan, Clément </w:t>
      </w:r>
      <w:r w:rsidR="007A4FEA" w:rsidRPr="00D04393">
        <w:t xml:space="preserve">(2014), « L’art du grand écart. La Banque centrale européenne face aux dilemmes provoqués par la crise de la zone euro », </w:t>
      </w:r>
      <w:r w:rsidR="007A4FEA" w:rsidRPr="00D04393">
        <w:rPr>
          <w:i/>
        </w:rPr>
        <w:t>Gouvernement et action publique,</w:t>
      </w:r>
      <w:r w:rsidR="007A4FEA" w:rsidRPr="00D04393">
        <w:t xml:space="preserve"> vol. 2 (2), p. 103</w:t>
      </w:r>
      <w:r w:rsidR="007A4FEA" w:rsidRPr="00D04393">
        <w:noBreakHyphen/>
        <w:t>23.</w:t>
      </w:r>
    </w:p>
    <w:p w:rsidR="007A4FEA" w:rsidRPr="009C0609" w:rsidRDefault="007A4FEA" w:rsidP="009C0609">
      <w:pPr>
        <w:rPr>
          <w:lang w:eastAsia="fr-CA"/>
        </w:rPr>
      </w:pPr>
      <w:proofErr w:type="spellStart"/>
      <w:r w:rsidRPr="009C0609">
        <w:t>Fontan</w:t>
      </w:r>
      <w:proofErr w:type="spellEnd"/>
      <w:r w:rsidRPr="009C0609">
        <w:t>, Clément</w:t>
      </w:r>
      <w:r w:rsidR="006F47F5" w:rsidRPr="009C0609">
        <w:t> ;</w:t>
      </w:r>
      <w:r w:rsidRPr="009C0609">
        <w:t xml:space="preserve"> Claveau, </w:t>
      </w:r>
      <w:r w:rsidR="009C0609" w:rsidRPr="009C0609">
        <w:t xml:space="preserve">François et </w:t>
      </w:r>
      <w:proofErr w:type="spellStart"/>
      <w:r w:rsidR="009C0609" w:rsidRPr="009C0609">
        <w:t>Dietsch</w:t>
      </w:r>
      <w:proofErr w:type="spellEnd"/>
      <w:r w:rsidR="009C0609" w:rsidRPr="009C0609">
        <w:t>, Peter (2016</w:t>
      </w:r>
      <w:r w:rsidRPr="009C0609">
        <w:t xml:space="preserve">), « Central </w:t>
      </w:r>
      <w:proofErr w:type="spellStart"/>
      <w:r w:rsidRPr="009C0609">
        <w:t>Banking</w:t>
      </w:r>
      <w:proofErr w:type="spellEnd"/>
      <w:r w:rsidRPr="009C0609">
        <w:t xml:space="preserve"> and </w:t>
      </w:r>
      <w:proofErr w:type="spellStart"/>
      <w:r w:rsidRPr="009C0609">
        <w:t>Inequalities</w:t>
      </w:r>
      <w:proofErr w:type="spellEnd"/>
      <w:r w:rsidRPr="009C0609">
        <w:t xml:space="preserve">: </w:t>
      </w:r>
      <w:proofErr w:type="spellStart"/>
      <w:r w:rsidRPr="009C0609">
        <w:t>taking</w:t>
      </w:r>
      <w:proofErr w:type="spellEnd"/>
      <w:r w:rsidRPr="009C0609">
        <w:t xml:space="preserve"> off the </w:t>
      </w:r>
      <w:proofErr w:type="spellStart"/>
      <w:r w:rsidRPr="009C0609">
        <w:t>blinders</w:t>
      </w:r>
      <w:proofErr w:type="spellEnd"/>
      <w:r w:rsidRPr="009C0609">
        <w:t> »</w:t>
      </w:r>
      <w:r w:rsidR="006F47F5" w:rsidRPr="009C0609">
        <w:t>,</w:t>
      </w:r>
      <w:r w:rsidR="009C0609" w:rsidRPr="009C0609">
        <w:rPr>
          <w:lang w:eastAsia="fr-CA"/>
        </w:rPr>
        <w:t xml:space="preserve"> </w:t>
      </w:r>
      <w:proofErr w:type="spellStart"/>
      <w:r w:rsidR="009C0609" w:rsidRPr="009C0609">
        <w:rPr>
          <w:i/>
          <w:iCs/>
          <w:lang w:eastAsia="fr-CA"/>
        </w:rPr>
        <w:t>Politics</w:t>
      </w:r>
      <w:proofErr w:type="spellEnd"/>
      <w:r w:rsidR="009C0609" w:rsidRPr="009C0609">
        <w:rPr>
          <w:i/>
          <w:iCs/>
          <w:lang w:eastAsia="fr-CA"/>
        </w:rPr>
        <w:t xml:space="preserve">, </w:t>
      </w:r>
      <w:proofErr w:type="spellStart"/>
      <w:r w:rsidR="009C0609" w:rsidRPr="009C0609">
        <w:rPr>
          <w:i/>
          <w:iCs/>
          <w:lang w:eastAsia="fr-CA"/>
        </w:rPr>
        <w:t>Philosophy</w:t>
      </w:r>
      <w:proofErr w:type="spellEnd"/>
      <w:r w:rsidR="009C0609" w:rsidRPr="009C0609">
        <w:rPr>
          <w:i/>
          <w:iCs/>
          <w:lang w:eastAsia="fr-CA"/>
        </w:rPr>
        <w:t xml:space="preserve"> &amp; </w:t>
      </w:r>
      <w:proofErr w:type="spellStart"/>
      <w:r w:rsidR="009C0609" w:rsidRPr="009C0609">
        <w:rPr>
          <w:i/>
          <w:iCs/>
          <w:lang w:eastAsia="fr-CA"/>
        </w:rPr>
        <w:t>Economics</w:t>
      </w:r>
      <w:proofErr w:type="spellEnd"/>
      <w:r w:rsidR="009C0609" w:rsidRPr="009C0609">
        <w:rPr>
          <w:lang w:eastAsia="fr-CA"/>
        </w:rPr>
        <w:t xml:space="preserve">, </w:t>
      </w:r>
      <w:r w:rsidR="009C0609">
        <w:rPr>
          <w:lang w:eastAsia="fr-CA"/>
        </w:rPr>
        <w:t>p</w:t>
      </w:r>
      <w:r w:rsidR="009C0609" w:rsidRPr="009C0609">
        <w:rPr>
          <w:lang w:eastAsia="fr-CA"/>
        </w:rPr>
        <w:t>ublié en ligne le</w:t>
      </w:r>
      <w:r w:rsidR="009C0609">
        <w:rPr>
          <w:lang w:eastAsia="fr-CA"/>
        </w:rPr>
        <w:t xml:space="preserve"> </w:t>
      </w:r>
      <w:r w:rsidR="009C0609" w:rsidRPr="009C0609">
        <w:rPr>
          <w:lang w:eastAsia="fr-CA"/>
        </w:rPr>
        <w:t xml:space="preserve">7 juin, </w:t>
      </w:r>
      <w:proofErr w:type="spellStart"/>
      <w:r w:rsidR="009C0609" w:rsidRPr="009C0609">
        <w:rPr>
          <w:lang w:eastAsia="fr-CA"/>
        </w:rPr>
        <w:t>doi</w:t>
      </w:r>
      <w:proofErr w:type="spellEnd"/>
      <w:r w:rsidR="009C0609" w:rsidRPr="009C0609">
        <w:rPr>
          <w:lang w:eastAsia="fr-CA"/>
        </w:rPr>
        <w:t xml:space="preserve">: </w:t>
      </w:r>
      <w:r w:rsidR="009C0609">
        <w:rPr>
          <w:rStyle w:val="cit-doi"/>
          <w:i/>
          <w:iCs/>
        </w:rPr>
        <w:t>10.1177/</w:t>
      </w:r>
      <w:proofErr w:type="gramStart"/>
      <w:r w:rsidR="009C0609">
        <w:rPr>
          <w:rStyle w:val="cit-doi"/>
          <w:i/>
          <w:iCs/>
        </w:rPr>
        <w:t>1470594X16651056</w:t>
      </w:r>
      <w:r w:rsidR="009C0609" w:rsidRPr="009C0609">
        <w:rPr>
          <w:lang w:eastAsia="fr-CA"/>
        </w:rPr>
        <w:t xml:space="preserve"> .</w:t>
      </w:r>
      <w:proofErr w:type="gramEnd"/>
    </w:p>
    <w:p w:rsidR="007A4FEA" w:rsidRPr="00D04393" w:rsidRDefault="007A4FEA" w:rsidP="007A4FEA">
      <w:pPr>
        <w:rPr>
          <w:lang w:val="en-US"/>
        </w:rPr>
      </w:pPr>
      <w:proofErr w:type="spellStart"/>
      <w:r w:rsidRPr="00D04393">
        <w:rPr>
          <w:lang w:val="en-US"/>
        </w:rPr>
        <w:t>Fourcade</w:t>
      </w:r>
      <w:proofErr w:type="spellEnd"/>
      <w:r w:rsidRPr="00D04393">
        <w:rPr>
          <w:lang w:val="en-US"/>
        </w:rPr>
        <w:t xml:space="preserve">, Marion (2010), </w:t>
      </w:r>
      <w:r w:rsidRPr="00D04393">
        <w:rPr>
          <w:i/>
          <w:lang w:val="en-US"/>
        </w:rPr>
        <w:t>Economists and Societies: Discipline and Profession in the United</w:t>
      </w:r>
      <w:r w:rsidR="0067552B">
        <w:rPr>
          <w:i/>
          <w:lang w:val="en-US"/>
        </w:rPr>
        <w:t xml:space="preserve"> </w:t>
      </w:r>
      <w:r w:rsidRPr="00D04393">
        <w:rPr>
          <w:i/>
          <w:lang w:val="en-US"/>
        </w:rPr>
        <w:t>States, Britain, and France, 1890s to 1990s, Princeton, Princeton University Press.</w:t>
      </w:r>
    </w:p>
    <w:p w:rsidR="007A4FEA" w:rsidRPr="00D04393" w:rsidRDefault="007A4FEA" w:rsidP="007A4FEA">
      <w:proofErr w:type="spellStart"/>
      <w:r w:rsidRPr="00D04393">
        <w:lastRenderedPageBreak/>
        <w:t>Georgakakis</w:t>
      </w:r>
      <w:proofErr w:type="spellEnd"/>
      <w:r w:rsidR="006F47F5">
        <w:t>,</w:t>
      </w:r>
      <w:r w:rsidRPr="00D04393">
        <w:t xml:space="preserve"> Didier, </w:t>
      </w:r>
      <w:proofErr w:type="spellStart"/>
      <w:r w:rsidRPr="00D04393">
        <w:t>dir</w:t>
      </w:r>
      <w:proofErr w:type="spellEnd"/>
      <w:r w:rsidRPr="00D04393">
        <w:t xml:space="preserve">. (2012), </w:t>
      </w:r>
      <w:r w:rsidRPr="00D04393">
        <w:rPr>
          <w:i/>
        </w:rPr>
        <w:t>Le champ de l’</w:t>
      </w:r>
      <w:proofErr w:type="spellStart"/>
      <w:r w:rsidRPr="00D04393">
        <w:rPr>
          <w:i/>
        </w:rPr>
        <w:t>Eurocratie</w:t>
      </w:r>
      <w:proofErr w:type="spellEnd"/>
      <w:r w:rsidRPr="00D04393">
        <w:rPr>
          <w:i/>
        </w:rPr>
        <w:t> : une sociologie politique du personnel de l’UE,</w:t>
      </w:r>
      <w:r w:rsidRPr="00D04393">
        <w:t xml:space="preserve"> Paris, </w:t>
      </w:r>
      <w:proofErr w:type="spellStart"/>
      <w:r w:rsidR="006F47F5">
        <w:t>É</w:t>
      </w:r>
      <w:r w:rsidRPr="00D04393">
        <w:t>conomica</w:t>
      </w:r>
      <w:proofErr w:type="spellEnd"/>
      <w:r w:rsidRPr="00D04393">
        <w:t>.</w:t>
      </w:r>
    </w:p>
    <w:p w:rsidR="007A4FEA" w:rsidRPr="00D04393" w:rsidRDefault="007A4FEA" w:rsidP="007A4FEA">
      <w:pPr>
        <w:rPr>
          <w:lang w:val="en-US"/>
        </w:rPr>
      </w:pPr>
      <w:proofErr w:type="spellStart"/>
      <w:r w:rsidRPr="006F47F5">
        <w:rPr>
          <w:lang w:val="en-US"/>
        </w:rPr>
        <w:t>Hix</w:t>
      </w:r>
      <w:proofErr w:type="spellEnd"/>
      <w:r w:rsidRPr="006F47F5">
        <w:rPr>
          <w:lang w:val="en-US"/>
        </w:rPr>
        <w:t xml:space="preserve">, </w:t>
      </w:r>
      <w:proofErr w:type="gramStart"/>
      <w:r w:rsidRPr="006F47F5">
        <w:rPr>
          <w:lang w:val="en-US"/>
        </w:rPr>
        <w:t>Simon</w:t>
      </w:r>
      <w:r w:rsidR="006F47F5" w:rsidRPr="006F47F5">
        <w:rPr>
          <w:lang w:val="en-US"/>
        </w:rPr>
        <w:t> ;</w:t>
      </w:r>
      <w:proofErr w:type="gramEnd"/>
      <w:r w:rsidRPr="006F47F5">
        <w:rPr>
          <w:lang w:val="en-US"/>
        </w:rPr>
        <w:t xml:space="preserve"> </w:t>
      </w:r>
      <w:proofErr w:type="spellStart"/>
      <w:r w:rsidRPr="006F47F5">
        <w:rPr>
          <w:lang w:val="en-US"/>
        </w:rPr>
        <w:t>Bjørn</w:t>
      </w:r>
      <w:proofErr w:type="spellEnd"/>
      <w:r w:rsidR="006F47F5" w:rsidRPr="006F47F5">
        <w:rPr>
          <w:lang w:val="en-US"/>
        </w:rPr>
        <w:t>,</w:t>
      </w:r>
      <w:r w:rsidRPr="006F47F5">
        <w:rPr>
          <w:lang w:val="en-US"/>
        </w:rPr>
        <w:t xml:space="preserve"> </w:t>
      </w:r>
      <w:proofErr w:type="spellStart"/>
      <w:r w:rsidRPr="006F47F5">
        <w:rPr>
          <w:lang w:val="en-US"/>
        </w:rPr>
        <w:t>Høyland</w:t>
      </w:r>
      <w:proofErr w:type="spellEnd"/>
      <w:r w:rsidRPr="006F47F5">
        <w:rPr>
          <w:lang w:val="en-US"/>
        </w:rPr>
        <w:t xml:space="preserve"> et Nick</w:t>
      </w:r>
      <w:r w:rsidR="006F47F5" w:rsidRPr="006F47F5">
        <w:rPr>
          <w:lang w:val="en-US"/>
        </w:rPr>
        <w:t xml:space="preserve">, </w:t>
      </w:r>
      <w:proofErr w:type="spellStart"/>
      <w:r w:rsidR="006F47F5" w:rsidRPr="006F47F5">
        <w:rPr>
          <w:lang w:val="en-US"/>
        </w:rPr>
        <w:t>Vivyan</w:t>
      </w:r>
      <w:proofErr w:type="spellEnd"/>
      <w:r w:rsidR="006F47F5" w:rsidRPr="006F47F5">
        <w:rPr>
          <w:lang w:val="en-US"/>
        </w:rPr>
        <w:t xml:space="preserve"> (2010),</w:t>
      </w:r>
      <w:r w:rsidRPr="006F47F5">
        <w:rPr>
          <w:lang w:val="en-US"/>
        </w:rPr>
        <w:t xml:space="preserve"> </w:t>
      </w:r>
      <w:r w:rsidRPr="00D04393">
        <w:rPr>
          <w:lang w:val="en-US"/>
        </w:rPr>
        <w:t>« From doves to hawks: A spatial analysis of voting in the Monetary Policy Com</w:t>
      </w:r>
      <w:r w:rsidR="006F47F5">
        <w:rPr>
          <w:lang w:val="en-US"/>
        </w:rPr>
        <w:t>mittee of the Bank of England »,</w:t>
      </w:r>
      <w:r w:rsidRPr="00D04393">
        <w:rPr>
          <w:lang w:val="en-US"/>
        </w:rPr>
        <w:t xml:space="preserve"> </w:t>
      </w:r>
      <w:r w:rsidRPr="00D04393">
        <w:rPr>
          <w:i/>
          <w:lang w:val="en-US"/>
        </w:rPr>
        <w:t xml:space="preserve">European Journal of Political Research, </w:t>
      </w:r>
      <w:r w:rsidRPr="00D04393">
        <w:rPr>
          <w:lang w:val="en-US"/>
        </w:rPr>
        <w:t>vol. 49 (6), p. 731</w:t>
      </w:r>
      <w:r w:rsidRPr="00D04393">
        <w:rPr>
          <w:lang w:val="en-US"/>
        </w:rPr>
        <w:noBreakHyphen/>
        <w:t>58.</w:t>
      </w:r>
    </w:p>
    <w:p w:rsidR="007A4FEA" w:rsidRPr="006F47F5" w:rsidRDefault="007A4FEA" w:rsidP="007A4FEA">
      <w:pPr>
        <w:rPr>
          <w:lang w:val="en-US"/>
        </w:rPr>
      </w:pPr>
      <w:proofErr w:type="spellStart"/>
      <w:r w:rsidRPr="00D04393">
        <w:rPr>
          <w:lang w:val="en-US"/>
        </w:rPr>
        <w:t>Howarth</w:t>
      </w:r>
      <w:proofErr w:type="spellEnd"/>
      <w:r w:rsidRPr="00D04393">
        <w:rPr>
          <w:lang w:val="en-US"/>
        </w:rPr>
        <w:t xml:space="preserve">, David et </w:t>
      </w:r>
      <w:proofErr w:type="spellStart"/>
      <w:r w:rsidRPr="00D04393">
        <w:rPr>
          <w:lang w:val="en-US"/>
        </w:rPr>
        <w:t>Loedel</w:t>
      </w:r>
      <w:proofErr w:type="spellEnd"/>
      <w:r w:rsidRPr="00D04393">
        <w:rPr>
          <w:lang w:val="en-US"/>
        </w:rPr>
        <w:t xml:space="preserve">, Peter (2005), </w:t>
      </w:r>
      <w:r w:rsidRPr="00D04393">
        <w:rPr>
          <w:i/>
          <w:lang w:val="en-US"/>
        </w:rPr>
        <w:t>The European Central Bank: The New European Leviathan</w:t>
      </w:r>
      <w:proofErr w:type="gramStart"/>
      <w:r w:rsidRPr="00D04393">
        <w:rPr>
          <w:i/>
          <w:lang w:val="en-US"/>
        </w:rPr>
        <w:t>?</w:t>
      </w:r>
      <w:r w:rsidR="006F47F5">
        <w:rPr>
          <w:lang w:val="en-US"/>
        </w:rPr>
        <w:t>,</w:t>
      </w:r>
      <w:proofErr w:type="gramEnd"/>
      <w:r w:rsidRPr="00D04393">
        <w:rPr>
          <w:lang w:val="en-US"/>
        </w:rPr>
        <w:t xml:space="preserve"> </w:t>
      </w:r>
      <w:r w:rsidRPr="006F47F5">
        <w:rPr>
          <w:lang w:val="en-US"/>
        </w:rPr>
        <w:t xml:space="preserve">2ème </w:t>
      </w:r>
      <w:proofErr w:type="spellStart"/>
      <w:r w:rsidRPr="006F47F5">
        <w:rPr>
          <w:lang w:val="en-US"/>
        </w:rPr>
        <w:t>éd</w:t>
      </w:r>
      <w:proofErr w:type="spellEnd"/>
      <w:r w:rsidRPr="006F47F5">
        <w:rPr>
          <w:lang w:val="en-US"/>
        </w:rPr>
        <w:t>., Basingstoke, Palgrave Macmillan.</w:t>
      </w:r>
    </w:p>
    <w:p w:rsidR="007A4FEA" w:rsidRPr="006F47F5" w:rsidRDefault="007A4FEA" w:rsidP="007A4FEA">
      <w:proofErr w:type="spellStart"/>
      <w:r w:rsidRPr="00D04393">
        <w:t>Jabko</w:t>
      </w:r>
      <w:proofErr w:type="spellEnd"/>
      <w:r w:rsidRPr="00D04393">
        <w:t>, Nicolas (2001),</w:t>
      </w:r>
      <w:r w:rsidR="0067552B">
        <w:t xml:space="preserve"> </w:t>
      </w:r>
      <w:r w:rsidRPr="00D04393">
        <w:t>« Expertise et politique à l’âge de l’euro : la Banque centrale européenne su</w:t>
      </w:r>
      <w:r w:rsidR="006F47F5">
        <w:t>r le terrain de la démocratie »,</w:t>
      </w:r>
      <w:r w:rsidRPr="00D04393">
        <w:t xml:space="preserve"> </w:t>
      </w:r>
      <w:r w:rsidRPr="006F47F5">
        <w:rPr>
          <w:i/>
        </w:rPr>
        <w:t>Revue française de science politique,</w:t>
      </w:r>
      <w:r w:rsidRPr="006F47F5">
        <w:t xml:space="preserve"> vol. 51 (6), p. 903</w:t>
      </w:r>
      <w:r w:rsidRPr="006F47F5">
        <w:noBreakHyphen/>
        <w:t xml:space="preserve">31. </w:t>
      </w:r>
    </w:p>
    <w:p w:rsidR="007A4FEA" w:rsidRPr="00D04393" w:rsidRDefault="007A4FEA" w:rsidP="007A4FEA">
      <w:pPr>
        <w:rPr>
          <w:lang w:val="en-US"/>
        </w:rPr>
      </w:pPr>
      <w:r w:rsidRPr="00D04393">
        <w:rPr>
          <w:lang w:val="en-US"/>
        </w:rPr>
        <w:t xml:space="preserve">Landon, Thomas </w:t>
      </w:r>
      <w:proofErr w:type="gramStart"/>
      <w:r w:rsidRPr="00D04393">
        <w:rPr>
          <w:lang w:val="en-US"/>
        </w:rPr>
        <w:t>et</w:t>
      </w:r>
      <w:proofErr w:type="gramEnd"/>
      <w:r w:rsidRPr="00D04393">
        <w:rPr>
          <w:lang w:val="en-US"/>
        </w:rPr>
        <w:t xml:space="preserve"> Ewing, Jack (2011), « Mario Draghi, Into the Eye of Europe’s Financial Storm », </w:t>
      </w:r>
      <w:r w:rsidRPr="00D04393">
        <w:rPr>
          <w:i/>
          <w:lang w:val="en-US"/>
        </w:rPr>
        <w:t>The New York Times</w:t>
      </w:r>
      <w:r w:rsidRPr="00D04393">
        <w:rPr>
          <w:lang w:val="en-US"/>
        </w:rPr>
        <w:t xml:space="preserve">, 29 </w:t>
      </w:r>
      <w:proofErr w:type="spellStart"/>
      <w:r w:rsidRPr="00D04393">
        <w:rPr>
          <w:lang w:val="en-US"/>
        </w:rPr>
        <w:t>octobre</w:t>
      </w:r>
      <w:proofErr w:type="spellEnd"/>
      <w:r w:rsidRPr="00D04393">
        <w:rPr>
          <w:lang w:val="en-US"/>
        </w:rPr>
        <w:t xml:space="preserve">. </w:t>
      </w:r>
    </w:p>
    <w:p w:rsidR="007A4FEA" w:rsidRPr="00D04393" w:rsidRDefault="007A4FEA" w:rsidP="007A4FEA">
      <w:pPr>
        <w:rPr>
          <w:lang w:val="en-US"/>
        </w:rPr>
      </w:pPr>
      <w:proofErr w:type="spellStart"/>
      <w:r w:rsidRPr="00D04393">
        <w:rPr>
          <w:lang w:val="en-US"/>
        </w:rPr>
        <w:t>Lebaron</w:t>
      </w:r>
      <w:proofErr w:type="spellEnd"/>
      <w:r w:rsidRPr="00D04393">
        <w:rPr>
          <w:lang w:val="en-US"/>
        </w:rPr>
        <w:t xml:space="preserve">, </w:t>
      </w:r>
      <w:proofErr w:type="spellStart"/>
      <w:r w:rsidRPr="00D04393">
        <w:rPr>
          <w:lang w:val="en-US"/>
        </w:rPr>
        <w:t>Frédéric</w:t>
      </w:r>
      <w:proofErr w:type="spellEnd"/>
      <w:r w:rsidRPr="00D04393">
        <w:rPr>
          <w:lang w:val="en-US"/>
        </w:rPr>
        <w:t xml:space="preserve"> (2012), « A Universal Paradigm of Central Banker? »</w:t>
      </w:r>
      <w:r w:rsidR="006F47F5">
        <w:rPr>
          <w:lang w:val="en-US"/>
        </w:rPr>
        <w:t>,</w:t>
      </w:r>
      <w:r w:rsidRPr="00D04393">
        <w:rPr>
          <w:lang w:val="en-US"/>
        </w:rPr>
        <w:t xml:space="preserve"> </w:t>
      </w:r>
      <w:r w:rsidRPr="00D04393">
        <w:rPr>
          <w:i/>
          <w:lang w:val="en-US"/>
        </w:rPr>
        <w:t>Social Glance,</w:t>
      </w:r>
      <w:r w:rsidRPr="00D04393">
        <w:rPr>
          <w:lang w:val="en-US"/>
        </w:rPr>
        <w:t xml:space="preserve"> </w:t>
      </w:r>
      <w:r w:rsidR="006F47F5">
        <w:rPr>
          <w:lang w:val="en-US"/>
        </w:rPr>
        <w:t>v</w:t>
      </w:r>
      <w:r w:rsidRPr="00D04393">
        <w:rPr>
          <w:lang w:val="en-US"/>
        </w:rPr>
        <w:t>ol.1 (1) p. 40</w:t>
      </w:r>
      <w:r w:rsidRPr="00D04393">
        <w:rPr>
          <w:lang w:val="en-US"/>
        </w:rPr>
        <w:noBreakHyphen/>
        <w:t>59.</w:t>
      </w:r>
    </w:p>
    <w:p w:rsidR="007A4FEA" w:rsidRPr="00D04393" w:rsidRDefault="006F47F5" w:rsidP="007A4FEA">
      <w:pPr>
        <w:rPr>
          <w:lang w:val="en-US"/>
        </w:rPr>
      </w:pPr>
      <w:proofErr w:type="spellStart"/>
      <w:r w:rsidRPr="00D04393">
        <w:rPr>
          <w:lang w:val="en-US"/>
        </w:rPr>
        <w:t>Lebaron</w:t>
      </w:r>
      <w:proofErr w:type="spellEnd"/>
      <w:r w:rsidRPr="00D04393">
        <w:rPr>
          <w:lang w:val="en-US"/>
        </w:rPr>
        <w:t xml:space="preserve">, </w:t>
      </w:r>
      <w:proofErr w:type="spellStart"/>
      <w:r w:rsidRPr="00D04393">
        <w:rPr>
          <w:lang w:val="en-US"/>
        </w:rPr>
        <w:t>Frédéric</w:t>
      </w:r>
      <w:proofErr w:type="spellEnd"/>
      <w:r w:rsidRPr="00D04393">
        <w:rPr>
          <w:lang w:val="en-US"/>
        </w:rPr>
        <w:t xml:space="preserve"> </w:t>
      </w:r>
      <w:r w:rsidR="007A4FEA" w:rsidRPr="00D04393">
        <w:rPr>
          <w:lang w:val="en-US"/>
        </w:rPr>
        <w:t>(2015), « The social and institutional foun</w:t>
      </w:r>
      <w:r>
        <w:rPr>
          <w:lang w:val="en-US"/>
        </w:rPr>
        <w:t>dations of monetary innovation.</w:t>
      </w:r>
      <w:r w:rsidR="007A4FEA" w:rsidRPr="00D04393">
        <w:rPr>
          <w:lang w:val="en-US"/>
        </w:rPr>
        <w:t xml:space="preserve"> An inquiry in the global elite group of central bankers. </w:t>
      </w:r>
      <w:proofErr w:type="gramStart"/>
      <w:r w:rsidR="007A4FEA" w:rsidRPr="00D04393">
        <w:rPr>
          <w:lang w:val="en-US"/>
        </w:rPr>
        <w:t xml:space="preserve">», </w:t>
      </w:r>
      <w:r w:rsidR="007A4FEA" w:rsidRPr="00D04393">
        <w:rPr>
          <w:i/>
          <w:lang w:val="en-US"/>
        </w:rPr>
        <w:t>ECPR General conference Montreal</w:t>
      </w:r>
      <w:r w:rsidR="007A4FEA" w:rsidRPr="00D04393">
        <w:rPr>
          <w:lang w:val="en-US"/>
        </w:rPr>
        <w:t>.</w:t>
      </w:r>
      <w:proofErr w:type="gramEnd"/>
    </w:p>
    <w:p w:rsidR="007A4FEA" w:rsidRPr="00D04393" w:rsidRDefault="007A4FEA" w:rsidP="007A4FEA">
      <w:r w:rsidRPr="00D04393">
        <w:t xml:space="preserve">Le </w:t>
      </w:r>
      <w:proofErr w:type="spellStart"/>
      <w:r w:rsidRPr="00D04393">
        <w:t>Guernigou</w:t>
      </w:r>
      <w:proofErr w:type="spellEnd"/>
      <w:r w:rsidRPr="00D04393">
        <w:t>, Yann (2015), « </w:t>
      </w:r>
      <w:proofErr w:type="spellStart"/>
      <w:r w:rsidRPr="00D04393">
        <w:t>Macron</w:t>
      </w:r>
      <w:proofErr w:type="spellEnd"/>
      <w:r w:rsidRPr="00D04393">
        <w:t xml:space="preserve"> salue l’action de la BCE et insiste sur les réformes », </w:t>
      </w:r>
      <w:r w:rsidRPr="00D04393">
        <w:rPr>
          <w:i/>
        </w:rPr>
        <w:t>Reuters,</w:t>
      </w:r>
      <w:r w:rsidRPr="00D04393">
        <w:t xml:space="preserve"> 23 janvier, consulté le 28 octobre sur http://fr.reuters.com/article/topNews/idFRKBN0KW0U220150123.</w:t>
      </w:r>
    </w:p>
    <w:p w:rsidR="007A4FEA" w:rsidRPr="006F47F5" w:rsidRDefault="007A4FEA" w:rsidP="007A4FEA">
      <w:pPr>
        <w:rPr>
          <w:lang w:val="en-US"/>
        </w:rPr>
      </w:pPr>
      <w:r w:rsidRPr="00D04393">
        <w:t xml:space="preserve">Lemoine, Benjamin (2011), « Les valeurs de la dette. L’État à l’épreuve de la dette publique », </w:t>
      </w:r>
      <w:r w:rsidR="006F47F5">
        <w:t>t</w:t>
      </w:r>
      <w:r w:rsidRPr="00D04393">
        <w:t>hèse de sciences politiques (</w:t>
      </w:r>
      <w:proofErr w:type="spellStart"/>
      <w:r w:rsidRPr="00D04393">
        <w:t>dir</w:t>
      </w:r>
      <w:proofErr w:type="spellEnd"/>
      <w:r w:rsidRPr="00D04393">
        <w:t xml:space="preserve">. </w:t>
      </w:r>
      <w:r w:rsidRPr="006F47F5">
        <w:rPr>
          <w:lang w:val="en-US"/>
        </w:rPr>
        <w:t xml:space="preserve">Michel </w:t>
      </w:r>
      <w:proofErr w:type="spellStart"/>
      <w:r w:rsidRPr="006F47F5">
        <w:rPr>
          <w:lang w:val="en-US"/>
        </w:rPr>
        <w:t>Callon</w:t>
      </w:r>
      <w:proofErr w:type="spellEnd"/>
      <w:r w:rsidRPr="006F47F5">
        <w:rPr>
          <w:lang w:val="en-US"/>
        </w:rPr>
        <w:t xml:space="preserve">), </w:t>
      </w:r>
      <w:proofErr w:type="spellStart"/>
      <w:r w:rsidRPr="006F47F5">
        <w:rPr>
          <w:lang w:val="en-US"/>
        </w:rPr>
        <w:t>École</w:t>
      </w:r>
      <w:proofErr w:type="spellEnd"/>
      <w:r w:rsidRPr="006F47F5">
        <w:rPr>
          <w:lang w:val="en-US"/>
        </w:rPr>
        <w:t xml:space="preserve"> </w:t>
      </w:r>
      <w:proofErr w:type="spellStart"/>
      <w:r w:rsidR="006F47F5" w:rsidRPr="006F47F5">
        <w:rPr>
          <w:lang w:val="en-US"/>
        </w:rPr>
        <w:t>n</w:t>
      </w:r>
      <w:r w:rsidRPr="006F47F5">
        <w:rPr>
          <w:lang w:val="en-US"/>
        </w:rPr>
        <w:t>ationale</w:t>
      </w:r>
      <w:proofErr w:type="spellEnd"/>
      <w:r w:rsidRPr="006F47F5">
        <w:rPr>
          <w:lang w:val="en-US"/>
        </w:rPr>
        <w:t xml:space="preserve"> </w:t>
      </w:r>
      <w:proofErr w:type="spellStart"/>
      <w:r w:rsidR="006F47F5" w:rsidRPr="006F47F5">
        <w:rPr>
          <w:lang w:val="en-US"/>
        </w:rPr>
        <w:t>s</w:t>
      </w:r>
      <w:r w:rsidRPr="006F47F5">
        <w:rPr>
          <w:lang w:val="en-US"/>
        </w:rPr>
        <w:t>upérieure</w:t>
      </w:r>
      <w:proofErr w:type="spellEnd"/>
      <w:r w:rsidRPr="006F47F5">
        <w:rPr>
          <w:lang w:val="en-US"/>
        </w:rPr>
        <w:t xml:space="preserve"> des </w:t>
      </w:r>
      <w:r w:rsidR="006F47F5" w:rsidRPr="006F47F5">
        <w:rPr>
          <w:lang w:val="en-US"/>
        </w:rPr>
        <w:t>m</w:t>
      </w:r>
      <w:r w:rsidRPr="006F47F5">
        <w:rPr>
          <w:lang w:val="en-US"/>
        </w:rPr>
        <w:t>ines de Paris.</w:t>
      </w:r>
    </w:p>
    <w:p w:rsidR="007A4FEA" w:rsidRPr="00D04393" w:rsidRDefault="007A4FEA" w:rsidP="007A4FEA">
      <w:proofErr w:type="spellStart"/>
      <w:r w:rsidRPr="006F47F5">
        <w:rPr>
          <w:lang w:val="en-US"/>
        </w:rPr>
        <w:t>Marcussen</w:t>
      </w:r>
      <w:proofErr w:type="spellEnd"/>
      <w:r w:rsidRPr="006F47F5">
        <w:rPr>
          <w:lang w:val="en-US"/>
        </w:rPr>
        <w:t>, Martin (2009), « </w:t>
      </w:r>
      <w:proofErr w:type="spellStart"/>
      <w:r w:rsidRPr="006F47F5">
        <w:rPr>
          <w:lang w:val="en-US"/>
        </w:rPr>
        <w:t>Scientization</w:t>
      </w:r>
      <w:proofErr w:type="spellEnd"/>
      <w:r w:rsidRPr="006F47F5">
        <w:rPr>
          <w:lang w:val="en-US"/>
        </w:rPr>
        <w:t xml:space="preserve"> of Central Banking: The</w:t>
      </w:r>
      <w:r w:rsidR="006F47F5" w:rsidRPr="006F47F5">
        <w:rPr>
          <w:lang w:val="en-US"/>
        </w:rPr>
        <w:t xml:space="preserve"> Politics of A-Politicization »,</w:t>
      </w:r>
      <w:r w:rsidRPr="006F47F5">
        <w:rPr>
          <w:lang w:val="en-US"/>
        </w:rPr>
        <w:t xml:space="preserve"> </w:t>
      </w:r>
      <w:r w:rsidR="006F47F5" w:rsidRPr="006F47F5">
        <w:rPr>
          <w:i/>
          <w:lang w:val="en-US"/>
        </w:rPr>
        <w:t>i</w:t>
      </w:r>
      <w:r w:rsidRPr="006F47F5">
        <w:rPr>
          <w:i/>
          <w:lang w:val="en-US"/>
        </w:rPr>
        <w:t>n</w:t>
      </w:r>
      <w:r w:rsidRPr="00D04393">
        <w:rPr>
          <w:lang w:val="en-US"/>
        </w:rPr>
        <w:t xml:space="preserve"> </w:t>
      </w:r>
      <w:r w:rsidRPr="00D04393">
        <w:rPr>
          <w:i/>
          <w:lang w:val="en-US"/>
        </w:rPr>
        <w:t>Central Banks in the age of the euro : Europeanization, Convergence and power</w:t>
      </w:r>
      <w:r w:rsidRPr="00D04393">
        <w:rPr>
          <w:lang w:val="en-US"/>
        </w:rPr>
        <w:t xml:space="preserve">, par Martin </w:t>
      </w:r>
      <w:proofErr w:type="spellStart"/>
      <w:r w:rsidRPr="00D04393">
        <w:rPr>
          <w:lang w:val="en-US"/>
        </w:rPr>
        <w:t>Marcussen</w:t>
      </w:r>
      <w:proofErr w:type="spellEnd"/>
      <w:r w:rsidRPr="00D04393">
        <w:rPr>
          <w:lang w:val="en-US"/>
        </w:rPr>
        <w:t xml:space="preserve"> </w:t>
      </w:r>
      <w:proofErr w:type="gramStart"/>
      <w:r w:rsidRPr="00D04393">
        <w:rPr>
          <w:lang w:val="en-US"/>
        </w:rPr>
        <w:t>et</w:t>
      </w:r>
      <w:proofErr w:type="gramEnd"/>
      <w:r w:rsidRPr="00D04393">
        <w:rPr>
          <w:lang w:val="en-US"/>
        </w:rPr>
        <w:t xml:space="preserve"> Kenneth H. F. Dyson, 373</w:t>
      </w:r>
      <w:r w:rsidRPr="00D04393">
        <w:rPr>
          <w:lang w:val="en-US"/>
        </w:rPr>
        <w:noBreakHyphen/>
        <w:t xml:space="preserve">91. </w:t>
      </w:r>
      <w:r w:rsidRPr="00D04393">
        <w:t xml:space="preserve">Oxford, Oxford </w:t>
      </w:r>
      <w:proofErr w:type="spellStart"/>
      <w:r w:rsidRPr="00D04393">
        <w:t>University</w:t>
      </w:r>
      <w:proofErr w:type="spellEnd"/>
      <w:r w:rsidRPr="00D04393">
        <w:t xml:space="preserve"> </w:t>
      </w:r>
      <w:proofErr w:type="spellStart"/>
      <w:r w:rsidRPr="00D04393">
        <w:t>Press</w:t>
      </w:r>
      <w:proofErr w:type="spellEnd"/>
      <w:r w:rsidRPr="00D04393">
        <w:t>.</w:t>
      </w:r>
    </w:p>
    <w:p w:rsidR="007A4FEA" w:rsidRPr="00D04393" w:rsidRDefault="007A4FEA" w:rsidP="007A4FEA">
      <w:proofErr w:type="spellStart"/>
      <w:r w:rsidRPr="00D04393">
        <w:lastRenderedPageBreak/>
        <w:t>Mény</w:t>
      </w:r>
      <w:proofErr w:type="spellEnd"/>
      <w:r w:rsidRPr="00D04393">
        <w:t xml:space="preserve">, Yves (1992), </w:t>
      </w:r>
      <w:r w:rsidRPr="00D04393">
        <w:rPr>
          <w:i/>
        </w:rPr>
        <w:t>La corruption de la République,</w:t>
      </w:r>
      <w:r w:rsidRPr="00D04393">
        <w:t xml:space="preserve"> Paris, Fayard.</w:t>
      </w:r>
    </w:p>
    <w:p w:rsidR="007A4FEA" w:rsidRPr="00D04393" w:rsidRDefault="007A4FEA" w:rsidP="007A4FEA">
      <w:pPr>
        <w:rPr>
          <w:lang w:val="en-US"/>
        </w:rPr>
      </w:pPr>
      <w:proofErr w:type="spellStart"/>
      <w:r w:rsidRPr="00D04393">
        <w:rPr>
          <w:lang w:val="en-US"/>
        </w:rPr>
        <w:t>Moravcsik</w:t>
      </w:r>
      <w:proofErr w:type="spellEnd"/>
      <w:r w:rsidRPr="00D04393">
        <w:rPr>
          <w:lang w:val="en-US"/>
        </w:rPr>
        <w:t xml:space="preserve">, Andrew (1998), </w:t>
      </w:r>
      <w:proofErr w:type="gramStart"/>
      <w:r w:rsidRPr="00D04393">
        <w:rPr>
          <w:i/>
          <w:lang w:val="en-US"/>
        </w:rPr>
        <w:t>The</w:t>
      </w:r>
      <w:proofErr w:type="gramEnd"/>
      <w:r w:rsidRPr="00D04393">
        <w:rPr>
          <w:i/>
          <w:lang w:val="en-US"/>
        </w:rPr>
        <w:t xml:space="preserve"> Choice for Europe: Social Purpose and State Power from Messina to Maastricht,</w:t>
      </w:r>
      <w:r w:rsidRPr="00D04393">
        <w:rPr>
          <w:lang w:val="en-US"/>
        </w:rPr>
        <w:t xml:space="preserve"> Ithaca, Cornell University Press.</w:t>
      </w:r>
    </w:p>
    <w:p w:rsidR="007A4FEA" w:rsidRPr="00D04393" w:rsidRDefault="007A4FEA" w:rsidP="007A4FEA">
      <w:pPr>
        <w:rPr>
          <w:lang w:val="en-US"/>
        </w:rPr>
      </w:pPr>
      <w:r w:rsidRPr="00D04393">
        <w:rPr>
          <w:lang w:val="en-US"/>
        </w:rPr>
        <w:t xml:space="preserve">Putnam, Robert (1988), « Diplomacy and domestic politics: the logic of two-level games », </w:t>
      </w:r>
      <w:r w:rsidRPr="00D04393">
        <w:rPr>
          <w:i/>
          <w:lang w:val="en-US"/>
        </w:rPr>
        <w:t xml:space="preserve">International Organization, </w:t>
      </w:r>
      <w:r w:rsidR="006F47F5" w:rsidRPr="006F47F5">
        <w:rPr>
          <w:lang w:val="en-US"/>
        </w:rPr>
        <w:t>v</w:t>
      </w:r>
      <w:r w:rsidRPr="006F47F5">
        <w:rPr>
          <w:lang w:val="en-US"/>
        </w:rPr>
        <w:t>ol.</w:t>
      </w:r>
      <w:r w:rsidRPr="00D04393">
        <w:rPr>
          <w:lang w:val="en-US"/>
        </w:rPr>
        <w:t xml:space="preserve"> 42 (03), p.</w:t>
      </w:r>
      <w:r w:rsidR="006F47F5">
        <w:rPr>
          <w:lang w:val="en-US"/>
        </w:rPr>
        <w:t> </w:t>
      </w:r>
      <w:r w:rsidRPr="00D04393">
        <w:rPr>
          <w:lang w:val="en-US"/>
        </w:rPr>
        <w:t>427</w:t>
      </w:r>
      <w:r w:rsidRPr="00D04393">
        <w:rPr>
          <w:lang w:val="en-US"/>
        </w:rPr>
        <w:noBreakHyphen/>
        <w:t xml:space="preserve">60. </w:t>
      </w:r>
    </w:p>
    <w:p w:rsidR="007A4FEA" w:rsidRPr="00D04393" w:rsidRDefault="007A4FEA" w:rsidP="007A4FEA">
      <w:pPr>
        <w:rPr>
          <w:lang w:val="en-US"/>
        </w:rPr>
      </w:pPr>
      <w:proofErr w:type="spellStart"/>
      <w:r w:rsidRPr="00D04393">
        <w:rPr>
          <w:lang w:val="en-US"/>
        </w:rPr>
        <w:t>Quaglia</w:t>
      </w:r>
      <w:proofErr w:type="spellEnd"/>
      <w:r w:rsidRPr="00D04393">
        <w:rPr>
          <w:lang w:val="en-US"/>
        </w:rPr>
        <w:t xml:space="preserve">, Lucia (2008), </w:t>
      </w:r>
      <w:r w:rsidRPr="00D04393">
        <w:rPr>
          <w:i/>
          <w:lang w:val="en-US"/>
        </w:rPr>
        <w:t>Central Banking Governance in the European Union: A Comparative Analysis</w:t>
      </w:r>
      <w:r w:rsidR="006F47F5">
        <w:rPr>
          <w:lang w:val="en-US"/>
        </w:rPr>
        <w:t>,</w:t>
      </w:r>
      <w:r w:rsidRPr="00D04393">
        <w:rPr>
          <w:lang w:val="en-US"/>
        </w:rPr>
        <w:t xml:space="preserve"> </w:t>
      </w:r>
      <w:proofErr w:type="spellStart"/>
      <w:r w:rsidRPr="00D04393">
        <w:rPr>
          <w:lang w:val="en-US"/>
        </w:rPr>
        <w:t>Londres</w:t>
      </w:r>
      <w:proofErr w:type="spellEnd"/>
      <w:r w:rsidRPr="00D04393">
        <w:rPr>
          <w:lang w:val="en-US"/>
        </w:rPr>
        <w:t xml:space="preserve">, </w:t>
      </w:r>
      <w:proofErr w:type="spellStart"/>
      <w:r w:rsidRPr="00D04393">
        <w:rPr>
          <w:lang w:val="en-US"/>
        </w:rPr>
        <w:t>Routledge</w:t>
      </w:r>
      <w:proofErr w:type="spellEnd"/>
      <w:r w:rsidRPr="00D04393">
        <w:rPr>
          <w:lang w:val="en-US"/>
        </w:rPr>
        <w:t>.</w:t>
      </w:r>
    </w:p>
    <w:p w:rsidR="007A4FEA" w:rsidRPr="00D04393" w:rsidRDefault="007A4FEA" w:rsidP="007A4FEA">
      <w:pPr>
        <w:rPr>
          <w:lang w:val="en-US"/>
        </w:rPr>
      </w:pPr>
      <w:r w:rsidRPr="00D04393">
        <w:rPr>
          <w:lang w:val="en-US"/>
        </w:rPr>
        <w:t xml:space="preserve">Rogoff, Kenneth (1985), « The optimal degree of commitment to an intermediate monetary target », </w:t>
      </w:r>
      <w:r w:rsidRPr="00D04393">
        <w:rPr>
          <w:i/>
          <w:lang w:val="en-US"/>
        </w:rPr>
        <w:t>The Quarterly Journal of Economics, v</w:t>
      </w:r>
      <w:r w:rsidRPr="00D04393">
        <w:rPr>
          <w:lang w:val="en-US"/>
        </w:rPr>
        <w:t>ol. 100 (4), p. 1169-1189.</w:t>
      </w:r>
    </w:p>
    <w:p w:rsidR="007A4FEA" w:rsidRPr="00D04393" w:rsidRDefault="007A4FEA" w:rsidP="007A4FEA">
      <w:pPr>
        <w:rPr>
          <w:lang w:val="en-US"/>
        </w:rPr>
      </w:pPr>
      <w:r w:rsidRPr="00D04393">
        <w:rPr>
          <w:lang w:val="en-US"/>
        </w:rPr>
        <w:t xml:space="preserve">Ross, George (2011), </w:t>
      </w:r>
      <w:proofErr w:type="gramStart"/>
      <w:r w:rsidRPr="00D04393">
        <w:rPr>
          <w:i/>
          <w:lang w:val="en-US"/>
        </w:rPr>
        <w:t>The</w:t>
      </w:r>
      <w:proofErr w:type="gramEnd"/>
      <w:r w:rsidRPr="00D04393">
        <w:rPr>
          <w:i/>
          <w:lang w:val="en-US"/>
        </w:rPr>
        <w:t xml:space="preserve"> European Union and Its Crises: Through the Eyes of the Brussels’ Elite</w:t>
      </w:r>
      <w:r w:rsidR="006F47F5">
        <w:rPr>
          <w:lang w:val="en-US"/>
        </w:rPr>
        <w:t>,</w:t>
      </w:r>
      <w:r w:rsidRPr="00D04393">
        <w:rPr>
          <w:lang w:val="en-US"/>
        </w:rPr>
        <w:t xml:space="preserve"> </w:t>
      </w:r>
      <w:r w:rsidRPr="00D04393">
        <w:rPr>
          <w:lang w:val="en-US"/>
        </w:rPr>
        <w:t>Basingstoke, Palgrave Macmillan.</w:t>
      </w:r>
    </w:p>
    <w:p w:rsidR="007A4FEA" w:rsidRPr="00D04393" w:rsidRDefault="007A4FEA" w:rsidP="007A4FEA">
      <w:pPr>
        <w:rPr>
          <w:lang w:val="en-US"/>
        </w:rPr>
      </w:pPr>
      <w:r w:rsidRPr="00D04393">
        <w:rPr>
          <w:lang w:val="en-US"/>
        </w:rPr>
        <w:t>Trichet, Jean-Claude (2010), « State of the Union: The Financial Crisis and the ECB’s Response between 2007 and 200</w:t>
      </w:r>
      <w:r w:rsidR="006F47F5">
        <w:rPr>
          <w:lang w:val="en-US"/>
        </w:rPr>
        <w:t>9 »,</w:t>
      </w:r>
      <w:r w:rsidRPr="00D04393">
        <w:rPr>
          <w:i/>
          <w:lang w:val="en-US"/>
        </w:rPr>
        <w:t xml:space="preserve"> Journal of Common Market Studies, v</w:t>
      </w:r>
      <w:r w:rsidRPr="00D04393">
        <w:rPr>
          <w:lang w:val="en-US"/>
        </w:rPr>
        <w:t>ol. 48 (1), p. 7</w:t>
      </w:r>
      <w:r w:rsidRPr="00D04393">
        <w:rPr>
          <w:lang w:val="en-US"/>
        </w:rPr>
        <w:noBreakHyphen/>
        <w:t xml:space="preserve">19. </w:t>
      </w:r>
    </w:p>
    <w:p w:rsidR="007A4FEA" w:rsidRPr="00D04393" w:rsidRDefault="006F47F5" w:rsidP="007A4FEA">
      <w:pPr>
        <w:rPr>
          <w:lang w:val="en-US"/>
        </w:rPr>
      </w:pPr>
      <w:proofErr w:type="spellStart"/>
      <w:r>
        <w:rPr>
          <w:lang w:val="en-US"/>
        </w:rPr>
        <w:t>Waele</w:t>
      </w:r>
      <w:proofErr w:type="spellEnd"/>
      <w:r>
        <w:rPr>
          <w:lang w:val="en-US"/>
        </w:rPr>
        <w:t>, Jean-</w:t>
      </w:r>
      <w:proofErr w:type="gramStart"/>
      <w:r>
        <w:rPr>
          <w:lang w:val="en-US"/>
        </w:rPr>
        <w:t>Michel ;</w:t>
      </w:r>
      <w:proofErr w:type="gramEnd"/>
      <w:r w:rsidR="007A4FEA" w:rsidRPr="00D04393">
        <w:rPr>
          <w:lang w:val="en-US"/>
        </w:rPr>
        <w:t xml:space="preserve"> </w:t>
      </w:r>
      <w:proofErr w:type="spellStart"/>
      <w:r w:rsidR="007A4FEA" w:rsidRPr="00D04393">
        <w:rPr>
          <w:lang w:val="en-US"/>
        </w:rPr>
        <w:t>Escalona</w:t>
      </w:r>
      <w:proofErr w:type="spellEnd"/>
      <w:r>
        <w:rPr>
          <w:lang w:val="en-US"/>
        </w:rPr>
        <w:t>,</w:t>
      </w:r>
      <w:r w:rsidR="007A4FEA" w:rsidRPr="00D04393">
        <w:rPr>
          <w:lang w:val="en-US"/>
        </w:rPr>
        <w:t xml:space="preserve"> Fabien et Vieira</w:t>
      </w:r>
      <w:r>
        <w:rPr>
          <w:lang w:val="en-US"/>
        </w:rPr>
        <w:t>,</w:t>
      </w:r>
      <w:r w:rsidR="007A4FEA" w:rsidRPr="00D04393">
        <w:rPr>
          <w:lang w:val="en-US"/>
        </w:rPr>
        <w:t xml:space="preserve"> Mathieu (2013), </w:t>
      </w:r>
      <w:r w:rsidR="007A4FEA" w:rsidRPr="00D04393">
        <w:rPr>
          <w:i/>
          <w:lang w:val="en-US"/>
        </w:rPr>
        <w:t>The Palgrave Handbook of Social Democracy in the European Union,</w:t>
      </w:r>
      <w:r w:rsidR="007A4FEA" w:rsidRPr="00D04393">
        <w:rPr>
          <w:lang w:val="en-US"/>
        </w:rPr>
        <w:t xml:space="preserve"> Basingstoke, Palgrave Macmillan.</w:t>
      </w:r>
    </w:p>
    <w:p w:rsidR="007A4FEA" w:rsidRPr="00D04393" w:rsidRDefault="007A4FEA" w:rsidP="007A4FEA">
      <w:pPr>
        <w:rPr>
          <w:lang w:val="en-US"/>
        </w:rPr>
      </w:pPr>
      <w:proofErr w:type="spellStart"/>
      <w:r w:rsidRPr="00D04393">
        <w:rPr>
          <w:lang w:val="en-US"/>
        </w:rPr>
        <w:t>Wagstyl</w:t>
      </w:r>
      <w:proofErr w:type="spellEnd"/>
      <w:r w:rsidRPr="00D04393">
        <w:rPr>
          <w:lang w:val="en-US"/>
        </w:rPr>
        <w:t xml:space="preserve">, Stefan </w:t>
      </w:r>
      <w:proofErr w:type="gramStart"/>
      <w:r w:rsidRPr="00D04393">
        <w:rPr>
          <w:lang w:val="en-US"/>
        </w:rPr>
        <w:t>et</w:t>
      </w:r>
      <w:proofErr w:type="gramEnd"/>
      <w:r w:rsidRPr="00D04393">
        <w:rPr>
          <w:lang w:val="en-US"/>
        </w:rPr>
        <w:t xml:space="preserve"> Giles, Chris (2015), « Critics fear ECB quantitative easing will lead to crisis », </w:t>
      </w:r>
      <w:r w:rsidRPr="00D04393">
        <w:rPr>
          <w:i/>
          <w:lang w:val="en-US"/>
        </w:rPr>
        <w:t>Financial Times</w:t>
      </w:r>
      <w:r w:rsidRPr="00D04393">
        <w:rPr>
          <w:lang w:val="en-US"/>
        </w:rPr>
        <w:t>, 22</w:t>
      </w:r>
      <w:r w:rsidR="0067552B">
        <w:rPr>
          <w:lang w:val="en-US"/>
        </w:rPr>
        <w:t xml:space="preserve"> </w:t>
      </w:r>
      <w:proofErr w:type="spellStart"/>
      <w:r w:rsidRPr="00D04393">
        <w:rPr>
          <w:lang w:val="en-US"/>
        </w:rPr>
        <w:t>janvier</w:t>
      </w:r>
      <w:proofErr w:type="spellEnd"/>
      <w:r w:rsidRPr="00D04393">
        <w:rPr>
          <w:lang w:val="en-US"/>
        </w:rPr>
        <w:t xml:space="preserve">. </w:t>
      </w:r>
    </w:p>
    <w:p w:rsidR="007A4FEA" w:rsidRPr="00D04393" w:rsidRDefault="007A4FEA" w:rsidP="007A4FEA">
      <w:pPr>
        <w:rPr>
          <w:lang w:val="en-US"/>
        </w:rPr>
      </w:pPr>
      <w:r w:rsidRPr="00D04393">
        <w:rPr>
          <w:lang w:val="en-US"/>
        </w:rPr>
        <w:t xml:space="preserve">White, William (2012), « Ultra easy Monetary Policy and the Law of Unintended Consequences », </w:t>
      </w:r>
      <w:r w:rsidRPr="00D04393">
        <w:rPr>
          <w:i/>
          <w:lang w:val="en-US"/>
        </w:rPr>
        <w:t>Federal Reserve Bank of Dallas Working Paper, v</w:t>
      </w:r>
      <w:r w:rsidRPr="00D04393">
        <w:rPr>
          <w:lang w:val="en-US"/>
        </w:rPr>
        <w:t xml:space="preserve">ol. </w:t>
      </w:r>
      <w:r w:rsidRPr="00D04393">
        <w:rPr>
          <w:lang w:val="en-US"/>
        </w:rPr>
        <w:t>126.</w:t>
      </w:r>
    </w:p>
    <w:p w:rsidR="007A4FEA" w:rsidRPr="00D04393" w:rsidRDefault="007A4FEA" w:rsidP="007A4FEA">
      <w:pPr>
        <w:rPr>
          <w:lang w:val="en-US"/>
        </w:rPr>
      </w:pPr>
      <w:proofErr w:type="spellStart"/>
      <w:r w:rsidRPr="00D04393">
        <w:rPr>
          <w:lang w:val="en-US"/>
        </w:rPr>
        <w:t>Woll</w:t>
      </w:r>
      <w:proofErr w:type="spellEnd"/>
      <w:r w:rsidRPr="00D04393">
        <w:rPr>
          <w:lang w:val="en-US"/>
        </w:rPr>
        <w:t xml:space="preserve">, Cornelia (2014), </w:t>
      </w:r>
      <w:proofErr w:type="gramStart"/>
      <w:r w:rsidRPr="00D04393">
        <w:rPr>
          <w:i/>
          <w:lang w:val="en-US"/>
        </w:rPr>
        <w:t>The</w:t>
      </w:r>
      <w:proofErr w:type="gramEnd"/>
      <w:r w:rsidRPr="00D04393">
        <w:rPr>
          <w:i/>
          <w:lang w:val="en-US"/>
        </w:rPr>
        <w:t xml:space="preserve"> Power of Inaction: Bank Bailouts in Comparison,</w:t>
      </w:r>
      <w:r w:rsidRPr="00D04393">
        <w:rPr>
          <w:lang w:val="en-US"/>
        </w:rPr>
        <w:t xml:space="preserve"> Ithaca, Cornell University Press.</w:t>
      </w:r>
    </w:p>
    <w:sectPr w:rsidR="007A4FEA" w:rsidRPr="00D04393" w:rsidSect="00874B20">
      <w:footerReference w:type="default" r:id="rId9"/>
      <w:footnotePr>
        <w:pos w:val="beneathText"/>
      </w:footnotePr>
      <w:pgSz w:w="11905" w:h="16837"/>
      <w:pgMar w:top="1417" w:right="1417" w:bottom="1417" w:left="1417" w:header="720" w:footer="708"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STOLLESTEINER Jean-Yves" w:date="2016-09-09T15:18:00Z" w:initials="SJ">
    <w:p w:rsidR="0067552B" w:rsidRDefault="0067552B">
      <w:pPr>
        <w:pStyle w:val="CommentText"/>
      </w:pPr>
      <w:r>
        <w:rPr>
          <w:rStyle w:val="CommentReference"/>
        </w:rPr>
        <w:annotationRef/>
      </w:r>
      <w:r w:rsidR="00DB4B77">
        <w:t>Comité de rédaction</w:t>
      </w:r>
      <w:r>
        <w:t> : Le degré d’informations données au lecteur quant aux compétences et pouvoirs respectifs du Conseil des gouverneurs et du directoire n’est pas suffisant pour permettre au lecteur de bien comprendre les enjeux.</w:t>
      </w:r>
      <w:r w:rsidR="00DB4B77">
        <w:t xml:space="preserve"> Rajoute une note</w:t>
      </w:r>
    </w:p>
  </w:comment>
  <w:comment w:id="1" w:author="STOLLESTEINER Jean-Yves" w:date="2016-09-09T15:21:00Z" w:initials="SJ">
    <w:p w:rsidR="0067552B" w:rsidRDefault="0067552B" w:rsidP="00DB4B77">
      <w:pPr>
        <w:pStyle w:val="CommentText"/>
        <w:ind w:firstLine="0"/>
      </w:pPr>
      <w:r>
        <w:rPr>
          <w:rStyle w:val="CommentReference"/>
        </w:rPr>
        <w:annotationRef/>
      </w:r>
      <w:r w:rsidR="00DB4B77">
        <w:rPr>
          <w:noProof/>
        </w:rPr>
        <w:t xml:space="preserve"> RFAP : Trop vague </w:t>
      </w:r>
      <w:r w:rsidR="00DD3DD6">
        <w:rPr>
          <w:noProof/>
        </w:rPr>
        <w:t xml:space="preserve"> Il faudrait savoir si les ministres des finances proposent plusieurs noms au PM/chef de l'Etat qui proposent alors un candidat national ? Tous les pays proposent-ils un candidat national ? Ceux qui ne le font pas, comment soutiennent-ils un autre candidat national ? Uniquement quand celui-ci a la validation de son Etat ?</w:t>
      </w:r>
    </w:p>
  </w:comment>
  <w:comment w:id="2" w:author="Michel Mangenot" w:date="2016-09-09T18:46:00Z" w:initials="MM">
    <w:p w:rsidR="004C3D52" w:rsidRDefault="00DB4B77" w:rsidP="004C3D52">
      <w:pPr>
        <w:pStyle w:val="CommentText"/>
      </w:pPr>
      <w:r>
        <w:rPr>
          <w:rStyle w:val="CommentReference"/>
        </w:rPr>
        <w:annotationRef/>
      </w:r>
      <w:r>
        <w:t>Et la France alors ?</w:t>
      </w:r>
    </w:p>
  </w:comment>
  <w:comment w:id="3" w:author="Clem" w:date="2016-09-09T18:47:00Z" w:initials="C">
    <w:p w:rsidR="004C3D52" w:rsidRDefault="004C3D52">
      <w:pPr>
        <w:pStyle w:val="CommentText"/>
      </w:pPr>
      <w:r>
        <w:rPr>
          <w:rStyle w:val="CommentReference"/>
        </w:rPr>
        <w:annotationRef/>
      </w:r>
      <w:r>
        <w:t xml:space="preserve">La France fait partie des « gros » </w:t>
      </w:r>
      <w:proofErr w:type="spellStart"/>
      <w:r>
        <w:t>pays</w:t>
      </w:r>
      <w:proofErr w:type="gramStart"/>
      <w:r>
        <w:t>,cf</w:t>
      </w:r>
      <w:proofErr w:type="spellEnd"/>
      <w:proofErr w:type="gramEnd"/>
      <w:r>
        <w:t xml:space="preserve"> plus haut. Elle n’a pas besoin d’</w:t>
      </w:r>
      <w:proofErr w:type="spellStart"/>
      <w:r>
        <w:t>etre</w:t>
      </w:r>
      <w:proofErr w:type="spellEnd"/>
      <w:r>
        <w:t xml:space="preserve"> vertueuse économiquement (comme l’Italie d’ailleurs)</w:t>
      </w:r>
    </w:p>
  </w:comment>
  <w:comment w:id="4" w:author="STOLLESTEINER Jean-Yves" w:date="2016-09-09T15:23:00Z" w:initials="SJ">
    <w:p w:rsidR="00195931" w:rsidRDefault="00195931">
      <w:pPr>
        <w:pStyle w:val="CommentText"/>
      </w:pPr>
      <w:r>
        <w:rPr>
          <w:rStyle w:val="CommentReference"/>
        </w:rPr>
        <w:annotationRef/>
      </w:r>
      <w:r w:rsidR="00DD3DD6">
        <w:rPr>
          <w:noProof/>
        </w:rPr>
        <w:t>Pourquoi le luxembourgeois est-il censé représenter la posit</w:t>
      </w:r>
      <w:r w:rsidR="00DB4B77">
        <w:rPr>
          <w:noProof/>
        </w:rPr>
        <w:t>ion de la Bundesbank ? Il faut expliquer</w:t>
      </w:r>
      <w:r w:rsidR="00DD3DD6">
        <w:rPr>
          <w:noProof/>
        </w:rPr>
        <w:t xml:space="preserve">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269FFB4" w15:done="0"/>
  <w15:commentEx w15:paraId="578367D8" w15:done="0"/>
  <w15:commentEx w15:paraId="67339FEF" w15:done="0"/>
  <w15:commentEx w15:paraId="428B8531" w15:done="0"/>
  <w15:commentEx w15:paraId="6B780B04"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2CB0" w:rsidRDefault="00422CB0">
      <w:r>
        <w:separator/>
      </w:r>
    </w:p>
  </w:endnote>
  <w:endnote w:type="continuationSeparator" w:id="0">
    <w:p w:rsidR="00422CB0" w:rsidRDefault="00422CB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Gras">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altName w:val="Gentium Basic"/>
    <w:panose1 w:val="02040503050203030202"/>
    <w:charset w:val="01"/>
    <w:family w:val="roman"/>
    <w:notTrueType/>
    <w:pitch w:val="variable"/>
    <w:sig w:usb0="00002000" w:usb1="00000000" w:usb2="00000000" w:usb3="00000000" w:csb0="00000000"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00"/>
    <w:family w:val="roman"/>
    <w:pitch w:val="variable"/>
    <w:sig w:usb0="E0000AFF" w:usb1="500078FF" w:usb2="00000021" w:usb3="00000000" w:csb0="000001BF" w:csb1="00000000"/>
  </w:font>
  <w:font w:name="Droid Sans Fallback">
    <w:charset w:val="01"/>
    <w:family w:val="auto"/>
    <w:pitch w:val="variable"/>
    <w:sig w:usb0="00000000" w:usb1="00000000" w:usb2="00000000" w:usb3="00000000" w:csb0="00000000" w:csb1="00000000"/>
  </w:font>
  <w:font w:name="FreeSans">
    <w:altName w:val="Times New Roman"/>
    <w:charset w:val="01"/>
    <w:family w:val="auto"/>
    <w:pitch w:val="variable"/>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538" w:rsidRDefault="00680538" w:rsidP="0041754A">
    <w:r w:rsidRPr="003A5091">
      <w:rPr>
        <w:rStyle w:val="PageNumber"/>
      </w:rPr>
      <w:tab/>
      <w:t xml:space="preserve">- </w:t>
    </w:r>
    <w:r w:rsidR="00874B20" w:rsidRPr="003A5091">
      <w:rPr>
        <w:rStyle w:val="PageNumber"/>
      </w:rPr>
      <w:fldChar w:fldCharType="begin"/>
    </w:r>
    <w:r w:rsidRPr="003A5091">
      <w:rPr>
        <w:rStyle w:val="PageNumber"/>
      </w:rPr>
      <w:instrText xml:space="preserve"> PAGE </w:instrText>
    </w:r>
    <w:r w:rsidR="00874B20" w:rsidRPr="003A5091">
      <w:rPr>
        <w:rStyle w:val="PageNumber"/>
      </w:rPr>
      <w:fldChar w:fldCharType="separate"/>
    </w:r>
    <w:r w:rsidR="004C3D52">
      <w:rPr>
        <w:rStyle w:val="PageNumber"/>
        <w:noProof/>
      </w:rPr>
      <w:t>2</w:t>
    </w:r>
    <w:r w:rsidR="00874B20" w:rsidRPr="003A5091">
      <w:rPr>
        <w:rStyle w:val="PageNumber"/>
      </w:rPr>
      <w:fldChar w:fldCharType="end"/>
    </w:r>
    <w:r w:rsidRPr="003A5091">
      <w:rPr>
        <w:rStyle w:val="PageNumber"/>
      </w:rPr>
      <w:t xml:space="preserve"> -</w:t>
    </w:r>
    <w:r w:rsidR="00874B20" w:rsidRPr="00874B20">
      <w:rPr>
        <w:noProof/>
      </w:rPr>
      <w:pict>
        <v:shapetype id="_x0000_t202" coordsize="21600,21600" o:spt="202" path="m,l,21600r21600,l21600,xe">
          <v:stroke joinstyle="miter"/>
          <v:path gradientshapeok="t" o:connecttype="rect"/>
        </v:shapetype>
        <v:shape id="Text Box 1" o:spid="_x0000_s32769" type="#_x0000_t202" style="position:absolute;left:0;text-align:left;margin-left:490pt;margin-top:.05pt;width:34.35pt;height:13.75pt;z-index:251657728;visibility:visible;mso-wrap-distance-left:0;mso-wrap-distance-right:0;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" stroked="f">
          <v:fill opacity="0"/>
          <v:textbox inset="0,0,0,0">
            <w:txbxContent>
              <w:p w:rsidR="00680538" w:rsidRDefault="00680538"/>
            </w:txbxContent>
          </v:textbox>
          <w10:wrap type="square" side="largest" anchorx="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2CB0" w:rsidRDefault="00422CB0">
      <w:r>
        <w:separator/>
      </w:r>
    </w:p>
  </w:footnote>
  <w:footnote w:type="continuationSeparator" w:id="0">
    <w:p w:rsidR="00422CB0" w:rsidRDefault="00422CB0">
      <w:r>
        <w:continuationSeparator/>
      </w:r>
    </w:p>
  </w:footnote>
  <w:footnote w:id="1">
    <w:p w:rsidR="007A4FEA" w:rsidRPr="00D04393" w:rsidRDefault="007A4FEA" w:rsidP="007A4FEA">
      <w:pPr>
        <w:pStyle w:val="FootnoteText"/>
      </w:pPr>
      <w:r>
        <w:rPr>
          <w:rStyle w:val="Caractresdenotedebasdepage0"/>
        </w:rPr>
        <w:footnoteRef/>
      </w:r>
      <w:r>
        <w:tab/>
      </w:r>
      <w:r w:rsidRPr="00D04393">
        <w:t xml:space="preserve">L'indépendance politique de la BCE est garantie par l'article 128 du Traité sur le </w:t>
      </w:r>
      <w:r>
        <w:t>f</w:t>
      </w:r>
      <w:r w:rsidRPr="00D04393">
        <w:t xml:space="preserve">onctionnement de l'Union </w:t>
      </w:r>
      <w:r>
        <w:t>européenne</w:t>
      </w:r>
      <w:r w:rsidRPr="00D04393">
        <w:t xml:space="preserve"> (TFUE). Elle est considérée comme une des banques centrales les plus indépendantes au monde (</w:t>
      </w:r>
      <w:proofErr w:type="spellStart"/>
      <w:r w:rsidRPr="00D04393">
        <w:t>Quaglia</w:t>
      </w:r>
      <w:proofErr w:type="spellEnd"/>
      <w:r w:rsidRPr="00D04393">
        <w:t xml:space="preserve">, 2008). </w:t>
      </w:r>
    </w:p>
  </w:footnote>
  <w:footnote w:id="2">
    <w:p w:rsidR="007A4FEA" w:rsidRPr="00D04393" w:rsidRDefault="007A4FEA" w:rsidP="007A4FEA">
      <w:pPr>
        <w:pStyle w:val="FootnoteText"/>
      </w:pPr>
      <w:r w:rsidRPr="00D04393">
        <w:rPr>
          <w:rStyle w:val="Caractresdenotedebasdepage0"/>
          <w:rFonts w:cs="Times New Roman"/>
        </w:rPr>
        <w:footnoteRef/>
      </w:r>
      <w:r w:rsidRPr="00D04393">
        <w:tab/>
        <w:t>Depuis 2015, et l’adhésion de la Lituanie à la zone euro, un système de rotation des votes a été mis en place en fonction de la taille de l’économie et du secteur financier des pays, tandis que les membres du directoire conservent leur droit de vote de manière permanente.</w:t>
      </w:r>
    </w:p>
  </w:footnote>
  <w:footnote w:id="3">
    <w:p w:rsidR="006D0939" w:rsidRDefault="006D0939">
      <w:pPr>
        <w:pStyle w:val="FootnoteText"/>
      </w:pPr>
      <w:r>
        <w:rPr>
          <w:rStyle w:val="FootnoteReference"/>
        </w:rPr>
        <w:footnoteRef/>
      </w:r>
      <w:r>
        <w:t xml:space="preserve"> </w:t>
      </w:r>
      <w:r>
        <w:tab/>
      </w:r>
      <w:r w:rsidR="00D50647">
        <w:t>Le directoire prépare les réunions du Conseil, assure la gestion courante de la BCE et il met en œuvre la politique monétaire décidée au Conseil en donnant des instructions strictes aux gouverneurs des BCN. Cette intégration verticale ne permet qu’une autonomie limitée aux BCN et confère ainsi</w:t>
      </w:r>
      <w:r w:rsidR="009C0609">
        <w:t xml:space="preserve"> une autorité spécifique aux membres du directoire dans la formulation de la politique monétaire.</w:t>
      </w:r>
    </w:p>
  </w:footnote>
  <w:footnote w:id="4">
    <w:p w:rsidR="00267D6E" w:rsidRDefault="00267D6E">
      <w:pPr>
        <w:pStyle w:val="FootnoteText"/>
      </w:pPr>
      <w:r>
        <w:rPr>
          <w:rStyle w:val="FootnoteReference"/>
        </w:rPr>
        <w:footnoteRef/>
      </w:r>
      <w:r>
        <w:t xml:space="preserve"> En pratique, ce sont seulement les ministres des finances de la zone euro, réunis au sein de l’</w:t>
      </w:r>
      <w:proofErr w:type="spellStart"/>
      <w:r>
        <w:t>Eurgroupe</w:t>
      </w:r>
      <w:proofErr w:type="spellEnd"/>
      <w:r>
        <w:t>, qui statuent sur cette recommandation.</w:t>
      </w:r>
      <w:r w:rsidR="00B5166B">
        <w:t xml:space="preserve"> </w:t>
      </w:r>
    </w:p>
  </w:footnote>
  <w:footnote w:id="5">
    <w:p w:rsidR="007A4FEA" w:rsidRPr="00D04393" w:rsidRDefault="007A4FEA" w:rsidP="007A4FEA">
      <w:pPr>
        <w:pStyle w:val="FootnoteText"/>
      </w:pPr>
      <w:r w:rsidRPr="00D04393">
        <w:rPr>
          <w:rStyle w:val="Caractresdenotedebasdepage0"/>
          <w:rFonts w:cs="Times New Roman"/>
        </w:rPr>
        <w:footnoteRef/>
      </w:r>
      <w:r w:rsidRPr="00D04393">
        <w:tab/>
      </w:r>
      <w:r w:rsidRPr="00D04393">
        <w:t xml:space="preserve">Article </w:t>
      </w:r>
      <w:r w:rsidR="00B5166B">
        <w:t>283</w:t>
      </w:r>
      <w:r w:rsidRPr="00D04393">
        <w:t>, TFUE.</w:t>
      </w:r>
      <w:r w:rsidR="00B5166B">
        <w:t xml:space="preserve"> Avant la signature du TFUE en décembre 2012, les nominations se prenaient à l’unanimité (Article 112, Traité sur les Communautés Européennes).</w:t>
      </w:r>
    </w:p>
  </w:footnote>
  <w:footnote w:id="6">
    <w:p w:rsidR="007A4FEA" w:rsidRDefault="007A4FEA" w:rsidP="007A4FEA">
      <w:pPr>
        <w:pStyle w:val="FootnoteText"/>
      </w:pPr>
      <w:r>
        <w:rPr>
          <w:rStyle w:val="Caractresdenotedebasdepage0"/>
        </w:rPr>
        <w:footnoteRef/>
      </w:r>
      <w:r>
        <w:tab/>
        <w:t xml:space="preserve">Les conclusions normatives </w:t>
      </w:r>
      <w:proofErr w:type="gramStart"/>
      <w:r>
        <w:t>de Adolph</w:t>
      </w:r>
      <w:proofErr w:type="gramEnd"/>
      <w:r>
        <w:t xml:space="preserve"> sont cependant différentes de celles de </w:t>
      </w:r>
      <w:proofErr w:type="spellStart"/>
      <w:r>
        <w:t>Rogoff</w:t>
      </w:r>
      <w:proofErr w:type="spellEnd"/>
      <w:r w:rsidR="0067552B">
        <w:t xml:space="preserve"> (1985)</w:t>
      </w:r>
      <w:r>
        <w:t xml:space="preserve">. Adolph estime que l'indépendance des banques centrales est compromise par leur trop grande proximité avec la finance. </w:t>
      </w:r>
    </w:p>
  </w:footnote>
  <w:footnote w:id="7">
    <w:p w:rsidR="007A4FEA" w:rsidRDefault="007A4FEA" w:rsidP="007A4FEA">
      <w:pPr>
        <w:pStyle w:val="FootnoteText"/>
      </w:pPr>
      <w:r>
        <w:rPr>
          <w:rStyle w:val="Caractresdenotedebasdepage0"/>
        </w:rPr>
        <w:footnoteRef/>
      </w:r>
      <w:r>
        <w:tab/>
        <w:t xml:space="preserve">Afin de ne pas effectuer de biais dans la sélection des cas étudiés et de respecter les contraintes de taille de l'article, cette étude porte seulement sur les nominations au directoire entre 2010 et 2015. Des recherches futures sur la nomination de l’ensemble des membres du Conseil des gouverneurs seraient les bienvenues pour confirmer ces premiers résultats de recherche. </w:t>
      </w:r>
    </w:p>
  </w:footnote>
  <w:footnote w:id="8">
    <w:p w:rsidR="007A4FEA" w:rsidRDefault="007A4FEA" w:rsidP="007A4FEA">
      <w:pPr>
        <w:pStyle w:val="FootnoteText"/>
      </w:pPr>
      <w:r>
        <w:rPr>
          <w:rStyle w:val="Caractresdenotedebasdepage0"/>
        </w:rPr>
        <w:footnoteRef/>
      </w:r>
      <w:r>
        <w:tab/>
        <w:t xml:space="preserve">Depuis début 2015, la BCE publie les « minutes » des réunions du Conseil des gouverneurs. Cependant, si ces rapports précisent le déroulement des réunions et certains arguments invoqués, ils n’indiquent pas les prises de positions individuelles des banquiers centraux. Ces minutes n'apportent donc pas une grande plus-value analytique par rapport aux autres documents publiés par la BCE et, surtout, ils ne permettent pas de retracer les influences nationales dans les positions des membres du directoire. </w:t>
      </w:r>
    </w:p>
  </w:footnote>
  <w:footnote w:id="9">
    <w:p w:rsidR="007A4FEA" w:rsidRPr="007A4FEA" w:rsidRDefault="007A4FEA" w:rsidP="007A4FEA">
      <w:pPr>
        <w:pStyle w:val="FootnoteText"/>
      </w:pPr>
      <w:r w:rsidRPr="00D04393">
        <w:rPr>
          <w:rStyle w:val="Caractresdenotedebasdepage0"/>
          <w:rFonts w:cs="Times New Roman"/>
        </w:rPr>
        <w:footnoteRef/>
      </w:r>
      <w:r w:rsidRPr="007A4FEA">
        <w:tab/>
        <w:t>L'ordo-libéralisme est une déclinaison allemande du néo-libéralisme, dominante dans ce pays depuis la fin de la seconde guerre mondiale (</w:t>
      </w:r>
      <w:proofErr w:type="spellStart"/>
      <w:r w:rsidRPr="007A4FEA">
        <w:t>Bonefeld</w:t>
      </w:r>
      <w:proofErr w:type="spellEnd"/>
      <w:r w:rsidRPr="007A4FEA">
        <w:t xml:space="preserve">, 2012). Les universités de Bonn et Fribourg participent à sa diffusion. Parmi les figures contemporaines majeures de l’ordo-libéralisme ayant siégé à la BCE, notons Otmar </w:t>
      </w:r>
      <w:proofErr w:type="spellStart"/>
      <w:r w:rsidRPr="007A4FEA">
        <w:t>Issing</w:t>
      </w:r>
      <w:proofErr w:type="spellEnd"/>
      <w:r w:rsidRPr="007A4FEA">
        <w:t xml:space="preserve">, Axel Weber, Jürgen Stark et Jens </w:t>
      </w:r>
      <w:proofErr w:type="spellStart"/>
      <w:r w:rsidRPr="007A4FEA">
        <w:t>Weidmann</w:t>
      </w:r>
      <w:proofErr w:type="spellEnd"/>
      <w:r w:rsidRPr="007A4FEA">
        <w:t xml:space="preserve"> (les deux derniers ont aussi étudié à Bonn sous la direction d'Axel Weber).</w:t>
      </w:r>
    </w:p>
  </w:footnote>
  <w:footnote w:id="10">
    <w:p w:rsidR="007A4FEA" w:rsidRPr="00D04393" w:rsidRDefault="007A4FEA" w:rsidP="007A4FEA">
      <w:pPr>
        <w:pStyle w:val="FootnoteText"/>
      </w:pPr>
      <w:r w:rsidRPr="00D04393">
        <w:rPr>
          <w:rStyle w:val="Caractresdenotedebasdepage0"/>
          <w:rFonts w:cs="Times New Roman"/>
        </w:rPr>
        <w:footnoteRef/>
      </w:r>
      <w:r w:rsidRPr="00D04393">
        <w:tab/>
        <w:t>Le concept de « portes tournantes » évoque les allers retour d'un individu entre le secteur privé et le secteur public lors de sa carrière. Dans le cas français, il est aussi appelé « pantouflage ».</w:t>
      </w:r>
    </w:p>
  </w:footnote>
  <w:footnote w:id="11">
    <w:p w:rsidR="007A4FEA" w:rsidRPr="00D04393" w:rsidRDefault="007A4FEA" w:rsidP="007A4FEA">
      <w:pPr>
        <w:pStyle w:val="FootnoteText"/>
      </w:pPr>
      <w:r w:rsidRPr="00D04393">
        <w:rPr>
          <w:rStyle w:val="Caractresdenotedebasdepage0"/>
          <w:rFonts w:cs="Times New Roman"/>
        </w:rPr>
        <w:footnoteRef/>
      </w:r>
      <w:r w:rsidRPr="00D04393">
        <w:tab/>
        <w:t xml:space="preserve">Sur la centralité de celles-ci dans la construction d'une légitimité experte, voir </w:t>
      </w:r>
      <w:proofErr w:type="spellStart"/>
      <w:r w:rsidRPr="00D04393">
        <w:t>Dezalay</w:t>
      </w:r>
      <w:proofErr w:type="spellEnd"/>
      <w:r w:rsidRPr="00D04393">
        <w:t xml:space="preserve"> et Bryant (2002).</w:t>
      </w:r>
    </w:p>
  </w:footnote>
  <w:footnote w:id="12">
    <w:p w:rsidR="007A4FEA" w:rsidRPr="00D04393" w:rsidRDefault="007A4FEA" w:rsidP="007A4FEA">
      <w:pPr>
        <w:pStyle w:val="FootnoteText"/>
      </w:pPr>
      <w:r w:rsidRPr="00D04393">
        <w:rPr>
          <w:rStyle w:val="Caractresdenotedebasdepage0"/>
          <w:rFonts w:cs="Times New Roman"/>
        </w:rPr>
        <w:footnoteRef/>
      </w:r>
      <w:r w:rsidRPr="00D04393">
        <w:tab/>
        <w:t xml:space="preserve">Le rôle actif de Jean-Pierre </w:t>
      </w:r>
      <w:proofErr w:type="spellStart"/>
      <w:r w:rsidRPr="00D04393">
        <w:t>Jouyet</w:t>
      </w:r>
      <w:proofErr w:type="spellEnd"/>
      <w:r w:rsidRPr="00D04393">
        <w:t xml:space="preserve"> (IGF) dans ces nominations pour les gouvernements français de gauche et de droite depuis 2007 est un bon exemple. </w:t>
      </w:r>
    </w:p>
  </w:footnote>
  <w:footnote w:id="13">
    <w:p w:rsidR="001E7401" w:rsidRDefault="001E7401" w:rsidP="00B5166B">
      <w:pPr>
        <w:pStyle w:val="FootnoteText"/>
      </w:pPr>
      <w:r>
        <w:rPr>
          <w:rStyle w:val="FootnoteReference"/>
        </w:rPr>
        <w:footnoteRef/>
      </w:r>
      <w:r>
        <w:t xml:space="preserve"> </w:t>
      </w:r>
      <w:r w:rsidR="00267D6E">
        <w:t xml:space="preserve">Les candidats sont proposés au Conseil </w:t>
      </w:r>
      <w:proofErr w:type="spellStart"/>
      <w:r w:rsidR="00267D6E">
        <w:t>Ecofin</w:t>
      </w:r>
      <w:proofErr w:type="spellEnd"/>
      <w:r w:rsidR="00267D6E">
        <w:t xml:space="preserve"> par le</w:t>
      </w:r>
      <w:r w:rsidR="004C3D52">
        <w:t>s ministres des finances de leur nationalité</w:t>
      </w:r>
      <w:r w:rsidR="00267D6E">
        <w:t xml:space="preserve">. </w:t>
      </w:r>
      <w:r>
        <w:t xml:space="preserve">Les </w:t>
      </w:r>
      <w:r w:rsidR="004C3D52">
        <w:t xml:space="preserve">différentes </w:t>
      </w:r>
      <w:r>
        <w:t xml:space="preserve">procédures de </w:t>
      </w:r>
      <w:r w:rsidR="00595536">
        <w:t>sélection</w:t>
      </w:r>
      <w:r>
        <w:t xml:space="preserve"> des candidats </w:t>
      </w:r>
      <w:r w:rsidR="00B5166B">
        <w:t xml:space="preserve">par le Conseil </w:t>
      </w:r>
      <w:r>
        <w:t>sont mal connues</w:t>
      </w:r>
      <w:r w:rsidR="00BD20E7">
        <w:t xml:space="preserve"> car la publicité des candidatures est laissée à la discrétion des ministres des finances</w:t>
      </w:r>
      <w:r>
        <w:t xml:space="preserve">. </w:t>
      </w:r>
      <w:r w:rsidR="00BD20E7">
        <w:t xml:space="preserve">Plusieurs candidatures peuvent être </w:t>
      </w:r>
      <w:r w:rsidR="00B5166B">
        <w:t>proposées au Conseil Européen</w:t>
      </w:r>
      <w:r w:rsidR="00980E4F">
        <w:t xml:space="preserve"> par les ministres</w:t>
      </w:r>
      <w:r w:rsidR="00BD20E7">
        <w:t xml:space="preserve">, comme dans le cas de la nomination </w:t>
      </w:r>
      <w:r w:rsidR="004C3D52">
        <w:t>de Peter Praet qui étai</w:t>
      </w:r>
      <w:r w:rsidR="00BD20E7">
        <w:t xml:space="preserve">t en concurrence avec </w:t>
      </w:r>
      <w:r w:rsidR="00BD20E7" w:rsidRPr="00BD20E7">
        <w:t xml:space="preserve">Elena </w:t>
      </w:r>
      <w:proofErr w:type="spellStart"/>
      <w:r w:rsidR="00BD20E7" w:rsidRPr="00BD20E7">
        <w:t>Kohutikova</w:t>
      </w:r>
      <w:proofErr w:type="spellEnd"/>
      <w:r w:rsidR="00BD20E7" w:rsidRPr="00BD20E7">
        <w:t xml:space="preserve">, </w:t>
      </w:r>
      <w:r w:rsidR="00BD20E7">
        <w:t xml:space="preserve">alors </w:t>
      </w:r>
      <w:r w:rsidR="00BD20E7" w:rsidRPr="00BD20E7">
        <w:t>vice-gouverneur de la banque nationale slovaque.</w:t>
      </w:r>
      <w:r>
        <w:t xml:space="preserve"> </w:t>
      </w:r>
      <w:r w:rsidR="00BD20E7">
        <w:t xml:space="preserve">Au contraire, Benoit </w:t>
      </w:r>
      <w:proofErr w:type="spellStart"/>
      <w:r w:rsidR="00980E4F">
        <w:t>Cœuré</w:t>
      </w:r>
      <w:proofErr w:type="spellEnd"/>
      <w:r w:rsidR="00BD20E7">
        <w:t xml:space="preserve"> </w:t>
      </w:r>
      <w:r w:rsidR="00980E4F">
        <w:t xml:space="preserve">n’a pas eu de candidature concurrente lors de sa nomination. Alternativement, les ministres peuvent débattre plusieurs candidatures mais ne recommander qu’un seul candidat au Conseil Européen, comme ce fut le cas avec Yves Mersch qui était en concurrence avec </w:t>
      </w:r>
      <w:r w:rsidR="00980E4F" w:rsidRPr="00980E4F">
        <w:t xml:space="preserve">l’Espagnol, Antonio </w:t>
      </w:r>
      <w:proofErr w:type="spellStart"/>
      <w:r w:rsidR="00980E4F" w:rsidRPr="00980E4F">
        <w:t>Sainz</w:t>
      </w:r>
      <w:proofErr w:type="spellEnd"/>
      <w:r w:rsidR="00980E4F" w:rsidRPr="00980E4F">
        <w:t xml:space="preserve"> de </w:t>
      </w:r>
      <w:proofErr w:type="spellStart"/>
      <w:r w:rsidR="00980E4F" w:rsidRPr="00980E4F">
        <w:t>Vicuña</w:t>
      </w:r>
      <w:proofErr w:type="spellEnd"/>
      <w:r w:rsidR="00980E4F" w:rsidRPr="00980E4F">
        <w:t xml:space="preserve">, et le Slovène </w:t>
      </w:r>
      <w:proofErr w:type="spellStart"/>
      <w:r w:rsidR="00980E4F" w:rsidRPr="00980E4F">
        <w:t>Mitja</w:t>
      </w:r>
      <w:proofErr w:type="spellEnd"/>
      <w:r w:rsidR="00980E4F" w:rsidRPr="00980E4F">
        <w:t xml:space="preserve"> </w:t>
      </w:r>
      <w:proofErr w:type="spellStart"/>
      <w:r w:rsidR="00980E4F" w:rsidRPr="00980E4F">
        <w:t>Gaspari</w:t>
      </w:r>
      <w:proofErr w:type="spellEnd"/>
      <w:r w:rsidR="00980E4F">
        <w:t>.</w:t>
      </w:r>
    </w:p>
  </w:footnote>
  <w:footnote w:id="14">
    <w:p w:rsidR="007A4FEA" w:rsidRPr="007A4FEA" w:rsidRDefault="007A4FEA" w:rsidP="007A4FEA">
      <w:pPr>
        <w:pStyle w:val="FootnoteText"/>
      </w:pPr>
      <w:r w:rsidRPr="00D04393">
        <w:rPr>
          <w:rStyle w:val="Caractresdenotedebasdepage0"/>
          <w:rFonts w:cs="Times New Roman"/>
        </w:rPr>
        <w:footnoteRef/>
      </w:r>
      <w:r w:rsidRPr="007A4FEA">
        <w:tab/>
        <w:t>La BCE est le préteur en dernier ressort car elle est la seule institution à pouvoir fournir de la liquidité aux acteurs bancaires ou étatiques qui ne peuvent plus se refinancer. Ses actions d’assistance financière ont accentué son rôle d'intermédiation dans l'économie et ont fait croître la taille de sa balance commerciale de 10 à 30% du PIB de la zone euro.</w:t>
      </w:r>
    </w:p>
  </w:footnote>
  <w:footnote w:id="15">
    <w:p w:rsidR="007A4FEA" w:rsidRPr="007A4FEA" w:rsidRDefault="007A4FEA" w:rsidP="007A4FEA">
      <w:pPr>
        <w:pStyle w:val="FootnoteText"/>
      </w:pPr>
      <w:r w:rsidRPr="00D04393">
        <w:rPr>
          <w:rStyle w:val="Caractresdenotedebasdepage0"/>
          <w:rFonts w:cs="Times New Roman"/>
        </w:rPr>
        <w:footnoteRef/>
      </w:r>
      <w:r w:rsidRPr="007A4FEA">
        <w:tab/>
        <w:t>L'influence des idées ordo-libérales dans les cercles politiques allemands reste cependant forte et l'absence de critiques du gouvernement allemand sur les politiques de la BCE divise sa coalition.</w:t>
      </w:r>
      <w:r>
        <w:t xml:space="preserve"> </w:t>
      </w:r>
      <w:r w:rsidRPr="007A4FEA">
        <w:t xml:space="preserve">Les multiples attaques du député conservateur Peter </w:t>
      </w:r>
      <w:proofErr w:type="spellStart"/>
      <w:r w:rsidRPr="007A4FEA">
        <w:t>Gauweiler</w:t>
      </w:r>
      <w:proofErr w:type="spellEnd"/>
      <w:r w:rsidRPr="007A4FEA">
        <w:t xml:space="preserve"> sur les politiques de la BCE devant les cours constitutionnelles en sont le témoin (</w:t>
      </w:r>
      <w:proofErr w:type="spellStart"/>
      <w:r w:rsidRPr="007A4FEA">
        <w:t>Wagstyl</w:t>
      </w:r>
      <w:proofErr w:type="spellEnd"/>
      <w:r w:rsidRPr="007A4FEA">
        <w:t xml:space="preserve"> et Gilles, 2015).</w:t>
      </w:r>
    </w:p>
  </w:footnote>
  <w:footnote w:id="16">
    <w:p w:rsidR="007A4FEA" w:rsidRPr="007A4FEA" w:rsidRDefault="007A4FEA" w:rsidP="007A4FEA">
      <w:pPr>
        <w:pStyle w:val="FootnoteText"/>
      </w:pPr>
      <w:r w:rsidRPr="00D04393">
        <w:rPr>
          <w:rStyle w:val="Caractresdenotedebasdepage0"/>
          <w:rFonts w:cs="Times New Roman"/>
        </w:rPr>
        <w:footnoteRef/>
      </w:r>
      <w:r w:rsidRPr="007A4FEA">
        <w:tab/>
        <w:t xml:space="preserve">Proposition de résolution européenne relative à la dette souveraine des États de la zone euro (n°2723) proposée par le député Nicolas </w:t>
      </w:r>
      <w:proofErr w:type="spellStart"/>
      <w:r w:rsidRPr="007A4FEA">
        <w:t>Sansu</w:t>
      </w:r>
      <w:proofErr w:type="spellEnd"/>
      <w:r w:rsidRPr="007A4FEA">
        <w:t xml:space="preserve"> (22 avril 2015) </w:t>
      </w:r>
      <w:r w:rsidRPr="004F050C">
        <w:rPr>
          <w:rFonts w:cs="Times New Roman"/>
          <w:lang w:val="fr-CA"/>
        </w:rPr>
        <w:t>http://www.assemblee-nationale.fr/14/rapports/r2738.asp</w:t>
      </w:r>
    </w:p>
  </w:footnote>
  <w:footnote w:id="17">
    <w:p w:rsidR="00E117EF" w:rsidRDefault="00E117EF">
      <w:pPr>
        <w:pStyle w:val="FootnoteText"/>
      </w:pPr>
      <w:r>
        <w:rPr>
          <w:rStyle w:val="FootnoteReference"/>
        </w:rPr>
        <w:footnoteRef/>
      </w:r>
      <w:r>
        <w:t xml:space="preserve"> Depuis sa prise de fonction en tant que gouverneur de la Banque Centrale du Luxembourg, Yves Mersch est considéré comme un « faucon » par ses pairs du fait de ses positions « conservatrices » en termes de politique monétaire.</w:t>
      </w:r>
    </w:p>
  </w:footnote>
  <w:footnote w:id="18">
    <w:p w:rsidR="007A4FEA" w:rsidRPr="00D04393" w:rsidRDefault="007A4FEA" w:rsidP="007A4FEA">
      <w:pPr>
        <w:pStyle w:val="FootnoteText"/>
      </w:pPr>
      <w:r w:rsidRPr="00D04393">
        <w:rPr>
          <w:rStyle w:val="Caractresdenotedebasdepage0"/>
          <w:rFonts w:cs="Times New Roman"/>
        </w:rPr>
        <w:footnoteRef/>
      </w:r>
      <w:r w:rsidRPr="00D04393">
        <w:tab/>
        <w:t xml:space="preserve"> Par exemple, le directoire pourrait inclure des anciens banquiers ayant exercé dans des banques « éthiques »</w:t>
      </w:r>
      <w:r>
        <w:t xml:space="preserve"> </w:t>
      </w:r>
      <w:r w:rsidRPr="00D04393">
        <w:t xml:space="preserve">ou « soutenables » davantage ancrées dans l'économie réelle que les grandes banques </w:t>
      </w:r>
      <w:r w:rsidR="00195931">
        <w:t>sujette à</w:t>
      </w:r>
      <w:r w:rsidR="00195931" w:rsidRPr="00D04393">
        <w:t xml:space="preserve"> </w:t>
      </w:r>
      <w:r w:rsidRPr="00D04393">
        <w:t>un risque systémique.</w:t>
      </w:r>
    </w:p>
  </w:footnote>
  <w:footnote w:id="19">
    <w:p w:rsidR="007A4FEA" w:rsidRPr="00D04393" w:rsidRDefault="007A4FEA" w:rsidP="007A4FEA">
      <w:pPr>
        <w:pStyle w:val="FootnoteText"/>
      </w:pPr>
      <w:r w:rsidRPr="00D04393">
        <w:rPr>
          <w:rStyle w:val="Caractresdenotedebasdepage0"/>
          <w:rFonts w:cs="Times New Roman"/>
        </w:rPr>
        <w:footnoteRef/>
      </w:r>
      <w:r w:rsidRPr="00D04393">
        <w:tab/>
        <w:t xml:space="preserve">Par exemple, Andrew Haldane, le chef économiste de la </w:t>
      </w:r>
      <w:r w:rsidRPr="00D04393">
        <w:rPr>
          <w:i/>
          <w:iCs/>
        </w:rPr>
        <w:t xml:space="preserve">Bank of </w:t>
      </w:r>
      <w:proofErr w:type="spellStart"/>
      <w:r w:rsidRPr="00D04393">
        <w:rPr>
          <w:i/>
          <w:iCs/>
        </w:rPr>
        <w:t>England</w:t>
      </w:r>
      <w:proofErr w:type="spellEnd"/>
      <w:r w:rsidRPr="00D04393">
        <w:rPr>
          <w:i/>
          <w:iCs/>
        </w:rPr>
        <w:t xml:space="preserve"> </w:t>
      </w:r>
      <w:r w:rsidRPr="00D04393">
        <w:t>a soutenu</w:t>
      </w:r>
      <w:r w:rsidR="00195931">
        <w:t xml:space="preserve">, </w:t>
      </w:r>
      <w:r w:rsidR="00195931" w:rsidRPr="00D04393">
        <w:t>le 29 octobre 2012</w:t>
      </w:r>
      <w:r w:rsidR="00195931">
        <w:t>,</w:t>
      </w:r>
      <w:r w:rsidRPr="00D04393">
        <w:t xml:space="preserve"> devant le mouvement </w:t>
      </w:r>
      <w:proofErr w:type="spellStart"/>
      <w:r w:rsidRPr="00D04393">
        <w:rPr>
          <w:i/>
          <w:iCs/>
        </w:rPr>
        <w:t>Occupy</w:t>
      </w:r>
      <w:proofErr w:type="spellEnd"/>
      <w:r w:rsidRPr="00D04393">
        <w:rPr>
          <w:i/>
          <w:iCs/>
        </w:rPr>
        <w:t xml:space="preserve"> </w:t>
      </w:r>
      <w:r w:rsidRPr="00D04393">
        <w:t>que leurs critiques sur le fonctionnement injuste de la finance étaient fondées</w:t>
      </w:r>
      <w:r w:rsidR="00195931">
        <w:t>,</w:t>
      </w:r>
      <w:r w:rsidRPr="00D04393">
        <w:t xml:space="preserve"> tandis que Sarah </w:t>
      </w:r>
      <w:proofErr w:type="spellStart"/>
      <w:r w:rsidRPr="00D04393">
        <w:t>Raskin</w:t>
      </w:r>
      <w:proofErr w:type="spellEnd"/>
      <w:r w:rsidRPr="00D04393">
        <w:t xml:space="preserve">, </w:t>
      </w:r>
      <w:proofErr w:type="gramStart"/>
      <w:r w:rsidRPr="00D04393">
        <w:t>une ancienne</w:t>
      </w:r>
      <w:proofErr w:type="gramEnd"/>
      <w:r w:rsidRPr="00D04393">
        <w:t xml:space="preserve"> membre du Conseil des gouverneurs de la </w:t>
      </w:r>
      <w:proofErr w:type="spellStart"/>
      <w:r w:rsidRPr="00D04393">
        <w:rPr>
          <w:i/>
          <w:iCs/>
        </w:rPr>
        <w:t>Federal</w:t>
      </w:r>
      <w:proofErr w:type="spellEnd"/>
      <w:r w:rsidRPr="00D04393">
        <w:rPr>
          <w:i/>
          <w:iCs/>
        </w:rPr>
        <w:t xml:space="preserve"> Reserve,</w:t>
      </w:r>
      <w:r w:rsidRPr="00D04393">
        <w:t xml:space="preserve"> soutenait le 16 mai 2013 que les inégalités économiques sont liées à la financiarisation de l'économie, qu'elles sont problématiques pour la croissance et qu'elles doivent ainsi être combattues</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07D25EEA"/>
    <w:lvl w:ilvl="0">
      <w:start w:val="1"/>
      <w:numFmt w:val="decimal"/>
      <w:lvlText w:val="%1."/>
      <w:lvlJc w:val="left"/>
      <w:pPr>
        <w:tabs>
          <w:tab w:val="num" w:pos="1492"/>
        </w:tabs>
        <w:ind w:left="1492" w:hanging="360"/>
      </w:pPr>
    </w:lvl>
  </w:abstractNum>
  <w:abstractNum w:abstractNumId="1">
    <w:nsid w:val="FFFFFF7D"/>
    <w:multiLevelType w:val="singleLevel"/>
    <w:tmpl w:val="A9687C54"/>
    <w:lvl w:ilvl="0">
      <w:start w:val="1"/>
      <w:numFmt w:val="decimal"/>
      <w:lvlText w:val="%1."/>
      <w:lvlJc w:val="left"/>
      <w:pPr>
        <w:tabs>
          <w:tab w:val="num" w:pos="1209"/>
        </w:tabs>
        <w:ind w:left="1209" w:hanging="360"/>
      </w:pPr>
    </w:lvl>
  </w:abstractNum>
  <w:abstractNum w:abstractNumId="2">
    <w:nsid w:val="FFFFFF7E"/>
    <w:multiLevelType w:val="singleLevel"/>
    <w:tmpl w:val="CEC85906"/>
    <w:lvl w:ilvl="0">
      <w:start w:val="1"/>
      <w:numFmt w:val="decimal"/>
      <w:lvlText w:val="%1."/>
      <w:lvlJc w:val="left"/>
      <w:pPr>
        <w:tabs>
          <w:tab w:val="num" w:pos="926"/>
        </w:tabs>
        <w:ind w:left="926" w:hanging="360"/>
      </w:pPr>
    </w:lvl>
  </w:abstractNum>
  <w:abstractNum w:abstractNumId="3">
    <w:nsid w:val="FFFFFF7F"/>
    <w:multiLevelType w:val="singleLevel"/>
    <w:tmpl w:val="002E2F1C"/>
    <w:lvl w:ilvl="0">
      <w:start w:val="1"/>
      <w:numFmt w:val="decimal"/>
      <w:lvlText w:val="%1."/>
      <w:lvlJc w:val="left"/>
      <w:pPr>
        <w:tabs>
          <w:tab w:val="num" w:pos="643"/>
        </w:tabs>
        <w:ind w:left="643" w:hanging="360"/>
      </w:pPr>
    </w:lvl>
  </w:abstractNum>
  <w:abstractNum w:abstractNumId="4">
    <w:nsid w:val="FFFFFF80"/>
    <w:multiLevelType w:val="singleLevel"/>
    <w:tmpl w:val="AA90CDF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A18FE0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BE6D83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A42BAE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80EE1FC"/>
    <w:lvl w:ilvl="0">
      <w:start w:val="1"/>
      <w:numFmt w:val="decimal"/>
      <w:lvlText w:val="%1."/>
      <w:lvlJc w:val="left"/>
      <w:pPr>
        <w:tabs>
          <w:tab w:val="num" w:pos="360"/>
        </w:tabs>
        <w:ind w:left="360" w:hanging="360"/>
      </w:pPr>
    </w:lvl>
  </w:abstractNum>
  <w:abstractNum w:abstractNumId="9">
    <w:nsid w:val="FFFFFF89"/>
    <w:multiLevelType w:val="singleLevel"/>
    <w:tmpl w:val="B016CFC8"/>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singleLevel"/>
    <w:tmpl w:val="00000001"/>
    <w:lvl w:ilvl="0">
      <w:start w:val="1"/>
      <w:numFmt w:val="bullet"/>
      <w:lvlText w:val=""/>
      <w:lvlJc w:val="left"/>
      <w:pPr>
        <w:tabs>
          <w:tab w:val="num" w:pos="1069"/>
        </w:tabs>
        <w:ind w:left="0" w:firstLine="709"/>
      </w:pPr>
      <w:rPr>
        <w:rFonts w:ascii="Symbol" w:hAnsi="Symbol"/>
      </w:rPr>
    </w:lvl>
  </w:abstractNum>
  <w:abstractNum w:abstractNumId="11">
    <w:nsid w:val="00000002"/>
    <w:multiLevelType w:val="multilevel"/>
    <w:tmpl w:val="00000002"/>
    <w:name w:val="WW8Num2"/>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03"/>
    <w:multiLevelType w:val="multilevel"/>
    <w:tmpl w:val="00000003"/>
    <w:name w:val="WW8Num3"/>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0000004"/>
    <w:multiLevelType w:val="multilevel"/>
    <w:tmpl w:val="00000004"/>
    <w:name w:val="WW8Num4"/>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088B731A"/>
    <w:multiLevelType w:val="hybridMultilevel"/>
    <w:tmpl w:val="29562F20"/>
    <w:lvl w:ilvl="0" w:tplc="665E88DE">
      <w:start w:val="2"/>
      <w:numFmt w:val="decimal"/>
      <w:lvlText w:val="%1"/>
      <w:lvlJc w:val="left"/>
      <w:pPr>
        <w:ind w:left="1065" w:hanging="360"/>
      </w:pPr>
      <w:rPr>
        <w:rFonts w:cs="Times New Roman" w:hint="default"/>
        <w:b/>
      </w:rPr>
    </w:lvl>
    <w:lvl w:ilvl="1" w:tplc="040C0019" w:tentative="1">
      <w:start w:val="1"/>
      <w:numFmt w:val="lowerLetter"/>
      <w:lvlText w:val="%2."/>
      <w:lvlJc w:val="left"/>
      <w:pPr>
        <w:ind w:left="1785" w:hanging="360"/>
      </w:pPr>
      <w:rPr>
        <w:rFonts w:cs="Times New Roman"/>
      </w:rPr>
    </w:lvl>
    <w:lvl w:ilvl="2" w:tplc="040C001B" w:tentative="1">
      <w:start w:val="1"/>
      <w:numFmt w:val="lowerRoman"/>
      <w:lvlText w:val="%3."/>
      <w:lvlJc w:val="right"/>
      <w:pPr>
        <w:ind w:left="2505" w:hanging="180"/>
      </w:pPr>
      <w:rPr>
        <w:rFonts w:cs="Times New Roman"/>
      </w:rPr>
    </w:lvl>
    <w:lvl w:ilvl="3" w:tplc="040C000F" w:tentative="1">
      <w:start w:val="1"/>
      <w:numFmt w:val="decimal"/>
      <w:lvlText w:val="%4."/>
      <w:lvlJc w:val="left"/>
      <w:pPr>
        <w:ind w:left="3225" w:hanging="360"/>
      </w:pPr>
      <w:rPr>
        <w:rFonts w:cs="Times New Roman"/>
      </w:rPr>
    </w:lvl>
    <w:lvl w:ilvl="4" w:tplc="040C0019" w:tentative="1">
      <w:start w:val="1"/>
      <w:numFmt w:val="lowerLetter"/>
      <w:lvlText w:val="%5."/>
      <w:lvlJc w:val="left"/>
      <w:pPr>
        <w:ind w:left="3945" w:hanging="360"/>
      </w:pPr>
      <w:rPr>
        <w:rFonts w:cs="Times New Roman"/>
      </w:rPr>
    </w:lvl>
    <w:lvl w:ilvl="5" w:tplc="040C001B" w:tentative="1">
      <w:start w:val="1"/>
      <w:numFmt w:val="lowerRoman"/>
      <w:lvlText w:val="%6."/>
      <w:lvlJc w:val="right"/>
      <w:pPr>
        <w:ind w:left="4665" w:hanging="180"/>
      </w:pPr>
      <w:rPr>
        <w:rFonts w:cs="Times New Roman"/>
      </w:rPr>
    </w:lvl>
    <w:lvl w:ilvl="6" w:tplc="040C000F" w:tentative="1">
      <w:start w:val="1"/>
      <w:numFmt w:val="decimal"/>
      <w:lvlText w:val="%7."/>
      <w:lvlJc w:val="left"/>
      <w:pPr>
        <w:ind w:left="5385" w:hanging="360"/>
      </w:pPr>
      <w:rPr>
        <w:rFonts w:cs="Times New Roman"/>
      </w:rPr>
    </w:lvl>
    <w:lvl w:ilvl="7" w:tplc="040C0019" w:tentative="1">
      <w:start w:val="1"/>
      <w:numFmt w:val="lowerLetter"/>
      <w:lvlText w:val="%8."/>
      <w:lvlJc w:val="left"/>
      <w:pPr>
        <w:ind w:left="6105" w:hanging="360"/>
      </w:pPr>
      <w:rPr>
        <w:rFonts w:cs="Times New Roman"/>
      </w:rPr>
    </w:lvl>
    <w:lvl w:ilvl="8" w:tplc="040C001B" w:tentative="1">
      <w:start w:val="1"/>
      <w:numFmt w:val="lowerRoman"/>
      <w:lvlText w:val="%9."/>
      <w:lvlJc w:val="right"/>
      <w:pPr>
        <w:ind w:left="6825" w:hanging="180"/>
      </w:pPr>
      <w:rPr>
        <w:rFonts w:cs="Times New Roman"/>
      </w:rPr>
    </w:lvl>
  </w:abstractNum>
  <w:abstractNum w:abstractNumId="15">
    <w:nsid w:val="0FE922FB"/>
    <w:multiLevelType w:val="hybridMultilevel"/>
    <w:tmpl w:val="97144098"/>
    <w:lvl w:ilvl="0" w:tplc="75DABA4A">
      <w:start w:val="1"/>
      <w:numFmt w:val="bullet"/>
      <w:lvlText w:val=""/>
      <w:lvlJc w:val="left"/>
      <w:pPr>
        <w:ind w:left="1457" w:hanging="360"/>
      </w:pPr>
      <w:rPr>
        <w:rFonts w:ascii="Symbol" w:hAnsi="Symbol" w:hint="default"/>
      </w:rPr>
    </w:lvl>
    <w:lvl w:ilvl="1" w:tplc="040C0003" w:tentative="1">
      <w:start w:val="1"/>
      <w:numFmt w:val="bullet"/>
      <w:lvlText w:val="o"/>
      <w:lvlJc w:val="left"/>
      <w:pPr>
        <w:ind w:left="2177" w:hanging="360"/>
      </w:pPr>
      <w:rPr>
        <w:rFonts w:ascii="Courier New" w:hAnsi="Courier New" w:cs="Courier New" w:hint="default"/>
      </w:rPr>
    </w:lvl>
    <w:lvl w:ilvl="2" w:tplc="040C0005" w:tentative="1">
      <w:start w:val="1"/>
      <w:numFmt w:val="bullet"/>
      <w:lvlText w:val=""/>
      <w:lvlJc w:val="left"/>
      <w:pPr>
        <w:ind w:left="2897" w:hanging="360"/>
      </w:pPr>
      <w:rPr>
        <w:rFonts w:ascii="Wingdings" w:hAnsi="Wingdings" w:hint="default"/>
      </w:rPr>
    </w:lvl>
    <w:lvl w:ilvl="3" w:tplc="040C0001" w:tentative="1">
      <w:start w:val="1"/>
      <w:numFmt w:val="bullet"/>
      <w:lvlText w:val=""/>
      <w:lvlJc w:val="left"/>
      <w:pPr>
        <w:ind w:left="3617" w:hanging="360"/>
      </w:pPr>
      <w:rPr>
        <w:rFonts w:ascii="Symbol" w:hAnsi="Symbol" w:hint="default"/>
      </w:rPr>
    </w:lvl>
    <w:lvl w:ilvl="4" w:tplc="040C0003" w:tentative="1">
      <w:start w:val="1"/>
      <w:numFmt w:val="bullet"/>
      <w:lvlText w:val="o"/>
      <w:lvlJc w:val="left"/>
      <w:pPr>
        <w:ind w:left="4337" w:hanging="360"/>
      </w:pPr>
      <w:rPr>
        <w:rFonts w:ascii="Courier New" w:hAnsi="Courier New" w:cs="Courier New" w:hint="default"/>
      </w:rPr>
    </w:lvl>
    <w:lvl w:ilvl="5" w:tplc="040C0005" w:tentative="1">
      <w:start w:val="1"/>
      <w:numFmt w:val="bullet"/>
      <w:lvlText w:val=""/>
      <w:lvlJc w:val="left"/>
      <w:pPr>
        <w:ind w:left="5057" w:hanging="360"/>
      </w:pPr>
      <w:rPr>
        <w:rFonts w:ascii="Wingdings" w:hAnsi="Wingdings" w:hint="default"/>
      </w:rPr>
    </w:lvl>
    <w:lvl w:ilvl="6" w:tplc="040C0001" w:tentative="1">
      <w:start w:val="1"/>
      <w:numFmt w:val="bullet"/>
      <w:lvlText w:val=""/>
      <w:lvlJc w:val="left"/>
      <w:pPr>
        <w:ind w:left="5777" w:hanging="360"/>
      </w:pPr>
      <w:rPr>
        <w:rFonts w:ascii="Symbol" w:hAnsi="Symbol" w:hint="default"/>
      </w:rPr>
    </w:lvl>
    <w:lvl w:ilvl="7" w:tplc="040C0003" w:tentative="1">
      <w:start w:val="1"/>
      <w:numFmt w:val="bullet"/>
      <w:lvlText w:val="o"/>
      <w:lvlJc w:val="left"/>
      <w:pPr>
        <w:ind w:left="6497" w:hanging="360"/>
      </w:pPr>
      <w:rPr>
        <w:rFonts w:ascii="Courier New" w:hAnsi="Courier New" w:cs="Courier New" w:hint="default"/>
      </w:rPr>
    </w:lvl>
    <w:lvl w:ilvl="8" w:tplc="040C0005" w:tentative="1">
      <w:start w:val="1"/>
      <w:numFmt w:val="bullet"/>
      <w:lvlText w:val=""/>
      <w:lvlJc w:val="left"/>
      <w:pPr>
        <w:ind w:left="7217" w:hanging="360"/>
      </w:pPr>
      <w:rPr>
        <w:rFonts w:ascii="Wingdings" w:hAnsi="Wingdings" w:hint="default"/>
      </w:rPr>
    </w:lvl>
  </w:abstractNum>
  <w:abstractNum w:abstractNumId="16">
    <w:nsid w:val="20B874FC"/>
    <w:multiLevelType w:val="hybridMultilevel"/>
    <w:tmpl w:val="4B7A1378"/>
    <w:lvl w:ilvl="0" w:tplc="5BB6C434">
      <w:start w:val="1"/>
      <w:numFmt w:val="upperLetter"/>
      <w:lvlText w:val="%1."/>
      <w:lvlJc w:val="left"/>
      <w:pPr>
        <w:tabs>
          <w:tab w:val="num" w:pos="720"/>
        </w:tabs>
        <w:ind w:left="720" w:hanging="360"/>
      </w:pPr>
    </w:lvl>
    <w:lvl w:ilvl="1" w:tplc="8AC4F2A2" w:tentative="1">
      <w:start w:val="1"/>
      <w:numFmt w:val="upperLetter"/>
      <w:lvlText w:val="%2."/>
      <w:lvlJc w:val="left"/>
      <w:pPr>
        <w:tabs>
          <w:tab w:val="num" w:pos="1440"/>
        </w:tabs>
        <w:ind w:left="1440" w:hanging="360"/>
      </w:pPr>
    </w:lvl>
    <w:lvl w:ilvl="2" w:tplc="E968F4CE" w:tentative="1">
      <w:start w:val="1"/>
      <w:numFmt w:val="upperLetter"/>
      <w:lvlText w:val="%3."/>
      <w:lvlJc w:val="left"/>
      <w:pPr>
        <w:tabs>
          <w:tab w:val="num" w:pos="2160"/>
        </w:tabs>
        <w:ind w:left="2160" w:hanging="360"/>
      </w:pPr>
    </w:lvl>
    <w:lvl w:ilvl="3" w:tplc="46E2E318" w:tentative="1">
      <w:start w:val="1"/>
      <w:numFmt w:val="upperLetter"/>
      <w:lvlText w:val="%4."/>
      <w:lvlJc w:val="left"/>
      <w:pPr>
        <w:tabs>
          <w:tab w:val="num" w:pos="2880"/>
        </w:tabs>
        <w:ind w:left="2880" w:hanging="360"/>
      </w:pPr>
    </w:lvl>
    <w:lvl w:ilvl="4" w:tplc="AB6E46AE" w:tentative="1">
      <w:start w:val="1"/>
      <w:numFmt w:val="upperLetter"/>
      <w:lvlText w:val="%5."/>
      <w:lvlJc w:val="left"/>
      <w:pPr>
        <w:tabs>
          <w:tab w:val="num" w:pos="3600"/>
        </w:tabs>
        <w:ind w:left="3600" w:hanging="360"/>
      </w:pPr>
    </w:lvl>
    <w:lvl w:ilvl="5" w:tplc="CE205D38" w:tentative="1">
      <w:start w:val="1"/>
      <w:numFmt w:val="upperLetter"/>
      <w:lvlText w:val="%6."/>
      <w:lvlJc w:val="left"/>
      <w:pPr>
        <w:tabs>
          <w:tab w:val="num" w:pos="4320"/>
        </w:tabs>
        <w:ind w:left="4320" w:hanging="360"/>
      </w:pPr>
    </w:lvl>
    <w:lvl w:ilvl="6" w:tplc="A300D4C0" w:tentative="1">
      <w:start w:val="1"/>
      <w:numFmt w:val="upperLetter"/>
      <w:lvlText w:val="%7."/>
      <w:lvlJc w:val="left"/>
      <w:pPr>
        <w:tabs>
          <w:tab w:val="num" w:pos="5040"/>
        </w:tabs>
        <w:ind w:left="5040" w:hanging="360"/>
      </w:pPr>
    </w:lvl>
    <w:lvl w:ilvl="7" w:tplc="5AB41E0A" w:tentative="1">
      <w:start w:val="1"/>
      <w:numFmt w:val="upperLetter"/>
      <w:lvlText w:val="%8."/>
      <w:lvlJc w:val="left"/>
      <w:pPr>
        <w:tabs>
          <w:tab w:val="num" w:pos="5760"/>
        </w:tabs>
        <w:ind w:left="5760" w:hanging="360"/>
      </w:pPr>
    </w:lvl>
    <w:lvl w:ilvl="8" w:tplc="B0ECF0F4" w:tentative="1">
      <w:start w:val="1"/>
      <w:numFmt w:val="upperLetter"/>
      <w:lvlText w:val="%9."/>
      <w:lvlJc w:val="left"/>
      <w:pPr>
        <w:tabs>
          <w:tab w:val="num" w:pos="6480"/>
        </w:tabs>
        <w:ind w:left="6480" w:hanging="360"/>
      </w:pPr>
    </w:lvl>
  </w:abstractNum>
  <w:abstractNum w:abstractNumId="17">
    <w:nsid w:val="369114D0"/>
    <w:multiLevelType w:val="hybridMultilevel"/>
    <w:tmpl w:val="CC5206F8"/>
    <w:lvl w:ilvl="0" w:tplc="13AE5BA2">
      <w:start w:val="1"/>
      <w:numFmt w:val="decimal"/>
      <w:lvlText w:val="%1-"/>
      <w:lvlJc w:val="left"/>
      <w:pPr>
        <w:ind w:left="1065" w:hanging="360"/>
      </w:pPr>
      <w:rPr>
        <w:rFonts w:cs="Times New Roman" w:hint="default"/>
      </w:rPr>
    </w:lvl>
    <w:lvl w:ilvl="1" w:tplc="040C0019" w:tentative="1">
      <w:start w:val="1"/>
      <w:numFmt w:val="lowerLetter"/>
      <w:lvlText w:val="%2."/>
      <w:lvlJc w:val="left"/>
      <w:pPr>
        <w:ind w:left="1785" w:hanging="360"/>
      </w:pPr>
      <w:rPr>
        <w:rFonts w:cs="Times New Roman"/>
      </w:rPr>
    </w:lvl>
    <w:lvl w:ilvl="2" w:tplc="040C001B" w:tentative="1">
      <w:start w:val="1"/>
      <w:numFmt w:val="lowerRoman"/>
      <w:lvlText w:val="%3."/>
      <w:lvlJc w:val="right"/>
      <w:pPr>
        <w:ind w:left="2505" w:hanging="180"/>
      </w:pPr>
      <w:rPr>
        <w:rFonts w:cs="Times New Roman"/>
      </w:rPr>
    </w:lvl>
    <w:lvl w:ilvl="3" w:tplc="040C000F" w:tentative="1">
      <w:start w:val="1"/>
      <w:numFmt w:val="decimal"/>
      <w:lvlText w:val="%4."/>
      <w:lvlJc w:val="left"/>
      <w:pPr>
        <w:ind w:left="3225" w:hanging="360"/>
      </w:pPr>
      <w:rPr>
        <w:rFonts w:cs="Times New Roman"/>
      </w:rPr>
    </w:lvl>
    <w:lvl w:ilvl="4" w:tplc="040C0019" w:tentative="1">
      <w:start w:val="1"/>
      <w:numFmt w:val="lowerLetter"/>
      <w:lvlText w:val="%5."/>
      <w:lvlJc w:val="left"/>
      <w:pPr>
        <w:ind w:left="3945" w:hanging="360"/>
      </w:pPr>
      <w:rPr>
        <w:rFonts w:cs="Times New Roman"/>
      </w:rPr>
    </w:lvl>
    <w:lvl w:ilvl="5" w:tplc="040C001B" w:tentative="1">
      <w:start w:val="1"/>
      <w:numFmt w:val="lowerRoman"/>
      <w:lvlText w:val="%6."/>
      <w:lvlJc w:val="right"/>
      <w:pPr>
        <w:ind w:left="4665" w:hanging="180"/>
      </w:pPr>
      <w:rPr>
        <w:rFonts w:cs="Times New Roman"/>
      </w:rPr>
    </w:lvl>
    <w:lvl w:ilvl="6" w:tplc="040C000F" w:tentative="1">
      <w:start w:val="1"/>
      <w:numFmt w:val="decimal"/>
      <w:lvlText w:val="%7."/>
      <w:lvlJc w:val="left"/>
      <w:pPr>
        <w:ind w:left="5385" w:hanging="360"/>
      </w:pPr>
      <w:rPr>
        <w:rFonts w:cs="Times New Roman"/>
      </w:rPr>
    </w:lvl>
    <w:lvl w:ilvl="7" w:tplc="040C0019" w:tentative="1">
      <w:start w:val="1"/>
      <w:numFmt w:val="lowerLetter"/>
      <w:lvlText w:val="%8."/>
      <w:lvlJc w:val="left"/>
      <w:pPr>
        <w:ind w:left="6105" w:hanging="360"/>
      </w:pPr>
      <w:rPr>
        <w:rFonts w:cs="Times New Roman"/>
      </w:rPr>
    </w:lvl>
    <w:lvl w:ilvl="8" w:tplc="040C001B" w:tentative="1">
      <w:start w:val="1"/>
      <w:numFmt w:val="lowerRoman"/>
      <w:lvlText w:val="%9."/>
      <w:lvlJc w:val="right"/>
      <w:pPr>
        <w:ind w:left="6825" w:hanging="180"/>
      </w:pPr>
      <w:rPr>
        <w:rFonts w:cs="Times New Roman"/>
      </w:rPr>
    </w:lvl>
  </w:abstractNum>
  <w:abstractNum w:abstractNumId="18">
    <w:nsid w:val="3A0A5F30"/>
    <w:multiLevelType w:val="hybridMultilevel"/>
    <w:tmpl w:val="047ED3A8"/>
    <w:lvl w:ilvl="0" w:tplc="59E8A58E">
      <w:start w:val="1"/>
      <w:numFmt w:val="bullet"/>
      <w:lvlText w:val=""/>
      <w:lvlJc w:val="left"/>
      <w:pPr>
        <w:tabs>
          <w:tab w:val="num" w:pos="720"/>
        </w:tabs>
        <w:ind w:left="720" w:hanging="360"/>
      </w:pPr>
      <w:rPr>
        <w:rFonts w:ascii="Symbol" w:hAnsi="Symbol" w:hint="default"/>
        <w:sz w:val="20"/>
      </w:rPr>
    </w:lvl>
    <w:lvl w:ilvl="1" w:tplc="BB7ACFC6" w:tentative="1">
      <w:start w:val="1"/>
      <w:numFmt w:val="bullet"/>
      <w:lvlText w:val="o"/>
      <w:lvlJc w:val="left"/>
      <w:pPr>
        <w:tabs>
          <w:tab w:val="num" w:pos="1440"/>
        </w:tabs>
        <w:ind w:left="1440" w:hanging="360"/>
      </w:pPr>
      <w:rPr>
        <w:rFonts w:ascii="Courier New" w:hAnsi="Courier New" w:hint="default"/>
        <w:sz w:val="20"/>
      </w:rPr>
    </w:lvl>
    <w:lvl w:ilvl="2" w:tplc="55A868E0" w:tentative="1">
      <w:start w:val="1"/>
      <w:numFmt w:val="bullet"/>
      <w:lvlText w:val=""/>
      <w:lvlJc w:val="left"/>
      <w:pPr>
        <w:tabs>
          <w:tab w:val="num" w:pos="2160"/>
        </w:tabs>
        <w:ind w:left="2160" w:hanging="360"/>
      </w:pPr>
      <w:rPr>
        <w:rFonts w:ascii="Wingdings" w:hAnsi="Wingdings" w:hint="default"/>
        <w:sz w:val="20"/>
      </w:rPr>
    </w:lvl>
    <w:lvl w:ilvl="3" w:tplc="F744987C" w:tentative="1">
      <w:start w:val="1"/>
      <w:numFmt w:val="bullet"/>
      <w:lvlText w:val=""/>
      <w:lvlJc w:val="left"/>
      <w:pPr>
        <w:tabs>
          <w:tab w:val="num" w:pos="2880"/>
        </w:tabs>
        <w:ind w:left="2880" w:hanging="360"/>
      </w:pPr>
      <w:rPr>
        <w:rFonts w:ascii="Wingdings" w:hAnsi="Wingdings" w:hint="default"/>
        <w:sz w:val="20"/>
      </w:rPr>
    </w:lvl>
    <w:lvl w:ilvl="4" w:tplc="43FEE50A" w:tentative="1">
      <w:start w:val="1"/>
      <w:numFmt w:val="bullet"/>
      <w:lvlText w:val=""/>
      <w:lvlJc w:val="left"/>
      <w:pPr>
        <w:tabs>
          <w:tab w:val="num" w:pos="3600"/>
        </w:tabs>
        <w:ind w:left="3600" w:hanging="360"/>
      </w:pPr>
      <w:rPr>
        <w:rFonts w:ascii="Wingdings" w:hAnsi="Wingdings" w:hint="default"/>
        <w:sz w:val="20"/>
      </w:rPr>
    </w:lvl>
    <w:lvl w:ilvl="5" w:tplc="6C2EB166" w:tentative="1">
      <w:start w:val="1"/>
      <w:numFmt w:val="bullet"/>
      <w:lvlText w:val=""/>
      <w:lvlJc w:val="left"/>
      <w:pPr>
        <w:tabs>
          <w:tab w:val="num" w:pos="4320"/>
        </w:tabs>
        <w:ind w:left="4320" w:hanging="360"/>
      </w:pPr>
      <w:rPr>
        <w:rFonts w:ascii="Wingdings" w:hAnsi="Wingdings" w:hint="default"/>
        <w:sz w:val="20"/>
      </w:rPr>
    </w:lvl>
    <w:lvl w:ilvl="6" w:tplc="207EE210" w:tentative="1">
      <w:start w:val="1"/>
      <w:numFmt w:val="bullet"/>
      <w:lvlText w:val=""/>
      <w:lvlJc w:val="left"/>
      <w:pPr>
        <w:tabs>
          <w:tab w:val="num" w:pos="5040"/>
        </w:tabs>
        <w:ind w:left="5040" w:hanging="360"/>
      </w:pPr>
      <w:rPr>
        <w:rFonts w:ascii="Wingdings" w:hAnsi="Wingdings" w:hint="default"/>
        <w:sz w:val="20"/>
      </w:rPr>
    </w:lvl>
    <w:lvl w:ilvl="7" w:tplc="FC70E322" w:tentative="1">
      <w:start w:val="1"/>
      <w:numFmt w:val="bullet"/>
      <w:lvlText w:val=""/>
      <w:lvlJc w:val="left"/>
      <w:pPr>
        <w:tabs>
          <w:tab w:val="num" w:pos="5760"/>
        </w:tabs>
        <w:ind w:left="5760" w:hanging="360"/>
      </w:pPr>
      <w:rPr>
        <w:rFonts w:ascii="Wingdings" w:hAnsi="Wingdings" w:hint="default"/>
        <w:sz w:val="20"/>
      </w:rPr>
    </w:lvl>
    <w:lvl w:ilvl="8" w:tplc="20D88174" w:tentative="1">
      <w:start w:val="1"/>
      <w:numFmt w:val="bullet"/>
      <w:lvlText w:val=""/>
      <w:lvlJc w:val="left"/>
      <w:pPr>
        <w:tabs>
          <w:tab w:val="num" w:pos="6480"/>
        </w:tabs>
        <w:ind w:left="6480" w:hanging="360"/>
      </w:pPr>
      <w:rPr>
        <w:rFonts w:ascii="Wingdings" w:hAnsi="Wingdings" w:hint="default"/>
        <w:sz w:val="20"/>
      </w:rPr>
    </w:lvl>
  </w:abstractNum>
  <w:abstractNum w:abstractNumId="19">
    <w:nsid w:val="4DB4338F"/>
    <w:multiLevelType w:val="hybridMultilevel"/>
    <w:tmpl w:val="B8F668A8"/>
    <w:lvl w:ilvl="0" w:tplc="B518FC38">
      <w:start w:val="2"/>
      <w:numFmt w:val="lowerLetter"/>
      <w:lvlText w:val="%1)"/>
      <w:lvlJc w:val="left"/>
      <w:pPr>
        <w:ind w:left="1080" w:hanging="360"/>
      </w:pPr>
      <w:rPr>
        <w:rFonts w:cs="Times New Roman" w:hint="default"/>
      </w:rPr>
    </w:lvl>
    <w:lvl w:ilvl="1" w:tplc="040C0019" w:tentative="1">
      <w:start w:val="1"/>
      <w:numFmt w:val="lowerLetter"/>
      <w:lvlText w:val="%2."/>
      <w:lvlJc w:val="left"/>
      <w:pPr>
        <w:ind w:left="1800" w:hanging="360"/>
      </w:pPr>
      <w:rPr>
        <w:rFonts w:cs="Times New Roman"/>
      </w:rPr>
    </w:lvl>
    <w:lvl w:ilvl="2" w:tplc="040C001B" w:tentative="1">
      <w:start w:val="1"/>
      <w:numFmt w:val="lowerRoman"/>
      <w:lvlText w:val="%3."/>
      <w:lvlJc w:val="right"/>
      <w:pPr>
        <w:ind w:left="2520" w:hanging="180"/>
      </w:pPr>
      <w:rPr>
        <w:rFonts w:cs="Times New Roman"/>
      </w:rPr>
    </w:lvl>
    <w:lvl w:ilvl="3" w:tplc="040C000F" w:tentative="1">
      <w:start w:val="1"/>
      <w:numFmt w:val="decimal"/>
      <w:lvlText w:val="%4."/>
      <w:lvlJc w:val="left"/>
      <w:pPr>
        <w:ind w:left="3240" w:hanging="360"/>
      </w:pPr>
      <w:rPr>
        <w:rFonts w:cs="Times New Roman"/>
      </w:rPr>
    </w:lvl>
    <w:lvl w:ilvl="4" w:tplc="040C0019" w:tentative="1">
      <w:start w:val="1"/>
      <w:numFmt w:val="lowerLetter"/>
      <w:lvlText w:val="%5."/>
      <w:lvlJc w:val="left"/>
      <w:pPr>
        <w:ind w:left="3960" w:hanging="360"/>
      </w:pPr>
      <w:rPr>
        <w:rFonts w:cs="Times New Roman"/>
      </w:rPr>
    </w:lvl>
    <w:lvl w:ilvl="5" w:tplc="040C001B" w:tentative="1">
      <w:start w:val="1"/>
      <w:numFmt w:val="lowerRoman"/>
      <w:lvlText w:val="%6."/>
      <w:lvlJc w:val="right"/>
      <w:pPr>
        <w:ind w:left="4680" w:hanging="180"/>
      </w:pPr>
      <w:rPr>
        <w:rFonts w:cs="Times New Roman"/>
      </w:rPr>
    </w:lvl>
    <w:lvl w:ilvl="6" w:tplc="040C000F" w:tentative="1">
      <w:start w:val="1"/>
      <w:numFmt w:val="decimal"/>
      <w:lvlText w:val="%7."/>
      <w:lvlJc w:val="left"/>
      <w:pPr>
        <w:ind w:left="5400" w:hanging="360"/>
      </w:pPr>
      <w:rPr>
        <w:rFonts w:cs="Times New Roman"/>
      </w:rPr>
    </w:lvl>
    <w:lvl w:ilvl="7" w:tplc="040C0019" w:tentative="1">
      <w:start w:val="1"/>
      <w:numFmt w:val="lowerLetter"/>
      <w:lvlText w:val="%8."/>
      <w:lvlJc w:val="left"/>
      <w:pPr>
        <w:ind w:left="6120" w:hanging="360"/>
      </w:pPr>
      <w:rPr>
        <w:rFonts w:cs="Times New Roman"/>
      </w:rPr>
    </w:lvl>
    <w:lvl w:ilvl="8" w:tplc="040C001B" w:tentative="1">
      <w:start w:val="1"/>
      <w:numFmt w:val="lowerRoman"/>
      <w:lvlText w:val="%9."/>
      <w:lvlJc w:val="right"/>
      <w:pPr>
        <w:ind w:left="6840" w:hanging="180"/>
      </w:pPr>
      <w:rPr>
        <w:rFonts w:cs="Times New Roman"/>
      </w:rPr>
    </w:lvl>
  </w:abstractNum>
  <w:abstractNum w:abstractNumId="20">
    <w:nsid w:val="551A0414"/>
    <w:multiLevelType w:val="hybridMultilevel"/>
    <w:tmpl w:val="28E2DD76"/>
    <w:lvl w:ilvl="0" w:tplc="86E451F2">
      <w:start w:val="1"/>
      <w:numFmt w:val="bullet"/>
      <w:lvlText w:val=""/>
      <w:lvlJc w:val="left"/>
      <w:pPr>
        <w:tabs>
          <w:tab w:val="num" w:pos="720"/>
        </w:tabs>
        <w:ind w:left="720" w:hanging="360"/>
      </w:pPr>
      <w:rPr>
        <w:rFonts w:ascii="Symbol" w:hAnsi="Symbol" w:hint="default"/>
        <w:sz w:val="20"/>
      </w:rPr>
    </w:lvl>
    <w:lvl w:ilvl="1" w:tplc="30102934" w:tentative="1">
      <w:start w:val="1"/>
      <w:numFmt w:val="bullet"/>
      <w:lvlText w:val="o"/>
      <w:lvlJc w:val="left"/>
      <w:pPr>
        <w:tabs>
          <w:tab w:val="num" w:pos="1440"/>
        </w:tabs>
        <w:ind w:left="1440" w:hanging="360"/>
      </w:pPr>
      <w:rPr>
        <w:rFonts w:ascii="Courier New" w:hAnsi="Courier New" w:hint="default"/>
        <w:sz w:val="20"/>
      </w:rPr>
    </w:lvl>
    <w:lvl w:ilvl="2" w:tplc="0E181ADA" w:tentative="1">
      <w:start w:val="1"/>
      <w:numFmt w:val="bullet"/>
      <w:lvlText w:val=""/>
      <w:lvlJc w:val="left"/>
      <w:pPr>
        <w:tabs>
          <w:tab w:val="num" w:pos="2160"/>
        </w:tabs>
        <w:ind w:left="2160" w:hanging="360"/>
      </w:pPr>
      <w:rPr>
        <w:rFonts w:ascii="Wingdings" w:hAnsi="Wingdings" w:hint="default"/>
        <w:sz w:val="20"/>
      </w:rPr>
    </w:lvl>
    <w:lvl w:ilvl="3" w:tplc="659698A8" w:tentative="1">
      <w:start w:val="1"/>
      <w:numFmt w:val="bullet"/>
      <w:lvlText w:val=""/>
      <w:lvlJc w:val="left"/>
      <w:pPr>
        <w:tabs>
          <w:tab w:val="num" w:pos="2880"/>
        </w:tabs>
        <w:ind w:left="2880" w:hanging="360"/>
      </w:pPr>
      <w:rPr>
        <w:rFonts w:ascii="Wingdings" w:hAnsi="Wingdings" w:hint="default"/>
        <w:sz w:val="20"/>
      </w:rPr>
    </w:lvl>
    <w:lvl w:ilvl="4" w:tplc="E38E6184" w:tentative="1">
      <w:start w:val="1"/>
      <w:numFmt w:val="bullet"/>
      <w:lvlText w:val=""/>
      <w:lvlJc w:val="left"/>
      <w:pPr>
        <w:tabs>
          <w:tab w:val="num" w:pos="3600"/>
        </w:tabs>
        <w:ind w:left="3600" w:hanging="360"/>
      </w:pPr>
      <w:rPr>
        <w:rFonts w:ascii="Wingdings" w:hAnsi="Wingdings" w:hint="default"/>
        <w:sz w:val="20"/>
      </w:rPr>
    </w:lvl>
    <w:lvl w:ilvl="5" w:tplc="8C9CA5B0" w:tentative="1">
      <w:start w:val="1"/>
      <w:numFmt w:val="bullet"/>
      <w:lvlText w:val=""/>
      <w:lvlJc w:val="left"/>
      <w:pPr>
        <w:tabs>
          <w:tab w:val="num" w:pos="4320"/>
        </w:tabs>
        <w:ind w:left="4320" w:hanging="360"/>
      </w:pPr>
      <w:rPr>
        <w:rFonts w:ascii="Wingdings" w:hAnsi="Wingdings" w:hint="default"/>
        <w:sz w:val="20"/>
      </w:rPr>
    </w:lvl>
    <w:lvl w:ilvl="6" w:tplc="EAF2D672" w:tentative="1">
      <w:start w:val="1"/>
      <w:numFmt w:val="bullet"/>
      <w:lvlText w:val=""/>
      <w:lvlJc w:val="left"/>
      <w:pPr>
        <w:tabs>
          <w:tab w:val="num" w:pos="5040"/>
        </w:tabs>
        <w:ind w:left="5040" w:hanging="360"/>
      </w:pPr>
      <w:rPr>
        <w:rFonts w:ascii="Wingdings" w:hAnsi="Wingdings" w:hint="default"/>
        <w:sz w:val="20"/>
      </w:rPr>
    </w:lvl>
    <w:lvl w:ilvl="7" w:tplc="93A22F84" w:tentative="1">
      <w:start w:val="1"/>
      <w:numFmt w:val="bullet"/>
      <w:lvlText w:val=""/>
      <w:lvlJc w:val="left"/>
      <w:pPr>
        <w:tabs>
          <w:tab w:val="num" w:pos="5760"/>
        </w:tabs>
        <w:ind w:left="5760" w:hanging="360"/>
      </w:pPr>
      <w:rPr>
        <w:rFonts w:ascii="Wingdings" w:hAnsi="Wingdings" w:hint="default"/>
        <w:sz w:val="20"/>
      </w:rPr>
    </w:lvl>
    <w:lvl w:ilvl="8" w:tplc="61009884"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8"/>
  </w:num>
  <w:num w:numId="4">
    <w:abstractNumId w:val="20"/>
  </w:num>
  <w:num w:numId="5">
    <w:abstractNumId w:val="8"/>
  </w:num>
  <w:num w:numId="6">
    <w:abstractNumId w:val="3"/>
  </w:num>
  <w:num w:numId="7">
    <w:abstractNumId w:val="2"/>
  </w:num>
  <w:num w:numId="8">
    <w:abstractNumId w:val="1"/>
  </w:num>
  <w:num w:numId="9">
    <w:abstractNumId w:val="0"/>
  </w:num>
  <w:num w:numId="10">
    <w:abstractNumId w:val="9"/>
  </w:num>
  <w:num w:numId="11">
    <w:abstractNumId w:val="7"/>
  </w:num>
  <w:num w:numId="12">
    <w:abstractNumId w:val="6"/>
  </w:num>
  <w:num w:numId="13">
    <w:abstractNumId w:val="5"/>
  </w:num>
  <w:num w:numId="14">
    <w:abstractNumId w:val="4"/>
  </w:num>
  <w:num w:numId="15">
    <w:abstractNumId w:val="11"/>
  </w:num>
  <w:num w:numId="16">
    <w:abstractNumId w:val="12"/>
  </w:num>
  <w:num w:numId="17">
    <w:abstractNumId w:val="13"/>
  </w:num>
  <w:num w:numId="18">
    <w:abstractNumId w:val="17"/>
  </w:num>
  <w:num w:numId="19">
    <w:abstractNumId w:val="14"/>
  </w:num>
  <w:num w:numId="20">
    <w:abstractNumId w:val="19"/>
  </w:num>
  <w:num w:numId="21">
    <w:abstractNumId w:val="1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TOLLESTEINER Jean-Yves">
    <w15:presenceInfo w15:providerId="AD" w15:userId="S-1-5-21-275853211-1850026611-4019261530-3512"/>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7024"/>
  <w:styleLockTheme/>
  <w:styleLockQFSet/>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33794"/>
    <o:shapelayout v:ext="edit">
      <o:idmap v:ext="edit" data="32"/>
    </o:shapelayout>
  </w:hdrShapeDefaults>
  <w:footnotePr>
    <w:pos w:val="beneathText"/>
    <w:footnote w:id="-1"/>
    <w:footnote w:id="0"/>
  </w:footnotePr>
  <w:endnotePr>
    <w:endnote w:id="-1"/>
    <w:endnote w:id="0"/>
  </w:endnotePr>
  <w:compat/>
  <w:rsids>
    <w:rsidRoot w:val="000546AE"/>
    <w:rsid w:val="0001054C"/>
    <w:rsid w:val="0004113D"/>
    <w:rsid w:val="000546AE"/>
    <w:rsid w:val="00066F45"/>
    <w:rsid w:val="000915DD"/>
    <w:rsid w:val="000A6A4C"/>
    <w:rsid w:val="000C51F8"/>
    <w:rsid w:val="000C7462"/>
    <w:rsid w:val="000E1559"/>
    <w:rsid w:val="0011579B"/>
    <w:rsid w:val="00134DE5"/>
    <w:rsid w:val="00144333"/>
    <w:rsid w:val="001600E9"/>
    <w:rsid w:val="00167398"/>
    <w:rsid w:val="00170AC2"/>
    <w:rsid w:val="00180998"/>
    <w:rsid w:val="00195931"/>
    <w:rsid w:val="00197DAA"/>
    <w:rsid w:val="001A3993"/>
    <w:rsid w:val="001B15FD"/>
    <w:rsid w:val="001B4D0D"/>
    <w:rsid w:val="001E7401"/>
    <w:rsid w:val="002428E3"/>
    <w:rsid w:val="002463AB"/>
    <w:rsid w:val="002526C7"/>
    <w:rsid w:val="002530C5"/>
    <w:rsid w:val="00266225"/>
    <w:rsid w:val="00267D6E"/>
    <w:rsid w:val="0029304D"/>
    <w:rsid w:val="00294F01"/>
    <w:rsid w:val="002B2FAB"/>
    <w:rsid w:val="002C2A53"/>
    <w:rsid w:val="002D57B6"/>
    <w:rsid w:val="002D6DB1"/>
    <w:rsid w:val="002E14CA"/>
    <w:rsid w:val="002F61B2"/>
    <w:rsid w:val="0034533E"/>
    <w:rsid w:val="00363244"/>
    <w:rsid w:val="003775C0"/>
    <w:rsid w:val="00380634"/>
    <w:rsid w:val="00391324"/>
    <w:rsid w:val="003A5091"/>
    <w:rsid w:val="003B51BA"/>
    <w:rsid w:val="004037CD"/>
    <w:rsid w:val="00403D3F"/>
    <w:rsid w:val="00407F3F"/>
    <w:rsid w:val="0041754A"/>
    <w:rsid w:val="00422CB0"/>
    <w:rsid w:val="00423D3A"/>
    <w:rsid w:val="00436065"/>
    <w:rsid w:val="00461893"/>
    <w:rsid w:val="00470B2A"/>
    <w:rsid w:val="00472F37"/>
    <w:rsid w:val="004A784F"/>
    <w:rsid w:val="004B216C"/>
    <w:rsid w:val="004C01C7"/>
    <w:rsid w:val="004C3D52"/>
    <w:rsid w:val="004F050C"/>
    <w:rsid w:val="00502227"/>
    <w:rsid w:val="00512FA2"/>
    <w:rsid w:val="00550C03"/>
    <w:rsid w:val="0055739B"/>
    <w:rsid w:val="0056227A"/>
    <w:rsid w:val="00562CBA"/>
    <w:rsid w:val="005735D8"/>
    <w:rsid w:val="00590E25"/>
    <w:rsid w:val="00595536"/>
    <w:rsid w:val="005960D9"/>
    <w:rsid w:val="005A48CD"/>
    <w:rsid w:val="005E4EBA"/>
    <w:rsid w:val="00600F6B"/>
    <w:rsid w:val="00621850"/>
    <w:rsid w:val="006267A6"/>
    <w:rsid w:val="00633DD7"/>
    <w:rsid w:val="0065648B"/>
    <w:rsid w:val="0067552B"/>
    <w:rsid w:val="00680538"/>
    <w:rsid w:val="00681E96"/>
    <w:rsid w:val="00682DB2"/>
    <w:rsid w:val="006956B4"/>
    <w:rsid w:val="006A2E82"/>
    <w:rsid w:val="006D0939"/>
    <w:rsid w:val="006D0CE7"/>
    <w:rsid w:val="006E711E"/>
    <w:rsid w:val="006F47F5"/>
    <w:rsid w:val="0074471A"/>
    <w:rsid w:val="00750936"/>
    <w:rsid w:val="0076486F"/>
    <w:rsid w:val="007A4FEA"/>
    <w:rsid w:val="007A630D"/>
    <w:rsid w:val="007B6016"/>
    <w:rsid w:val="007C090E"/>
    <w:rsid w:val="008067AD"/>
    <w:rsid w:val="008147E0"/>
    <w:rsid w:val="008236AF"/>
    <w:rsid w:val="00826373"/>
    <w:rsid w:val="00831FA7"/>
    <w:rsid w:val="00832582"/>
    <w:rsid w:val="00865B17"/>
    <w:rsid w:val="00874B20"/>
    <w:rsid w:val="008901D6"/>
    <w:rsid w:val="008B027F"/>
    <w:rsid w:val="008D6723"/>
    <w:rsid w:val="008E1359"/>
    <w:rsid w:val="008F0A6C"/>
    <w:rsid w:val="008F12EE"/>
    <w:rsid w:val="0091637C"/>
    <w:rsid w:val="00925D41"/>
    <w:rsid w:val="009462C6"/>
    <w:rsid w:val="00950C0E"/>
    <w:rsid w:val="00975E92"/>
    <w:rsid w:val="00980E4F"/>
    <w:rsid w:val="00984DCB"/>
    <w:rsid w:val="00984E5C"/>
    <w:rsid w:val="009A05F7"/>
    <w:rsid w:val="009C0609"/>
    <w:rsid w:val="009D3D19"/>
    <w:rsid w:val="009E232C"/>
    <w:rsid w:val="009F082B"/>
    <w:rsid w:val="009F423A"/>
    <w:rsid w:val="00A5183E"/>
    <w:rsid w:val="00A62A71"/>
    <w:rsid w:val="00A72928"/>
    <w:rsid w:val="00A74999"/>
    <w:rsid w:val="00AC6ED7"/>
    <w:rsid w:val="00AE3BBA"/>
    <w:rsid w:val="00AE3F1F"/>
    <w:rsid w:val="00AF1C6B"/>
    <w:rsid w:val="00B1407B"/>
    <w:rsid w:val="00B25814"/>
    <w:rsid w:val="00B509F0"/>
    <w:rsid w:val="00B51157"/>
    <w:rsid w:val="00B5166B"/>
    <w:rsid w:val="00B8106C"/>
    <w:rsid w:val="00B91A9A"/>
    <w:rsid w:val="00B97F64"/>
    <w:rsid w:val="00BB17C2"/>
    <w:rsid w:val="00BB4D1F"/>
    <w:rsid w:val="00BD20E7"/>
    <w:rsid w:val="00BD54D8"/>
    <w:rsid w:val="00C23405"/>
    <w:rsid w:val="00C26B9B"/>
    <w:rsid w:val="00C420E9"/>
    <w:rsid w:val="00C52526"/>
    <w:rsid w:val="00C543D0"/>
    <w:rsid w:val="00C6520F"/>
    <w:rsid w:val="00C670C9"/>
    <w:rsid w:val="00C85899"/>
    <w:rsid w:val="00C92A44"/>
    <w:rsid w:val="00CE09A6"/>
    <w:rsid w:val="00D00059"/>
    <w:rsid w:val="00D04600"/>
    <w:rsid w:val="00D20B47"/>
    <w:rsid w:val="00D42D77"/>
    <w:rsid w:val="00D50647"/>
    <w:rsid w:val="00DA34AD"/>
    <w:rsid w:val="00DB4B77"/>
    <w:rsid w:val="00DC30AF"/>
    <w:rsid w:val="00DD3DD6"/>
    <w:rsid w:val="00E117EF"/>
    <w:rsid w:val="00E11C51"/>
    <w:rsid w:val="00E20737"/>
    <w:rsid w:val="00E20D61"/>
    <w:rsid w:val="00E433D7"/>
    <w:rsid w:val="00E814B6"/>
    <w:rsid w:val="00E85B72"/>
    <w:rsid w:val="00EC2141"/>
    <w:rsid w:val="00EC233A"/>
    <w:rsid w:val="00ED6E00"/>
    <w:rsid w:val="00EF6C8B"/>
    <w:rsid w:val="00EF7DAB"/>
    <w:rsid w:val="00F466ED"/>
    <w:rsid w:val="00F5447D"/>
    <w:rsid w:val="00F936F5"/>
    <w:rsid w:val="00FB1BD0"/>
    <w:rsid w:val="00FB290B"/>
    <w:rsid w:val="00FD64C9"/>
    <w:rsid w:val="00FE2000"/>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semiHidden="0" w:uiPriority="9" w:unhideWhenUsed="0"/>
    <w:lsdException w:name="heading 7" w:uiPriority="9" w:qFormat="1"/>
    <w:lsdException w:name="heading 8" w:uiPriority="9" w:qFormat="1"/>
    <w:lsdException w:name="heading 9" w:semiHidden="0" w:uiPriority="9" w:unhideWhenUsed="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unhideWhenUsed="0"/>
    <w:lsdException w:name="footnote reference" w:uiPriority="0"/>
    <w:lsdException w:name="endnote text" w:uiPriority="0"/>
    <w:lsdException w:name="Title" w:semiHidden="0" w:uiPriority="10" w:unhideWhenUsed="0" w:qFormat="1"/>
    <w:lsdException w:name="Default Paragraph Font" w:uiPriority="1"/>
    <w:lsdException w:name="Subtitle" w:uiPriority="15" w:qFormat="1"/>
    <w:lsdException w:name="Strong" w:uiPriority="22" w:unhideWhenUsed="0" w:qFormat="1"/>
    <w:lsdException w:name="Emphasis" w:uiPriority="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qFormat="1"/>
    <w:lsdException w:name="Quote" w:semiHidden="0"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Normal">
    <w:name w:val="Normal"/>
    <w:qFormat/>
    <w:rsid w:val="006D0CE7"/>
    <w:pPr>
      <w:suppressAutoHyphens/>
      <w:spacing w:before="240" w:after="240" w:line="360" w:lineRule="auto"/>
      <w:ind w:firstLine="737"/>
      <w:jc w:val="both"/>
    </w:pPr>
    <w:rPr>
      <w:rFonts w:ascii="Times New Roman" w:hAnsi="Times New Roman"/>
      <w:sz w:val="24"/>
      <w:szCs w:val="24"/>
    </w:rPr>
  </w:style>
  <w:style w:type="paragraph" w:styleId="Heading1">
    <w:name w:val="heading 1"/>
    <w:next w:val="Normal"/>
    <w:link w:val="Heading1Char"/>
    <w:uiPriority w:val="12"/>
    <w:qFormat/>
    <w:rsid w:val="00E814B6"/>
    <w:pPr>
      <w:keepNext/>
      <w:spacing w:before="840" w:after="840"/>
      <w:outlineLvl w:val="0"/>
    </w:pPr>
    <w:rPr>
      <w:rFonts w:ascii="Times New Roman" w:hAnsi="Times New Roman" w:cs="Arial"/>
      <w:b/>
      <w:bCs/>
      <w:caps/>
      <w:kern w:val="32"/>
      <w:sz w:val="24"/>
      <w:szCs w:val="32"/>
    </w:rPr>
  </w:style>
  <w:style w:type="paragraph" w:styleId="Heading2">
    <w:name w:val="heading 2"/>
    <w:basedOn w:val="Normal"/>
    <w:next w:val="Normal"/>
    <w:link w:val="Heading2Char"/>
    <w:uiPriority w:val="13"/>
    <w:qFormat/>
    <w:rsid w:val="000546AE"/>
    <w:pPr>
      <w:keepNext/>
      <w:spacing w:before="720" w:after="600"/>
      <w:ind w:firstLine="0"/>
      <w:jc w:val="center"/>
      <w:outlineLvl w:val="1"/>
    </w:pPr>
    <w:rPr>
      <w:rFonts w:ascii="Times New Roman Gras" w:hAnsi="Times New Roman Gras" w:cs="Arial"/>
      <w:b/>
      <w:bCs/>
      <w:iCs/>
      <w:szCs w:val="28"/>
    </w:rPr>
  </w:style>
  <w:style w:type="paragraph" w:styleId="Heading3">
    <w:name w:val="heading 3"/>
    <w:basedOn w:val="Normal"/>
    <w:next w:val="Normal"/>
    <w:link w:val="Heading3Char"/>
    <w:uiPriority w:val="13"/>
    <w:qFormat/>
    <w:rsid w:val="00F936F5"/>
    <w:pPr>
      <w:keepNext/>
      <w:spacing w:after="60"/>
      <w:outlineLvl w:val="2"/>
    </w:pPr>
    <w:rPr>
      <w:bCs/>
      <w:i/>
      <w:szCs w:val="26"/>
    </w:rPr>
  </w:style>
  <w:style w:type="paragraph" w:styleId="Heading4">
    <w:name w:val="heading 4"/>
    <w:basedOn w:val="Normal"/>
    <w:next w:val="Normal"/>
    <w:link w:val="Heading4Char"/>
    <w:uiPriority w:val="13"/>
    <w:qFormat/>
    <w:rsid w:val="00F936F5"/>
    <w:pPr>
      <w:keepNext/>
      <w:spacing w:after="60"/>
      <w:jc w:val="left"/>
      <w:outlineLvl w:val="3"/>
    </w:pPr>
    <w:rPr>
      <w:bCs/>
      <w:sz w:val="20"/>
      <w:szCs w:val="28"/>
    </w:rPr>
  </w:style>
  <w:style w:type="paragraph" w:styleId="Heading5">
    <w:name w:val="heading 5"/>
    <w:basedOn w:val="Normal"/>
    <w:next w:val="Normal"/>
    <w:link w:val="Heading5Char"/>
    <w:uiPriority w:val="13"/>
    <w:qFormat/>
    <w:rsid w:val="00F936F5"/>
    <w:pPr>
      <w:spacing w:after="60"/>
      <w:jc w:val="left"/>
      <w:outlineLvl w:val="4"/>
    </w:pPr>
    <w:rPr>
      <w:bCs/>
      <w:iCs/>
      <w:sz w:val="20"/>
      <w:szCs w:val="26"/>
    </w:rPr>
  </w:style>
  <w:style w:type="paragraph" w:styleId="Heading6">
    <w:name w:val="heading 6"/>
    <w:next w:val="Normal"/>
    <w:link w:val="Heading6Char"/>
    <w:uiPriority w:val="13"/>
    <w:rsid w:val="00F936F5"/>
    <w:pPr>
      <w:spacing w:before="240" w:after="60"/>
      <w:outlineLvl w:val="5"/>
    </w:pPr>
    <w:rPr>
      <w:rFonts w:ascii="Times New Roman" w:hAnsi="Times New Roman"/>
      <w:bCs/>
      <w:szCs w:val="22"/>
    </w:rPr>
  </w:style>
  <w:style w:type="paragraph" w:styleId="Heading7">
    <w:name w:val="heading 7"/>
    <w:basedOn w:val="Normal"/>
    <w:next w:val="Normal"/>
    <w:link w:val="Heading7Char"/>
    <w:uiPriority w:val="13"/>
    <w:qFormat/>
    <w:rsid w:val="00470B2A"/>
    <w:pPr>
      <w:spacing w:after="60"/>
      <w:outlineLvl w:val="6"/>
    </w:pPr>
  </w:style>
  <w:style w:type="paragraph" w:styleId="Heading8">
    <w:name w:val="heading 8"/>
    <w:basedOn w:val="Normal"/>
    <w:next w:val="Normal"/>
    <w:link w:val="Heading8Char"/>
    <w:uiPriority w:val="9"/>
    <w:semiHidden/>
    <w:qFormat/>
    <w:rsid w:val="00470B2A"/>
    <w:pPr>
      <w:spacing w:after="60"/>
      <w:outlineLvl w:val="7"/>
    </w:pPr>
    <w:rPr>
      <w:i/>
      <w:iCs/>
    </w:rPr>
  </w:style>
  <w:style w:type="paragraph" w:styleId="Heading9">
    <w:name w:val="heading 9"/>
    <w:next w:val="Normal"/>
    <w:link w:val="Heading9Char"/>
    <w:uiPriority w:val="9"/>
    <w:semiHidden/>
    <w:rsid w:val="00407F3F"/>
    <w:pPr>
      <w:spacing w:before="240" w:after="60"/>
      <w:outlineLvl w:val="8"/>
    </w:pPr>
    <w:rPr>
      <w:rFonts w:ascii="Cambria" w:hAnsi="Cambria"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4">
    <w:name w:val="toc 4"/>
    <w:basedOn w:val="Normal"/>
    <w:next w:val="Normal"/>
    <w:semiHidden/>
    <w:rsid w:val="00874B20"/>
    <w:pPr>
      <w:ind w:left="720" w:firstLine="567"/>
    </w:pPr>
  </w:style>
  <w:style w:type="character" w:customStyle="1" w:styleId="WW8Num1z0">
    <w:name w:val="WW8Num1z0"/>
    <w:semiHidden/>
    <w:rsid w:val="00874B20"/>
    <w:rPr>
      <w:color w:val="000000"/>
    </w:rPr>
  </w:style>
  <w:style w:type="character" w:customStyle="1" w:styleId="WW8Num2z0">
    <w:name w:val="WW8Num2z0"/>
    <w:semiHidden/>
    <w:rsid w:val="00874B20"/>
    <w:rPr>
      <w:rFonts w:cs="Times New Roman"/>
    </w:rPr>
  </w:style>
  <w:style w:type="character" w:customStyle="1" w:styleId="WW8Num3z0">
    <w:name w:val="WW8Num3z0"/>
    <w:semiHidden/>
    <w:rsid w:val="00874B20"/>
    <w:rPr>
      <w:rFonts w:ascii="Symbol" w:hAnsi="Symbol"/>
    </w:rPr>
  </w:style>
  <w:style w:type="character" w:customStyle="1" w:styleId="WW8Num3z3">
    <w:name w:val="WW8Num3z3"/>
    <w:semiHidden/>
    <w:rsid w:val="00874B20"/>
    <w:rPr>
      <w:rFonts w:ascii="Times New Roman" w:eastAsia="Times New Roman" w:hAnsi="Times New Roman" w:cs="Times New Roman"/>
    </w:rPr>
  </w:style>
  <w:style w:type="character" w:customStyle="1" w:styleId="WW8Num4z0">
    <w:name w:val="WW8Num4z0"/>
    <w:semiHidden/>
    <w:rsid w:val="00874B20"/>
    <w:rPr>
      <w:rFonts w:ascii="Times New Roman" w:eastAsia="Times New Roman" w:hAnsi="Times New Roman" w:cs="Times New Roman"/>
    </w:rPr>
  </w:style>
  <w:style w:type="character" w:customStyle="1" w:styleId="WW8Num4z1">
    <w:name w:val="WW8Num4z1"/>
    <w:semiHidden/>
    <w:rsid w:val="00874B20"/>
    <w:rPr>
      <w:rFonts w:ascii="Courier New" w:hAnsi="Courier New" w:cs="Courier New"/>
    </w:rPr>
  </w:style>
  <w:style w:type="character" w:customStyle="1" w:styleId="WW8Num4z2">
    <w:name w:val="WW8Num4z2"/>
    <w:semiHidden/>
    <w:rsid w:val="00874B20"/>
    <w:rPr>
      <w:rFonts w:ascii="Wingdings" w:hAnsi="Wingdings"/>
    </w:rPr>
  </w:style>
  <w:style w:type="character" w:customStyle="1" w:styleId="WW8Num4z3">
    <w:name w:val="WW8Num4z3"/>
    <w:semiHidden/>
    <w:rsid w:val="00874B20"/>
    <w:rPr>
      <w:rFonts w:ascii="Symbol" w:hAnsi="Symbol"/>
    </w:rPr>
  </w:style>
  <w:style w:type="character" w:customStyle="1" w:styleId="WW8Num5z0">
    <w:name w:val="WW8Num5z0"/>
    <w:semiHidden/>
    <w:rsid w:val="00874B20"/>
    <w:rPr>
      <w:rFonts w:ascii="Symbol" w:hAnsi="Symbol"/>
    </w:rPr>
  </w:style>
  <w:style w:type="character" w:customStyle="1" w:styleId="WW8Num5z1">
    <w:name w:val="WW8Num5z1"/>
    <w:semiHidden/>
    <w:rsid w:val="00874B20"/>
    <w:rPr>
      <w:rFonts w:ascii="Courier New" w:hAnsi="Courier New"/>
    </w:rPr>
  </w:style>
  <w:style w:type="character" w:customStyle="1" w:styleId="WW8Num5z2">
    <w:name w:val="WW8Num5z2"/>
    <w:semiHidden/>
    <w:rsid w:val="00874B20"/>
    <w:rPr>
      <w:rFonts w:ascii="Wingdings" w:hAnsi="Wingdings"/>
    </w:rPr>
  </w:style>
  <w:style w:type="character" w:customStyle="1" w:styleId="WW8Num6z0">
    <w:name w:val="WW8Num6z0"/>
    <w:semiHidden/>
    <w:rsid w:val="00874B20"/>
    <w:rPr>
      <w:rFonts w:ascii="Times New Roman" w:eastAsia="Times New Roman" w:hAnsi="Times New Roman" w:cs="Times New Roman"/>
    </w:rPr>
  </w:style>
  <w:style w:type="character" w:customStyle="1" w:styleId="WW8Num6z1">
    <w:name w:val="WW8Num6z1"/>
    <w:semiHidden/>
    <w:rsid w:val="00874B20"/>
    <w:rPr>
      <w:rFonts w:ascii="Courier New" w:hAnsi="Courier New" w:cs="Courier New"/>
    </w:rPr>
  </w:style>
  <w:style w:type="character" w:customStyle="1" w:styleId="WW8Num6z2">
    <w:name w:val="WW8Num6z2"/>
    <w:semiHidden/>
    <w:rsid w:val="00874B20"/>
    <w:rPr>
      <w:rFonts w:ascii="Wingdings" w:hAnsi="Wingdings"/>
    </w:rPr>
  </w:style>
  <w:style w:type="character" w:customStyle="1" w:styleId="WW8Num6z3">
    <w:name w:val="WW8Num6z3"/>
    <w:semiHidden/>
    <w:rsid w:val="00874B20"/>
    <w:rPr>
      <w:rFonts w:ascii="Symbol" w:hAnsi="Symbol"/>
    </w:rPr>
  </w:style>
  <w:style w:type="character" w:customStyle="1" w:styleId="WW8Num8z0">
    <w:name w:val="WW8Num8z0"/>
    <w:semiHidden/>
    <w:rsid w:val="00874B20"/>
    <w:rPr>
      <w:rFonts w:ascii="Times New Roman" w:eastAsia="Times New Roman" w:hAnsi="Times New Roman" w:cs="Times New Roman"/>
    </w:rPr>
  </w:style>
  <w:style w:type="character" w:customStyle="1" w:styleId="WW8Num8z1">
    <w:name w:val="WW8Num8z1"/>
    <w:semiHidden/>
    <w:rsid w:val="00874B20"/>
    <w:rPr>
      <w:rFonts w:ascii="Courier New" w:hAnsi="Courier New" w:cs="Courier New"/>
    </w:rPr>
  </w:style>
  <w:style w:type="character" w:customStyle="1" w:styleId="WW8Num8z2">
    <w:name w:val="WW8Num8z2"/>
    <w:semiHidden/>
    <w:rsid w:val="00874B20"/>
    <w:rPr>
      <w:rFonts w:ascii="Wingdings" w:hAnsi="Wingdings"/>
    </w:rPr>
  </w:style>
  <w:style w:type="character" w:customStyle="1" w:styleId="WW8Num8z3">
    <w:name w:val="WW8Num8z3"/>
    <w:semiHidden/>
    <w:rsid w:val="00874B20"/>
    <w:rPr>
      <w:rFonts w:ascii="Symbol" w:hAnsi="Symbol"/>
    </w:rPr>
  </w:style>
  <w:style w:type="character" w:customStyle="1" w:styleId="WW8Num9z0">
    <w:name w:val="WW8Num9z0"/>
    <w:semiHidden/>
    <w:rsid w:val="00874B20"/>
    <w:rPr>
      <w:rFonts w:ascii="Symbol" w:hAnsi="Symbol"/>
    </w:rPr>
  </w:style>
  <w:style w:type="character" w:customStyle="1" w:styleId="WW8Num9z1">
    <w:name w:val="WW8Num9z1"/>
    <w:semiHidden/>
    <w:rsid w:val="00874B20"/>
    <w:rPr>
      <w:rFonts w:ascii="Courier New" w:hAnsi="Courier New" w:cs="Courier New"/>
    </w:rPr>
  </w:style>
  <w:style w:type="character" w:customStyle="1" w:styleId="WW8Num9z2">
    <w:name w:val="WW8Num9z2"/>
    <w:semiHidden/>
    <w:rsid w:val="00874B20"/>
    <w:rPr>
      <w:rFonts w:ascii="Wingdings" w:hAnsi="Wingdings"/>
    </w:rPr>
  </w:style>
  <w:style w:type="character" w:customStyle="1" w:styleId="WW8Num10z0">
    <w:name w:val="WW8Num10z0"/>
    <w:semiHidden/>
    <w:rsid w:val="00874B20"/>
    <w:rPr>
      <w:rFonts w:ascii="Times New Roman" w:eastAsia="Times New Roman" w:hAnsi="Times New Roman" w:cs="Times New Roman"/>
    </w:rPr>
  </w:style>
  <w:style w:type="character" w:customStyle="1" w:styleId="WW8Num10z1">
    <w:name w:val="WW8Num10z1"/>
    <w:semiHidden/>
    <w:rsid w:val="00874B20"/>
    <w:rPr>
      <w:rFonts w:ascii="Courier New" w:hAnsi="Courier New" w:cs="Courier New"/>
    </w:rPr>
  </w:style>
  <w:style w:type="character" w:customStyle="1" w:styleId="WW8Num10z2">
    <w:name w:val="WW8Num10z2"/>
    <w:semiHidden/>
    <w:rsid w:val="00874B20"/>
    <w:rPr>
      <w:rFonts w:ascii="Wingdings" w:hAnsi="Wingdings"/>
    </w:rPr>
  </w:style>
  <w:style w:type="character" w:customStyle="1" w:styleId="FootnoteTextChar1">
    <w:name w:val="Footnote Text Char1"/>
    <w:link w:val="FootnoteText"/>
    <w:rsid w:val="0091637C"/>
    <w:rPr>
      <w:rFonts w:ascii="Times New Roman" w:hAnsi="Times New Roman" w:cs="Arial"/>
    </w:rPr>
  </w:style>
  <w:style w:type="paragraph" w:styleId="FootnoteText">
    <w:name w:val="footnote text"/>
    <w:basedOn w:val="Normal"/>
    <w:link w:val="FootnoteTextChar1"/>
    <w:rsid w:val="0091637C"/>
    <w:pPr>
      <w:spacing w:before="280" w:after="280"/>
      <w:ind w:firstLine="709"/>
    </w:pPr>
    <w:rPr>
      <w:rFonts w:cs="Arial"/>
      <w:sz w:val="20"/>
      <w:szCs w:val="20"/>
    </w:rPr>
  </w:style>
  <w:style w:type="character" w:customStyle="1" w:styleId="WW8Num11z0">
    <w:name w:val="WW8Num11z0"/>
    <w:semiHidden/>
    <w:rsid w:val="00874B20"/>
    <w:rPr>
      <w:rFonts w:ascii="Times New Roman" w:eastAsia="Times New Roman" w:hAnsi="Times New Roman" w:cs="Times New Roman"/>
    </w:rPr>
  </w:style>
  <w:style w:type="character" w:customStyle="1" w:styleId="WW8Num11z1">
    <w:name w:val="WW8Num11z1"/>
    <w:semiHidden/>
    <w:rsid w:val="00874B20"/>
    <w:rPr>
      <w:rFonts w:ascii="Courier New" w:hAnsi="Courier New" w:cs="Courier New"/>
    </w:rPr>
  </w:style>
  <w:style w:type="character" w:customStyle="1" w:styleId="WW8Num11z2">
    <w:name w:val="WW8Num11z2"/>
    <w:semiHidden/>
    <w:rsid w:val="00874B20"/>
    <w:rPr>
      <w:rFonts w:ascii="Wingdings" w:hAnsi="Wingdings"/>
    </w:rPr>
  </w:style>
  <w:style w:type="character" w:customStyle="1" w:styleId="WW8Num11z3">
    <w:name w:val="WW8Num11z3"/>
    <w:semiHidden/>
    <w:rsid w:val="00874B20"/>
    <w:rPr>
      <w:rFonts w:ascii="Symbol" w:hAnsi="Symbol"/>
    </w:rPr>
  </w:style>
  <w:style w:type="character" w:customStyle="1" w:styleId="WW8Num12z0">
    <w:name w:val="WW8Num12z0"/>
    <w:semiHidden/>
    <w:rsid w:val="00874B20"/>
    <w:rPr>
      <w:rFonts w:ascii="Symbol" w:hAnsi="Symbol"/>
    </w:rPr>
  </w:style>
  <w:style w:type="character" w:customStyle="1" w:styleId="WW8Num12z1">
    <w:name w:val="WW8Num12z1"/>
    <w:semiHidden/>
    <w:rsid w:val="00874B20"/>
    <w:rPr>
      <w:rFonts w:ascii="Courier New" w:hAnsi="Courier New" w:cs="Courier New"/>
    </w:rPr>
  </w:style>
  <w:style w:type="character" w:customStyle="1" w:styleId="WW8Num12z2">
    <w:name w:val="WW8Num12z2"/>
    <w:semiHidden/>
    <w:rsid w:val="00874B20"/>
    <w:rPr>
      <w:rFonts w:ascii="Wingdings" w:hAnsi="Wingdings"/>
    </w:rPr>
  </w:style>
  <w:style w:type="character" w:customStyle="1" w:styleId="WW8Num13z3">
    <w:name w:val="WW8Num13z3"/>
    <w:semiHidden/>
    <w:rsid w:val="00874B20"/>
    <w:rPr>
      <w:rFonts w:ascii="Times New Roman" w:eastAsia="Times New Roman" w:hAnsi="Times New Roman" w:cs="Times New Roman"/>
    </w:rPr>
  </w:style>
  <w:style w:type="character" w:customStyle="1" w:styleId="WW8Num14z1">
    <w:name w:val="WW8Num14z1"/>
    <w:semiHidden/>
    <w:rsid w:val="00874B20"/>
    <w:rPr>
      <w:rFonts w:ascii="Symbol" w:hAnsi="Symbol"/>
    </w:rPr>
  </w:style>
  <w:style w:type="character" w:customStyle="1" w:styleId="WW8Num14z3">
    <w:name w:val="WW8Num14z3"/>
    <w:semiHidden/>
    <w:rsid w:val="00874B20"/>
    <w:rPr>
      <w:rFonts w:ascii="Times New Roman" w:eastAsia="Times New Roman" w:hAnsi="Times New Roman" w:cs="Times New Roman"/>
    </w:rPr>
  </w:style>
  <w:style w:type="character" w:customStyle="1" w:styleId="WW8Num15z0">
    <w:name w:val="WW8Num15z0"/>
    <w:semiHidden/>
    <w:rsid w:val="00874B20"/>
    <w:rPr>
      <w:rFonts w:ascii="Times New Roman" w:eastAsia="Times New Roman" w:hAnsi="Times New Roman" w:cs="Times New Roman"/>
    </w:rPr>
  </w:style>
  <w:style w:type="character" w:customStyle="1" w:styleId="WW8Num15z1">
    <w:name w:val="WW8Num15z1"/>
    <w:semiHidden/>
    <w:rsid w:val="00874B20"/>
    <w:rPr>
      <w:rFonts w:ascii="Courier New" w:hAnsi="Courier New" w:cs="Courier New"/>
    </w:rPr>
  </w:style>
  <w:style w:type="character" w:customStyle="1" w:styleId="WW8Num15z2">
    <w:name w:val="WW8Num15z2"/>
    <w:semiHidden/>
    <w:rsid w:val="00874B20"/>
    <w:rPr>
      <w:rFonts w:ascii="Wingdings" w:hAnsi="Wingdings"/>
    </w:rPr>
  </w:style>
  <w:style w:type="character" w:customStyle="1" w:styleId="WW8Num15z3">
    <w:name w:val="WW8Num15z3"/>
    <w:semiHidden/>
    <w:rsid w:val="00874B20"/>
    <w:rPr>
      <w:rFonts w:ascii="Symbol" w:hAnsi="Symbol"/>
    </w:rPr>
  </w:style>
  <w:style w:type="character" w:styleId="PageNumber">
    <w:name w:val="page number"/>
    <w:basedOn w:val="DefaultParagraphFont"/>
    <w:semiHidden/>
    <w:rsid w:val="00874B20"/>
  </w:style>
  <w:style w:type="character" w:customStyle="1" w:styleId="Caractresdenotedebasdepage">
    <w:name w:val="Caractres de note de bas de page"/>
    <w:semiHidden/>
    <w:rsid w:val="00874B20"/>
    <w:rPr>
      <w:rFonts w:cs="Times New Roman"/>
      <w:vertAlign w:val="superscript"/>
    </w:rPr>
  </w:style>
  <w:style w:type="character" w:customStyle="1" w:styleId="Appelnotedebasdep1">
    <w:name w:val="Appel note de bas de p.1"/>
    <w:semiHidden/>
    <w:rsid w:val="00874B20"/>
    <w:rPr>
      <w:rFonts w:cs="Times New Roman"/>
      <w:vertAlign w:val="superscript"/>
    </w:rPr>
  </w:style>
  <w:style w:type="character" w:customStyle="1" w:styleId="Caractresdenotedebasdepage0">
    <w:name w:val="Caractères de note de bas de page"/>
    <w:rsid w:val="00874B20"/>
  </w:style>
  <w:style w:type="character" w:styleId="FootnoteReference">
    <w:name w:val="footnote reference"/>
    <w:rsid w:val="00874B20"/>
    <w:rPr>
      <w:vertAlign w:val="superscript"/>
    </w:rPr>
  </w:style>
  <w:style w:type="character" w:customStyle="1" w:styleId="longtext">
    <w:name w:val="long_text"/>
    <w:semiHidden/>
    <w:rsid w:val="00874B20"/>
    <w:rPr>
      <w:rFonts w:ascii="Times New Roman" w:hAnsi="Times New Roman"/>
      <w:sz w:val="20"/>
    </w:rPr>
  </w:style>
  <w:style w:type="character" w:customStyle="1" w:styleId="Car">
    <w:name w:val="Car"/>
    <w:semiHidden/>
    <w:rsid w:val="00874B20"/>
    <w:rPr>
      <w:rFonts w:eastAsia="Calibri"/>
      <w:lang w:val="fr-FR" w:eastAsia="ar-SA" w:bidi="ar-SA"/>
    </w:rPr>
  </w:style>
  <w:style w:type="character" w:styleId="HTMLCite">
    <w:name w:val="HTML Cite"/>
    <w:semiHidden/>
    <w:rsid w:val="00874B20"/>
    <w:rPr>
      <w:i/>
      <w:iCs/>
    </w:rPr>
  </w:style>
  <w:style w:type="character" w:styleId="Hyperlink">
    <w:name w:val="Hyperlink"/>
    <w:semiHidden/>
    <w:rsid w:val="00874B20"/>
    <w:rPr>
      <w:color w:val="0000FF"/>
      <w:u w:val="single"/>
    </w:rPr>
  </w:style>
  <w:style w:type="paragraph" w:styleId="List">
    <w:name w:val="List"/>
    <w:basedOn w:val="Normal"/>
    <w:semiHidden/>
    <w:rsid w:val="00407F3F"/>
    <w:pPr>
      <w:widowControl w:val="0"/>
      <w:spacing w:before="0" w:after="120"/>
      <w:ind w:firstLine="0"/>
      <w:jc w:val="left"/>
    </w:pPr>
    <w:rPr>
      <w:rFonts w:eastAsia="Lucida Sans Unicode" w:cs="Tahoma"/>
      <w:kern w:val="1"/>
    </w:rPr>
  </w:style>
  <w:style w:type="paragraph" w:customStyle="1" w:styleId="Index">
    <w:name w:val="Index"/>
    <w:basedOn w:val="Normal"/>
    <w:semiHidden/>
    <w:rsid w:val="00874B20"/>
    <w:pPr>
      <w:suppressLineNumbers/>
    </w:pPr>
    <w:rPr>
      <w:rFonts w:cs="Tahoma"/>
    </w:rPr>
  </w:style>
  <w:style w:type="paragraph" w:styleId="Header">
    <w:name w:val="header"/>
    <w:basedOn w:val="Normal"/>
    <w:semiHidden/>
    <w:rsid w:val="00874B20"/>
    <w:pPr>
      <w:tabs>
        <w:tab w:val="center" w:pos="4536"/>
        <w:tab w:val="right" w:pos="9072"/>
      </w:tabs>
    </w:pPr>
  </w:style>
  <w:style w:type="paragraph" w:styleId="Footer">
    <w:name w:val="footer"/>
    <w:basedOn w:val="Normal"/>
    <w:semiHidden/>
    <w:rsid w:val="00874B20"/>
    <w:pPr>
      <w:tabs>
        <w:tab w:val="center" w:pos="4536"/>
        <w:tab w:val="right" w:pos="9072"/>
      </w:tabs>
    </w:pPr>
  </w:style>
  <w:style w:type="paragraph" w:styleId="BalloonText">
    <w:name w:val="Balloon Text"/>
    <w:basedOn w:val="Normal"/>
    <w:semiHidden/>
    <w:rsid w:val="00874B20"/>
    <w:pPr>
      <w:spacing w:before="0" w:after="0"/>
      <w:ind w:firstLine="0"/>
    </w:pPr>
    <w:rPr>
      <w:rFonts w:cs="Tahoma"/>
      <w:sz w:val="20"/>
      <w:szCs w:val="16"/>
    </w:rPr>
  </w:style>
  <w:style w:type="paragraph" w:styleId="TOAHeading">
    <w:name w:val="toa heading"/>
    <w:basedOn w:val="Normal"/>
    <w:next w:val="Normal"/>
    <w:semiHidden/>
    <w:rsid w:val="00874B20"/>
    <w:pPr>
      <w:spacing w:before="120" w:after="280"/>
    </w:pPr>
    <w:rPr>
      <w:rFonts w:ascii="Arial" w:hAnsi="Arial" w:cs="Arial"/>
      <w:b/>
      <w:bCs/>
    </w:rPr>
  </w:style>
  <w:style w:type="paragraph" w:styleId="Title">
    <w:name w:val="Title"/>
    <w:basedOn w:val="TOAHeading"/>
    <w:next w:val="Auteur-identit"/>
    <w:link w:val="TitleChar"/>
    <w:autoRedefine/>
    <w:uiPriority w:val="1"/>
    <w:qFormat/>
    <w:rsid w:val="006D0CE7"/>
    <w:pPr>
      <w:spacing w:after="480"/>
      <w:jc w:val="center"/>
      <w:outlineLvl w:val="0"/>
    </w:pPr>
    <w:rPr>
      <w:rFonts w:ascii="Times New Roman" w:hAnsi="Times New Roman"/>
      <w:bCs w:val="0"/>
      <w:caps/>
      <w:kern w:val="28"/>
      <w:sz w:val="28"/>
      <w:szCs w:val="32"/>
    </w:rPr>
  </w:style>
  <w:style w:type="paragraph" w:customStyle="1" w:styleId="Auteur-identit">
    <w:name w:val="Auteur - identité"/>
    <w:basedOn w:val="Normal"/>
    <w:next w:val="Auteur-fonction"/>
    <w:link w:val="Auteur-identitCar"/>
    <w:autoRedefine/>
    <w:uiPriority w:val="3"/>
    <w:rsid w:val="002F61B2"/>
    <w:pPr>
      <w:spacing w:before="100" w:beforeAutospacing="1" w:after="100" w:afterAutospacing="1"/>
      <w:jc w:val="center"/>
    </w:pPr>
  </w:style>
  <w:style w:type="paragraph" w:customStyle="1" w:styleId="Auteur-fonction">
    <w:name w:val="Auteur - fonction"/>
    <w:next w:val="Rsum-annonce"/>
    <w:autoRedefine/>
    <w:uiPriority w:val="2"/>
    <w:rsid w:val="0056227A"/>
    <w:pPr>
      <w:suppressAutoHyphens/>
      <w:spacing w:after="840"/>
      <w:jc w:val="center"/>
    </w:pPr>
    <w:rPr>
      <w:rFonts w:ascii="Times New Roman" w:eastAsia="Arial" w:hAnsi="Times New Roman"/>
      <w:i/>
      <w:sz w:val="24"/>
      <w:szCs w:val="22"/>
      <w:lang w:eastAsia="ar-SA"/>
    </w:rPr>
  </w:style>
  <w:style w:type="paragraph" w:customStyle="1" w:styleId="Rsum-annonce">
    <w:name w:val="Résumé - annonce"/>
    <w:next w:val="Normal"/>
    <w:autoRedefine/>
    <w:uiPriority w:val="4"/>
    <w:rsid w:val="002F61B2"/>
    <w:pPr>
      <w:suppressAutoHyphens/>
      <w:spacing w:after="60"/>
    </w:pPr>
    <w:rPr>
      <w:rFonts w:ascii="Times New Roman" w:eastAsia="Arial" w:hAnsi="Times New Roman"/>
      <w:b/>
      <w:szCs w:val="22"/>
      <w:lang w:eastAsia="ar-SA"/>
    </w:rPr>
  </w:style>
  <w:style w:type="paragraph" w:customStyle="1" w:styleId="Sous-titredutitregnral">
    <w:name w:val="Sous-titre (du titre général)"/>
    <w:basedOn w:val="Title"/>
    <w:next w:val="Normal"/>
    <w:semiHidden/>
    <w:rsid w:val="00874B20"/>
    <w:pPr>
      <w:ind w:firstLine="0"/>
    </w:pPr>
    <w:rPr>
      <w:caps w:val="0"/>
    </w:rPr>
  </w:style>
  <w:style w:type="paragraph" w:customStyle="1" w:styleId="Conclusion-">
    <w:name w:val="Conclusion - ***"/>
    <w:basedOn w:val="Heading1"/>
    <w:autoRedefine/>
    <w:uiPriority w:val="14"/>
    <w:rsid w:val="0091637C"/>
    <w:pPr>
      <w:jc w:val="center"/>
    </w:pPr>
    <w:rPr>
      <w:sz w:val="28"/>
    </w:rPr>
  </w:style>
  <w:style w:type="paragraph" w:customStyle="1" w:styleId="Tableaucolonnegauche">
    <w:name w:val="Tableau colonne gauche"/>
    <w:basedOn w:val="Header"/>
    <w:semiHidden/>
    <w:rsid w:val="00874B20"/>
    <w:pPr>
      <w:ind w:firstLine="0"/>
      <w:jc w:val="left"/>
    </w:pPr>
  </w:style>
  <w:style w:type="paragraph" w:customStyle="1" w:styleId="Tableau1religneIntitul">
    <w:name w:val="Tableau 1ère ligne Intitulé"/>
    <w:basedOn w:val="Heading9"/>
    <w:semiHidden/>
    <w:rsid w:val="00874B20"/>
    <w:pPr>
      <w:keepNext/>
      <w:spacing w:before="0" w:after="0"/>
      <w:jc w:val="center"/>
    </w:pPr>
    <w:rPr>
      <w:rFonts w:ascii="Times New Roman" w:hAnsi="Times New Roman" w:cs="Times New Roman"/>
      <w:sz w:val="24"/>
      <w:szCs w:val="20"/>
    </w:rPr>
  </w:style>
  <w:style w:type="paragraph" w:customStyle="1" w:styleId="Tableauremplissagegauche">
    <w:name w:val="Tableau remplissage à gauche"/>
    <w:basedOn w:val="Normal"/>
    <w:semiHidden/>
    <w:rsid w:val="00874B20"/>
    <w:pPr>
      <w:spacing w:before="0" w:after="0"/>
      <w:ind w:firstLine="0"/>
      <w:jc w:val="left"/>
    </w:pPr>
  </w:style>
  <w:style w:type="paragraph" w:customStyle="1" w:styleId="Rsum-texte">
    <w:name w:val="Résumé - texte"/>
    <w:basedOn w:val="Normal"/>
    <w:next w:val="Mots-clefs-annonce"/>
    <w:autoRedefine/>
    <w:uiPriority w:val="4"/>
    <w:rsid w:val="00EF7DAB"/>
    <w:pPr>
      <w:spacing w:before="0" w:after="100" w:afterAutospacing="1" w:line="240" w:lineRule="auto"/>
      <w:ind w:firstLine="0"/>
    </w:pPr>
    <w:rPr>
      <w:sz w:val="20"/>
    </w:rPr>
  </w:style>
  <w:style w:type="paragraph" w:customStyle="1" w:styleId="Notedebasdepage1">
    <w:name w:val="Note de bas de page1"/>
    <w:basedOn w:val="Normal"/>
    <w:semiHidden/>
    <w:rsid w:val="00B91A9A"/>
    <w:pPr>
      <w:spacing w:before="120" w:after="120"/>
      <w:ind w:firstLine="0"/>
    </w:pPr>
    <w:rPr>
      <w:rFonts w:ascii="Liberation Sans" w:eastAsia="SimSun" w:hAnsi="Liberation Sans" w:cs="Mangal"/>
      <w:kern w:val="1"/>
      <w:lang w:eastAsia="hi-IN" w:bidi="hi-IN"/>
    </w:rPr>
  </w:style>
  <w:style w:type="paragraph" w:customStyle="1" w:styleId="Titre-Tableaux-schmas-graphique">
    <w:name w:val="Titre- Tableaux-schémas-graphique"/>
    <w:basedOn w:val="Normal"/>
    <w:next w:val="Normal"/>
    <w:autoRedefine/>
    <w:uiPriority w:val="13"/>
    <w:rsid w:val="00874B20"/>
    <w:pPr>
      <w:jc w:val="left"/>
    </w:pPr>
    <w:rPr>
      <w:i/>
    </w:rPr>
  </w:style>
  <w:style w:type="paragraph" w:customStyle="1" w:styleId="Paragraphedeliste1">
    <w:name w:val="Paragraphe de liste1"/>
    <w:basedOn w:val="Normal"/>
    <w:semiHidden/>
    <w:rsid w:val="00874B20"/>
    <w:pPr>
      <w:spacing w:before="0" w:after="0"/>
      <w:ind w:left="720" w:firstLine="0"/>
      <w:jc w:val="left"/>
    </w:pPr>
    <w:rPr>
      <w:rFonts w:ascii="Times" w:hAnsi="Times"/>
      <w:kern w:val="1"/>
    </w:rPr>
  </w:style>
  <w:style w:type="paragraph" w:customStyle="1" w:styleId="Notedebasdepage2">
    <w:name w:val="Note de bas de page2"/>
    <w:basedOn w:val="Normal"/>
    <w:semiHidden/>
    <w:rsid w:val="00874B20"/>
    <w:pPr>
      <w:spacing w:before="0" w:after="0"/>
      <w:ind w:firstLine="0"/>
      <w:jc w:val="left"/>
    </w:pPr>
    <w:rPr>
      <w:kern w:val="1"/>
      <w:sz w:val="20"/>
      <w:szCs w:val="20"/>
    </w:rPr>
  </w:style>
  <w:style w:type="paragraph" w:customStyle="1" w:styleId="Mots-clefs-texte">
    <w:name w:val="Mots-clefs - texte"/>
    <w:next w:val="Abstract-annonce"/>
    <w:autoRedefine/>
    <w:uiPriority w:val="7"/>
    <w:rsid w:val="0091637C"/>
    <w:pPr>
      <w:suppressAutoHyphens/>
      <w:spacing w:after="240"/>
      <w:jc w:val="both"/>
    </w:pPr>
    <w:rPr>
      <w:rFonts w:ascii="Times New Roman" w:eastAsia="Arial" w:hAnsi="Times New Roman"/>
      <w:szCs w:val="22"/>
      <w:lang w:eastAsia="ar-SA"/>
    </w:rPr>
  </w:style>
  <w:style w:type="paragraph" w:customStyle="1" w:styleId="Abstract-annonce">
    <w:name w:val="Abstract - annonce"/>
    <w:next w:val="Normal"/>
    <w:uiPriority w:val="8"/>
    <w:rsid w:val="0056227A"/>
    <w:pPr>
      <w:suppressAutoHyphens/>
      <w:spacing w:before="120" w:after="60"/>
    </w:pPr>
    <w:rPr>
      <w:rFonts w:ascii="Times New Roman" w:eastAsia="Arial" w:hAnsi="Times New Roman"/>
      <w:b/>
      <w:i/>
      <w:szCs w:val="22"/>
      <w:lang w:eastAsia="ar-SA"/>
    </w:rPr>
  </w:style>
  <w:style w:type="paragraph" w:customStyle="1" w:styleId="Keywords-texte">
    <w:name w:val="Keywords - texte"/>
    <w:next w:val="Normal"/>
    <w:autoRedefine/>
    <w:uiPriority w:val="11"/>
    <w:rsid w:val="0091637C"/>
    <w:pPr>
      <w:suppressAutoHyphens/>
      <w:spacing w:after="840"/>
      <w:jc w:val="both"/>
    </w:pPr>
    <w:rPr>
      <w:rFonts w:ascii="Times New Roman" w:eastAsia="Arial" w:hAnsi="Times New Roman"/>
      <w:i/>
      <w:szCs w:val="22"/>
      <w:lang w:val="en-GB" w:eastAsia="ar-SA"/>
    </w:rPr>
  </w:style>
  <w:style w:type="paragraph" w:customStyle="1" w:styleId="Abstract-texte">
    <w:name w:val="Abstract - texte"/>
    <w:next w:val="Normal"/>
    <w:uiPriority w:val="9"/>
    <w:rsid w:val="002F61B2"/>
    <w:pPr>
      <w:suppressAutoHyphens/>
      <w:jc w:val="both"/>
    </w:pPr>
    <w:rPr>
      <w:rFonts w:ascii="Times New Roman" w:eastAsia="Arial" w:hAnsi="Times New Roman"/>
      <w:i/>
      <w:szCs w:val="22"/>
      <w:lang w:eastAsia="ar-SA"/>
    </w:rPr>
  </w:style>
  <w:style w:type="paragraph" w:customStyle="1" w:styleId="Keywords-annonce">
    <w:name w:val="Keywords - annonce"/>
    <w:next w:val="Keywords-texte"/>
    <w:uiPriority w:val="10"/>
    <w:rsid w:val="0091637C"/>
    <w:pPr>
      <w:suppressAutoHyphens/>
      <w:spacing w:before="120" w:after="60"/>
    </w:pPr>
    <w:rPr>
      <w:rFonts w:ascii="Times New Roman" w:eastAsia="Arial" w:hAnsi="Times New Roman"/>
      <w:b/>
      <w:i/>
      <w:szCs w:val="22"/>
      <w:lang w:eastAsia="ar-SA"/>
    </w:rPr>
  </w:style>
  <w:style w:type="paragraph" w:customStyle="1" w:styleId="RubriqueTmoignage-Pointdevue-Lepointsur">
    <w:name w:val="Rubrique [Témoignage-Point de vue-Le point sur]"/>
    <w:next w:val="TOAHeading"/>
    <w:autoRedefine/>
    <w:uiPriority w:val="14"/>
    <w:rsid w:val="00621850"/>
    <w:pPr>
      <w:suppressAutoHyphens/>
      <w:spacing w:after="1920"/>
      <w:jc w:val="center"/>
    </w:pPr>
    <w:rPr>
      <w:rFonts w:ascii="Times New Roman" w:eastAsia="Arial" w:hAnsi="Times New Roman"/>
      <w:b/>
      <w:sz w:val="28"/>
      <w:szCs w:val="22"/>
      <w:lang w:eastAsia="ar-SA"/>
    </w:rPr>
  </w:style>
  <w:style w:type="paragraph" w:customStyle="1" w:styleId="Mots-clefs-annonce">
    <w:name w:val="Mots-clefs - annonce"/>
    <w:next w:val="Mots-clefs-texte"/>
    <w:uiPriority w:val="6"/>
    <w:rsid w:val="0091637C"/>
    <w:pPr>
      <w:suppressAutoHyphens/>
      <w:spacing w:before="120" w:after="60"/>
    </w:pPr>
    <w:rPr>
      <w:rFonts w:ascii="Times New Roman" w:eastAsia="Arial" w:hAnsi="Times New Roman"/>
      <w:b/>
      <w:szCs w:val="22"/>
      <w:lang w:eastAsia="ar-SA"/>
    </w:rPr>
  </w:style>
  <w:style w:type="paragraph" w:styleId="NormalWeb">
    <w:name w:val="Normal (Web)"/>
    <w:basedOn w:val="Normal"/>
    <w:uiPriority w:val="99"/>
    <w:rsid w:val="00874B20"/>
    <w:pPr>
      <w:spacing w:before="280" w:after="119"/>
      <w:ind w:firstLine="0"/>
      <w:jc w:val="left"/>
    </w:pPr>
    <w:rPr>
      <w:rFonts w:ascii="Times" w:eastAsia="Times" w:hAnsi="Times"/>
      <w:sz w:val="20"/>
      <w:szCs w:val="20"/>
    </w:rPr>
  </w:style>
  <w:style w:type="paragraph" w:customStyle="1" w:styleId="Soustitre">
    <w:name w:val="Sous titre"/>
    <w:basedOn w:val="Normal"/>
    <w:semiHidden/>
    <w:rsid w:val="00874B20"/>
    <w:pPr>
      <w:widowControl w:val="0"/>
      <w:autoSpaceDE w:val="0"/>
      <w:spacing w:before="0" w:after="0"/>
      <w:ind w:firstLine="0"/>
      <w:jc w:val="center"/>
    </w:pPr>
    <w:rPr>
      <w:i/>
      <w:szCs w:val="22"/>
    </w:rPr>
  </w:style>
  <w:style w:type="paragraph" w:styleId="BodyText2">
    <w:name w:val="Body Text 2"/>
    <w:basedOn w:val="Normal"/>
    <w:semiHidden/>
    <w:rsid w:val="00874B20"/>
    <w:pPr>
      <w:spacing w:before="280" w:after="120" w:line="480" w:lineRule="auto"/>
    </w:pPr>
  </w:style>
  <w:style w:type="paragraph" w:customStyle="1" w:styleId="Corpsdetexte21">
    <w:name w:val="Corps de texte 21"/>
    <w:basedOn w:val="Normal"/>
    <w:semiHidden/>
    <w:rsid w:val="00874B20"/>
    <w:pPr>
      <w:widowControl w:val="0"/>
      <w:spacing w:before="0" w:after="0"/>
      <w:ind w:firstLine="0"/>
    </w:pPr>
    <w:rPr>
      <w:rFonts w:eastAsia="Lucida Sans Unicode"/>
      <w:kern w:val="1"/>
      <w:sz w:val="28"/>
    </w:rPr>
  </w:style>
  <w:style w:type="paragraph" w:customStyle="1" w:styleId="Retraitcorpsdetexte31">
    <w:name w:val="Retrait corps de texte 31"/>
    <w:basedOn w:val="Normal"/>
    <w:semiHidden/>
    <w:rsid w:val="00874B20"/>
    <w:pPr>
      <w:widowControl w:val="0"/>
      <w:spacing w:before="0" w:after="0"/>
      <w:ind w:firstLine="708"/>
    </w:pPr>
    <w:rPr>
      <w:rFonts w:eastAsia="Lucida Sans Unicode"/>
      <w:kern w:val="1"/>
      <w:sz w:val="28"/>
    </w:rPr>
  </w:style>
  <w:style w:type="paragraph" w:styleId="BodyTextIndent3">
    <w:name w:val="Body Text Indent 3"/>
    <w:basedOn w:val="Normal"/>
    <w:semiHidden/>
    <w:rsid w:val="00874B20"/>
    <w:pPr>
      <w:widowControl w:val="0"/>
      <w:spacing w:before="0" w:after="120"/>
      <w:ind w:left="283" w:firstLine="0"/>
      <w:jc w:val="left"/>
    </w:pPr>
    <w:rPr>
      <w:rFonts w:eastAsia="Lucida Sans Unicode"/>
      <w:kern w:val="1"/>
      <w:sz w:val="16"/>
      <w:szCs w:val="16"/>
    </w:rPr>
  </w:style>
  <w:style w:type="paragraph" w:customStyle="1" w:styleId="Contenuducadre">
    <w:name w:val="Contenu du cadre"/>
    <w:basedOn w:val="Normal"/>
    <w:semiHidden/>
    <w:rsid w:val="00407F3F"/>
    <w:pPr>
      <w:spacing w:before="280" w:after="120"/>
    </w:pPr>
  </w:style>
  <w:style w:type="paragraph" w:styleId="EndnoteText">
    <w:name w:val="endnote text"/>
    <w:basedOn w:val="Normal"/>
    <w:rsid w:val="00874B20"/>
    <w:pPr>
      <w:suppressAutoHyphens w:val="0"/>
      <w:spacing w:before="0" w:after="0"/>
      <w:ind w:firstLine="0"/>
    </w:pPr>
    <w:rPr>
      <w:lang w:val="en-US" w:eastAsia="en-US"/>
    </w:rPr>
  </w:style>
  <w:style w:type="paragraph" w:customStyle="1" w:styleId="sdfootnote">
    <w:name w:val="sdfootnote"/>
    <w:basedOn w:val="Normal"/>
    <w:semiHidden/>
    <w:rsid w:val="00874B20"/>
    <w:pPr>
      <w:suppressAutoHyphens w:val="0"/>
      <w:spacing w:before="100" w:beforeAutospacing="1" w:after="0"/>
      <w:ind w:left="284" w:hanging="284"/>
      <w:jc w:val="left"/>
    </w:pPr>
    <w:rPr>
      <w:rFonts w:ascii="Arial Unicode MS" w:eastAsia="Arial Unicode MS" w:hAnsi="Arial Unicode MS" w:cs="Arial Unicode MS"/>
      <w:sz w:val="20"/>
      <w:szCs w:val="20"/>
    </w:rPr>
  </w:style>
  <w:style w:type="paragraph" w:customStyle="1" w:styleId="Notedefin1">
    <w:name w:val="Note de fin1"/>
    <w:basedOn w:val="Normal"/>
    <w:semiHidden/>
    <w:rsid w:val="009A05F7"/>
    <w:pPr>
      <w:widowControl w:val="0"/>
      <w:spacing w:before="0" w:after="0"/>
      <w:ind w:firstLine="0"/>
      <w:jc w:val="left"/>
    </w:pPr>
    <w:rPr>
      <w:noProof/>
      <w:sz w:val="20"/>
      <w:szCs w:val="20"/>
      <w:lang w:val="en-US" w:eastAsia="en-US" w:bidi="en-US"/>
    </w:rPr>
  </w:style>
  <w:style w:type="paragraph" w:styleId="TOC1">
    <w:name w:val="toc 1"/>
    <w:basedOn w:val="Normal"/>
    <w:next w:val="Normal"/>
    <w:autoRedefine/>
    <w:semiHidden/>
    <w:rsid w:val="004037CD"/>
  </w:style>
  <w:style w:type="character" w:customStyle="1" w:styleId="Auteur-identitCar">
    <w:name w:val="Auteur - identité Car"/>
    <w:link w:val="Auteur-identit"/>
    <w:uiPriority w:val="3"/>
    <w:rsid w:val="00512FA2"/>
    <w:rPr>
      <w:rFonts w:ascii="Times New Roman" w:hAnsi="Times New Roman"/>
      <w:sz w:val="24"/>
      <w:szCs w:val="24"/>
    </w:rPr>
  </w:style>
  <w:style w:type="character" w:customStyle="1" w:styleId="FootnoteTextChar">
    <w:name w:val="Footnote Text Char"/>
    <w:semiHidden/>
    <w:locked/>
    <w:rsid w:val="00DA34AD"/>
    <w:rPr>
      <w:rFonts w:cs="Times New Roman"/>
      <w:sz w:val="20"/>
      <w:szCs w:val="20"/>
    </w:rPr>
  </w:style>
  <w:style w:type="character" w:customStyle="1" w:styleId="Heading1Char">
    <w:name w:val="Heading 1 Char"/>
    <w:link w:val="Heading1"/>
    <w:uiPriority w:val="12"/>
    <w:rsid w:val="007A630D"/>
    <w:rPr>
      <w:rFonts w:ascii="Times New Roman" w:hAnsi="Times New Roman" w:cs="Arial"/>
      <w:b/>
      <w:bCs/>
      <w:caps/>
      <w:kern w:val="32"/>
      <w:sz w:val="24"/>
      <w:szCs w:val="32"/>
    </w:rPr>
  </w:style>
  <w:style w:type="character" w:customStyle="1" w:styleId="Heading2Char">
    <w:name w:val="Heading 2 Char"/>
    <w:link w:val="Heading2"/>
    <w:uiPriority w:val="13"/>
    <w:rsid w:val="000546AE"/>
    <w:rPr>
      <w:rFonts w:ascii="Times New Roman Gras" w:hAnsi="Times New Roman Gras" w:cs="Arial"/>
      <w:b/>
      <w:bCs/>
      <w:iCs/>
      <w:sz w:val="24"/>
      <w:szCs w:val="28"/>
    </w:rPr>
  </w:style>
  <w:style w:type="character" w:customStyle="1" w:styleId="Heading3Char">
    <w:name w:val="Heading 3 Char"/>
    <w:link w:val="Heading3"/>
    <w:uiPriority w:val="13"/>
    <w:rsid w:val="00F936F5"/>
    <w:rPr>
      <w:rFonts w:ascii="Times New Roman" w:hAnsi="Times New Roman"/>
      <w:bCs/>
      <w:i/>
      <w:sz w:val="24"/>
      <w:szCs w:val="26"/>
    </w:rPr>
  </w:style>
  <w:style w:type="character" w:customStyle="1" w:styleId="Heading4Char">
    <w:name w:val="Heading 4 Char"/>
    <w:link w:val="Heading4"/>
    <w:uiPriority w:val="13"/>
    <w:rsid w:val="00F936F5"/>
    <w:rPr>
      <w:rFonts w:ascii="Times New Roman" w:hAnsi="Times New Roman"/>
      <w:bCs/>
      <w:szCs w:val="28"/>
    </w:rPr>
  </w:style>
  <w:style w:type="character" w:customStyle="1" w:styleId="Heading5Char">
    <w:name w:val="Heading 5 Char"/>
    <w:link w:val="Heading5"/>
    <w:uiPriority w:val="13"/>
    <w:rsid w:val="00F936F5"/>
    <w:rPr>
      <w:rFonts w:ascii="Times New Roman" w:hAnsi="Times New Roman"/>
      <w:bCs/>
      <w:iCs/>
      <w:szCs w:val="26"/>
    </w:rPr>
  </w:style>
  <w:style w:type="character" w:customStyle="1" w:styleId="Heading6Char">
    <w:name w:val="Heading 6 Char"/>
    <w:link w:val="Heading6"/>
    <w:uiPriority w:val="13"/>
    <w:rsid w:val="00F936F5"/>
    <w:rPr>
      <w:rFonts w:ascii="Times New Roman" w:hAnsi="Times New Roman"/>
      <w:bCs/>
      <w:szCs w:val="22"/>
    </w:rPr>
  </w:style>
  <w:style w:type="character" w:customStyle="1" w:styleId="Heading7Char">
    <w:name w:val="Heading 7 Char"/>
    <w:link w:val="Heading7"/>
    <w:uiPriority w:val="13"/>
    <w:rsid w:val="009E232C"/>
    <w:rPr>
      <w:rFonts w:ascii="Times New Roman" w:hAnsi="Times New Roman"/>
      <w:sz w:val="24"/>
      <w:szCs w:val="24"/>
    </w:rPr>
  </w:style>
  <w:style w:type="character" w:customStyle="1" w:styleId="Heading8Char">
    <w:name w:val="Heading 8 Char"/>
    <w:link w:val="Heading8"/>
    <w:uiPriority w:val="9"/>
    <w:semiHidden/>
    <w:rsid w:val="007A630D"/>
    <w:rPr>
      <w:rFonts w:ascii="Times New Roman" w:hAnsi="Times New Roman"/>
      <w:i/>
      <w:iCs/>
      <w:sz w:val="24"/>
      <w:szCs w:val="24"/>
    </w:rPr>
  </w:style>
  <w:style w:type="character" w:customStyle="1" w:styleId="Heading9Char">
    <w:name w:val="Heading 9 Char"/>
    <w:link w:val="Heading9"/>
    <w:uiPriority w:val="9"/>
    <w:semiHidden/>
    <w:rsid w:val="007A630D"/>
    <w:rPr>
      <w:rFonts w:ascii="Cambria" w:hAnsi="Cambria" w:cs="Arial"/>
      <w:sz w:val="22"/>
      <w:szCs w:val="22"/>
    </w:rPr>
  </w:style>
  <w:style w:type="character" w:customStyle="1" w:styleId="TitleChar">
    <w:name w:val="Title Char"/>
    <w:link w:val="Title"/>
    <w:uiPriority w:val="1"/>
    <w:rsid w:val="006D0CE7"/>
    <w:rPr>
      <w:rFonts w:ascii="Times New Roman" w:hAnsi="Times New Roman" w:cs="Arial"/>
      <w:b/>
      <w:caps/>
      <w:kern w:val="28"/>
      <w:sz w:val="28"/>
      <w:szCs w:val="32"/>
    </w:rPr>
  </w:style>
  <w:style w:type="paragraph" w:styleId="Quote">
    <w:name w:val="Quote"/>
    <w:basedOn w:val="Normal"/>
    <w:next w:val="Normal"/>
    <w:link w:val="QuoteChar"/>
    <w:uiPriority w:val="15"/>
    <w:qFormat/>
    <w:rsid w:val="00470B2A"/>
    <w:rPr>
      <w:i/>
    </w:rPr>
  </w:style>
  <w:style w:type="character" w:customStyle="1" w:styleId="QuoteChar">
    <w:name w:val="Quote Char"/>
    <w:link w:val="Quote"/>
    <w:uiPriority w:val="15"/>
    <w:rsid w:val="009E232C"/>
    <w:rPr>
      <w:rFonts w:ascii="Times New Roman" w:hAnsi="Times New Roman"/>
      <w:i/>
      <w:sz w:val="24"/>
      <w:szCs w:val="24"/>
    </w:rPr>
  </w:style>
  <w:style w:type="paragraph" w:styleId="TOCHeading">
    <w:name w:val="TOC Heading"/>
    <w:basedOn w:val="Heading1"/>
    <w:next w:val="Normal"/>
    <w:uiPriority w:val="39"/>
    <w:semiHidden/>
    <w:unhideWhenUsed/>
    <w:qFormat/>
    <w:rsid w:val="00470B2A"/>
    <w:pPr>
      <w:outlineLvl w:val="9"/>
    </w:pPr>
    <w:rPr>
      <w:rFonts w:ascii="Cambria" w:hAnsi="Cambria" w:cs="Times New Roman"/>
    </w:rPr>
  </w:style>
  <w:style w:type="character" w:styleId="Emphasis">
    <w:name w:val="Emphasis"/>
    <w:qFormat/>
    <w:rsid w:val="00461893"/>
    <w:rPr>
      <w:i/>
      <w:iCs/>
    </w:rPr>
  </w:style>
  <w:style w:type="paragraph" w:styleId="BodyText">
    <w:name w:val="Body Text"/>
    <w:basedOn w:val="Normal"/>
    <w:link w:val="BodyTextChar"/>
    <w:uiPriority w:val="99"/>
    <w:semiHidden/>
    <w:unhideWhenUsed/>
    <w:rsid w:val="007A4FEA"/>
    <w:pPr>
      <w:spacing w:after="120"/>
    </w:pPr>
  </w:style>
  <w:style w:type="character" w:customStyle="1" w:styleId="BodyTextChar">
    <w:name w:val="Body Text Char"/>
    <w:basedOn w:val="DefaultParagraphFont"/>
    <w:link w:val="BodyText"/>
    <w:uiPriority w:val="99"/>
    <w:semiHidden/>
    <w:rsid w:val="007A4FEA"/>
    <w:rPr>
      <w:rFonts w:ascii="Times New Roman" w:hAnsi="Times New Roman"/>
      <w:sz w:val="24"/>
      <w:szCs w:val="24"/>
    </w:rPr>
  </w:style>
  <w:style w:type="paragraph" w:customStyle="1" w:styleId="Contenudetableau">
    <w:name w:val="Contenu de tableau"/>
    <w:basedOn w:val="Normal"/>
    <w:rsid w:val="007A4FEA"/>
    <w:pPr>
      <w:widowControl w:val="0"/>
      <w:suppressLineNumbers/>
      <w:spacing w:before="0" w:after="0" w:line="240" w:lineRule="auto"/>
      <w:ind w:firstLine="0"/>
      <w:jc w:val="left"/>
    </w:pPr>
    <w:rPr>
      <w:rFonts w:ascii="Liberation Serif" w:eastAsia="Droid Sans Fallback" w:hAnsi="Liberation Serif" w:cs="FreeSans"/>
      <w:kern w:val="1"/>
      <w:lang w:val="fr-CA" w:eastAsia="zh-CN" w:bidi="hi-IN"/>
    </w:rPr>
  </w:style>
  <w:style w:type="character" w:styleId="CommentReference">
    <w:name w:val="annotation reference"/>
    <w:basedOn w:val="DefaultParagraphFont"/>
    <w:uiPriority w:val="99"/>
    <w:semiHidden/>
    <w:unhideWhenUsed/>
    <w:rsid w:val="0067552B"/>
    <w:rPr>
      <w:sz w:val="16"/>
      <w:szCs w:val="16"/>
    </w:rPr>
  </w:style>
  <w:style w:type="paragraph" w:styleId="CommentText">
    <w:name w:val="annotation text"/>
    <w:basedOn w:val="Normal"/>
    <w:link w:val="CommentTextChar"/>
    <w:uiPriority w:val="99"/>
    <w:semiHidden/>
    <w:unhideWhenUsed/>
    <w:rsid w:val="0067552B"/>
    <w:pPr>
      <w:spacing w:line="240" w:lineRule="auto"/>
    </w:pPr>
    <w:rPr>
      <w:sz w:val="20"/>
      <w:szCs w:val="20"/>
    </w:rPr>
  </w:style>
  <w:style w:type="character" w:customStyle="1" w:styleId="CommentTextChar">
    <w:name w:val="Comment Text Char"/>
    <w:basedOn w:val="DefaultParagraphFont"/>
    <w:link w:val="CommentText"/>
    <w:uiPriority w:val="99"/>
    <w:semiHidden/>
    <w:rsid w:val="0067552B"/>
    <w:rPr>
      <w:rFonts w:ascii="Times New Roman" w:hAnsi="Times New Roman"/>
    </w:rPr>
  </w:style>
  <w:style w:type="paragraph" w:styleId="CommentSubject">
    <w:name w:val="annotation subject"/>
    <w:basedOn w:val="CommentText"/>
    <w:next w:val="CommentText"/>
    <w:link w:val="CommentSubjectChar"/>
    <w:uiPriority w:val="99"/>
    <w:semiHidden/>
    <w:unhideWhenUsed/>
    <w:rsid w:val="0067552B"/>
    <w:rPr>
      <w:b/>
      <w:bCs/>
    </w:rPr>
  </w:style>
  <w:style w:type="character" w:customStyle="1" w:styleId="CommentSubjectChar">
    <w:name w:val="Comment Subject Char"/>
    <w:basedOn w:val="CommentTextChar"/>
    <w:link w:val="CommentSubject"/>
    <w:uiPriority w:val="99"/>
    <w:semiHidden/>
    <w:rsid w:val="0067552B"/>
    <w:rPr>
      <w:rFonts w:ascii="Times New Roman" w:hAnsi="Times New Roman"/>
      <w:b/>
      <w:bCs/>
    </w:rPr>
  </w:style>
  <w:style w:type="paragraph" w:styleId="Revision">
    <w:name w:val="Revision"/>
    <w:hidden/>
    <w:uiPriority w:val="99"/>
    <w:semiHidden/>
    <w:rsid w:val="0067552B"/>
    <w:rPr>
      <w:rFonts w:ascii="Times New Roman" w:hAnsi="Times New Roman"/>
      <w:sz w:val="24"/>
      <w:szCs w:val="24"/>
    </w:rPr>
  </w:style>
  <w:style w:type="character" w:customStyle="1" w:styleId="cit-doi">
    <w:name w:val="cit-doi"/>
    <w:basedOn w:val="DefaultParagraphFont"/>
    <w:rsid w:val="009C0609"/>
  </w:style>
  <w:style w:type="character" w:customStyle="1" w:styleId="cit-sep">
    <w:name w:val="cit-sep"/>
    <w:basedOn w:val="DefaultParagraphFont"/>
    <w:rsid w:val="009C06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semiHidden="0" w:uiPriority="9" w:unhideWhenUsed="0"/>
    <w:lsdException w:name="heading 7" w:uiPriority="9" w:qFormat="1"/>
    <w:lsdException w:name="heading 8" w:uiPriority="9" w:qFormat="1"/>
    <w:lsdException w:name="heading 9" w:semiHidden="0" w:uiPriority="9" w:unhideWhenUsed="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unhideWhenUsed="0"/>
    <w:lsdException w:name="footnote reference" w:uiPriority="0"/>
    <w:lsdException w:name="endnote text" w:uiPriority="0"/>
    <w:lsdException w:name="Title" w:semiHidden="0" w:uiPriority="10" w:unhideWhenUsed="0" w:qFormat="1"/>
    <w:lsdException w:name="Default Paragraph Font" w:uiPriority="1"/>
    <w:lsdException w:name="Subtitle" w:uiPriority="15" w:qFormat="1"/>
    <w:lsdException w:name="Strong" w:uiPriority="22" w:unhideWhenUsed="0" w:qFormat="1"/>
    <w:lsdException w:name="Emphasis" w:uiPriority="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qFormat="1"/>
    <w:lsdException w:name="Quote" w:semiHidden="0"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Normal">
    <w:name w:val="Normal"/>
    <w:qFormat/>
    <w:rsid w:val="006D0CE7"/>
    <w:pPr>
      <w:suppressAutoHyphens/>
      <w:spacing w:before="240" w:after="240" w:line="360" w:lineRule="auto"/>
      <w:ind w:firstLine="737"/>
      <w:jc w:val="both"/>
    </w:pPr>
    <w:rPr>
      <w:rFonts w:ascii="Times New Roman" w:hAnsi="Times New Roman"/>
      <w:sz w:val="24"/>
      <w:szCs w:val="24"/>
    </w:rPr>
  </w:style>
  <w:style w:type="paragraph" w:styleId="Titre1">
    <w:name w:val="heading 1"/>
    <w:next w:val="Normal"/>
    <w:link w:val="Titre1Car"/>
    <w:uiPriority w:val="12"/>
    <w:qFormat/>
    <w:rsid w:val="00E814B6"/>
    <w:pPr>
      <w:keepNext/>
      <w:spacing w:before="840" w:after="840"/>
      <w:outlineLvl w:val="0"/>
    </w:pPr>
    <w:rPr>
      <w:rFonts w:ascii="Times New Roman" w:hAnsi="Times New Roman" w:cs="Arial"/>
      <w:b/>
      <w:bCs/>
      <w:caps/>
      <w:kern w:val="32"/>
      <w:sz w:val="24"/>
      <w:szCs w:val="32"/>
    </w:rPr>
  </w:style>
  <w:style w:type="paragraph" w:styleId="Titre2">
    <w:name w:val="heading 2"/>
    <w:basedOn w:val="Normal"/>
    <w:next w:val="Normal"/>
    <w:link w:val="Titre2Car"/>
    <w:uiPriority w:val="13"/>
    <w:qFormat/>
    <w:rsid w:val="000546AE"/>
    <w:pPr>
      <w:keepNext/>
      <w:spacing w:before="720" w:after="600"/>
      <w:ind w:firstLine="0"/>
      <w:jc w:val="center"/>
      <w:outlineLvl w:val="1"/>
    </w:pPr>
    <w:rPr>
      <w:rFonts w:ascii="Times New Roman Gras" w:hAnsi="Times New Roman Gras" w:cs="Arial"/>
      <w:b/>
      <w:bCs/>
      <w:iCs/>
      <w:szCs w:val="28"/>
    </w:rPr>
  </w:style>
  <w:style w:type="paragraph" w:styleId="Titre3">
    <w:name w:val="heading 3"/>
    <w:basedOn w:val="Normal"/>
    <w:next w:val="Normal"/>
    <w:link w:val="Titre3Car"/>
    <w:uiPriority w:val="13"/>
    <w:qFormat/>
    <w:rsid w:val="00F936F5"/>
    <w:pPr>
      <w:keepNext/>
      <w:spacing w:after="60"/>
      <w:outlineLvl w:val="2"/>
    </w:pPr>
    <w:rPr>
      <w:bCs/>
      <w:i/>
      <w:szCs w:val="26"/>
    </w:rPr>
  </w:style>
  <w:style w:type="paragraph" w:styleId="Titre4">
    <w:name w:val="heading 4"/>
    <w:basedOn w:val="Normal"/>
    <w:next w:val="Normal"/>
    <w:link w:val="Titre4Car"/>
    <w:uiPriority w:val="13"/>
    <w:qFormat/>
    <w:rsid w:val="00F936F5"/>
    <w:pPr>
      <w:keepNext/>
      <w:spacing w:after="60"/>
      <w:jc w:val="left"/>
      <w:outlineLvl w:val="3"/>
    </w:pPr>
    <w:rPr>
      <w:bCs/>
      <w:sz w:val="20"/>
      <w:szCs w:val="28"/>
    </w:rPr>
  </w:style>
  <w:style w:type="paragraph" w:styleId="Titre5">
    <w:name w:val="heading 5"/>
    <w:basedOn w:val="Normal"/>
    <w:next w:val="Normal"/>
    <w:link w:val="Titre5Car"/>
    <w:uiPriority w:val="13"/>
    <w:qFormat/>
    <w:rsid w:val="00F936F5"/>
    <w:pPr>
      <w:spacing w:after="60"/>
      <w:jc w:val="left"/>
      <w:outlineLvl w:val="4"/>
    </w:pPr>
    <w:rPr>
      <w:bCs/>
      <w:iCs/>
      <w:sz w:val="20"/>
      <w:szCs w:val="26"/>
    </w:rPr>
  </w:style>
  <w:style w:type="paragraph" w:styleId="Titre6">
    <w:name w:val="heading 6"/>
    <w:next w:val="Normal"/>
    <w:link w:val="Titre6Car"/>
    <w:uiPriority w:val="13"/>
    <w:rsid w:val="00F936F5"/>
    <w:pPr>
      <w:spacing w:before="240" w:after="60"/>
      <w:outlineLvl w:val="5"/>
    </w:pPr>
    <w:rPr>
      <w:rFonts w:ascii="Times New Roman" w:hAnsi="Times New Roman"/>
      <w:bCs/>
      <w:szCs w:val="22"/>
    </w:rPr>
  </w:style>
  <w:style w:type="paragraph" w:styleId="Titre7">
    <w:name w:val="heading 7"/>
    <w:basedOn w:val="Normal"/>
    <w:next w:val="Normal"/>
    <w:link w:val="Titre7Car"/>
    <w:uiPriority w:val="13"/>
    <w:qFormat/>
    <w:rsid w:val="00470B2A"/>
    <w:pPr>
      <w:spacing w:after="60"/>
      <w:outlineLvl w:val="6"/>
    </w:pPr>
  </w:style>
  <w:style w:type="paragraph" w:styleId="Titre8">
    <w:name w:val="heading 8"/>
    <w:basedOn w:val="Normal"/>
    <w:next w:val="Normal"/>
    <w:link w:val="Titre8Car"/>
    <w:uiPriority w:val="9"/>
    <w:semiHidden/>
    <w:qFormat/>
    <w:rsid w:val="00470B2A"/>
    <w:pPr>
      <w:spacing w:after="60"/>
      <w:outlineLvl w:val="7"/>
    </w:pPr>
    <w:rPr>
      <w:i/>
      <w:iCs/>
    </w:rPr>
  </w:style>
  <w:style w:type="paragraph" w:styleId="Titre9">
    <w:name w:val="heading 9"/>
    <w:next w:val="Normal"/>
    <w:link w:val="Titre9Car"/>
    <w:uiPriority w:val="9"/>
    <w:semiHidden/>
    <w:rsid w:val="00407F3F"/>
    <w:pPr>
      <w:spacing w:before="240" w:after="60"/>
      <w:outlineLvl w:val="8"/>
    </w:pPr>
    <w:rPr>
      <w:rFonts w:ascii="Cambria" w:hAnsi="Cambria"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M4">
    <w:name w:val="toc 4"/>
    <w:basedOn w:val="Normal"/>
    <w:next w:val="Normal"/>
    <w:semiHidden/>
    <w:pPr>
      <w:ind w:left="720" w:firstLine="567"/>
    </w:pPr>
  </w:style>
  <w:style w:type="character" w:customStyle="1" w:styleId="WW8Num1z0">
    <w:name w:val="WW8Num1z0"/>
    <w:semiHidden/>
    <w:rPr>
      <w:color w:val="000000"/>
    </w:rPr>
  </w:style>
  <w:style w:type="character" w:customStyle="1" w:styleId="WW8Num2z0">
    <w:name w:val="WW8Num2z0"/>
    <w:semiHidden/>
    <w:rPr>
      <w:rFonts w:cs="Times New Roman"/>
    </w:rPr>
  </w:style>
  <w:style w:type="character" w:customStyle="1" w:styleId="WW8Num3z0">
    <w:name w:val="WW8Num3z0"/>
    <w:semiHidden/>
    <w:rPr>
      <w:rFonts w:ascii="Symbol" w:hAnsi="Symbol"/>
    </w:rPr>
  </w:style>
  <w:style w:type="character" w:customStyle="1" w:styleId="WW8Num3z3">
    <w:name w:val="WW8Num3z3"/>
    <w:semiHidden/>
    <w:rPr>
      <w:rFonts w:ascii="Times New Roman" w:eastAsia="Times New Roman" w:hAnsi="Times New Roman" w:cs="Times New Roman"/>
    </w:rPr>
  </w:style>
  <w:style w:type="character" w:customStyle="1" w:styleId="WW8Num4z0">
    <w:name w:val="WW8Num4z0"/>
    <w:semiHidden/>
    <w:rPr>
      <w:rFonts w:ascii="Times New Roman" w:eastAsia="Times New Roman" w:hAnsi="Times New Roman" w:cs="Times New Roman"/>
    </w:rPr>
  </w:style>
  <w:style w:type="character" w:customStyle="1" w:styleId="WW8Num4z1">
    <w:name w:val="WW8Num4z1"/>
    <w:semiHidden/>
    <w:rPr>
      <w:rFonts w:ascii="Courier New" w:hAnsi="Courier New" w:cs="Courier New"/>
    </w:rPr>
  </w:style>
  <w:style w:type="character" w:customStyle="1" w:styleId="WW8Num4z2">
    <w:name w:val="WW8Num4z2"/>
    <w:semiHidden/>
    <w:rPr>
      <w:rFonts w:ascii="Wingdings" w:hAnsi="Wingdings"/>
    </w:rPr>
  </w:style>
  <w:style w:type="character" w:customStyle="1" w:styleId="WW8Num4z3">
    <w:name w:val="WW8Num4z3"/>
    <w:semiHidden/>
    <w:rPr>
      <w:rFonts w:ascii="Symbol" w:hAnsi="Symbol"/>
    </w:rPr>
  </w:style>
  <w:style w:type="character" w:customStyle="1" w:styleId="WW8Num5z0">
    <w:name w:val="WW8Num5z0"/>
    <w:semiHidden/>
    <w:rPr>
      <w:rFonts w:ascii="Symbol" w:hAnsi="Symbol"/>
    </w:rPr>
  </w:style>
  <w:style w:type="character" w:customStyle="1" w:styleId="WW8Num5z1">
    <w:name w:val="WW8Num5z1"/>
    <w:semiHidden/>
    <w:rPr>
      <w:rFonts w:ascii="Courier New" w:hAnsi="Courier New"/>
    </w:rPr>
  </w:style>
  <w:style w:type="character" w:customStyle="1" w:styleId="WW8Num5z2">
    <w:name w:val="WW8Num5z2"/>
    <w:semiHidden/>
    <w:rPr>
      <w:rFonts w:ascii="Wingdings" w:hAnsi="Wingdings"/>
    </w:rPr>
  </w:style>
  <w:style w:type="character" w:customStyle="1" w:styleId="WW8Num6z0">
    <w:name w:val="WW8Num6z0"/>
    <w:semiHidden/>
    <w:rPr>
      <w:rFonts w:ascii="Times New Roman" w:eastAsia="Times New Roman" w:hAnsi="Times New Roman" w:cs="Times New Roman"/>
    </w:rPr>
  </w:style>
  <w:style w:type="character" w:customStyle="1" w:styleId="WW8Num6z1">
    <w:name w:val="WW8Num6z1"/>
    <w:semiHidden/>
    <w:rPr>
      <w:rFonts w:ascii="Courier New" w:hAnsi="Courier New" w:cs="Courier New"/>
    </w:rPr>
  </w:style>
  <w:style w:type="character" w:customStyle="1" w:styleId="WW8Num6z2">
    <w:name w:val="WW8Num6z2"/>
    <w:semiHidden/>
    <w:rPr>
      <w:rFonts w:ascii="Wingdings" w:hAnsi="Wingdings"/>
    </w:rPr>
  </w:style>
  <w:style w:type="character" w:customStyle="1" w:styleId="WW8Num6z3">
    <w:name w:val="WW8Num6z3"/>
    <w:semiHidden/>
    <w:rPr>
      <w:rFonts w:ascii="Symbol" w:hAnsi="Symbol"/>
    </w:rPr>
  </w:style>
  <w:style w:type="character" w:customStyle="1" w:styleId="WW8Num8z0">
    <w:name w:val="WW8Num8z0"/>
    <w:semiHidden/>
    <w:rPr>
      <w:rFonts w:ascii="Times New Roman" w:eastAsia="Times New Roman" w:hAnsi="Times New Roman" w:cs="Times New Roman"/>
    </w:rPr>
  </w:style>
  <w:style w:type="character" w:customStyle="1" w:styleId="WW8Num8z1">
    <w:name w:val="WW8Num8z1"/>
    <w:semiHidden/>
    <w:rPr>
      <w:rFonts w:ascii="Courier New" w:hAnsi="Courier New" w:cs="Courier New"/>
    </w:rPr>
  </w:style>
  <w:style w:type="character" w:customStyle="1" w:styleId="WW8Num8z2">
    <w:name w:val="WW8Num8z2"/>
    <w:semiHidden/>
    <w:rPr>
      <w:rFonts w:ascii="Wingdings" w:hAnsi="Wingdings"/>
    </w:rPr>
  </w:style>
  <w:style w:type="character" w:customStyle="1" w:styleId="WW8Num8z3">
    <w:name w:val="WW8Num8z3"/>
    <w:semiHidden/>
    <w:rPr>
      <w:rFonts w:ascii="Symbol" w:hAnsi="Symbol"/>
    </w:rPr>
  </w:style>
  <w:style w:type="character" w:customStyle="1" w:styleId="WW8Num9z0">
    <w:name w:val="WW8Num9z0"/>
    <w:semiHidden/>
    <w:rPr>
      <w:rFonts w:ascii="Symbol" w:hAnsi="Symbol"/>
    </w:rPr>
  </w:style>
  <w:style w:type="character" w:customStyle="1" w:styleId="WW8Num9z1">
    <w:name w:val="WW8Num9z1"/>
    <w:semiHidden/>
    <w:rPr>
      <w:rFonts w:ascii="Courier New" w:hAnsi="Courier New" w:cs="Courier New"/>
    </w:rPr>
  </w:style>
  <w:style w:type="character" w:customStyle="1" w:styleId="WW8Num9z2">
    <w:name w:val="WW8Num9z2"/>
    <w:semiHidden/>
    <w:rPr>
      <w:rFonts w:ascii="Wingdings" w:hAnsi="Wingdings"/>
    </w:rPr>
  </w:style>
  <w:style w:type="character" w:customStyle="1" w:styleId="WW8Num10z0">
    <w:name w:val="WW8Num10z0"/>
    <w:semiHidden/>
    <w:rPr>
      <w:rFonts w:ascii="Times New Roman" w:eastAsia="Times New Roman" w:hAnsi="Times New Roman" w:cs="Times New Roman"/>
    </w:rPr>
  </w:style>
  <w:style w:type="character" w:customStyle="1" w:styleId="WW8Num10z1">
    <w:name w:val="WW8Num10z1"/>
    <w:semiHidden/>
    <w:rPr>
      <w:rFonts w:ascii="Courier New" w:hAnsi="Courier New" w:cs="Courier New"/>
    </w:rPr>
  </w:style>
  <w:style w:type="character" w:customStyle="1" w:styleId="WW8Num10z2">
    <w:name w:val="WW8Num10z2"/>
    <w:semiHidden/>
    <w:rPr>
      <w:rFonts w:ascii="Wingdings" w:hAnsi="Wingdings"/>
    </w:rPr>
  </w:style>
  <w:style w:type="character" w:customStyle="1" w:styleId="NotedebasdepageCar">
    <w:name w:val="Note de bas de page Car"/>
    <w:link w:val="Notedebasdepage"/>
    <w:rsid w:val="0091637C"/>
    <w:rPr>
      <w:rFonts w:ascii="Times New Roman" w:hAnsi="Times New Roman" w:cs="Arial"/>
    </w:rPr>
  </w:style>
  <w:style w:type="paragraph" w:styleId="Notedebasdepage">
    <w:name w:val="footnote text"/>
    <w:basedOn w:val="Normal"/>
    <w:link w:val="NotedebasdepageCar"/>
    <w:rsid w:val="0091637C"/>
    <w:pPr>
      <w:spacing w:before="280" w:after="280"/>
      <w:ind w:firstLine="709"/>
    </w:pPr>
    <w:rPr>
      <w:rFonts w:cs="Arial"/>
      <w:sz w:val="20"/>
      <w:szCs w:val="20"/>
    </w:rPr>
  </w:style>
  <w:style w:type="character" w:customStyle="1" w:styleId="WW8Num11z0">
    <w:name w:val="WW8Num11z0"/>
    <w:semiHidden/>
    <w:rPr>
      <w:rFonts w:ascii="Times New Roman" w:eastAsia="Times New Roman" w:hAnsi="Times New Roman" w:cs="Times New Roman"/>
    </w:rPr>
  </w:style>
  <w:style w:type="character" w:customStyle="1" w:styleId="WW8Num11z1">
    <w:name w:val="WW8Num11z1"/>
    <w:semiHidden/>
    <w:rPr>
      <w:rFonts w:ascii="Courier New" w:hAnsi="Courier New" w:cs="Courier New"/>
    </w:rPr>
  </w:style>
  <w:style w:type="character" w:customStyle="1" w:styleId="WW8Num11z2">
    <w:name w:val="WW8Num11z2"/>
    <w:semiHidden/>
    <w:rPr>
      <w:rFonts w:ascii="Wingdings" w:hAnsi="Wingdings"/>
    </w:rPr>
  </w:style>
  <w:style w:type="character" w:customStyle="1" w:styleId="WW8Num11z3">
    <w:name w:val="WW8Num11z3"/>
    <w:semiHidden/>
    <w:rPr>
      <w:rFonts w:ascii="Symbol" w:hAnsi="Symbol"/>
    </w:rPr>
  </w:style>
  <w:style w:type="character" w:customStyle="1" w:styleId="WW8Num12z0">
    <w:name w:val="WW8Num12z0"/>
    <w:semiHidden/>
    <w:rPr>
      <w:rFonts w:ascii="Symbol" w:hAnsi="Symbol"/>
    </w:rPr>
  </w:style>
  <w:style w:type="character" w:customStyle="1" w:styleId="WW8Num12z1">
    <w:name w:val="WW8Num12z1"/>
    <w:semiHidden/>
    <w:rPr>
      <w:rFonts w:ascii="Courier New" w:hAnsi="Courier New" w:cs="Courier New"/>
    </w:rPr>
  </w:style>
  <w:style w:type="character" w:customStyle="1" w:styleId="WW8Num12z2">
    <w:name w:val="WW8Num12z2"/>
    <w:semiHidden/>
    <w:rPr>
      <w:rFonts w:ascii="Wingdings" w:hAnsi="Wingdings"/>
    </w:rPr>
  </w:style>
  <w:style w:type="character" w:customStyle="1" w:styleId="WW8Num13z3">
    <w:name w:val="WW8Num13z3"/>
    <w:semiHidden/>
    <w:rPr>
      <w:rFonts w:ascii="Times New Roman" w:eastAsia="Times New Roman" w:hAnsi="Times New Roman" w:cs="Times New Roman"/>
    </w:rPr>
  </w:style>
  <w:style w:type="character" w:customStyle="1" w:styleId="WW8Num14z1">
    <w:name w:val="WW8Num14z1"/>
    <w:semiHidden/>
    <w:rPr>
      <w:rFonts w:ascii="Symbol" w:hAnsi="Symbol"/>
    </w:rPr>
  </w:style>
  <w:style w:type="character" w:customStyle="1" w:styleId="WW8Num14z3">
    <w:name w:val="WW8Num14z3"/>
    <w:semiHidden/>
    <w:rPr>
      <w:rFonts w:ascii="Times New Roman" w:eastAsia="Times New Roman" w:hAnsi="Times New Roman" w:cs="Times New Roman"/>
    </w:rPr>
  </w:style>
  <w:style w:type="character" w:customStyle="1" w:styleId="WW8Num15z0">
    <w:name w:val="WW8Num15z0"/>
    <w:semiHidden/>
    <w:rPr>
      <w:rFonts w:ascii="Times New Roman" w:eastAsia="Times New Roman" w:hAnsi="Times New Roman" w:cs="Times New Roman"/>
    </w:rPr>
  </w:style>
  <w:style w:type="character" w:customStyle="1" w:styleId="WW8Num15z1">
    <w:name w:val="WW8Num15z1"/>
    <w:semiHidden/>
    <w:rPr>
      <w:rFonts w:ascii="Courier New" w:hAnsi="Courier New" w:cs="Courier New"/>
    </w:rPr>
  </w:style>
  <w:style w:type="character" w:customStyle="1" w:styleId="WW8Num15z2">
    <w:name w:val="WW8Num15z2"/>
    <w:semiHidden/>
    <w:rPr>
      <w:rFonts w:ascii="Wingdings" w:hAnsi="Wingdings"/>
    </w:rPr>
  </w:style>
  <w:style w:type="character" w:customStyle="1" w:styleId="WW8Num15z3">
    <w:name w:val="WW8Num15z3"/>
    <w:semiHidden/>
    <w:rPr>
      <w:rFonts w:ascii="Symbol" w:hAnsi="Symbol"/>
    </w:rPr>
  </w:style>
  <w:style w:type="character" w:styleId="Numrodepage">
    <w:name w:val="page number"/>
    <w:basedOn w:val="Policepardfaut"/>
    <w:semiHidden/>
  </w:style>
  <w:style w:type="character" w:customStyle="1" w:styleId="Caractresdenotedebasdepage">
    <w:name w:val="Caractres de note de bas de page"/>
    <w:semiHidden/>
    <w:rPr>
      <w:rFonts w:cs="Times New Roman"/>
      <w:vertAlign w:val="superscript"/>
    </w:rPr>
  </w:style>
  <w:style w:type="character" w:customStyle="1" w:styleId="Appelnotedebasdep1">
    <w:name w:val="Appel note de bas de p.1"/>
    <w:semiHidden/>
    <w:rPr>
      <w:rFonts w:cs="Times New Roman"/>
      <w:vertAlign w:val="superscript"/>
    </w:rPr>
  </w:style>
  <w:style w:type="character" w:customStyle="1" w:styleId="Caractresdenotedebasdepage0">
    <w:name w:val="Caractères de note de bas de page"/>
  </w:style>
  <w:style w:type="character" w:styleId="Appelnotedebasdep">
    <w:name w:val="footnote reference"/>
    <w:rPr>
      <w:vertAlign w:val="superscript"/>
    </w:rPr>
  </w:style>
  <w:style w:type="character" w:customStyle="1" w:styleId="longtext">
    <w:name w:val="long_text"/>
    <w:semiHidden/>
    <w:rPr>
      <w:rFonts w:ascii="Times New Roman" w:hAnsi="Times New Roman"/>
      <w:sz w:val="20"/>
    </w:rPr>
  </w:style>
  <w:style w:type="character" w:customStyle="1" w:styleId="Car">
    <w:name w:val="Car"/>
    <w:semiHidden/>
    <w:rPr>
      <w:rFonts w:eastAsia="Calibri"/>
      <w:lang w:val="fr-FR" w:eastAsia="ar-SA" w:bidi="ar-SA"/>
    </w:rPr>
  </w:style>
  <w:style w:type="character" w:styleId="CitationHTML">
    <w:name w:val="HTML Cite"/>
    <w:semiHidden/>
    <w:rPr>
      <w:i/>
      <w:iCs/>
    </w:rPr>
  </w:style>
  <w:style w:type="character" w:styleId="Lienhypertexte">
    <w:name w:val="Hyperlink"/>
    <w:semiHidden/>
    <w:rPr>
      <w:color w:val="0000FF"/>
      <w:u w:val="single"/>
    </w:rPr>
  </w:style>
  <w:style w:type="paragraph" w:styleId="Liste">
    <w:name w:val="List"/>
    <w:basedOn w:val="Normal"/>
    <w:semiHidden/>
    <w:rsid w:val="00407F3F"/>
    <w:pPr>
      <w:widowControl w:val="0"/>
      <w:spacing w:before="0" w:after="120"/>
      <w:ind w:firstLine="0"/>
      <w:jc w:val="left"/>
    </w:pPr>
    <w:rPr>
      <w:rFonts w:eastAsia="Lucida Sans Unicode" w:cs="Tahoma"/>
      <w:kern w:val="1"/>
    </w:rPr>
  </w:style>
  <w:style w:type="paragraph" w:customStyle="1" w:styleId="Index">
    <w:name w:val="Index"/>
    <w:basedOn w:val="Normal"/>
    <w:semiHidden/>
    <w:pPr>
      <w:suppressLineNumbers/>
    </w:pPr>
    <w:rPr>
      <w:rFonts w:cs="Tahoma"/>
    </w:rPr>
  </w:style>
  <w:style w:type="paragraph" w:styleId="En-tte">
    <w:name w:val="header"/>
    <w:basedOn w:val="Normal"/>
    <w:semiHidden/>
    <w:pPr>
      <w:tabs>
        <w:tab w:val="center" w:pos="4536"/>
        <w:tab w:val="right" w:pos="9072"/>
      </w:tabs>
    </w:pPr>
  </w:style>
  <w:style w:type="paragraph" w:styleId="Pieddepage">
    <w:name w:val="footer"/>
    <w:basedOn w:val="Normal"/>
    <w:semiHidden/>
    <w:pPr>
      <w:tabs>
        <w:tab w:val="center" w:pos="4536"/>
        <w:tab w:val="right" w:pos="9072"/>
      </w:tabs>
    </w:pPr>
  </w:style>
  <w:style w:type="paragraph" w:styleId="Textedebulles">
    <w:name w:val="Balloon Text"/>
    <w:basedOn w:val="Normal"/>
    <w:semiHidden/>
    <w:pPr>
      <w:spacing w:before="0" w:after="0"/>
      <w:ind w:firstLine="0"/>
    </w:pPr>
    <w:rPr>
      <w:rFonts w:cs="Tahoma"/>
      <w:sz w:val="20"/>
      <w:szCs w:val="16"/>
    </w:rPr>
  </w:style>
  <w:style w:type="paragraph" w:styleId="TitreTR">
    <w:name w:val="toa heading"/>
    <w:basedOn w:val="Normal"/>
    <w:next w:val="Normal"/>
    <w:semiHidden/>
    <w:pPr>
      <w:spacing w:before="120" w:after="280"/>
    </w:pPr>
    <w:rPr>
      <w:rFonts w:ascii="Arial" w:hAnsi="Arial" w:cs="Arial"/>
      <w:b/>
      <w:bCs/>
    </w:rPr>
  </w:style>
  <w:style w:type="paragraph" w:styleId="Titre">
    <w:name w:val="Title"/>
    <w:basedOn w:val="TitreTR"/>
    <w:next w:val="Auteur-identit"/>
    <w:link w:val="TitreCar"/>
    <w:autoRedefine/>
    <w:uiPriority w:val="1"/>
    <w:qFormat/>
    <w:rsid w:val="006D0CE7"/>
    <w:pPr>
      <w:spacing w:after="480"/>
      <w:jc w:val="center"/>
      <w:outlineLvl w:val="0"/>
    </w:pPr>
    <w:rPr>
      <w:rFonts w:ascii="Times New Roman" w:hAnsi="Times New Roman"/>
      <w:bCs w:val="0"/>
      <w:caps/>
      <w:kern w:val="28"/>
      <w:sz w:val="28"/>
      <w:szCs w:val="32"/>
    </w:rPr>
  </w:style>
  <w:style w:type="paragraph" w:customStyle="1" w:styleId="Auteur-identit">
    <w:name w:val="Auteur - identité"/>
    <w:basedOn w:val="Normal"/>
    <w:next w:val="Auteur-fonction"/>
    <w:link w:val="Auteur-identitCar"/>
    <w:autoRedefine/>
    <w:uiPriority w:val="3"/>
    <w:rsid w:val="002F61B2"/>
    <w:pPr>
      <w:spacing w:before="100" w:beforeAutospacing="1" w:after="100" w:afterAutospacing="1"/>
      <w:jc w:val="center"/>
    </w:pPr>
  </w:style>
  <w:style w:type="paragraph" w:customStyle="1" w:styleId="Auteur-fonction">
    <w:name w:val="Auteur - fonction"/>
    <w:next w:val="Rsum-annonce"/>
    <w:autoRedefine/>
    <w:uiPriority w:val="2"/>
    <w:rsid w:val="0056227A"/>
    <w:pPr>
      <w:suppressAutoHyphens/>
      <w:spacing w:after="840"/>
      <w:jc w:val="center"/>
    </w:pPr>
    <w:rPr>
      <w:rFonts w:ascii="Times New Roman" w:eastAsia="Arial" w:hAnsi="Times New Roman"/>
      <w:i/>
      <w:sz w:val="24"/>
      <w:szCs w:val="22"/>
      <w:lang w:eastAsia="ar-SA"/>
    </w:rPr>
  </w:style>
  <w:style w:type="paragraph" w:customStyle="1" w:styleId="Rsum-annonce">
    <w:name w:val="Résumé - annonce"/>
    <w:next w:val="Normal"/>
    <w:autoRedefine/>
    <w:uiPriority w:val="4"/>
    <w:rsid w:val="002F61B2"/>
    <w:pPr>
      <w:suppressAutoHyphens/>
      <w:spacing w:after="60"/>
    </w:pPr>
    <w:rPr>
      <w:rFonts w:ascii="Times New Roman" w:eastAsia="Arial" w:hAnsi="Times New Roman"/>
      <w:b/>
      <w:szCs w:val="22"/>
      <w:lang w:eastAsia="ar-SA"/>
    </w:rPr>
  </w:style>
  <w:style w:type="paragraph" w:customStyle="1" w:styleId="Sous-titredutitregnral">
    <w:name w:val="Sous-titre (du titre général)"/>
    <w:basedOn w:val="Titre"/>
    <w:next w:val="Normal"/>
    <w:semiHidden/>
    <w:pPr>
      <w:ind w:firstLine="0"/>
    </w:pPr>
    <w:rPr>
      <w:caps w:val="0"/>
    </w:rPr>
  </w:style>
  <w:style w:type="paragraph" w:customStyle="1" w:styleId="Conclusion-">
    <w:name w:val="Conclusion - ***"/>
    <w:basedOn w:val="Titre1"/>
    <w:autoRedefine/>
    <w:uiPriority w:val="14"/>
    <w:rsid w:val="0091637C"/>
    <w:pPr>
      <w:jc w:val="center"/>
    </w:pPr>
    <w:rPr>
      <w:sz w:val="28"/>
    </w:rPr>
  </w:style>
  <w:style w:type="paragraph" w:customStyle="1" w:styleId="Tableaucolonnegauche">
    <w:name w:val="Tableau colonne gauche"/>
    <w:basedOn w:val="En-tte"/>
    <w:semiHidden/>
    <w:pPr>
      <w:ind w:firstLine="0"/>
      <w:jc w:val="left"/>
    </w:pPr>
  </w:style>
  <w:style w:type="paragraph" w:customStyle="1" w:styleId="Tableau1religneIntitul">
    <w:name w:val="Tableau 1ère ligne Intitulé"/>
    <w:basedOn w:val="Titre9"/>
    <w:semiHidden/>
    <w:pPr>
      <w:keepNext/>
      <w:spacing w:before="0" w:after="0"/>
      <w:jc w:val="center"/>
    </w:pPr>
    <w:rPr>
      <w:rFonts w:ascii="Times New Roman" w:hAnsi="Times New Roman" w:cs="Times New Roman"/>
      <w:sz w:val="24"/>
      <w:szCs w:val="20"/>
    </w:rPr>
  </w:style>
  <w:style w:type="paragraph" w:customStyle="1" w:styleId="Tableauremplissagegauche">
    <w:name w:val="Tableau remplissage à gauche"/>
    <w:basedOn w:val="Normal"/>
    <w:semiHidden/>
    <w:pPr>
      <w:spacing w:before="0" w:after="0"/>
      <w:ind w:firstLine="0"/>
      <w:jc w:val="left"/>
    </w:pPr>
  </w:style>
  <w:style w:type="paragraph" w:customStyle="1" w:styleId="Rsum-texte">
    <w:name w:val="Résumé - texte"/>
    <w:basedOn w:val="Normal"/>
    <w:next w:val="Mots-clefs-annonce"/>
    <w:autoRedefine/>
    <w:uiPriority w:val="4"/>
    <w:rsid w:val="00EF7DAB"/>
    <w:pPr>
      <w:spacing w:before="0" w:after="100" w:afterAutospacing="1" w:line="240" w:lineRule="auto"/>
      <w:ind w:firstLine="0"/>
    </w:pPr>
    <w:rPr>
      <w:sz w:val="20"/>
    </w:rPr>
  </w:style>
  <w:style w:type="paragraph" w:customStyle="1" w:styleId="Notedebasdepage1">
    <w:name w:val="Note de bas de page1"/>
    <w:basedOn w:val="Normal"/>
    <w:semiHidden/>
    <w:rsid w:val="00B91A9A"/>
    <w:pPr>
      <w:spacing w:before="120" w:after="120"/>
      <w:ind w:firstLine="0"/>
    </w:pPr>
    <w:rPr>
      <w:rFonts w:ascii="Liberation Sans" w:eastAsia="SimSun" w:hAnsi="Liberation Sans" w:cs="Mangal"/>
      <w:kern w:val="1"/>
      <w:lang w:eastAsia="hi-IN" w:bidi="hi-IN"/>
    </w:rPr>
  </w:style>
  <w:style w:type="paragraph" w:customStyle="1" w:styleId="Titre-Tableaux-schmas-graphique">
    <w:name w:val="Titre- Tableaux-schémas-graphique"/>
    <w:basedOn w:val="Normal"/>
    <w:next w:val="Normal"/>
    <w:autoRedefine/>
    <w:uiPriority w:val="13"/>
    <w:pPr>
      <w:jc w:val="left"/>
    </w:pPr>
    <w:rPr>
      <w:i/>
    </w:rPr>
  </w:style>
  <w:style w:type="paragraph" w:customStyle="1" w:styleId="Paragraphedeliste1">
    <w:name w:val="Paragraphe de liste1"/>
    <w:basedOn w:val="Normal"/>
    <w:semiHidden/>
    <w:pPr>
      <w:spacing w:before="0" w:after="0"/>
      <w:ind w:left="720" w:firstLine="0"/>
      <w:jc w:val="left"/>
    </w:pPr>
    <w:rPr>
      <w:rFonts w:ascii="Times" w:hAnsi="Times"/>
      <w:kern w:val="1"/>
    </w:rPr>
  </w:style>
  <w:style w:type="paragraph" w:customStyle="1" w:styleId="Notedebasdepage2">
    <w:name w:val="Note de bas de page2"/>
    <w:basedOn w:val="Normal"/>
    <w:semiHidden/>
    <w:pPr>
      <w:spacing w:before="0" w:after="0"/>
      <w:ind w:firstLine="0"/>
      <w:jc w:val="left"/>
    </w:pPr>
    <w:rPr>
      <w:kern w:val="1"/>
      <w:sz w:val="20"/>
      <w:szCs w:val="20"/>
    </w:rPr>
  </w:style>
  <w:style w:type="paragraph" w:customStyle="1" w:styleId="Mots-clefs-texte">
    <w:name w:val="Mots-clefs - texte"/>
    <w:next w:val="Abstract-annonce"/>
    <w:autoRedefine/>
    <w:uiPriority w:val="7"/>
    <w:rsid w:val="0091637C"/>
    <w:pPr>
      <w:suppressAutoHyphens/>
      <w:spacing w:after="240"/>
      <w:jc w:val="both"/>
    </w:pPr>
    <w:rPr>
      <w:rFonts w:ascii="Times New Roman" w:eastAsia="Arial" w:hAnsi="Times New Roman"/>
      <w:szCs w:val="22"/>
      <w:lang w:eastAsia="ar-SA"/>
    </w:rPr>
  </w:style>
  <w:style w:type="paragraph" w:customStyle="1" w:styleId="Abstract-annonce">
    <w:name w:val="Abstract - annonce"/>
    <w:next w:val="Normal"/>
    <w:uiPriority w:val="8"/>
    <w:rsid w:val="0056227A"/>
    <w:pPr>
      <w:suppressAutoHyphens/>
      <w:spacing w:before="120" w:after="60"/>
    </w:pPr>
    <w:rPr>
      <w:rFonts w:ascii="Times New Roman" w:eastAsia="Arial" w:hAnsi="Times New Roman"/>
      <w:b/>
      <w:i/>
      <w:szCs w:val="22"/>
      <w:lang w:eastAsia="ar-SA"/>
    </w:rPr>
  </w:style>
  <w:style w:type="paragraph" w:customStyle="1" w:styleId="Keywords-texte">
    <w:name w:val="Keywords - texte"/>
    <w:next w:val="Normal"/>
    <w:autoRedefine/>
    <w:uiPriority w:val="11"/>
    <w:rsid w:val="0091637C"/>
    <w:pPr>
      <w:suppressAutoHyphens/>
      <w:spacing w:after="840"/>
      <w:jc w:val="both"/>
    </w:pPr>
    <w:rPr>
      <w:rFonts w:ascii="Times New Roman" w:eastAsia="Arial" w:hAnsi="Times New Roman"/>
      <w:i/>
      <w:szCs w:val="22"/>
      <w:lang w:val="en-GB" w:eastAsia="ar-SA"/>
    </w:rPr>
  </w:style>
  <w:style w:type="paragraph" w:customStyle="1" w:styleId="Abstract-texte">
    <w:name w:val="Abstract - texte"/>
    <w:next w:val="Normal"/>
    <w:uiPriority w:val="9"/>
    <w:rsid w:val="002F61B2"/>
    <w:pPr>
      <w:suppressAutoHyphens/>
      <w:jc w:val="both"/>
    </w:pPr>
    <w:rPr>
      <w:rFonts w:ascii="Times New Roman" w:eastAsia="Arial" w:hAnsi="Times New Roman"/>
      <w:i/>
      <w:szCs w:val="22"/>
      <w:lang w:eastAsia="ar-SA"/>
    </w:rPr>
  </w:style>
  <w:style w:type="paragraph" w:customStyle="1" w:styleId="Keywords-annonce">
    <w:name w:val="Keywords - annonce"/>
    <w:next w:val="Keywords-texte"/>
    <w:uiPriority w:val="10"/>
    <w:rsid w:val="0091637C"/>
    <w:pPr>
      <w:suppressAutoHyphens/>
      <w:spacing w:before="120" w:after="60"/>
    </w:pPr>
    <w:rPr>
      <w:rFonts w:ascii="Times New Roman" w:eastAsia="Arial" w:hAnsi="Times New Roman"/>
      <w:b/>
      <w:i/>
      <w:szCs w:val="22"/>
      <w:lang w:eastAsia="ar-SA"/>
    </w:rPr>
  </w:style>
  <w:style w:type="paragraph" w:customStyle="1" w:styleId="RubriqueTmoignage-Pointdevue-Lepointsur">
    <w:name w:val="Rubrique [Témoignage-Point de vue-Le point sur]"/>
    <w:next w:val="TitreTR"/>
    <w:autoRedefine/>
    <w:uiPriority w:val="14"/>
    <w:rsid w:val="00621850"/>
    <w:pPr>
      <w:suppressAutoHyphens/>
      <w:spacing w:after="1920"/>
      <w:jc w:val="center"/>
    </w:pPr>
    <w:rPr>
      <w:rFonts w:ascii="Times New Roman" w:eastAsia="Arial" w:hAnsi="Times New Roman"/>
      <w:b/>
      <w:sz w:val="28"/>
      <w:szCs w:val="22"/>
      <w:lang w:eastAsia="ar-SA"/>
    </w:rPr>
  </w:style>
  <w:style w:type="paragraph" w:customStyle="1" w:styleId="Mots-clefs-annonce">
    <w:name w:val="Mots-clefs - annonce"/>
    <w:next w:val="Mots-clefs-texte"/>
    <w:uiPriority w:val="6"/>
    <w:rsid w:val="0091637C"/>
    <w:pPr>
      <w:suppressAutoHyphens/>
      <w:spacing w:before="120" w:after="60"/>
    </w:pPr>
    <w:rPr>
      <w:rFonts w:ascii="Times New Roman" w:eastAsia="Arial" w:hAnsi="Times New Roman"/>
      <w:b/>
      <w:szCs w:val="22"/>
      <w:lang w:eastAsia="ar-SA"/>
    </w:rPr>
  </w:style>
  <w:style w:type="paragraph" w:styleId="NormalWeb">
    <w:name w:val="Normal (Web)"/>
    <w:basedOn w:val="Normal"/>
    <w:uiPriority w:val="99"/>
    <w:pPr>
      <w:spacing w:before="280" w:after="119"/>
      <w:ind w:firstLine="0"/>
      <w:jc w:val="left"/>
    </w:pPr>
    <w:rPr>
      <w:rFonts w:ascii="Times" w:eastAsia="Times" w:hAnsi="Times"/>
      <w:sz w:val="20"/>
      <w:szCs w:val="20"/>
    </w:rPr>
  </w:style>
  <w:style w:type="paragraph" w:customStyle="1" w:styleId="Soustitre">
    <w:name w:val="Sous titre"/>
    <w:basedOn w:val="Normal"/>
    <w:semiHidden/>
    <w:pPr>
      <w:widowControl w:val="0"/>
      <w:autoSpaceDE w:val="0"/>
      <w:spacing w:before="0" w:after="0"/>
      <w:ind w:firstLine="0"/>
      <w:jc w:val="center"/>
    </w:pPr>
    <w:rPr>
      <w:i/>
      <w:szCs w:val="22"/>
    </w:rPr>
  </w:style>
  <w:style w:type="paragraph" w:styleId="Corpsdetexte2">
    <w:name w:val="Body Text 2"/>
    <w:basedOn w:val="Normal"/>
    <w:semiHidden/>
    <w:pPr>
      <w:spacing w:before="280" w:after="120" w:line="480" w:lineRule="auto"/>
    </w:pPr>
  </w:style>
  <w:style w:type="paragraph" w:customStyle="1" w:styleId="Corpsdetexte21">
    <w:name w:val="Corps de texte 21"/>
    <w:basedOn w:val="Normal"/>
    <w:semiHidden/>
    <w:pPr>
      <w:widowControl w:val="0"/>
      <w:spacing w:before="0" w:after="0"/>
      <w:ind w:firstLine="0"/>
    </w:pPr>
    <w:rPr>
      <w:rFonts w:eastAsia="Lucida Sans Unicode"/>
      <w:kern w:val="1"/>
      <w:sz w:val="28"/>
    </w:rPr>
  </w:style>
  <w:style w:type="paragraph" w:customStyle="1" w:styleId="Retraitcorpsdetexte31">
    <w:name w:val="Retrait corps de texte 31"/>
    <w:basedOn w:val="Normal"/>
    <w:semiHidden/>
    <w:pPr>
      <w:widowControl w:val="0"/>
      <w:spacing w:before="0" w:after="0"/>
      <w:ind w:firstLine="708"/>
    </w:pPr>
    <w:rPr>
      <w:rFonts w:eastAsia="Lucida Sans Unicode"/>
      <w:kern w:val="1"/>
      <w:sz w:val="28"/>
    </w:rPr>
  </w:style>
  <w:style w:type="paragraph" w:styleId="Retraitcorpsdetexte3">
    <w:name w:val="Body Text Indent 3"/>
    <w:basedOn w:val="Normal"/>
    <w:semiHidden/>
    <w:pPr>
      <w:widowControl w:val="0"/>
      <w:spacing w:before="0" w:after="120"/>
      <w:ind w:left="283" w:firstLine="0"/>
      <w:jc w:val="left"/>
    </w:pPr>
    <w:rPr>
      <w:rFonts w:eastAsia="Lucida Sans Unicode"/>
      <w:kern w:val="1"/>
      <w:sz w:val="16"/>
      <w:szCs w:val="16"/>
    </w:rPr>
  </w:style>
  <w:style w:type="paragraph" w:customStyle="1" w:styleId="Contenuducadre">
    <w:name w:val="Contenu du cadre"/>
    <w:basedOn w:val="Normal"/>
    <w:semiHidden/>
    <w:rsid w:val="00407F3F"/>
    <w:pPr>
      <w:spacing w:before="280" w:after="120"/>
    </w:pPr>
  </w:style>
  <w:style w:type="paragraph" w:styleId="Notedefin">
    <w:name w:val="endnote text"/>
    <w:basedOn w:val="Normal"/>
    <w:pPr>
      <w:suppressAutoHyphens w:val="0"/>
      <w:spacing w:before="0" w:after="0"/>
      <w:ind w:firstLine="0"/>
    </w:pPr>
    <w:rPr>
      <w:lang w:val="en-US" w:eastAsia="en-US"/>
    </w:rPr>
  </w:style>
  <w:style w:type="paragraph" w:customStyle="1" w:styleId="sdfootnote">
    <w:name w:val="sdfootnote"/>
    <w:basedOn w:val="Normal"/>
    <w:semiHidden/>
    <w:pPr>
      <w:suppressAutoHyphens w:val="0"/>
      <w:spacing w:before="100" w:beforeAutospacing="1" w:after="0"/>
      <w:ind w:left="284" w:hanging="284"/>
      <w:jc w:val="left"/>
    </w:pPr>
    <w:rPr>
      <w:rFonts w:ascii="Arial Unicode MS" w:eastAsia="Arial Unicode MS" w:hAnsi="Arial Unicode MS" w:cs="Arial Unicode MS"/>
      <w:sz w:val="20"/>
      <w:szCs w:val="20"/>
    </w:rPr>
  </w:style>
  <w:style w:type="paragraph" w:customStyle="1" w:styleId="Notedefin1">
    <w:name w:val="Note de fin1"/>
    <w:basedOn w:val="Normal"/>
    <w:semiHidden/>
    <w:rsid w:val="009A05F7"/>
    <w:pPr>
      <w:widowControl w:val="0"/>
      <w:spacing w:before="0" w:after="0"/>
      <w:ind w:firstLine="0"/>
      <w:jc w:val="left"/>
    </w:pPr>
    <w:rPr>
      <w:noProof/>
      <w:sz w:val="20"/>
      <w:szCs w:val="20"/>
      <w:lang w:val="en-US" w:eastAsia="en-US" w:bidi="en-US"/>
    </w:rPr>
  </w:style>
  <w:style w:type="paragraph" w:styleId="TM1">
    <w:name w:val="toc 1"/>
    <w:basedOn w:val="Normal"/>
    <w:next w:val="Normal"/>
    <w:autoRedefine/>
    <w:semiHidden/>
    <w:rsid w:val="004037CD"/>
  </w:style>
  <w:style w:type="character" w:customStyle="1" w:styleId="Auteur-identitCar">
    <w:name w:val="Auteur - identité Car"/>
    <w:link w:val="Auteur-identit"/>
    <w:uiPriority w:val="3"/>
    <w:rsid w:val="00512FA2"/>
    <w:rPr>
      <w:rFonts w:ascii="Times New Roman" w:hAnsi="Times New Roman"/>
      <w:sz w:val="24"/>
      <w:szCs w:val="24"/>
    </w:rPr>
  </w:style>
  <w:style w:type="character" w:customStyle="1" w:styleId="FootnoteTextChar">
    <w:name w:val="Footnote Text Char"/>
    <w:semiHidden/>
    <w:locked/>
    <w:rsid w:val="00DA34AD"/>
    <w:rPr>
      <w:rFonts w:cs="Times New Roman"/>
      <w:sz w:val="20"/>
      <w:szCs w:val="20"/>
    </w:rPr>
  </w:style>
  <w:style w:type="character" w:customStyle="1" w:styleId="Titre1Car">
    <w:name w:val="Titre 1 Car"/>
    <w:link w:val="Titre1"/>
    <w:uiPriority w:val="12"/>
    <w:rsid w:val="007A630D"/>
    <w:rPr>
      <w:rFonts w:ascii="Times New Roman" w:hAnsi="Times New Roman" w:cs="Arial"/>
      <w:b/>
      <w:bCs/>
      <w:caps/>
      <w:kern w:val="32"/>
      <w:sz w:val="24"/>
      <w:szCs w:val="32"/>
    </w:rPr>
  </w:style>
  <w:style w:type="character" w:customStyle="1" w:styleId="Titre2Car">
    <w:name w:val="Titre 2 Car"/>
    <w:link w:val="Titre2"/>
    <w:uiPriority w:val="13"/>
    <w:rsid w:val="000546AE"/>
    <w:rPr>
      <w:rFonts w:ascii="Times New Roman Gras" w:hAnsi="Times New Roman Gras" w:cs="Arial"/>
      <w:b/>
      <w:bCs/>
      <w:iCs/>
      <w:sz w:val="24"/>
      <w:szCs w:val="28"/>
    </w:rPr>
  </w:style>
  <w:style w:type="character" w:customStyle="1" w:styleId="Titre3Car">
    <w:name w:val="Titre 3 Car"/>
    <w:link w:val="Titre3"/>
    <w:uiPriority w:val="13"/>
    <w:rsid w:val="00F936F5"/>
    <w:rPr>
      <w:rFonts w:ascii="Times New Roman" w:hAnsi="Times New Roman"/>
      <w:bCs/>
      <w:i/>
      <w:sz w:val="24"/>
      <w:szCs w:val="26"/>
    </w:rPr>
  </w:style>
  <w:style w:type="character" w:customStyle="1" w:styleId="Titre4Car">
    <w:name w:val="Titre 4 Car"/>
    <w:link w:val="Titre4"/>
    <w:uiPriority w:val="13"/>
    <w:rsid w:val="00F936F5"/>
    <w:rPr>
      <w:rFonts w:ascii="Times New Roman" w:hAnsi="Times New Roman"/>
      <w:bCs/>
      <w:szCs w:val="28"/>
    </w:rPr>
  </w:style>
  <w:style w:type="character" w:customStyle="1" w:styleId="Titre5Car">
    <w:name w:val="Titre 5 Car"/>
    <w:link w:val="Titre5"/>
    <w:uiPriority w:val="13"/>
    <w:rsid w:val="00F936F5"/>
    <w:rPr>
      <w:rFonts w:ascii="Times New Roman" w:hAnsi="Times New Roman"/>
      <w:bCs/>
      <w:iCs/>
      <w:szCs w:val="26"/>
    </w:rPr>
  </w:style>
  <w:style w:type="character" w:customStyle="1" w:styleId="Titre6Car">
    <w:name w:val="Titre 6 Car"/>
    <w:link w:val="Titre6"/>
    <w:uiPriority w:val="13"/>
    <w:rsid w:val="00F936F5"/>
    <w:rPr>
      <w:rFonts w:ascii="Times New Roman" w:hAnsi="Times New Roman"/>
      <w:bCs/>
      <w:szCs w:val="22"/>
    </w:rPr>
  </w:style>
  <w:style w:type="character" w:customStyle="1" w:styleId="Titre7Car">
    <w:name w:val="Titre 7 Car"/>
    <w:link w:val="Titre7"/>
    <w:uiPriority w:val="13"/>
    <w:rsid w:val="009E232C"/>
    <w:rPr>
      <w:rFonts w:ascii="Times New Roman" w:hAnsi="Times New Roman"/>
      <w:sz w:val="24"/>
      <w:szCs w:val="24"/>
    </w:rPr>
  </w:style>
  <w:style w:type="character" w:customStyle="1" w:styleId="Titre8Car">
    <w:name w:val="Titre 8 Car"/>
    <w:link w:val="Titre8"/>
    <w:uiPriority w:val="9"/>
    <w:semiHidden/>
    <w:rsid w:val="007A630D"/>
    <w:rPr>
      <w:rFonts w:ascii="Times New Roman" w:hAnsi="Times New Roman"/>
      <w:i/>
      <w:iCs/>
      <w:sz w:val="24"/>
      <w:szCs w:val="24"/>
    </w:rPr>
  </w:style>
  <w:style w:type="character" w:customStyle="1" w:styleId="Titre9Car">
    <w:name w:val="Titre 9 Car"/>
    <w:link w:val="Titre9"/>
    <w:uiPriority w:val="9"/>
    <w:semiHidden/>
    <w:rsid w:val="007A630D"/>
    <w:rPr>
      <w:rFonts w:ascii="Cambria" w:hAnsi="Cambria" w:cs="Arial"/>
      <w:sz w:val="22"/>
      <w:szCs w:val="22"/>
    </w:rPr>
  </w:style>
  <w:style w:type="character" w:customStyle="1" w:styleId="TitreCar">
    <w:name w:val="Titre Car"/>
    <w:link w:val="Titre"/>
    <w:uiPriority w:val="1"/>
    <w:rsid w:val="006D0CE7"/>
    <w:rPr>
      <w:rFonts w:ascii="Times New Roman" w:hAnsi="Times New Roman" w:cs="Arial"/>
      <w:b/>
      <w:caps/>
      <w:kern w:val="28"/>
      <w:sz w:val="28"/>
      <w:szCs w:val="32"/>
    </w:rPr>
  </w:style>
  <w:style w:type="paragraph" w:styleId="Citation">
    <w:name w:val="Quote"/>
    <w:basedOn w:val="Normal"/>
    <w:next w:val="Normal"/>
    <w:link w:val="CitationCar"/>
    <w:uiPriority w:val="15"/>
    <w:qFormat/>
    <w:rsid w:val="00470B2A"/>
    <w:rPr>
      <w:i/>
    </w:rPr>
  </w:style>
  <w:style w:type="character" w:customStyle="1" w:styleId="CitationCar">
    <w:name w:val="Citation Car"/>
    <w:link w:val="Citation"/>
    <w:uiPriority w:val="15"/>
    <w:rsid w:val="009E232C"/>
    <w:rPr>
      <w:rFonts w:ascii="Times New Roman" w:hAnsi="Times New Roman"/>
      <w:i/>
      <w:sz w:val="24"/>
      <w:szCs w:val="24"/>
    </w:rPr>
  </w:style>
  <w:style w:type="paragraph" w:styleId="En-ttedetabledesmatires">
    <w:name w:val="TOC Heading"/>
    <w:basedOn w:val="Titre1"/>
    <w:next w:val="Normal"/>
    <w:uiPriority w:val="39"/>
    <w:semiHidden/>
    <w:unhideWhenUsed/>
    <w:qFormat/>
    <w:rsid w:val="00470B2A"/>
    <w:pPr>
      <w:outlineLvl w:val="9"/>
    </w:pPr>
    <w:rPr>
      <w:rFonts w:ascii="Cambria" w:hAnsi="Cambria" w:cs="Times New Roman"/>
    </w:rPr>
  </w:style>
  <w:style w:type="character" w:styleId="Accentuation">
    <w:name w:val="Emphasis"/>
    <w:qFormat/>
    <w:rsid w:val="00461893"/>
    <w:rPr>
      <w:i/>
      <w:iCs/>
    </w:rPr>
  </w:style>
  <w:style w:type="paragraph" w:styleId="Corpsdetexte">
    <w:name w:val="Body Text"/>
    <w:basedOn w:val="Normal"/>
    <w:link w:val="CorpsdetexteCar"/>
    <w:uiPriority w:val="99"/>
    <w:semiHidden/>
    <w:unhideWhenUsed/>
    <w:rsid w:val="007A4FEA"/>
    <w:pPr>
      <w:spacing w:after="120"/>
    </w:pPr>
  </w:style>
  <w:style w:type="character" w:customStyle="1" w:styleId="CorpsdetexteCar">
    <w:name w:val="Corps de texte Car"/>
    <w:basedOn w:val="Policepardfaut"/>
    <w:link w:val="Corpsdetexte"/>
    <w:uiPriority w:val="99"/>
    <w:semiHidden/>
    <w:rsid w:val="007A4FEA"/>
    <w:rPr>
      <w:rFonts w:ascii="Times New Roman" w:hAnsi="Times New Roman"/>
      <w:sz w:val="24"/>
      <w:szCs w:val="24"/>
    </w:rPr>
  </w:style>
  <w:style w:type="paragraph" w:customStyle="1" w:styleId="Contenudetableau">
    <w:name w:val="Contenu de tableau"/>
    <w:basedOn w:val="Normal"/>
    <w:rsid w:val="007A4FEA"/>
    <w:pPr>
      <w:widowControl w:val="0"/>
      <w:suppressLineNumbers/>
      <w:spacing w:before="0" w:after="0" w:line="240" w:lineRule="auto"/>
      <w:ind w:firstLine="0"/>
      <w:jc w:val="left"/>
    </w:pPr>
    <w:rPr>
      <w:rFonts w:ascii="Liberation Serif" w:eastAsia="Droid Sans Fallback" w:hAnsi="Liberation Serif" w:cs="FreeSans"/>
      <w:kern w:val="1"/>
      <w:lang w:val="fr-CA" w:eastAsia="zh-CN" w:bidi="hi-IN"/>
    </w:rPr>
  </w:style>
  <w:style w:type="character" w:styleId="Marquedecommentaire">
    <w:name w:val="annotation reference"/>
    <w:basedOn w:val="Policepardfaut"/>
    <w:uiPriority w:val="99"/>
    <w:semiHidden/>
    <w:unhideWhenUsed/>
    <w:rsid w:val="0067552B"/>
    <w:rPr>
      <w:sz w:val="16"/>
      <w:szCs w:val="16"/>
    </w:rPr>
  </w:style>
  <w:style w:type="paragraph" w:styleId="Commentaire">
    <w:name w:val="annotation text"/>
    <w:basedOn w:val="Normal"/>
    <w:link w:val="CommentaireCar"/>
    <w:uiPriority w:val="99"/>
    <w:semiHidden/>
    <w:unhideWhenUsed/>
    <w:rsid w:val="0067552B"/>
    <w:pPr>
      <w:spacing w:line="240" w:lineRule="auto"/>
    </w:pPr>
    <w:rPr>
      <w:sz w:val="20"/>
      <w:szCs w:val="20"/>
    </w:rPr>
  </w:style>
  <w:style w:type="character" w:customStyle="1" w:styleId="CommentaireCar">
    <w:name w:val="Commentaire Car"/>
    <w:basedOn w:val="Policepardfaut"/>
    <w:link w:val="Commentaire"/>
    <w:uiPriority w:val="99"/>
    <w:semiHidden/>
    <w:rsid w:val="0067552B"/>
    <w:rPr>
      <w:rFonts w:ascii="Times New Roman" w:hAnsi="Times New Roman"/>
    </w:rPr>
  </w:style>
  <w:style w:type="paragraph" w:styleId="Objetducommentaire">
    <w:name w:val="annotation subject"/>
    <w:basedOn w:val="Commentaire"/>
    <w:next w:val="Commentaire"/>
    <w:link w:val="ObjetducommentaireCar"/>
    <w:uiPriority w:val="99"/>
    <w:semiHidden/>
    <w:unhideWhenUsed/>
    <w:rsid w:val="0067552B"/>
    <w:rPr>
      <w:b/>
      <w:bCs/>
    </w:rPr>
  </w:style>
  <w:style w:type="character" w:customStyle="1" w:styleId="ObjetducommentaireCar">
    <w:name w:val="Objet du commentaire Car"/>
    <w:basedOn w:val="CommentaireCar"/>
    <w:link w:val="Objetducommentaire"/>
    <w:uiPriority w:val="99"/>
    <w:semiHidden/>
    <w:rsid w:val="0067552B"/>
    <w:rPr>
      <w:rFonts w:ascii="Times New Roman" w:hAnsi="Times New Roman"/>
      <w:b/>
      <w:bCs/>
    </w:rPr>
  </w:style>
  <w:style w:type="paragraph" w:styleId="Rvision">
    <w:name w:val="Revision"/>
    <w:hidden/>
    <w:uiPriority w:val="99"/>
    <w:semiHidden/>
    <w:rsid w:val="0067552B"/>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285044825">
      <w:bodyDiv w:val="1"/>
      <w:marLeft w:val="0"/>
      <w:marRight w:val="0"/>
      <w:marTop w:val="0"/>
      <w:marBottom w:val="0"/>
      <w:divBdr>
        <w:top w:val="none" w:sz="0" w:space="0" w:color="auto"/>
        <w:left w:val="none" w:sz="0" w:space="0" w:color="auto"/>
        <w:bottom w:val="none" w:sz="0" w:space="0" w:color="auto"/>
        <w:right w:val="none" w:sz="0" w:space="0" w:color="auto"/>
      </w:divBdr>
      <w:divsChild>
        <w:div w:id="1289432855">
          <w:marLeft w:val="0"/>
          <w:marRight w:val="0"/>
          <w:marTop w:val="0"/>
          <w:marBottom w:val="0"/>
          <w:divBdr>
            <w:top w:val="none" w:sz="0" w:space="0" w:color="auto"/>
            <w:left w:val="none" w:sz="0" w:space="0" w:color="auto"/>
            <w:bottom w:val="none" w:sz="0" w:space="0" w:color="auto"/>
            <w:right w:val="none" w:sz="0" w:space="0" w:color="auto"/>
          </w:divBdr>
        </w:div>
      </w:divsChild>
    </w:div>
    <w:div w:id="1052461270">
      <w:bodyDiv w:val="1"/>
      <w:marLeft w:val="0"/>
      <w:marRight w:val="0"/>
      <w:marTop w:val="0"/>
      <w:marBottom w:val="0"/>
      <w:divBdr>
        <w:top w:val="none" w:sz="0" w:space="0" w:color="auto"/>
        <w:left w:val="none" w:sz="0" w:space="0" w:color="auto"/>
        <w:bottom w:val="none" w:sz="0" w:space="0" w:color="auto"/>
        <w:right w:val="none" w:sz="0" w:space="0" w:color="auto"/>
      </w:divBdr>
      <w:divsChild>
        <w:div w:id="5459463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545062-CCED-4661-A214-513C0FBAA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6599</Words>
  <Characters>37417</Characters>
  <Application>Microsoft Office Word</Application>
  <DocSecurity>0</DocSecurity>
  <Lines>613</Lines>
  <Paragraphs>177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1</vt:lpstr>
      <vt:lpstr>1</vt:lpstr>
    </vt:vector>
  </TitlesOfParts>
  <Company>ena</Company>
  <LinksUpToDate>false</LinksUpToDate>
  <CharactersWithSpaces>43839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EDEL Frederic</dc:creator>
  <cp:lastModifiedBy>Clem</cp:lastModifiedBy>
  <cp:revision>2</cp:revision>
  <cp:lastPrinted>2005-09-07T14:03:00Z</cp:lastPrinted>
  <dcterms:created xsi:type="dcterms:W3CDTF">2016-09-09T16:50:00Z</dcterms:created>
  <dcterms:modified xsi:type="dcterms:W3CDTF">2016-09-09T16:50:00Z</dcterms:modified>
</cp:coreProperties>
</file>