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9E9" w:rsidRPr="00CB7384" w:rsidRDefault="000D436A" w:rsidP="00AD560C">
      <w:pPr>
        <w:spacing w:line="360" w:lineRule="auto"/>
        <w:jc w:val="both"/>
      </w:pPr>
      <w:r w:rsidRPr="00CB7384">
        <w:t xml:space="preserve">Dans son texte Enrico </w:t>
      </w:r>
      <w:proofErr w:type="spellStart"/>
      <w:r w:rsidRPr="00CB7384">
        <w:t>Galavotti</w:t>
      </w:r>
      <w:proofErr w:type="spellEnd"/>
      <w:r w:rsidRPr="00CB7384">
        <w:t xml:space="preserve"> souligne </w:t>
      </w:r>
      <w:r w:rsidR="002C3862">
        <w:t>le besoin de récit historique</w:t>
      </w:r>
      <w:r w:rsidRPr="00CB7384">
        <w:t xml:space="preserve"> qui traverse l’histoire de l’</w:t>
      </w:r>
      <w:proofErr w:type="spellStart"/>
      <w:r w:rsidRPr="00CB7384">
        <w:t>Eglise</w:t>
      </w:r>
      <w:proofErr w:type="spellEnd"/>
      <w:r w:rsidRPr="00CB7384">
        <w:t xml:space="preserve"> catholique et la complexité de l’articulation de ce besoin au travail de l’histoire académique de manière générale, et de l’histoire ecclésiastique comme discipline théologique.</w:t>
      </w:r>
      <w:r w:rsidR="00556789" w:rsidRPr="00CB7384">
        <w:t xml:space="preserve"> Il propose aussi quelques orientations pour le travail historique en cour</w:t>
      </w:r>
      <w:r w:rsidR="00443BA0">
        <w:t>s</w:t>
      </w:r>
      <w:r w:rsidR="00556789" w:rsidRPr="00CB7384">
        <w:t xml:space="preserve">, notamment du point de vue </w:t>
      </w:r>
      <w:r w:rsidR="002C3862">
        <w:t>d’</w:t>
      </w:r>
      <w:r w:rsidR="002C3862" w:rsidRPr="00CB7384">
        <w:t xml:space="preserve">une histoire </w:t>
      </w:r>
      <w:proofErr w:type="spellStart"/>
      <w:r w:rsidR="002C3862" w:rsidRPr="00CB7384">
        <w:t>trans</w:t>
      </w:r>
      <w:proofErr w:type="spellEnd"/>
      <w:r w:rsidR="002C3862" w:rsidRPr="00CB7384">
        <w:t>-confessionnelle des christianismes</w:t>
      </w:r>
      <w:r w:rsidR="002C3862" w:rsidRPr="00CB7384">
        <w:t xml:space="preserve"> </w:t>
      </w:r>
      <w:r w:rsidR="002C3862">
        <w:t>mais aussi de</w:t>
      </w:r>
      <w:r w:rsidR="00556789" w:rsidRPr="00CB7384">
        <w:t xml:space="preserve"> la construction d’une histoire globale des christianismes</w:t>
      </w:r>
      <w:r w:rsidR="00443BA0">
        <w:rPr>
          <w:rStyle w:val="Appelnotedebasdep"/>
        </w:rPr>
        <w:footnoteReference w:id="1"/>
      </w:r>
      <w:r w:rsidR="00556789" w:rsidRPr="00CB7384">
        <w:t xml:space="preserve"> qui permette de dépasser une vision marquée par un durable ethnocentrisme européen.  Ces deux points apparaissent aussi comme intimement liés</w:t>
      </w:r>
      <w:r w:rsidR="00443BA0">
        <w:t> :</w:t>
      </w:r>
      <w:r w:rsidR="00556789" w:rsidRPr="00CB7384">
        <w:t xml:space="preserve"> ce qu’Enrico </w:t>
      </w:r>
      <w:proofErr w:type="spellStart"/>
      <w:r w:rsidR="00556789" w:rsidRPr="00CB7384">
        <w:t>Galavotti</w:t>
      </w:r>
      <w:proofErr w:type="spellEnd"/>
      <w:r w:rsidR="00556789" w:rsidRPr="00CB7384">
        <w:t xml:space="preserve"> propose ici est de construire, sur la base d’une histoire globale et œcuménique des christianismes, un autre récit des communautés croyantes. </w:t>
      </w:r>
      <w:r w:rsidR="00443BA0">
        <w:t>On</w:t>
      </w:r>
      <w:r w:rsidR="00556789" w:rsidRPr="00CB7384">
        <w:t xml:space="preserve"> peut d’autant mieux compr</w:t>
      </w:r>
      <w:r w:rsidR="002C3862">
        <w:t xml:space="preserve">endre cette proposition, que si, </w:t>
      </w:r>
      <w:r w:rsidR="00556789" w:rsidRPr="00CB7384">
        <w:t>d’un point de vue théorique, elle est susceptible d’obtenir un assentiment large, du point de vue des pratiques de recherche</w:t>
      </w:r>
      <w:r w:rsidR="00C31FAA">
        <w:t>,</w:t>
      </w:r>
      <w:r w:rsidR="00556789" w:rsidRPr="00CB7384">
        <w:t xml:space="preserve"> les logiques contemporaines de définition des objets d’enquête vien</w:t>
      </w:r>
      <w:r w:rsidR="00C31FAA">
        <w:t>nen</w:t>
      </w:r>
      <w:r w:rsidR="00556789" w:rsidRPr="00CB7384">
        <w:t>t en partie rendre un tel projet difficile, comme le montre par exemple la manière dont l’ouverture des archives du pontificat de Pie XII renforce de vieux réflexes historiographiques chez les historiens du catholicisme contemporain.</w:t>
      </w:r>
    </w:p>
    <w:p w:rsidR="00556789" w:rsidRPr="00CB7384" w:rsidRDefault="004063CD" w:rsidP="00AD560C">
      <w:pPr>
        <w:spacing w:line="360" w:lineRule="auto"/>
        <w:jc w:val="both"/>
      </w:pPr>
      <w:r w:rsidRPr="00CB7384">
        <w:t>Tout</w:t>
      </w:r>
      <w:r w:rsidR="00556789" w:rsidRPr="00CB7384">
        <w:t xml:space="preserve"> l’intérêt du texte d’Enrico </w:t>
      </w:r>
      <w:proofErr w:type="spellStart"/>
      <w:r w:rsidR="00556789" w:rsidRPr="00CB7384">
        <w:t>Galavotti</w:t>
      </w:r>
      <w:proofErr w:type="spellEnd"/>
      <w:r w:rsidR="00556789" w:rsidRPr="00CB7384">
        <w:t xml:space="preserve"> est de pointer l</w:t>
      </w:r>
      <w:r w:rsidR="00EE0498">
        <w:t>’historicité des</w:t>
      </w:r>
      <w:r w:rsidR="00556789" w:rsidRPr="00CB7384">
        <w:t xml:space="preserve"> récit</w:t>
      </w:r>
      <w:r w:rsidR="00EE0498">
        <w:t>s</w:t>
      </w:r>
      <w:r w:rsidR="00556789" w:rsidRPr="00CB7384">
        <w:t xml:space="preserve"> historique</w:t>
      </w:r>
      <w:r w:rsidR="00EE0498">
        <w:t>s</w:t>
      </w:r>
      <w:r w:rsidR="00556789" w:rsidRPr="00CB7384">
        <w:t xml:space="preserve"> sur lesquels vivent les communautés chrétiennes mais encore l’historicité de ce statut même du récit historique dans la fabrique de </w:t>
      </w:r>
      <w:r w:rsidR="00EE0498">
        <w:t>l’</w:t>
      </w:r>
      <w:proofErr w:type="spellStart"/>
      <w:r w:rsidR="00EE0498">
        <w:rPr>
          <w:i/>
        </w:rPr>
        <w:t>ecclesia</w:t>
      </w:r>
      <w:proofErr w:type="spellEnd"/>
      <w:r w:rsidR="00556789" w:rsidRPr="00CB7384">
        <w:t>. Pour le dire autrement, ce qu’il pointe c’est qu’un « régime d’historicité »</w:t>
      </w:r>
      <w:r w:rsidR="00C31FAA">
        <w:rPr>
          <w:rStyle w:val="Appelnotedebasdep"/>
        </w:rPr>
        <w:footnoteReference w:id="2"/>
      </w:r>
      <w:r w:rsidR="00556789" w:rsidRPr="00CB7384">
        <w:t xml:space="preserve"> (François </w:t>
      </w:r>
      <w:proofErr w:type="spellStart"/>
      <w:r w:rsidR="00556789" w:rsidRPr="00CB7384">
        <w:t>Hartog</w:t>
      </w:r>
      <w:proofErr w:type="spellEnd"/>
      <w:r w:rsidR="00556789" w:rsidRPr="00CB7384">
        <w:t>) et un régime de narrativité sont des composantes essentielles d’un régime d’</w:t>
      </w:r>
      <w:proofErr w:type="spellStart"/>
      <w:r w:rsidR="00556789" w:rsidRPr="00CB7384">
        <w:t>ecclésialité</w:t>
      </w:r>
      <w:proofErr w:type="spellEnd"/>
      <w:r w:rsidR="00C31FAA">
        <w:t> : o</w:t>
      </w:r>
      <w:r w:rsidR="00556789" w:rsidRPr="00CB7384">
        <w:t>n ne peut comprendre tant les différents moments de l’histoire de l’</w:t>
      </w:r>
      <w:proofErr w:type="spellStart"/>
      <w:r w:rsidR="00556789" w:rsidRPr="00CB7384">
        <w:t>Eglise</w:t>
      </w:r>
      <w:proofErr w:type="spellEnd"/>
      <w:r w:rsidR="00556789" w:rsidRPr="00CB7384">
        <w:t xml:space="preserve"> que le moment présent de cette histoire, sans une compréhension historiquement situé</w:t>
      </w:r>
      <w:r w:rsidRPr="00CB7384">
        <w:t>e</w:t>
      </w:r>
      <w:r w:rsidR="00556789" w:rsidRPr="00CB7384">
        <w:t xml:space="preserve"> d</w:t>
      </w:r>
      <w:r w:rsidR="00C31FAA">
        <w:t xml:space="preserve">u récit de leur </w:t>
      </w:r>
      <w:proofErr w:type="gramStart"/>
      <w:r w:rsidR="00C31FAA">
        <w:t>passé</w:t>
      </w:r>
      <w:proofErr w:type="gramEnd"/>
      <w:r w:rsidR="00556789" w:rsidRPr="00CB7384">
        <w:t xml:space="preserve"> que les chrétiens se racontent dans un lien complexe avec l’histoire comme discipline académique.</w:t>
      </w:r>
      <w:r w:rsidRPr="00CB7384">
        <w:t xml:space="preserve"> Or, nous sommes de ce point de vue à un moment charnière, particulièrement dans le monde francophone. Les grandes synthèses</w:t>
      </w:r>
      <w:r w:rsidR="00EE0498">
        <w:t>,</w:t>
      </w:r>
      <w:r w:rsidRPr="00CB7384">
        <w:t xml:space="preserve"> produites à la fin du XX</w:t>
      </w:r>
      <w:r w:rsidRPr="00C31FAA">
        <w:rPr>
          <w:vertAlign w:val="superscript"/>
        </w:rPr>
        <w:t>e</w:t>
      </w:r>
      <w:r w:rsidRPr="00CB7384">
        <w:t xml:space="preserve"> siècle</w:t>
      </w:r>
      <w:r w:rsidR="00C31FAA">
        <w:t xml:space="preserve"> par des témoins</w:t>
      </w:r>
      <w:r w:rsidR="00EE0498">
        <w:t xml:space="preserve"> de la sortie de ce qui survit au XXe siècle </w:t>
      </w:r>
      <w:r w:rsidR="00C31FAA">
        <w:t>d’un christianisme de chrétienté</w:t>
      </w:r>
      <w:r w:rsidR="00EE0498">
        <w:t>,</w:t>
      </w:r>
      <w:r w:rsidRPr="00CB7384">
        <w:t xml:space="preserve"> ont vieilli. Les soixante dernières années, marquées selon des chronologies et des configurations socio-politiques</w:t>
      </w:r>
      <w:r w:rsidR="00AD560C">
        <w:t xml:space="preserve"> diverses</w:t>
      </w:r>
      <w:r w:rsidRPr="00CB7384">
        <w:t xml:space="preserve"> par l’entrée des sociétés à haut niveau de développement dans une </w:t>
      </w:r>
      <w:r w:rsidR="00C31FAA">
        <w:t>forme de sécularisation avancée</w:t>
      </w:r>
      <w:r w:rsidRPr="00CB7384">
        <w:t>, et à tout le moins par l’</w:t>
      </w:r>
      <w:proofErr w:type="spellStart"/>
      <w:r w:rsidRPr="00CB7384">
        <w:t>optionalisation</w:t>
      </w:r>
      <w:proofErr w:type="spellEnd"/>
      <w:r w:rsidRPr="00CB7384">
        <w:t xml:space="preserve"> du religieux, ainsi que par un bouleversement de la géopolitique interne des église</w:t>
      </w:r>
      <w:r w:rsidR="00CB7384">
        <w:t>s</w:t>
      </w:r>
      <w:r w:rsidR="00C31FAA">
        <w:t xml:space="preserve">, sont </w:t>
      </w:r>
      <w:r w:rsidRPr="00CB7384">
        <w:t xml:space="preserve">l’objet de récits contradictoires qui déterminent puissamment les positionnements </w:t>
      </w:r>
      <w:r w:rsidRPr="00CB7384">
        <w:lastRenderedPageBreak/>
        <w:t>ecclésiaux individuels et collectifs. Dans le cas du cathol</w:t>
      </w:r>
      <w:r w:rsidR="00AD560C">
        <w:t xml:space="preserve">icisme, la mémoire </w:t>
      </w:r>
      <w:r w:rsidRPr="00CB7384">
        <w:t xml:space="preserve">de la « crise catholique », mais aussi des transformations engagées à et à partir de Vatican II </w:t>
      </w:r>
      <w:r w:rsidR="00C31FAA">
        <w:t>sont au c</w:t>
      </w:r>
      <w:r w:rsidR="00EE0498">
        <w:t>œ</w:t>
      </w:r>
      <w:r w:rsidR="00C31FAA">
        <w:t>ur</w:t>
      </w:r>
      <w:r w:rsidRPr="00CB7384">
        <w:t xml:space="preserve"> d’interrogation</w:t>
      </w:r>
      <w:r w:rsidR="00EE0498">
        <w:t>s</w:t>
      </w:r>
      <w:r w:rsidRPr="00CB7384">
        <w:t xml:space="preserve"> profondes</w:t>
      </w:r>
      <w:r w:rsidR="00C31FAA">
        <w:t xml:space="preserve"> et qui se jouent tant dans le monde savant que dans les communautés ecclésiales, mais aussi dans un espace plus large</w:t>
      </w:r>
      <w:r w:rsidRPr="00CB7384">
        <w:t xml:space="preserve">. Des travaux historiques, produits par une génération d’historien née après ou pendant la crise, contribue à cette interrogation dans une dialectique complexe avec les récits indigènes à l’œuvre dans les communautés chrétiennes. Le risque est d’ailleurs occasionnellement que ces travaux historiens s’enferment dans les termes de la discussion sur le passé qui est à l’œuvre </w:t>
      </w:r>
      <w:r w:rsidR="007F51B5" w:rsidRPr="00CB7384">
        <w:t>dans les communautés croyantes, notamment autour de la question presque impossible à penser du point de vue d’une heuristique historique, de la « responsabilité » du Concile dans la déprise contemporaine du religieux dans le monde catholique</w:t>
      </w:r>
      <w:r w:rsidR="00C31FAA">
        <w:rPr>
          <w:rStyle w:val="Appelnotedebasdep"/>
        </w:rPr>
        <w:footnoteReference w:id="3"/>
      </w:r>
      <w:r w:rsidR="007F51B5" w:rsidRPr="00CB7384">
        <w:t>.</w:t>
      </w:r>
      <w:r w:rsidR="00CB7384">
        <w:t xml:space="preserve"> Reste que le moment dans lequel nous sommes, notamment en raison d’</w:t>
      </w:r>
      <w:r w:rsidR="00AD560C">
        <w:t>un effet de génération, voi</w:t>
      </w:r>
      <w:r w:rsidR="00CB7384">
        <w:t>t tant le public ecclésial que la communauté historienne en quête d’un nouveau récit de l’histoire du catholicisme, et plus spécifiquement du catholicisme contemporain.</w:t>
      </w:r>
    </w:p>
    <w:p w:rsidR="002C5CBE" w:rsidRDefault="00E34369" w:rsidP="00AD560C">
      <w:pPr>
        <w:spacing w:line="360" w:lineRule="auto"/>
        <w:jc w:val="both"/>
      </w:pPr>
      <w:r w:rsidRPr="00CB7384">
        <w:t xml:space="preserve">C’est ici que la question sous-jacente posée par le texte d’Enrico </w:t>
      </w:r>
      <w:proofErr w:type="spellStart"/>
      <w:r w:rsidRPr="00CB7384">
        <w:t>Galavotti</w:t>
      </w:r>
      <w:proofErr w:type="spellEnd"/>
      <w:r w:rsidRPr="00CB7384">
        <w:t xml:space="preserve"> trouve toute sa force : comment s’articulent besoin de récit historique dans l’</w:t>
      </w:r>
      <w:proofErr w:type="spellStart"/>
      <w:r w:rsidRPr="00CB7384">
        <w:rPr>
          <w:i/>
        </w:rPr>
        <w:t>ecclesia</w:t>
      </w:r>
      <w:proofErr w:type="spellEnd"/>
      <w:r w:rsidRPr="00CB7384">
        <w:t xml:space="preserve"> et histoire académique, en particulier dans sa forme très spécifique qu’a été l’histoire ecclésiastique</w:t>
      </w:r>
      <w:r w:rsidR="002C5CBE" w:rsidRPr="00CB7384">
        <w:t> ?</w:t>
      </w:r>
      <w:r w:rsidRPr="00CB7384">
        <w:t xml:space="preserve"> Sa proposition d’une histoire et globale et </w:t>
      </w:r>
      <w:proofErr w:type="spellStart"/>
      <w:r w:rsidRPr="00CB7384">
        <w:t>trans</w:t>
      </w:r>
      <w:proofErr w:type="spellEnd"/>
      <w:r w:rsidRPr="00CB7384">
        <w:t xml:space="preserve">-confessionnelle vise à un décentrement des récits ecclésiaux qui relève bien d’une forme de fonction thérapeutique ou sanitaire de l’histoire, à condition bien sûr qu’elle ne conduise pas non plus à une position de surplomb qui rendrait </w:t>
      </w:r>
      <w:r w:rsidR="002C5CBE" w:rsidRPr="00CB7384">
        <w:t xml:space="preserve">difficile </w:t>
      </w:r>
      <w:r w:rsidRPr="00CB7384">
        <w:t>l’articulation du discours académique et du récit ecclésial.</w:t>
      </w:r>
      <w:r w:rsidR="00CB7384" w:rsidRPr="00CB7384">
        <w:t xml:space="preserve"> Si le décentrement est nécessaire, il faut aussi envisager que les chemins par lesquels ils s’opèrent peuvent aussi – et la manière dont a évolué l’histoire missionnaire dans les années suivant le Concile tendrait à le montrer</w:t>
      </w:r>
      <w:r w:rsidR="00A20C25">
        <w:rPr>
          <w:rStyle w:val="Appelnotedebasdep"/>
        </w:rPr>
        <w:footnoteReference w:id="4"/>
      </w:r>
      <w:r w:rsidR="00CB7384" w:rsidRPr="00CB7384">
        <w:t xml:space="preserve"> –avoir des fonctions apologétiques. Si l’histoire du christianisme gagne au dialogue avec l’ecclésiologie, elle gagne aussi à ne pas être trop conduite par des ecclésiologies, passées ou présentes.</w:t>
      </w:r>
    </w:p>
    <w:p w:rsidR="00D14861" w:rsidRPr="00CB7384" w:rsidRDefault="00CB7384" w:rsidP="00AD560C">
      <w:pPr>
        <w:spacing w:line="360" w:lineRule="auto"/>
        <w:jc w:val="both"/>
      </w:pPr>
      <w:r>
        <w:t>De ce point de vue, la manière dont s’articulent</w:t>
      </w:r>
      <w:r w:rsidR="009565C0">
        <w:t xml:space="preserve"> en catholicisme</w:t>
      </w:r>
      <w:r>
        <w:t xml:space="preserve"> récit ecclésial et histoire </w:t>
      </w:r>
      <w:r w:rsidR="00A20C25">
        <w:t>repose sur des faux</w:t>
      </w:r>
      <w:r w:rsidR="00A20C25">
        <w:noBreakHyphen/>
      </w:r>
      <w:r>
        <w:t>semblants. Le récit théologien de ce rapport</w:t>
      </w:r>
      <w:r w:rsidR="009565C0">
        <w:t xml:space="preserve"> continue d’être marqué par un certain nombre de certitudes modernes. Après la crise moderniste, la théologie se serait progressivement réconciliée avec l’histoire dans le moment du ressourcement, avant que les </w:t>
      </w:r>
      <w:r w:rsidR="009565C0">
        <w:lastRenderedPageBreak/>
        <w:t>Pères du concile Vatican II y puise</w:t>
      </w:r>
      <w:r w:rsidR="00AD560C">
        <w:t>nt</w:t>
      </w:r>
      <w:r w:rsidR="009565C0">
        <w:t xml:space="preserve"> pour repenser l’ecclésiologie catholique</w:t>
      </w:r>
      <w:r w:rsidR="00AD560C">
        <w:rPr>
          <w:rStyle w:val="Appelnotedebasdep"/>
        </w:rPr>
        <w:footnoteReference w:id="5"/>
      </w:r>
      <w:r w:rsidR="009565C0">
        <w:t>. Cette conviction que la théologie s’est vraiment articulée à la réflexion historique peut trancher avec le sentiment de certains historiens. Dans la magnifique introduction que Paolo Prodi a donné en 2010 à son étude du « paradigme tridentin »</w:t>
      </w:r>
      <w:r w:rsidR="00A20C25">
        <w:rPr>
          <w:rStyle w:val="Appelnotedebasdep"/>
        </w:rPr>
        <w:footnoteReference w:id="6"/>
      </w:r>
      <w:r w:rsidR="009565C0">
        <w:t xml:space="preserve">, il </w:t>
      </w:r>
      <w:r w:rsidR="00A20C25">
        <w:t>constatait au contraire</w:t>
      </w:r>
      <w:r w:rsidR="009565C0">
        <w:t xml:space="preserve"> que les théologiens se saisissaient peu de la chair que constitue la masse des travaux sur cette histoire des chrétiens</w:t>
      </w:r>
      <w:r w:rsidR="008C45B5">
        <w:t xml:space="preserve"> qu’Enrico </w:t>
      </w:r>
      <w:proofErr w:type="spellStart"/>
      <w:r w:rsidR="008C45B5">
        <w:t>Galavotti</w:t>
      </w:r>
      <w:proofErr w:type="spellEnd"/>
      <w:r w:rsidR="008C45B5">
        <w:t xml:space="preserve"> appelle de ses vœux. Pour le dire trop rapidement, le tournant historique de la théologie n’a pas forcément valu dialogue avec l’histoire. Dans la multitude de raisons qui expliquent cet état de fait, deux me semblent mériter d’être soulignées et</w:t>
      </w:r>
      <w:r w:rsidR="00A20C25">
        <w:t xml:space="preserve"> ce d’autant plus qu’elles se rejoignent : le risque de l’histoire jugée et celui de la focalisation sur le présent</w:t>
      </w:r>
      <w:r w:rsidR="008C45B5">
        <w:t>. L’histoire des théologies du ressourcement est pour l’essentiel une histoire jugée dont la fonction est de mettre à distance des moments de l’histoire de l’</w:t>
      </w:r>
      <w:r w:rsidR="00A20C25">
        <w:t>É</w:t>
      </w:r>
      <w:r w:rsidR="008C45B5">
        <w:t>glise. D’une certaine manière, les conflits narratifs qui travaillent le catholicisme</w:t>
      </w:r>
      <w:r w:rsidR="00A20C25">
        <w:t xml:space="preserve"> contemporain</w:t>
      </w:r>
      <w:r w:rsidR="008C45B5">
        <w:t xml:space="preserve"> fonctionnent de la même manière. Ils définissent de bon et de mauvais moments dans l’histoire de l’</w:t>
      </w:r>
      <w:r w:rsidR="00A20C25">
        <w:t>É</w:t>
      </w:r>
      <w:r w:rsidR="008C45B5">
        <w:t>glise. Même si ceux qui les tiennent sont en désaccord profond sur ces momen</w:t>
      </w:r>
      <w:r w:rsidR="00A20C25">
        <w:t>ts, leur démarche est homologue</w:t>
      </w:r>
      <w:r w:rsidR="008C45B5">
        <w:t xml:space="preserve"> et les lieux historiques de leurs désaccords sont souvent les mêmes. Pour que l’histoire puisse jouer son rôle vis-à-vis de la théologie, il faut qu’elle permette de faire un pas de côté par rapport à ces configurations narratives. Ceci requiert en particulier une his</w:t>
      </w:r>
      <w:r w:rsidR="00A20C25">
        <w:t xml:space="preserve">toire de long terme qui place </w:t>
      </w:r>
      <w:r w:rsidR="008C45B5">
        <w:t xml:space="preserve">les différents moments de l’histoire du christianisme sur un pied d’égalité et dépasse un récit structuré par des alternances de crise et de renouveau, au profit comme le propose Enrico </w:t>
      </w:r>
      <w:proofErr w:type="spellStart"/>
      <w:r w:rsidR="008C45B5">
        <w:t>Gallavoti</w:t>
      </w:r>
      <w:proofErr w:type="spellEnd"/>
      <w:r w:rsidR="008C45B5">
        <w:t>, d’une histoire de long cours de la manière dont les communautés croyantes ont « rendu effective leur adhésion au message évangélique ». L’enjeu d’une réappropriation de l’histoire des temps moderne</w:t>
      </w:r>
      <w:r w:rsidR="00C86F5D">
        <w:t>s</w:t>
      </w:r>
      <w:r w:rsidR="008C45B5">
        <w:t xml:space="preserve"> est ici particulièrement décisif : le spectre</w:t>
      </w:r>
      <w:r w:rsidR="00443BA0">
        <w:t xml:space="preserve"> mythique</w:t>
      </w:r>
      <w:r w:rsidR="008C45B5">
        <w:t xml:space="preserve"> de la cohérence du paradigme tridentin hante les récits contemporains du catholicisme</w:t>
      </w:r>
      <w:r w:rsidR="00443BA0">
        <w:t xml:space="preserve"> soit comme repoussoir soit comme moment de référence. Le dépasser suppose </w:t>
      </w:r>
      <w:r w:rsidR="004664CE">
        <w:t>notamment une redécouverte des contradictions et</w:t>
      </w:r>
      <w:r w:rsidR="00443BA0">
        <w:t xml:space="preserve"> des angoisses qui travaillent l’âge confessionnel mais encore</w:t>
      </w:r>
      <w:bookmarkStart w:id="0" w:name="_GoBack"/>
      <w:bookmarkEnd w:id="0"/>
      <w:r w:rsidR="00443BA0">
        <w:t xml:space="preserve"> une réappropriation de l’histoire des christianismes du XVIII</w:t>
      </w:r>
      <w:r w:rsidR="00443BA0" w:rsidRPr="00C86F5D">
        <w:rPr>
          <w:vertAlign w:val="superscript"/>
        </w:rPr>
        <w:t>e</w:t>
      </w:r>
      <w:r w:rsidR="00443BA0">
        <w:t xml:space="preserve"> siècle – largement passés sous silence dans les récits ecclésiaux – comme un des </w:t>
      </w:r>
      <w:r w:rsidR="00124B07">
        <w:t>moment</w:t>
      </w:r>
      <w:r w:rsidR="00443BA0">
        <w:t xml:space="preserve">s du christianisme latin. Il y malheureusement des raisons de craindre que ce ne </w:t>
      </w:r>
      <w:r w:rsidR="008E375C">
        <w:t xml:space="preserve">soit pas le chemin que prenne </w:t>
      </w:r>
      <w:r w:rsidR="00443BA0">
        <w:t>actuellement l’histoire du christianisme, laquelle peut aussi paraître profondément travaillée, comme le sont les récits ecclésiaux,</w:t>
      </w:r>
      <w:r w:rsidR="00A20C25">
        <w:t xml:space="preserve"> la théologie</w:t>
      </w:r>
      <w:r w:rsidR="00443BA0">
        <w:t xml:space="preserve"> mais aussi l’</w:t>
      </w:r>
      <w:proofErr w:type="spellStart"/>
      <w:r w:rsidR="00443BA0">
        <w:rPr>
          <w:i/>
        </w:rPr>
        <w:t>ecclesia</w:t>
      </w:r>
      <w:proofErr w:type="spellEnd"/>
      <w:r w:rsidR="00443BA0">
        <w:t xml:space="preserve"> elle-même, par une forme guère </w:t>
      </w:r>
      <w:r w:rsidR="00443BA0">
        <w:lastRenderedPageBreak/>
        <w:t xml:space="preserve">interrogée de présentisme, de préoccupation exclusive pour le temps présent et pour sa généalogie immédiate. </w:t>
      </w:r>
    </w:p>
    <w:sectPr w:rsidR="00D14861" w:rsidRPr="00CB7384" w:rsidSect="00561C1E">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4C8" w:rsidRDefault="004964C8" w:rsidP="00443BA0">
      <w:r>
        <w:separator/>
      </w:r>
    </w:p>
  </w:endnote>
  <w:endnote w:type="continuationSeparator" w:id="0">
    <w:p w:rsidR="004964C8" w:rsidRDefault="004964C8" w:rsidP="0044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4C8" w:rsidRDefault="004964C8" w:rsidP="00443BA0">
      <w:r>
        <w:separator/>
      </w:r>
    </w:p>
  </w:footnote>
  <w:footnote w:type="continuationSeparator" w:id="0">
    <w:p w:rsidR="004964C8" w:rsidRDefault="004964C8" w:rsidP="00443BA0">
      <w:r>
        <w:continuationSeparator/>
      </w:r>
    </w:p>
  </w:footnote>
  <w:footnote w:id="1">
    <w:p w:rsidR="00443BA0" w:rsidRPr="004664CE" w:rsidRDefault="00443BA0" w:rsidP="004664CE">
      <w:pPr>
        <w:pStyle w:val="Notedebasdepage"/>
        <w:rPr>
          <w:rFonts w:ascii="Times New Roman" w:eastAsia="Times New Roman" w:hAnsi="Times New Roman" w:cs="Times New Roman"/>
          <w:sz w:val="20"/>
          <w:lang w:eastAsia="fr-FR"/>
        </w:rPr>
      </w:pPr>
      <w:r w:rsidRPr="004664CE">
        <w:rPr>
          <w:rStyle w:val="Appelnotedebasdep"/>
          <w:rFonts w:ascii="Times New Roman" w:hAnsi="Times New Roman" w:cs="Times New Roman"/>
          <w:color w:val="000000" w:themeColor="text1"/>
          <w:sz w:val="20"/>
        </w:rPr>
        <w:footnoteRef/>
      </w:r>
      <w:r w:rsidRPr="004664CE">
        <w:rPr>
          <w:rFonts w:ascii="Times New Roman" w:hAnsi="Times New Roman" w:cs="Times New Roman"/>
          <w:sz w:val="20"/>
        </w:rPr>
        <w:t xml:space="preserve"> Il s’inscrit de ce point de vue dans la continuité de propositions de réécritures comme la récente </w:t>
      </w:r>
      <w:proofErr w:type="spellStart"/>
      <w:r w:rsidRPr="004664CE">
        <w:rPr>
          <w:rFonts w:ascii="Times New Roman" w:hAnsi="Times New Roman" w:cs="Times New Roman"/>
          <w:i/>
          <w:sz w:val="20"/>
        </w:rPr>
        <w:t>Hi</w:t>
      </w:r>
      <w:r w:rsidR="00EE0498" w:rsidRPr="004664CE">
        <w:rPr>
          <w:rFonts w:ascii="Times New Roman" w:hAnsi="Times New Roman" w:cs="Times New Roman"/>
          <w:i/>
          <w:sz w:val="20"/>
        </w:rPr>
        <w:t>story</w:t>
      </w:r>
      <w:proofErr w:type="spellEnd"/>
      <w:r w:rsidR="00EE0498" w:rsidRPr="004664CE">
        <w:rPr>
          <w:rFonts w:ascii="Times New Roman" w:hAnsi="Times New Roman" w:cs="Times New Roman"/>
          <w:i/>
          <w:sz w:val="20"/>
        </w:rPr>
        <w:t xml:space="preserve"> of Global </w:t>
      </w:r>
      <w:proofErr w:type="spellStart"/>
      <w:r w:rsidR="00EE0498" w:rsidRPr="004664CE">
        <w:rPr>
          <w:rFonts w:ascii="Times New Roman" w:hAnsi="Times New Roman" w:cs="Times New Roman"/>
          <w:i/>
          <w:sz w:val="20"/>
        </w:rPr>
        <w:t>Christi</w:t>
      </w:r>
      <w:r w:rsidRPr="004664CE">
        <w:rPr>
          <w:rFonts w:ascii="Times New Roman" w:hAnsi="Times New Roman" w:cs="Times New Roman"/>
          <w:i/>
          <w:sz w:val="20"/>
        </w:rPr>
        <w:t>a</w:t>
      </w:r>
      <w:r w:rsidR="00EE0498" w:rsidRPr="004664CE">
        <w:rPr>
          <w:rFonts w:ascii="Times New Roman" w:hAnsi="Times New Roman" w:cs="Times New Roman"/>
          <w:i/>
          <w:sz w:val="20"/>
        </w:rPr>
        <w:t>ni</w:t>
      </w:r>
      <w:r w:rsidRPr="004664CE">
        <w:rPr>
          <w:rFonts w:ascii="Times New Roman" w:hAnsi="Times New Roman" w:cs="Times New Roman"/>
          <w:i/>
          <w:sz w:val="20"/>
        </w:rPr>
        <w:t>ty</w:t>
      </w:r>
      <w:proofErr w:type="spellEnd"/>
      <w:r w:rsidRPr="004664CE">
        <w:rPr>
          <w:rFonts w:ascii="Times New Roman" w:hAnsi="Times New Roman" w:cs="Times New Roman"/>
          <w:sz w:val="20"/>
        </w:rPr>
        <w:t xml:space="preserve"> dirigée par </w:t>
      </w:r>
      <w:r w:rsidRPr="004664CE">
        <w:rPr>
          <w:rFonts w:ascii="Times New Roman" w:eastAsia="Times New Roman" w:hAnsi="Times New Roman" w:cs="Times New Roman"/>
          <w:sz w:val="20"/>
          <w:shd w:val="clear" w:color="auto" w:fill="FFFFFF"/>
          <w:lang w:eastAsia="fr-FR"/>
        </w:rPr>
        <w:t xml:space="preserve">Jens </w:t>
      </w:r>
      <w:r w:rsidRPr="004664CE">
        <w:rPr>
          <w:rFonts w:ascii="Times New Roman" w:eastAsia="Times New Roman" w:hAnsi="Times New Roman" w:cs="Times New Roman"/>
          <w:smallCaps/>
          <w:sz w:val="20"/>
          <w:shd w:val="clear" w:color="auto" w:fill="FFFFFF"/>
          <w:lang w:eastAsia="fr-FR"/>
        </w:rPr>
        <w:t xml:space="preserve">Holger </w:t>
      </w:r>
      <w:proofErr w:type="spellStart"/>
      <w:r w:rsidRPr="004664CE">
        <w:rPr>
          <w:rFonts w:ascii="Times New Roman" w:eastAsia="Times New Roman" w:hAnsi="Times New Roman" w:cs="Times New Roman"/>
          <w:smallCaps/>
          <w:sz w:val="20"/>
          <w:shd w:val="clear" w:color="auto" w:fill="FFFFFF"/>
          <w:lang w:eastAsia="fr-FR"/>
        </w:rPr>
        <w:t>Schjørring</w:t>
      </w:r>
      <w:proofErr w:type="spellEnd"/>
      <w:r w:rsidRPr="004664CE">
        <w:rPr>
          <w:rFonts w:ascii="Times New Roman" w:eastAsia="Times New Roman" w:hAnsi="Times New Roman" w:cs="Times New Roman"/>
          <w:sz w:val="20"/>
          <w:shd w:val="clear" w:color="auto" w:fill="FFFFFF"/>
          <w:lang w:eastAsia="fr-FR"/>
        </w:rPr>
        <w:t xml:space="preserve">, Norman A. </w:t>
      </w:r>
      <w:proofErr w:type="spellStart"/>
      <w:r w:rsidRPr="004664CE">
        <w:rPr>
          <w:rFonts w:ascii="Times New Roman" w:eastAsia="Times New Roman" w:hAnsi="Times New Roman" w:cs="Times New Roman"/>
          <w:smallCaps/>
          <w:sz w:val="20"/>
          <w:shd w:val="clear" w:color="auto" w:fill="FFFFFF"/>
          <w:lang w:eastAsia="fr-FR"/>
        </w:rPr>
        <w:t>Hjelm</w:t>
      </w:r>
      <w:proofErr w:type="spellEnd"/>
      <w:r w:rsidRPr="004664CE">
        <w:rPr>
          <w:rFonts w:ascii="Times New Roman" w:eastAsia="Times New Roman" w:hAnsi="Times New Roman" w:cs="Times New Roman"/>
          <w:sz w:val="20"/>
          <w:shd w:val="clear" w:color="auto" w:fill="FFFFFF"/>
          <w:lang w:eastAsia="fr-FR"/>
        </w:rPr>
        <w:t xml:space="preserve"> et Kevin </w:t>
      </w:r>
      <w:r w:rsidRPr="004664CE">
        <w:rPr>
          <w:rFonts w:ascii="Times New Roman" w:eastAsia="Times New Roman" w:hAnsi="Times New Roman" w:cs="Times New Roman"/>
          <w:smallCaps/>
          <w:sz w:val="20"/>
          <w:shd w:val="clear" w:color="auto" w:fill="FFFFFF"/>
          <w:lang w:eastAsia="fr-FR"/>
        </w:rPr>
        <w:t>Ward</w:t>
      </w:r>
      <w:r w:rsidRPr="004664CE">
        <w:rPr>
          <w:rFonts w:ascii="Times New Roman" w:eastAsia="Times New Roman" w:hAnsi="Times New Roman" w:cs="Times New Roman"/>
          <w:sz w:val="20"/>
          <w:shd w:val="clear" w:color="auto" w:fill="FFFFFF"/>
          <w:lang w:eastAsia="fr-FR"/>
        </w:rPr>
        <w:t xml:space="preserve"> (</w:t>
      </w:r>
      <w:proofErr w:type="spellStart"/>
      <w:r w:rsidRPr="004664CE">
        <w:rPr>
          <w:rFonts w:ascii="Times New Roman" w:eastAsia="Times New Roman" w:hAnsi="Times New Roman" w:cs="Times New Roman"/>
          <w:sz w:val="20"/>
          <w:shd w:val="clear" w:color="auto" w:fill="FFFFFF"/>
          <w:lang w:eastAsia="fr-FR"/>
        </w:rPr>
        <w:t>Leiden</w:t>
      </w:r>
      <w:proofErr w:type="spellEnd"/>
      <w:r w:rsidRPr="004664CE">
        <w:rPr>
          <w:rFonts w:ascii="Times New Roman" w:eastAsia="Times New Roman" w:hAnsi="Times New Roman" w:cs="Times New Roman"/>
          <w:sz w:val="20"/>
          <w:shd w:val="clear" w:color="auto" w:fill="FFFFFF"/>
          <w:lang w:eastAsia="fr-FR"/>
        </w:rPr>
        <w:t xml:space="preserve">-Boston, </w:t>
      </w:r>
      <w:proofErr w:type="spellStart"/>
      <w:r w:rsidRPr="004664CE">
        <w:rPr>
          <w:rFonts w:ascii="Times New Roman" w:eastAsia="Times New Roman" w:hAnsi="Times New Roman" w:cs="Times New Roman"/>
          <w:sz w:val="20"/>
          <w:shd w:val="clear" w:color="auto" w:fill="FFFFFF"/>
          <w:lang w:eastAsia="fr-FR"/>
        </w:rPr>
        <w:t>Brill</w:t>
      </w:r>
      <w:proofErr w:type="spellEnd"/>
      <w:r w:rsidRPr="004664CE">
        <w:rPr>
          <w:rFonts w:ascii="Times New Roman" w:eastAsia="Times New Roman" w:hAnsi="Times New Roman" w:cs="Times New Roman"/>
          <w:sz w:val="20"/>
          <w:shd w:val="clear" w:color="auto" w:fill="FFFFFF"/>
          <w:lang w:eastAsia="fr-FR"/>
        </w:rPr>
        <w:t>, 2017).</w:t>
      </w:r>
    </w:p>
    <w:p w:rsidR="00443BA0" w:rsidRPr="004664CE" w:rsidRDefault="00443BA0" w:rsidP="004664CE">
      <w:pPr>
        <w:pStyle w:val="Notedebasdepage"/>
        <w:rPr>
          <w:rFonts w:ascii="Times New Roman" w:hAnsi="Times New Roman" w:cs="Times New Roman"/>
          <w:sz w:val="20"/>
        </w:rPr>
      </w:pPr>
    </w:p>
  </w:footnote>
  <w:footnote w:id="2">
    <w:p w:rsidR="00C31FAA" w:rsidRPr="004664CE" w:rsidRDefault="00C31FAA" w:rsidP="004664CE">
      <w:pPr>
        <w:pStyle w:val="Notedebasdepage"/>
        <w:rPr>
          <w:rFonts w:ascii="Times New Roman" w:hAnsi="Times New Roman" w:cs="Times New Roman"/>
          <w:sz w:val="20"/>
        </w:rPr>
      </w:pPr>
      <w:r w:rsidRPr="004664CE">
        <w:rPr>
          <w:rStyle w:val="Appelnotedebasdep"/>
          <w:rFonts w:ascii="Times New Roman" w:hAnsi="Times New Roman" w:cs="Times New Roman"/>
          <w:sz w:val="20"/>
        </w:rPr>
        <w:footnoteRef/>
      </w:r>
      <w:r w:rsidRPr="004664CE">
        <w:rPr>
          <w:rFonts w:ascii="Times New Roman" w:hAnsi="Times New Roman" w:cs="Times New Roman"/>
          <w:sz w:val="20"/>
        </w:rPr>
        <w:t xml:space="preserve"> </w:t>
      </w:r>
      <w:r w:rsidR="00EE0498" w:rsidRPr="004664CE">
        <w:rPr>
          <w:rFonts w:ascii="Times New Roman" w:hAnsi="Times New Roman" w:cs="Times New Roman"/>
          <w:sz w:val="20"/>
        </w:rPr>
        <w:t>Fr.</w:t>
      </w:r>
      <w:r w:rsidRPr="004664CE">
        <w:rPr>
          <w:rFonts w:ascii="Times New Roman" w:hAnsi="Times New Roman" w:cs="Times New Roman"/>
          <w:smallCaps/>
          <w:sz w:val="20"/>
        </w:rPr>
        <w:t xml:space="preserve"> </w:t>
      </w:r>
      <w:proofErr w:type="spellStart"/>
      <w:r w:rsidRPr="004664CE">
        <w:rPr>
          <w:rFonts w:ascii="Times New Roman" w:hAnsi="Times New Roman" w:cs="Times New Roman"/>
          <w:smallCaps/>
          <w:sz w:val="20"/>
        </w:rPr>
        <w:t>Hartog</w:t>
      </w:r>
      <w:proofErr w:type="spellEnd"/>
      <w:r w:rsidRPr="004664CE">
        <w:rPr>
          <w:rFonts w:ascii="Times New Roman" w:hAnsi="Times New Roman" w:cs="Times New Roman"/>
          <w:sz w:val="20"/>
        </w:rPr>
        <w:t xml:space="preserve">, </w:t>
      </w:r>
      <w:r w:rsidRPr="004664CE">
        <w:rPr>
          <w:rFonts w:ascii="Times New Roman" w:hAnsi="Times New Roman" w:cs="Times New Roman"/>
          <w:i/>
          <w:sz w:val="20"/>
        </w:rPr>
        <w:t>Régimes d’historic</w:t>
      </w:r>
      <w:r w:rsidR="00EE0498" w:rsidRPr="004664CE">
        <w:rPr>
          <w:rFonts w:ascii="Times New Roman" w:hAnsi="Times New Roman" w:cs="Times New Roman"/>
          <w:i/>
          <w:sz w:val="20"/>
        </w:rPr>
        <w:t>ité. Présentismes et expérience</w:t>
      </w:r>
      <w:r w:rsidRPr="004664CE">
        <w:rPr>
          <w:rFonts w:ascii="Times New Roman" w:hAnsi="Times New Roman" w:cs="Times New Roman"/>
          <w:i/>
          <w:sz w:val="20"/>
        </w:rPr>
        <w:t>s du temps</w:t>
      </w:r>
      <w:r w:rsidRPr="004664CE">
        <w:rPr>
          <w:rFonts w:ascii="Times New Roman" w:hAnsi="Times New Roman" w:cs="Times New Roman"/>
          <w:sz w:val="20"/>
        </w:rPr>
        <w:t>, Paris, Seuil, 2003.</w:t>
      </w:r>
    </w:p>
  </w:footnote>
  <w:footnote w:id="3">
    <w:p w:rsidR="00C31FAA" w:rsidRPr="004664CE" w:rsidRDefault="00C31FAA" w:rsidP="004664CE">
      <w:pPr>
        <w:pStyle w:val="Notedebasdepage"/>
        <w:rPr>
          <w:rFonts w:ascii="Times New Roman" w:hAnsi="Times New Roman" w:cs="Times New Roman"/>
          <w:sz w:val="20"/>
          <w:lang w:val="en-US"/>
        </w:rPr>
      </w:pPr>
      <w:r w:rsidRPr="004664CE">
        <w:rPr>
          <w:rStyle w:val="Appelnotedebasdep"/>
          <w:rFonts w:ascii="Times New Roman" w:hAnsi="Times New Roman" w:cs="Times New Roman"/>
          <w:sz w:val="20"/>
        </w:rPr>
        <w:footnoteRef/>
      </w:r>
      <w:r w:rsidRPr="004664CE">
        <w:rPr>
          <w:rFonts w:ascii="Times New Roman" w:hAnsi="Times New Roman" w:cs="Times New Roman"/>
          <w:sz w:val="20"/>
        </w:rPr>
        <w:t xml:space="preserve"> Voi</w:t>
      </w:r>
      <w:r w:rsidR="00EE0498" w:rsidRPr="004664CE">
        <w:rPr>
          <w:rFonts w:ascii="Times New Roman" w:hAnsi="Times New Roman" w:cs="Times New Roman"/>
          <w:sz w:val="20"/>
        </w:rPr>
        <w:t>r par exemple G.</w:t>
      </w:r>
      <w:r w:rsidR="000F0918" w:rsidRPr="004664CE">
        <w:rPr>
          <w:rFonts w:ascii="Times New Roman" w:hAnsi="Times New Roman" w:cs="Times New Roman"/>
          <w:sz w:val="20"/>
        </w:rPr>
        <w:t xml:space="preserve"> </w:t>
      </w:r>
      <w:proofErr w:type="spellStart"/>
      <w:r w:rsidR="000F0918" w:rsidRPr="004664CE">
        <w:rPr>
          <w:rFonts w:ascii="Times New Roman" w:hAnsi="Times New Roman" w:cs="Times New Roman"/>
          <w:smallCaps/>
          <w:sz w:val="20"/>
        </w:rPr>
        <w:t>Cuchet</w:t>
      </w:r>
      <w:proofErr w:type="spellEnd"/>
      <w:r w:rsidR="000F0918" w:rsidRPr="004664CE">
        <w:rPr>
          <w:rFonts w:ascii="Times New Roman" w:hAnsi="Times New Roman" w:cs="Times New Roman"/>
          <w:sz w:val="20"/>
        </w:rPr>
        <w:t xml:space="preserve">, </w:t>
      </w:r>
      <w:r w:rsidR="000F0918" w:rsidRPr="004664CE">
        <w:rPr>
          <w:rFonts w:ascii="Times New Roman" w:hAnsi="Times New Roman" w:cs="Times New Roman"/>
          <w:i/>
          <w:sz w:val="20"/>
        </w:rPr>
        <w:t>Comment notre monde a cessé d’être chrétien</w:t>
      </w:r>
      <w:r w:rsidR="00124B07" w:rsidRPr="004664CE">
        <w:rPr>
          <w:rFonts w:ascii="Times New Roman" w:hAnsi="Times New Roman" w:cs="Times New Roman"/>
          <w:i/>
          <w:sz w:val="20"/>
        </w:rPr>
        <w:t>. Anatomie d’un effondrement</w:t>
      </w:r>
      <w:r w:rsidR="00124B07" w:rsidRPr="004664CE">
        <w:rPr>
          <w:rFonts w:ascii="Times New Roman" w:hAnsi="Times New Roman" w:cs="Times New Roman"/>
          <w:sz w:val="20"/>
        </w:rPr>
        <w:t>, Paris, Seuil, 2018 et St.</w:t>
      </w:r>
      <w:r w:rsidR="000F0918" w:rsidRPr="004664CE">
        <w:rPr>
          <w:rFonts w:ascii="Times New Roman" w:hAnsi="Times New Roman" w:cs="Times New Roman"/>
          <w:sz w:val="20"/>
        </w:rPr>
        <w:t xml:space="preserve"> </w:t>
      </w:r>
      <w:proofErr w:type="spellStart"/>
      <w:r w:rsidR="000F0918" w:rsidRPr="004664CE">
        <w:rPr>
          <w:rFonts w:ascii="Times New Roman" w:hAnsi="Times New Roman" w:cs="Times New Roman"/>
          <w:smallCaps/>
          <w:sz w:val="20"/>
        </w:rPr>
        <w:t>Bullivant</w:t>
      </w:r>
      <w:proofErr w:type="spellEnd"/>
      <w:r w:rsidR="000F0918" w:rsidRPr="004664CE">
        <w:rPr>
          <w:rFonts w:ascii="Times New Roman" w:hAnsi="Times New Roman" w:cs="Times New Roman"/>
          <w:sz w:val="20"/>
        </w:rPr>
        <w:t xml:space="preserve">, </w:t>
      </w:r>
      <w:r w:rsidR="00A20C25" w:rsidRPr="004664CE">
        <w:rPr>
          <w:rFonts w:ascii="Times New Roman" w:hAnsi="Times New Roman" w:cs="Times New Roman"/>
          <w:i/>
          <w:sz w:val="20"/>
        </w:rPr>
        <w:t xml:space="preserve">Mass Exodus. </w:t>
      </w:r>
      <w:r w:rsidR="00A20C25" w:rsidRPr="004664CE">
        <w:rPr>
          <w:rFonts w:ascii="Times New Roman" w:hAnsi="Times New Roman" w:cs="Times New Roman"/>
          <w:i/>
          <w:sz w:val="20"/>
          <w:lang w:val="en-US"/>
        </w:rPr>
        <w:t xml:space="preserve">Catholic </w:t>
      </w:r>
      <w:proofErr w:type="spellStart"/>
      <w:r w:rsidR="00A20C25" w:rsidRPr="004664CE">
        <w:rPr>
          <w:rFonts w:ascii="Times New Roman" w:hAnsi="Times New Roman" w:cs="Times New Roman"/>
          <w:i/>
          <w:sz w:val="20"/>
          <w:lang w:val="en-US"/>
        </w:rPr>
        <w:t>Dissa</w:t>
      </w:r>
      <w:r w:rsidR="000F0918" w:rsidRPr="004664CE">
        <w:rPr>
          <w:rFonts w:ascii="Times New Roman" w:hAnsi="Times New Roman" w:cs="Times New Roman"/>
          <w:i/>
          <w:sz w:val="20"/>
          <w:lang w:val="en-US"/>
        </w:rPr>
        <w:t>filiation</w:t>
      </w:r>
      <w:proofErr w:type="spellEnd"/>
      <w:r w:rsidR="000F0918" w:rsidRPr="004664CE">
        <w:rPr>
          <w:rFonts w:ascii="Times New Roman" w:hAnsi="Times New Roman" w:cs="Times New Roman"/>
          <w:i/>
          <w:sz w:val="20"/>
          <w:lang w:val="en-US"/>
        </w:rPr>
        <w:t xml:space="preserve"> in Britain and American since Vatican II</w:t>
      </w:r>
      <w:r w:rsidR="000F0918" w:rsidRPr="004664CE">
        <w:rPr>
          <w:rFonts w:ascii="Times New Roman" w:hAnsi="Times New Roman" w:cs="Times New Roman"/>
          <w:sz w:val="20"/>
          <w:lang w:val="en-US"/>
        </w:rPr>
        <w:t>, Oxford, Oxford University Press, 2019.</w:t>
      </w:r>
    </w:p>
  </w:footnote>
  <w:footnote w:id="4">
    <w:p w:rsidR="00A20C25" w:rsidRPr="004664CE" w:rsidRDefault="00A20C25" w:rsidP="004664CE">
      <w:pPr>
        <w:pStyle w:val="Notedebasdepage"/>
        <w:rPr>
          <w:rFonts w:ascii="Times New Roman" w:hAnsi="Times New Roman" w:cs="Times New Roman"/>
          <w:sz w:val="20"/>
        </w:rPr>
      </w:pPr>
      <w:r w:rsidRPr="004664CE">
        <w:rPr>
          <w:rStyle w:val="Appelnotedebasdep"/>
          <w:rFonts w:ascii="Times New Roman" w:hAnsi="Times New Roman" w:cs="Times New Roman"/>
          <w:color w:val="000000" w:themeColor="text1"/>
          <w:sz w:val="20"/>
        </w:rPr>
        <w:footnoteRef/>
      </w:r>
      <w:r w:rsidRPr="004664CE">
        <w:rPr>
          <w:rFonts w:ascii="Times New Roman" w:hAnsi="Times New Roman" w:cs="Times New Roman"/>
          <w:sz w:val="20"/>
        </w:rPr>
        <w:t xml:space="preserve"> Voir </w:t>
      </w:r>
      <w:r w:rsidR="00124B07" w:rsidRPr="004664CE">
        <w:rPr>
          <w:rFonts w:ascii="Times New Roman" w:eastAsia="Times New Roman" w:hAnsi="Times New Roman" w:cs="Times New Roman"/>
          <w:sz w:val="20"/>
          <w:lang w:eastAsia="fr-FR"/>
        </w:rPr>
        <w:t>P.</w:t>
      </w:r>
      <w:r w:rsidRPr="004664CE">
        <w:rPr>
          <w:rFonts w:ascii="Times New Roman" w:eastAsia="Times New Roman" w:hAnsi="Times New Roman" w:cs="Times New Roman"/>
          <w:sz w:val="20"/>
          <w:lang w:eastAsia="fr-FR"/>
        </w:rPr>
        <w:t xml:space="preserve"> </w:t>
      </w:r>
      <w:proofErr w:type="spellStart"/>
      <w:r w:rsidRPr="004664CE">
        <w:rPr>
          <w:rFonts w:ascii="Times New Roman" w:eastAsia="Times New Roman" w:hAnsi="Times New Roman" w:cs="Times New Roman"/>
          <w:smallCaps/>
          <w:sz w:val="20"/>
          <w:lang w:eastAsia="fr-FR"/>
        </w:rPr>
        <w:t>Coulon</w:t>
      </w:r>
      <w:proofErr w:type="spellEnd"/>
      <w:r w:rsidRPr="004664CE">
        <w:rPr>
          <w:rFonts w:ascii="Times New Roman" w:eastAsia="Times New Roman" w:hAnsi="Times New Roman" w:cs="Times New Roman"/>
          <w:sz w:val="20"/>
          <w:shd w:val="clear" w:color="auto" w:fill="FFFFFF"/>
          <w:lang w:eastAsia="fr-FR"/>
        </w:rPr>
        <w:t xml:space="preserve"> « La mission chrétienne de Vatican II à aujourd'hui. Jalons historiques du côté catholique », </w:t>
      </w:r>
      <w:r w:rsidR="00124B07" w:rsidRPr="004664CE">
        <w:rPr>
          <w:rFonts w:ascii="Times New Roman" w:eastAsia="Times New Roman" w:hAnsi="Times New Roman" w:cs="Times New Roman"/>
          <w:sz w:val="20"/>
          <w:shd w:val="clear" w:color="auto" w:fill="FFFFFF"/>
          <w:lang w:eastAsia="fr-FR"/>
        </w:rPr>
        <w:t xml:space="preserve">dans </w:t>
      </w:r>
      <w:r w:rsidRPr="004664CE">
        <w:rPr>
          <w:rFonts w:ascii="Times New Roman" w:eastAsia="Times New Roman" w:hAnsi="Times New Roman" w:cs="Times New Roman"/>
          <w:i/>
          <w:iCs/>
          <w:sz w:val="20"/>
          <w:lang w:eastAsia="fr-FR"/>
        </w:rPr>
        <w:t>Histoire et missions chrétiennes</w:t>
      </w:r>
      <w:r w:rsidRPr="004664CE">
        <w:rPr>
          <w:rFonts w:ascii="Times New Roman" w:eastAsia="Times New Roman" w:hAnsi="Times New Roman" w:cs="Times New Roman"/>
          <w:sz w:val="20"/>
          <w:shd w:val="clear" w:color="auto" w:fill="FFFFFF"/>
          <w:lang w:eastAsia="fr-FR"/>
        </w:rPr>
        <w:t>, 2007/1, p. 105-118, qui montre implicitement le lien profond entre évolutions ecclésiologiques et missiologiques d’une part, et écriture de l’histoire des missions de l’autre.</w:t>
      </w:r>
      <w:r w:rsidR="004664CE" w:rsidRPr="004664CE">
        <w:rPr>
          <w:rFonts w:ascii="Times New Roman" w:hAnsi="Times New Roman" w:cs="Times New Roman"/>
          <w:sz w:val="20"/>
        </w:rPr>
        <w:t xml:space="preserve"> </w:t>
      </w:r>
    </w:p>
  </w:footnote>
  <w:footnote w:id="5">
    <w:p w:rsidR="00AD560C" w:rsidRPr="004664CE" w:rsidRDefault="00AD560C" w:rsidP="004664CE">
      <w:pPr>
        <w:pStyle w:val="Notedebasdepage"/>
        <w:rPr>
          <w:rFonts w:ascii="Times New Roman" w:hAnsi="Times New Roman" w:cs="Times New Roman"/>
          <w:sz w:val="20"/>
          <w:lang w:val="en-US"/>
        </w:rPr>
      </w:pPr>
      <w:r w:rsidRPr="004664CE">
        <w:rPr>
          <w:rStyle w:val="Appelnotedebasdep"/>
          <w:rFonts w:ascii="Times New Roman" w:hAnsi="Times New Roman" w:cs="Times New Roman"/>
          <w:sz w:val="20"/>
        </w:rPr>
        <w:footnoteRef/>
      </w:r>
      <w:r w:rsidRPr="004664CE">
        <w:rPr>
          <w:rFonts w:ascii="Times New Roman" w:hAnsi="Times New Roman" w:cs="Times New Roman"/>
          <w:sz w:val="20"/>
          <w:lang w:val="en-US"/>
        </w:rPr>
        <w:t xml:space="preserve"> G. </w:t>
      </w:r>
      <w:r w:rsidRPr="004664CE">
        <w:rPr>
          <w:rFonts w:ascii="Times New Roman" w:hAnsi="Times New Roman" w:cs="Times New Roman"/>
          <w:smallCaps/>
          <w:color w:val="202122"/>
          <w:sz w:val="20"/>
          <w:shd w:val="clear" w:color="auto" w:fill="FFFFFF"/>
          <w:lang w:val="en-US"/>
        </w:rPr>
        <w:t>Flynn,</w:t>
      </w:r>
      <w:r w:rsidRPr="004664CE">
        <w:rPr>
          <w:rFonts w:ascii="Times New Roman" w:hAnsi="Times New Roman" w:cs="Times New Roman"/>
          <w:color w:val="202122"/>
          <w:sz w:val="20"/>
          <w:shd w:val="clear" w:color="auto" w:fill="FFFFFF"/>
          <w:lang w:val="en-US"/>
        </w:rPr>
        <w:t xml:space="preserve"> P. D. </w:t>
      </w:r>
      <w:r w:rsidRPr="004664CE">
        <w:rPr>
          <w:rFonts w:ascii="Times New Roman" w:hAnsi="Times New Roman" w:cs="Times New Roman"/>
          <w:smallCaps/>
          <w:color w:val="202122"/>
          <w:sz w:val="20"/>
          <w:shd w:val="clear" w:color="auto" w:fill="FFFFFF"/>
          <w:lang w:val="en-US"/>
        </w:rPr>
        <w:t>Murray</w:t>
      </w:r>
      <w:r w:rsidRPr="004664CE">
        <w:rPr>
          <w:rFonts w:ascii="Times New Roman" w:hAnsi="Times New Roman" w:cs="Times New Roman"/>
          <w:color w:val="202122"/>
          <w:sz w:val="20"/>
          <w:shd w:val="clear" w:color="auto" w:fill="FFFFFF"/>
          <w:lang w:val="en-US"/>
        </w:rPr>
        <w:t xml:space="preserve">, </w:t>
      </w:r>
      <w:proofErr w:type="spellStart"/>
      <w:r w:rsidRPr="004664CE">
        <w:rPr>
          <w:rFonts w:ascii="Times New Roman" w:hAnsi="Times New Roman" w:cs="Times New Roman"/>
          <w:color w:val="202122"/>
          <w:sz w:val="20"/>
          <w:shd w:val="clear" w:color="auto" w:fill="FFFFFF"/>
          <w:lang w:val="en-US"/>
        </w:rPr>
        <w:t>éds</w:t>
      </w:r>
      <w:proofErr w:type="spellEnd"/>
      <w:r w:rsidRPr="004664CE">
        <w:rPr>
          <w:rFonts w:ascii="Times New Roman" w:hAnsi="Times New Roman" w:cs="Times New Roman"/>
          <w:color w:val="202122"/>
          <w:sz w:val="20"/>
          <w:shd w:val="clear" w:color="auto" w:fill="FFFFFF"/>
          <w:lang w:val="en-US"/>
        </w:rPr>
        <w:t>.,</w:t>
      </w:r>
      <w:r w:rsidRPr="004664CE">
        <w:rPr>
          <w:rStyle w:val="apple-converted-space"/>
          <w:rFonts w:ascii="Times New Roman" w:hAnsi="Times New Roman" w:cs="Times New Roman"/>
          <w:color w:val="202122"/>
          <w:sz w:val="20"/>
          <w:shd w:val="clear" w:color="auto" w:fill="FFFFFF"/>
          <w:lang w:val="en-US"/>
        </w:rPr>
        <w:t> </w:t>
      </w:r>
      <w:proofErr w:type="spellStart"/>
      <w:r w:rsidRPr="004664CE">
        <w:rPr>
          <w:rFonts w:ascii="Times New Roman" w:hAnsi="Times New Roman" w:cs="Times New Roman"/>
          <w:i/>
          <w:iCs/>
          <w:color w:val="202122"/>
          <w:sz w:val="20"/>
          <w:lang w:val="en-US"/>
        </w:rPr>
        <w:t>Ressourcement</w:t>
      </w:r>
      <w:proofErr w:type="spellEnd"/>
      <w:r w:rsidRPr="004664CE">
        <w:rPr>
          <w:rFonts w:ascii="Times New Roman" w:hAnsi="Times New Roman" w:cs="Times New Roman"/>
          <w:i/>
          <w:iCs/>
          <w:color w:val="202122"/>
          <w:sz w:val="20"/>
          <w:lang w:val="en-US"/>
        </w:rPr>
        <w:t>: A Movement for Renewal in Twentieth-Century Catholic Theology</w:t>
      </w:r>
      <w:r w:rsidRPr="004664CE">
        <w:rPr>
          <w:rFonts w:ascii="Times New Roman" w:hAnsi="Times New Roman" w:cs="Times New Roman"/>
          <w:color w:val="202122"/>
          <w:sz w:val="20"/>
          <w:shd w:val="clear" w:color="auto" w:fill="FFFFFF"/>
          <w:lang w:val="en-US"/>
        </w:rPr>
        <w:t xml:space="preserve">. Oxford, </w:t>
      </w:r>
      <w:r w:rsidRPr="004664CE">
        <w:rPr>
          <w:rFonts w:ascii="Times New Roman" w:hAnsi="Times New Roman" w:cs="Times New Roman"/>
          <w:color w:val="202122"/>
          <w:sz w:val="20"/>
          <w:shd w:val="clear" w:color="auto" w:fill="FFFFFF"/>
          <w:lang w:val="en-US"/>
        </w:rPr>
        <w:t>Oxford University Press</w:t>
      </w:r>
      <w:r w:rsidRPr="004664CE">
        <w:rPr>
          <w:rFonts w:ascii="Times New Roman" w:hAnsi="Times New Roman" w:cs="Times New Roman"/>
          <w:color w:val="202122"/>
          <w:sz w:val="20"/>
          <w:shd w:val="clear" w:color="auto" w:fill="FFFFFF"/>
          <w:lang w:val="en-US"/>
        </w:rPr>
        <w:t>, 2011.</w:t>
      </w:r>
      <w:r w:rsidR="004664CE" w:rsidRPr="004664CE">
        <w:rPr>
          <w:rFonts w:ascii="Times New Roman" w:hAnsi="Times New Roman" w:cs="Times New Roman"/>
          <w:sz w:val="20"/>
          <w:lang w:val="en-US"/>
        </w:rPr>
        <w:t xml:space="preserve"> </w:t>
      </w:r>
    </w:p>
  </w:footnote>
  <w:footnote w:id="6">
    <w:p w:rsidR="00A20C25" w:rsidRPr="004664CE" w:rsidRDefault="00A20C25" w:rsidP="004664CE">
      <w:pPr>
        <w:pStyle w:val="Notedebasdepage"/>
        <w:rPr>
          <w:rFonts w:ascii="Times New Roman" w:hAnsi="Times New Roman" w:cs="Times New Roman"/>
          <w:sz w:val="20"/>
        </w:rPr>
      </w:pPr>
      <w:r w:rsidRPr="004664CE">
        <w:rPr>
          <w:rStyle w:val="Appelnotedebasdep"/>
          <w:rFonts w:ascii="Times New Roman" w:hAnsi="Times New Roman" w:cs="Times New Roman"/>
          <w:sz w:val="20"/>
        </w:rPr>
        <w:footnoteRef/>
      </w:r>
      <w:r w:rsidRPr="004664CE">
        <w:rPr>
          <w:rFonts w:ascii="Times New Roman" w:hAnsi="Times New Roman" w:cs="Times New Roman"/>
          <w:sz w:val="20"/>
          <w:lang w:val="en-US"/>
        </w:rPr>
        <w:t xml:space="preserve"> </w:t>
      </w:r>
      <w:r w:rsidR="00124B07" w:rsidRPr="004664CE">
        <w:rPr>
          <w:rFonts w:ascii="Times New Roman" w:hAnsi="Times New Roman" w:cs="Times New Roman"/>
          <w:sz w:val="20"/>
          <w:lang w:val="en-US"/>
        </w:rPr>
        <w:t>P. </w:t>
      </w:r>
      <w:r w:rsidRPr="004664CE">
        <w:rPr>
          <w:rFonts w:ascii="Times New Roman" w:hAnsi="Times New Roman" w:cs="Times New Roman"/>
          <w:smallCaps/>
          <w:sz w:val="20"/>
          <w:lang w:val="en-US"/>
        </w:rPr>
        <w:t>Prodi</w:t>
      </w:r>
      <w:r w:rsidRPr="004664CE">
        <w:rPr>
          <w:rFonts w:ascii="Times New Roman" w:hAnsi="Times New Roman" w:cs="Times New Roman"/>
          <w:sz w:val="20"/>
          <w:lang w:val="en-US"/>
        </w:rPr>
        <w:t xml:space="preserve">, </w:t>
      </w:r>
      <w:r w:rsidRPr="004664CE">
        <w:rPr>
          <w:rFonts w:ascii="Times New Roman" w:hAnsi="Times New Roman" w:cs="Times New Roman"/>
          <w:i/>
          <w:sz w:val="20"/>
          <w:lang w:val="en-US"/>
        </w:rPr>
        <w:t xml:space="preserve">Il </w:t>
      </w:r>
      <w:proofErr w:type="spellStart"/>
      <w:r w:rsidRPr="004664CE">
        <w:rPr>
          <w:rFonts w:ascii="Times New Roman" w:hAnsi="Times New Roman" w:cs="Times New Roman"/>
          <w:i/>
          <w:sz w:val="20"/>
          <w:lang w:val="en-US"/>
        </w:rPr>
        <w:t>Paradigma</w:t>
      </w:r>
      <w:proofErr w:type="spellEnd"/>
      <w:r w:rsidRPr="004664CE">
        <w:rPr>
          <w:rFonts w:ascii="Times New Roman" w:hAnsi="Times New Roman" w:cs="Times New Roman"/>
          <w:i/>
          <w:sz w:val="20"/>
          <w:lang w:val="en-US"/>
        </w:rPr>
        <w:t xml:space="preserve"> </w:t>
      </w:r>
      <w:proofErr w:type="spellStart"/>
      <w:r w:rsidRPr="004664CE">
        <w:rPr>
          <w:rFonts w:ascii="Times New Roman" w:hAnsi="Times New Roman" w:cs="Times New Roman"/>
          <w:i/>
          <w:sz w:val="20"/>
          <w:lang w:val="en-US"/>
        </w:rPr>
        <w:t>tridentino</w:t>
      </w:r>
      <w:proofErr w:type="spellEnd"/>
      <w:r w:rsidRPr="004664CE">
        <w:rPr>
          <w:rFonts w:ascii="Times New Roman" w:hAnsi="Times New Roman" w:cs="Times New Roman"/>
          <w:i/>
          <w:sz w:val="20"/>
          <w:lang w:val="en-US"/>
        </w:rPr>
        <w:t xml:space="preserve">. </w:t>
      </w:r>
      <w:proofErr w:type="spellStart"/>
      <w:r w:rsidRPr="004664CE">
        <w:rPr>
          <w:rFonts w:ascii="Times New Roman" w:hAnsi="Times New Roman" w:cs="Times New Roman"/>
          <w:i/>
          <w:sz w:val="20"/>
        </w:rPr>
        <w:t>Un’epoca</w:t>
      </w:r>
      <w:proofErr w:type="spellEnd"/>
      <w:r w:rsidRPr="004664CE">
        <w:rPr>
          <w:rFonts w:ascii="Times New Roman" w:hAnsi="Times New Roman" w:cs="Times New Roman"/>
          <w:i/>
          <w:sz w:val="20"/>
        </w:rPr>
        <w:t xml:space="preserve"> </w:t>
      </w:r>
      <w:proofErr w:type="spellStart"/>
      <w:r w:rsidRPr="004664CE">
        <w:rPr>
          <w:rFonts w:ascii="Times New Roman" w:hAnsi="Times New Roman" w:cs="Times New Roman"/>
          <w:i/>
          <w:sz w:val="20"/>
        </w:rPr>
        <w:t>della</w:t>
      </w:r>
      <w:proofErr w:type="spellEnd"/>
      <w:r w:rsidRPr="004664CE">
        <w:rPr>
          <w:rFonts w:ascii="Times New Roman" w:hAnsi="Times New Roman" w:cs="Times New Roman"/>
          <w:i/>
          <w:sz w:val="20"/>
        </w:rPr>
        <w:t xml:space="preserve"> </w:t>
      </w:r>
      <w:proofErr w:type="spellStart"/>
      <w:r w:rsidRPr="004664CE">
        <w:rPr>
          <w:rFonts w:ascii="Times New Roman" w:hAnsi="Times New Roman" w:cs="Times New Roman"/>
          <w:i/>
          <w:sz w:val="20"/>
        </w:rPr>
        <w:t>storia</w:t>
      </w:r>
      <w:proofErr w:type="spellEnd"/>
      <w:r w:rsidRPr="004664CE">
        <w:rPr>
          <w:rFonts w:ascii="Times New Roman" w:hAnsi="Times New Roman" w:cs="Times New Roman"/>
          <w:i/>
          <w:sz w:val="20"/>
        </w:rPr>
        <w:t xml:space="preserve"> </w:t>
      </w:r>
      <w:proofErr w:type="spellStart"/>
      <w:r w:rsidRPr="004664CE">
        <w:rPr>
          <w:rFonts w:ascii="Times New Roman" w:hAnsi="Times New Roman" w:cs="Times New Roman"/>
          <w:i/>
          <w:sz w:val="20"/>
        </w:rPr>
        <w:t>della</w:t>
      </w:r>
      <w:proofErr w:type="spellEnd"/>
      <w:r w:rsidRPr="004664CE">
        <w:rPr>
          <w:rFonts w:ascii="Times New Roman" w:hAnsi="Times New Roman" w:cs="Times New Roman"/>
          <w:i/>
          <w:sz w:val="20"/>
        </w:rPr>
        <w:t xml:space="preserve"> </w:t>
      </w:r>
      <w:proofErr w:type="spellStart"/>
      <w:r w:rsidRPr="004664CE">
        <w:rPr>
          <w:rFonts w:ascii="Times New Roman" w:hAnsi="Times New Roman" w:cs="Times New Roman"/>
          <w:i/>
          <w:sz w:val="20"/>
        </w:rPr>
        <w:t>Chiesa</w:t>
      </w:r>
      <w:proofErr w:type="spellEnd"/>
      <w:r w:rsidRPr="004664CE">
        <w:rPr>
          <w:rFonts w:ascii="Times New Roman" w:hAnsi="Times New Roman" w:cs="Times New Roman"/>
          <w:sz w:val="20"/>
        </w:rPr>
        <w:t xml:space="preserve">, Brescia, </w:t>
      </w:r>
      <w:proofErr w:type="spellStart"/>
      <w:r w:rsidRPr="004664CE">
        <w:rPr>
          <w:rFonts w:ascii="Times New Roman" w:hAnsi="Times New Roman" w:cs="Times New Roman"/>
          <w:sz w:val="20"/>
        </w:rPr>
        <w:t>Morcelliana</w:t>
      </w:r>
      <w:proofErr w:type="spellEnd"/>
      <w:r w:rsidRPr="004664CE">
        <w:rPr>
          <w:rFonts w:ascii="Times New Roman" w:hAnsi="Times New Roman" w:cs="Times New Roman"/>
          <w:sz w:val="20"/>
        </w:rPr>
        <w:t>, 2010.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6A"/>
    <w:rsid w:val="000D436A"/>
    <w:rsid w:val="000F0918"/>
    <w:rsid w:val="0012276A"/>
    <w:rsid w:val="00124B07"/>
    <w:rsid w:val="002A3EB3"/>
    <w:rsid w:val="002C3862"/>
    <w:rsid w:val="002C5CBE"/>
    <w:rsid w:val="0035759D"/>
    <w:rsid w:val="004063CD"/>
    <w:rsid w:val="00412670"/>
    <w:rsid w:val="00443BA0"/>
    <w:rsid w:val="004664CE"/>
    <w:rsid w:val="004964C8"/>
    <w:rsid w:val="005309E9"/>
    <w:rsid w:val="00545A7F"/>
    <w:rsid w:val="00556789"/>
    <w:rsid w:val="00561C1E"/>
    <w:rsid w:val="007F51B5"/>
    <w:rsid w:val="00811DFD"/>
    <w:rsid w:val="008C45B5"/>
    <w:rsid w:val="008E375C"/>
    <w:rsid w:val="009565C0"/>
    <w:rsid w:val="00A20C25"/>
    <w:rsid w:val="00AD560C"/>
    <w:rsid w:val="00C31FAA"/>
    <w:rsid w:val="00C86F5D"/>
    <w:rsid w:val="00CA73E1"/>
    <w:rsid w:val="00CB7384"/>
    <w:rsid w:val="00D124A1"/>
    <w:rsid w:val="00D14861"/>
    <w:rsid w:val="00E34369"/>
    <w:rsid w:val="00EE0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8CD7CFC"/>
  <w15:chartTrackingRefBased/>
  <w15:docId w15:val="{8F829D68-59E6-1845-9E71-BC184C2F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60C"/>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uiPriority w:val="99"/>
    <w:unhideWhenUsed/>
    <w:qFormat/>
    <w:rsid w:val="0035759D"/>
    <w:pPr>
      <w:jc w:val="both"/>
    </w:pPr>
    <w:rPr>
      <w:rFonts w:ascii="Tahoma" w:eastAsiaTheme="minorHAnsi" w:hAnsi="Tahoma" w:cstheme="minorBidi"/>
      <w:sz w:val="16"/>
      <w:szCs w:val="20"/>
      <w:lang w:eastAsia="en-US"/>
    </w:rPr>
  </w:style>
  <w:style w:type="character" w:customStyle="1" w:styleId="NotedebasdepageCar">
    <w:name w:val="Note de bas de page Car"/>
    <w:basedOn w:val="Policepardfaut"/>
    <w:link w:val="Notedebasdepage"/>
    <w:uiPriority w:val="99"/>
    <w:rsid w:val="0035759D"/>
    <w:rPr>
      <w:rFonts w:ascii="Tahoma" w:hAnsi="Tahoma"/>
      <w:sz w:val="16"/>
      <w:szCs w:val="20"/>
    </w:rPr>
  </w:style>
  <w:style w:type="paragraph" w:styleId="NormalWeb">
    <w:name w:val="Normal (Web)"/>
    <w:basedOn w:val="Normal"/>
    <w:uiPriority w:val="99"/>
    <w:semiHidden/>
    <w:unhideWhenUsed/>
    <w:rsid w:val="00545A7F"/>
    <w:pPr>
      <w:spacing w:before="100" w:beforeAutospacing="1" w:after="100" w:afterAutospacing="1"/>
    </w:pPr>
  </w:style>
  <w:style w:type="character" w:styleId="Appelnotedebasdep">
    <w:name w:val="footnote reference"/>
    <w:basedOn w:val="Policepardfaut"/>
    <w:uiPriority w:val="99"/>
    <w:semiHidden/>
    <w:unhideWhenUsed/>
    <w:rsid w:val="00443BA0"/>
    <w:rPr>
      <w:vertAlign w:val="superscript"/>
    </w:rPr>
  </w:style>
  <w:style w:type="character" w:customStyle="1" w:styleId="uppercase">
    <w:name w:val="uppercase"/>
    <w:basedOn w:val="Policepardfaut"/>
    <w:rsid w:val="00A20C25"/>
  </w:style>
  <w:style w:type="character" w:customStyle="1" w:styleId="apple-converted-space">
    <w:name w:val="apple-converted-space"/>
    <w:basedOn w:val="Policepardfaut"/>
    <w:rsid w:val="00A2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61128">
      <w:bodyDiv w:val="1"/>
      <w:marLeft w:val="0"/>
      <w:marRight w:val="0"/>
      <w:marTop w:val="0"/>
      <w:marBottom w:val="0"/>
      <w:divBdr>
        <w:top w:val="none" w:sz="0" w:space="0" w:color="auto"/>
        <w:left w:val="none" w:sz="0" w:space="0" w:color="auto"/>
        <w:bottom w:val="none" w:sz="0" w:space="0" w:color="auto"/>
        <w:right w:val="none" w:sz="0" w:space="0" w:color="auto"/>
      </w:divBdr>
    </w:div>
    <w:div w:id="452480803">
      <w:bodyDiv w:val="1"/>
      <w:marLeft w:val="0"/>
      <w:marRight w:val="0"/>
      <w:marTop w:val="0"/>
      <w:marBottom w:val="0"/>
      <w:divBdr>
        <w:top w:val="none" w:sz="0" w:space="0" w:color="auto"/>
        <w:left w:val="none" w:sz="0" w:space="0" w:color="auto"/>
        <w:bottom w:val="none" w:sz="0" w:space="0" w:color="auto"/>
        <w:right w:val="none" w:sz="0" w:space="0" w:color="auto"/>
      </w:divBdr>
    </w:div>
    <w:div w:id="457837015">
      <w:bodyDiv w:val="1"/>
      <w:marLeft w:val="0"/>
      <w:marRight w:val="0"/>
      <w:marTop w:val="0"/>
      <w:marBottom w:val="0"/>
      <w:divBdr>
        <w:top w:val="none" w:sz="0" w:space="0" w:color="auto"/>
        <w:left w:val="none" w:sz="0" w:space="0" w:color="auto"/>
        <w:bottom w:val="none" w:sz="0" w:space="0" w:color="auto"/>
        <w:right w:val="none" w:sz="0" w:space="0" w:color="auto"/>
      </w:divBdr>
      <w:divsChild>
        <w:div w:id="308050580">
          <w:marLeft w:val="0"/>
          <w:marRight w:val="0"/>
          <w:marTop w:val="0"/>
          <w:marBottom w:val="0"/>
          <w:divBdr>
            <w:top w:val="none" w:sz="0" w:space="0" w:color="auto"/>
            <w:left w:val="none" w:sz="0" w:space="0" w:color="auto"/>
            <w:bottom w:val="none" w:sz="0" w:space="0" w:color="auto"/>
            <w:right w:val="none" w:sz="0" w:space="0" w:color="auto"/>
          </w:divBdr>
          <w:divsChild>
            <w:div w:id="1344819670">
              <w:marLeft w:val="0"/>
              <w:marRight w:val="0"/>
              <w:marTop w:val="0"/>
              <w:marBottom w:val="0"/>
              <w:divBdr>
                <w:top w:val="none" w:sz="0" w:space="0" w:color="auto"/>
                <w:left w:val="none" w:sz="0" w:space="0" w:color="auto"/>
                <w:bottom w:val="none" w:sz="0" w:space="0" w:color="auto"/>
                <w:right w:val="none" w:sz="0" w:space="0" w:color="auto"/>
              </w:divBdr>
              <w:divsChild>
                <w:div w:id="3149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07886">
      <w:bodyDiv w:val="1"/>
      <w:marLeft w:val="0"/>
      <w:marRight w:val="0"/>
      <w:marTop w:val="0"/>
      <w:marBottom w:val="0"/>
      <w:divBdr>
        <w:top w:val="none" w:sz="0" w:space="0" w:color="auto"/>
        <w:left w:val="none" w:sz="0" w:space="0" w:color="auto"/>
        <w:bottom w:val="none" w:sz="0" w:space="0" w:color="auto"/>
        <w:right w:val="none" w:sz="0" w:space="0" w:color="auto"/>
      </w:divBdr>
    </w:div>
    <w:div w:id="172702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3600E-0390-D241-A0FA-50211A7D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Pages>
  <Words>1238</Words>
  <Characters>7024</Characters>
  <Application>Microsoft Office Word</Application>
  <DocSecurity>0</DocSecurity>
  <Lines>91</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8</cp:revision>
  <cp:lastPrinted>2020-10-01T07:52:00Z</cp:lastPrinted>
  <dcterms:created xsi:type="dcterms:W3CDTF">2020-09-24T16:30:00Z</dcterms:created>
  <dcterms:modified xsi:type="dcterms:W3CDTF">2020-10-01T08:14:00Z</dcterms:modified>
</cp:coreProperties>
</file>