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jc w:val="both"/>
        <w:rPr>
          <w:lang w:val="fr-FR"/>
        </w:rPr>
      </w:pPr>
      <w:r>
        <w:rPr>
          <w:lang w:val="fr-FR"/>
        </w:rPr>
        <w:t>Communication ABRE portugais :</w:t>
      </w:r>
    </w:p>
    <w:p>
      <w:pPr>
        <w:pStyle w:val="Normal"/>
        <w:spacing w:lineRule="auto" w:line="480"/>
        <w:jc w:val="both"/>
        <w:rPr>
          <w:lang w:val="fr-FR"/>
        </w:rPr>
      </w:pPr>
      <w:r>
        <w:rPr>
          <w:lang w:val="fr-FR"/>
        </w:rPr>
      </w:r>
    </w:p>
    <w:p>
      <w:pPr>
        <w:pStyle w:val="Normal"/>
        <w:spacing w:lineRule="auto" w:line="480"/>
        <w:jc w:val="both"/>
        <w:rPr>
          <w:color w:val="000000"/>
          <w:lang w:eastAsia="pt-BR"/>
        </w:rPr>
      </w:pPr>
      <w:r>
        <w:rPr>
          <w:color w:val="000000"/>
          <w:lang w:eastAsia="pt-BR"/>
        </w:rPr>
        <w:t xml:space="preserve">O 5 de novembro de 2015, há quase 4 anos, uma barragem de rejeito de mineiro de ferro se rompeu em Minas Gerais. Essa barragem pertencia à Samarco, subsidiária das multinacionais VALE e BHP Biliton. Quando se rompeu, provocou o vazamento de 50 milhões de m3 de lamas tóxicas nas terras vizinhas. A lama, cheia de metais pesados, destruiu completamente as aldeias de Bento Rodrigues e Paracatu de Baixo antes de chegar ao Rio Doce, continuando por 600 km para terminar sua viagem no Oceano Atlântico. Causou a morte de 19 pessoas, a deslocalização de pelo menos 350 famílias e a contaminação da água e do solo, causando a morte de milhões de toneladas de peixe e a asfixia do rio. 500.000 pessoas foram privadas do acesso in água.  </w:t>
      </w:r>
    </w:p>
    <w:p>
      <w:pPr>
        <w:pStyle w:val="Normal"/>
        <w:spacing w:lineRule="auto" w:line="480"/>
        <w:jc w:val="both"/>
        <w:rPr>
          <w:color w:val="000000"/>
          <w:lang w:eastAsia="pt-BR"/>
        </w:rPr>
      </w:pPr>
      <w:r>
        <w:rPr>
          <w:color w:val="000000"/>
          <w:lang w:eastAsia="pt-BR"/>
        </w:rPr>
      </w:r>
    </w:p>
    <w:p>
      <w:pPr>
        <w:pStyle w:val="Normal"/>
        <w:spacing w:lineRule="auto" w:line="480"/>
        <w:jc w:val="both"/>
        <w:rPr>
          <w:color w:val="000000"/>
          <w:lang w:eastAsia="pt-BR"/>
        </w:rPr>
      </w:pPr>
      <w:r>
        <w:rPr>
          <w:color w:val="000000"/>
          <w:lang w:eastAsia="pt-BR"/>
        </w:rPr>
        <w:t xml:space="preserve">Entre as respostas institucionais dadas pelas empresas responsáveis e pelos Estados envolvidos: MG, ES, Uniao, focarei hoje na Fundação RENOVA, que é uma fundação criada por um acordo entre os atores acima mencionados e responsável pela implementação e gestão dos processos de reparação. </w:t>
      </w:r>
    </w:p>
    <w:p>
      <w:pPr>
        <w:pStyle w:val="Normal"/>
        <w:spacing w:lineRule="auto" w:line="480"/>
        <w:jc w:val="both"/>
        <w:rPr>
          <w:color w:val="000000"/>
          <w:lang w:eastAsia="pt-BR"/>
        </w:rPr>
      </w:pPr>
      <w:r>
        <w:rPr>
          <w:color w:val="000000"/>
          <w:lang w:eastAsia="pt-BR"/>
        </w:rPr>
      </w:r>
    </w:p>
    <w:p>
      <w:pPr>
        <w:pStyle w:val="Normal"/>
        <w:spacing w:lineRule="auto" w:line="480"/>
        <w:jc w:val="both"/>
        <w:rPr>
          <w:color w:val="000000"/>
          <w:lang w:eastAsia="pt-BR"/>
        </w:rPr>
      </w:pPr>
      <w:r>
        <w:rPr>
          <w:color w:val="000000"/>
          <w:lang w:eastAsia="pt-BR"/>
        </w:rPr>
        <w:t xml:space="preserve">2) As observações iniciais de campo indicam que o desastre causou um sentido de interdição (e interrupção) profunda nas formas de viver das comunidades afetadas e que as respostas produzidas não vêm conseguindo dar uma resposta a esse sentido de interdição.  Para além das considerações económicas ou do caráter justo ou injusto do tipo de reparação proposto, parece-me que a insatisfação e o cepticismo das pessoas sobre como os seus casos são tratados pela Renova também é para ser procurado na forma como a relação entre a sociedade e o ambiente é vista pela Fundaçao. De fato, no início dos processos de reparação uma divisão drástica foi estabelecida entre a reparação dos danos ambientais e a reparação dos danos sociais e economicos, reiterando o "grande compartilhamento" entre a natureza e a cultura, típica de um pensamento dito da "modernidade" e que não corresponde às realidades das populações afectadas. </w:t>
      </w:r>
    </w:p>
    <w:p>
      <w:pPr>
        <w:pStyle w:val="Normal"/>
        <w:spacing w:lineRule="auto" w:line="480"/>
        <w:jc w:val="both"/>
        <w:rPr>
          <w:color w:val="000000"/>
          <w:lang w:eastAsia="pt-BR"/>
        </w:rPr>
      </w:pPr>
      <w:r>
        <w:rPr>
          <w:color w:val="000000"/>
          <w:lang w:eastAsia="pt-BR"/>
        </w:rPr>
      </w:r>
    </w:p>
    <w:p>
      <w:pPr>
        <w:pStyle w:val="Normal"/>
        <w:spacing w:lineRule="auto" w:line="480"/>
        <w:jc w:val="both"/>
        <w:rPr>
          <w:color w:val="000000"/>
          <w:lang w:eastAsia="pt-BR"/>
        </w:rPr>
      </w:pPr>
      <w:r>
        <w:rPr>
          <w:color w:val="000000"/>
          <w:lang w:eastAsia="pt-BR"/>
        </w:rPr>
        <w:t>O estudo baseia-se no trabalho etnográfico num dos territórios afetados, bem como nos diferentes espaços de interacção fora dos territórios.</w:t>
      </w:r>
    </w:p>
    <w:p>
      <w:pPr>
        <w:pStyle w:val="Normal"/>
        <w:spacing w:lineRule="auto" w:line="480"/>
        <w:jc w:val="both"/>
        <w:rPr>
          <w:color w:val="000000"/>
          <w:lang w:eastAsia="pt-BR"/>
        </w:rPr>
      </w:pPr>
      <w:r>
        <w:rPr>
          <w:color w:val="000000"/>
          <w:lang w:eastAsia="pt-BR"/>
        </w:rPr>
      </w:r>
    </w:p>
    <w:p>
      <w:pPr>
        <w:pStyle w:val="Normal"/>
        <w:spacing w:lineRule="auto" w:line="480"/>
        <w:jc w:val="both"/>
        <w:rPr>
          <w:color w:val="000000"/>
          <w:lang w:eastAsia="pt-BR"/>
        </w:rPr>
      </w:pPr>
      <w:r>
        <w:rPr>
          <w:color w:val="000000"/>
          <w:lang w:eastAsia="pt-BR"/>
        </w:rPr>
        <w:t>3)</w:t>
        <w:tab/>
        <w:t xml:space="preserve">A minha apresentação vai tratar dos seguintes pontos :  primeiro, começarei com a exposiçao dos acordos feitos entre as empresas responsavais e os Estados de Minas Gerais, Espirito Santo e  Federal. Depois, apresentarei as implicaçoes destas respostas nos territorios, tomando o caso da Vila de Regência Augusta, situada na foz do Rio Doce em ES. Focarei nas duas áreas de atividade principal do lugar : a pesca artesanal e o turismo local.  Veremos como estes dois setores refletem um modo de vida rompido e estão imbuídos de vínculos multiplos e complexos com os territórios que vão além das relaçoes economicas e não cabem na divisão feita pela Renova. </w:t>
      </w:r>
    </w:p>
    <w:p>
      <w:pPr>
        <w:pStyle w:val="Normal"/>
        <w:spacing w:lineRule="auto" w:line="480"/>
        <w:jc w:val="both"/>
        <w:rPr>
          <w:color w:val="000000"/>
          <w:lang w:eastAsia="pt-BR"/>
        </w:rPr>
      </w:pPr>
      <w:r>
        <w:rPr>
          <w:color w:val="000000"/>
          <w:lang w:eastAsia="pt-BR"/>
        </w:rPr>
      </w:r>
    </w:p>
    <w:p>
      <w:pPr>
        <w:pStyle w:val="Normal"/>
        <w:spacing w:lineRule="auto" w:line="480"/>
        <w:jc w:val="both"/>
        <w:rPr>
          <w:color w:val="FF0000"/>
          <w:lang w:eastAsia="fr-FR"/>
        </w:rPr>
      </w:pPr>
      <w:r>
        <w:rPr>
          <w:color w:val="FF0000"/>
          <w:lang w:eastAsia="pt-BR"/>
        </w:rPr>
        <w:t>E finalmente, concluirei com um resumen da situação de hoje como resultado dos acontecimentos comentados.</w:t>
      </w:r>
      <w:r>
        <w:rPr>
          <w:color w:val="FF0000"/>
          <w:lang w:eastAsia="fr-FR"/>
        </w:rPr>
        <w:t xml:space="preserve"> </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Após o desastre, as empresas, que são a Samarco, a VALE e a BHP Biliton, e os estados responsáveis (MG, ES e Federal) assinaram um acordo, o TTAC (termo de transação e ajustamento de conduta). O Ministerio Publico e a Defensoria Publica recusaram este acordo, contestando, entre outras coisas, a falta de  consideração pela participação civil. O acordo entrou em vigor no dia 2 de março de 2016 e deu origem à "Fundação Renova", uma fundação de Direito Privado financiada pelas empresas, responsável pelos processos de</w:t>
      </w:r>
      <w:r>
        <w:rPr>
          <w:color w:val="FF0000"/>
          <w:lang w:eastAsia="fr-FR"/>
        </w:rPr>
        <w:t xml:space="preserve"> reparação, compensação e indemnização. </w:t>
      </w:r>
      <w:r>
        <w:rPr>
          <w:lang w:eastAsia="fr-FR"/>
        </w:rPr>
        <w:t xml:space="preserve">A Renova entrou em ação no dia 2 de agosto de 2016.  Trata-se de um procedimento extrajudicial de resolução de litígios que confere aos seus fundadores plenos poderes sobre as formas de proceder e sobre a qualificação de quem é ou não é reconhecido como « impactado ». O reconhecimento é avaliado a partir dum cadastro que contém critérios chamados « objectivos », muitas vezes desfasados da realidade: </w:t>
      </w:r>
      <w:r>
        <w:rPr>
          <w:rFonts w:eastAsia="Times New Roman" w:cs="Times New Roman" w:ascii="Times New Roman" w:hAnsi="Times New Roman"/>
        </w:rPr>
        <w:t>comprovação de dados pessoais, idade, gênero, composição do núcleo familiar, local de residência original, ocupação, grau de escolaridade, renda familiar antes do EVENTO, número de documento de identidade e CPF, se houver, fundamento do enquadramento como IMPACTADO, comprovação dos prejuízos sofridos, por meio de documentos públicos ou privados, ou outros meios de prova, e outros dados que venham a se mostrar necessários</w:t>
      </w:r>
      <w:r>
        <w:rPr/>
        <w:t xml:space="preserve">. (TTAC). </w:t>
      </w:r>
      <w:r>
        <w:rPr>
          <w:lang w:eastAsia="fr-FR"/>
        </w:rPr>
        <w:t xml:space="preserve">As pessoas reconhecidas como IMPACTADAS têm direito a um auxilio financiario emergencial, tipo de salário mensal que substitui a renda das suas actividades que eram proibidas ou impraticáveis após o desastre, na pendência duma indemnização integral. </w:t>
      </w:r>
      <w:r>
        <w:rPr>
          <w:color w:val="000000"/>
          <w:lang w:eastAsia="pt-BR"/>
        </w:rPr>
        <w:t>Este cálculo monetário das indemnizações dá pouco espaço para os danos morais, spirituais, afetando um modo de viver e de se relaçionar ao territorio e ao Rio Doce.</w:t>
      </w:r>
    </w:p>
    <w:p>
      <w:pPr>
        <w:pStyle w:val="Normal"/>
        <w:spacing w:lineRule="auto" w:line="480"/>
        <w:jc w:val="both"/>
        <w:rPr>
          <w:color w:val="000000"/>
          <w:lang w:eastAsia="pt-BR"/>
        </w:rPr>
      </w:pPr>
      <w:r>
        <w:rPr>
          <w:lang w:eastAsia="fr-FR"/>
        </w:rPr>
        <w:t xml:space="preserve">Assistamos a uma aberração jurídica que é a inversão do ónus da prova: a vítima tem de apresentar provas dos danos sofridos. </w:t>
      </w:r>
    </w:p>
    <w:p>
      <w:pPr>
        <w:pStyle w:val="Normal"/>
        <w:spacing w:lineRule="auto" w:line="480"/>
        <w:jc w:val="both"/>
        <w:rPr/>
      </w:pPr>
      <w:r>
        <w:rPr/>
      </w:r>
    </w:p>
    <w:p>
      <w:pPr>
        <w:pStyle w:val="Normal"/>
        <w:spacing w:lineRule="auto" w:line="480"/>
        <w:jc w:val="both"/>
        <w:rPr/>
      </w:pPr>
      <w:r>
        <w:rPr/>
        <w:t>Para funcionar, a fundaçao RENOVA planejou implementar 42 programas differentes, separados em duas categorias : os danos socioeconomicos e danos ambientais. – No acordo, esta escrito o seguinte : « Em regra, os PROGRAMAS SOCIOECONÔMICOS de natureza reparatória têm preferência em relação aos demais PROGRAMAS. »  Estes são variados, no que diz respeito ao emprego, à educação, à cultura e à memória, bem como à saúde. Sobre os programmas « socioambientais »,(termo que não é bem definido no acordo), constata-se que são em maioria a adoção de solução tecnicas, com foco na recuperação do meioambiente e na conservação ecológica.</w:t>
      </w:r>
    </w:p>
    <w:p>
      <w:pPr>
        <w:pStyle w:val="Normal"/>
        <w:spacing w:lineRule="auto" w:line="480"/>
        <w:jc w:val="both"/>
        <w:rPr>
          <w:color w:val="000000"/>
          <w:lang w:eastAsia="pt-BR"/>
        </w:rPr>
      </w:pPr>
      <w:r>
        <w:rPr>
          <w:color w:val="000000"/>
          <w:lang w:eastAsia="pt-BR"/>
        </w:rPr>
      </w:r>
    </w:p>
    <w:p>
      <w:pPr>
        <w:pStyle w:val="Normal"/>
        <w:spacing w:lineRule="auto" w:line="480"/>
        <w:jc w:val="both"/>
        <w:rPr>
          <w:lang w:val="pt-BR" w:eastAsia="fr-FR"/>
        </w:rPr>
      </w:pPr>
      <w:r>
        <w:rPr>
          <w:lang w:val="pt-BR" w:eastAsia="fr-FR"/>
        </w:rPr>
        <w:t xml:space="preserve">Em 2018, após críticas feitas por membros da sociedade civil, das universidades e movimentos sociais (como o Movimentos dos Atingidos por Barragens que atua nos territórios), e ambientalistas, considerando a falta de participação dos atingidos nesses processos, um 2º acordo foi assinado, em junho de 2018, junto com o Ministerio Publico e a Defensoria Publica (TACG-ouvernança). Os objetos deste acordo são os seguintes : a alteração do processo de govemança previsto no TTAC; - o aprimoramento de mecanismos de efetiva participação das pessoas atingidas e; - o estabelecimento de um processo de negociação visando à eventual repactuação dos PROGRAMAS. Então as principais mudanças são o estabelecimento de comissões locais de atingidos, de assessorias técnicas e de um fórum de observadores neutros para monitorar o bom funcionamento dos processos.  </w:t>
      </w:r>
    </w:p>
    <w:p>
      <w:pPr>
        <w:pStyle w:val="Normal"/>
        <w:spacing w:lineRule="auto" w:line="480"/>
        <w:jc w:val="both"/>
        <w:rPr>
          <w:lang w:val="pt-BR" w:eastAsia="fr-FR"/>
        </w:rPr>
      </w:pPr>
      <w:r>
        <w:rPr>
          <w:lang w:val="pt-BR" w:eastAsia="fr-FR"/>
        </w:rPr>
      </w:r>
    </w:p>
    <w:p>
      <w:pPr>
        <w:pStyle w:val="Normal"/>
        <w:spacing w:lineRule="auto" w:line="480"/>
        <w:jc w:val="both"/>
        <w:rPr>
          <w:color w:val="FF0000"/>
          <w:lang w:eastAsia="fr-FR"/>
        </w:rPr>
      </w:pPr>
      <w:r>
        <w:rPr>
          <w:lang w:eastAsia="fr-FR"/>
        </w:rPr>
        <w:t xml:space="preserve">O TACG colmata algumas das lacunas do acordo anterior, mas propõe soluções tão burocráticas e vagas (o termo « participação » por exemplo não tem definição bem clara), que </w:t>
      </w:r>
      <w:r>
        <w:rPr>
          <w:color w:val="FF0000"/>
          <w:lang w:eastAsia="fr-FR"/>
        </w:rPr>
        <w:t xml:space="preserve">continua a ser problemático. Este acordo não menciona mudança nas duas categorias de danos ja estabelecidas. </w:t>
      </w:r>
    </w:p>
    <w:p>
      <w:pPr>
        <w:pStyle w:val="Normal"/>
        <w:spacing w:lineRule="auto" w:line="480"/>
        <w:jc w:val="both"/>
        <w:rPr>
          <w:color w:val="FF0000"/>
          <w:lang w:eastAsia="fr-FR"/>
        </w:rPr>
      </w:pPr>
      <w:r>
        <w:rPr>
          <w:color w:val="FF0000"/>
          <w:lang w:eastAsia="fr-FR"/>
        </w:rPr>
      </w:r>
    </w:p>
    <w:p>
      <w:pPr>
        <w:pStyle w:val="Normal"/>
        <w:spacing w:lineRule="auto" w:line="480"/>
        <w:jc w:val="both"/>
        <w:rPr>
          <w:color w:val="FF0000"/>
          <w:lang w:val="en-US" w:eastAsia="fr-FR"/>
        </w:rPr>
      </w:pPr>
      <w:r>
        <w:rPr>
          <w:color w:val="FF0000"/>
          <w:lang w:val="en-US" w:eastAsia="fr-FR"/>
        </w:rPr>
        <w:t>(Mostrar no PPT os « schéma » realizado por C.Losekann)</w:t>
      </w:r>
    </w:p>
    <w:p>
      <w:pPr>
        <w:pStyle w:val="Normal"/>
        <w:spacing w:lineRule="auto" w:line="480"/>
        <w:jc w:val="both"/>
        <w:rPr>
          <w:color w:val="FF0000"/>
          <w:lang w:val="en-US" w:eastAsia="fr-FR"/>
        </w:rPr>
      </w:pPr>
      <w:r>
        <w:rPr>
          <w:color w:val="FF0000"/>
          <w:lang w:val="en-US" w:eastAsia="fr-FR"/>
        </w:rPr>
      </w:r>
    </w:p>
    <w:p>
      <w:pPr>
        <w:pStyle w:val="Normal"/>
        <w:spacing w:lineRule="auto" w:line="480"/>
        <w:jc w:val="both"/>
        <w:rPr>
          <w:lang w:eastAsia="fr-FR"/>
        </w:rPr>
      </w:pPr>
      <w:r>
        <w:rPr>
          <w:lang w:eastAsia="fr-FR"/>
        </w:rPr>
        <w:t>Esta situação conduz à frustração, à incompreensão e aos conflitos entre as populaçãos. A situação social se deteriora e soluções satisfatórias são lentas pra chegar. Alguns pontos que valem a pena de destacar: proibição da pesca, aumento do alcoolismo e da depressão, incerteza quanto à qualidade da água e ao futuro. Além disso, como ja dito, a opção monetária tende a apagar os outros jeitos que não sejam economicas de se relacionar ao territorio.</w:t>
      </w:r>
    </w:p>
    <w:p>
      <w:pPr>
        <w:pStyle w:val="Normal"/>
        <w:spacing w:lineRule="auto" w:line="480"/>
        <w:jc w:val="both"/>
        <w:rPr>
          <w:lang w:eastAsia="fr-FR"/>
        </w:rPr>
      </w:pPr>
      <w:r>
        <w:rPr>
          <w:lang w:eastAsia="fr-FR"/>
        </w:rPr>
      </w:r>
    </w:p>
    <w:p>
      <w:pPr>
        <w:pStyle w:val="Normal"/>
        <w:spacing w:lineRule="auto" w:line="480"/>
        <w:jc w:val="both"/>
        <w:rPr>
          <w:lang w:eastAsia="fr-FR"/>
        </w:rPr>
      </w:pPr>
      <w:r>
        <w:rPr>
          <w:color w:val="FF0000"/>
          <w:lang w:eastAsia="fr-FR"/>
        </w:rPr>
        <w:t xml:space="preserve">A fim de analisar as implicações para as populações locais e a complexidade da situação pós-lama, vou </w:t>
      </w:r>
      <w:r>
        <w:rPr>
          <w:lang w:eastAsia="fr-FR"/>
        </w:rPr>
        <w:t>agora me basear em meu campo de tese de doutorado, que é a pequena vila de Regência Augusta, localizada na foz do rio, no ES. Tenho feito viagens regulares de ida e volta por lá desde 2017.</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 xml:space="preserve">Regencia: </w:t>
      </w:r>
    </w:p>
    <w:p>
      <w:pPr>
        <w:pStyle w:val="Normal"/>
        <w:spacing w:lineRule="auto" w:line="480"/>
        <w:jc w:val="both"/>
        <w:rPr>
          <w:lang w:eastAsia="fr-FR"/>
        </w:rPr>
      </w:pPr>
      <w:r>
        <w:rPr>
          <w:lang w:eastAsia="fr-FR"/>
        </w:rPr>
        <w:t>Regencia e uma vila de pesca artesanal, de surf e de turismo local de cerca de 1200 habitantes. Nas últimas décadas "pousada", hotéis, restaurantes e locais de lazer foram desenvolvidos Entre eles, tem o centro "ecotur" que ofereceu passeios de caiaque no Rio Doce ou de quadriciclos na praia,... Além disso, o projeto Tamar contribui para uma visão "ecológica", promovendo a educação ambiental, via escola, ou por meio de pequenos cartazes afixados no caminho da praia, conscientizaçando sobre poluição, triagem de lixo, respeito à "natureza",... No entanto, Regência está cercada por muitas empresas, entre elas a Petrobras, já mencionada, a Fibria (celulose) e fazendas de cacao.</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Desde que a lama chegou por meio do Rio Doce, a pesca foi proibida na foz do rio e no oceano (-20m de profundidade), e o turismo relacionado com as actividades marítimas (surf) e fluviais (caiaque, natação, pesca,...) diminuiu significativamente.</w:t>
      </w:r>
    </w:p>
    <w:p>
      <w:pPr>
        <w:pStyle w:val="Normal"/>
        <w:spacing w:lineRule="auto" w:line="480"/>
        <w:jc w:val="both"/>
        <w:rPr>
          <w:lang w:eastAsia="fr-FR"/>
        </w:rPr>
      </w:pPr>
      <w:r>
        <w:rPr>
          <w:lang w:eastAsia="fr-FR"/>
        </w:rPr>
        <w:t xml:space="preserve">Hoje, muitas pessoas já receberam o auxilio de emergência, mas outras ainda estão à espera. Esta situação acentua as desigualdades sociais entre vizinhos, alimentando a inveja e a desconfiança entre eles. Pude observar que a maior parte das reuniões (que eu assisti no ano passado) se referiam ao auxilio de emergência, cada uma querendo a sua parte. Ate alguns meses atras, as questões da água, do ambiente, da saúde e do futuro foram muito pouco abordadas.  Considerando a complexidade social e os conflitos internos já existentes, este procedimento apenas complica a implementação de ações coletivas e a busca de soluções de longo prazo. </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 xml:space="preserve">No que diz respeito mais particularmente aos pescadores, como a pesca foi proibida, todos os membros oficiais da Associação de Pescadores receberam o estatuto de atingido. Mas outros pescadores que não fazem parte da associação não receberam ainda. No entanto, podemos ver que esta ajuda financeira não é suficiente para satisfazê-los: sem generalizar, muitos ficam em casa assistindo televisão, ou vão beber no bar. Algumas soluções têm sido desenvolvidas, como a implantação de pisciculturas que serve para a criação de tilápias em aquários, o que lhes permite de ter uma nova atividade e uma renda ao longo prazo. </w:t>
      </w:r>
      <w:r>
        <w:rPr>
          <w:lang w:val="en-US" w:eastAsia="fr-FR"/>
        </w:rPr>
        <w:t xml:space="preserve">Na prática, apenas alguns pescadores tiveram acesso a esta oportunidade. </w:t>
      </w:r>
      <w:r>
        <w:rPr>
          <w:lang w:eastAsia="fr-FR"/>
        </w:rPr>
        <w:t>Eis o que um pescador e seu filho me dizem: "Poucas pessoas se beneficiam com isso. É como um "troféu" para a associação de pesca. Há 5 deles pagos por este trabalho, mas apenas 2 pessoas realmente trabalham". Eles disseram aos pescadores que o peixe só poderia ser vendido 6 meses depois. Os pescadores não têm tempo para esperar, não é lucrativo".. Além disso, o filho se lamenta que o projeto tenha sido feito "de cima pra baixo" e não "coletivamente".  Não há futuro para os jovens, não há filhos pescadores que tenham sido convidados a participar na piscicultura. Também, os pescadores étaient familiarisés avec leur milieu de travail : le fleuve et la mer. Ils en étaient les experts. La pratique de la pêche régulait leur vie quotidienne. Vemos com este projeto que tem uma modificação das práticas de pesca, das relações com o meio ambiente, mas também com o corpo. Pescar no rio ou no mar requer excelentes condições físicas, não só para se levantar ao amanhecer ou para pescar à noite, mas também para lançar redes, transportar tabuleiros de peixe, e outras tarefas. A pesca é uma atividade na qual pode ariscar a vida, o que necessita um conhecimento mas também uma confiança na agua, no vento e outros elementos ambientais.  Na verdade, é um trabalho totalmente diferente ir ao mar ou ao rio, ou alimentar os peixes no tanque a cada duas horas.  Vemos que a piscicultura exige uma série de outras competências mecânicas que estão longe de ser óbvias: por exemplo alguem fez um erro com o sistema de eletricidade há alguns meses e, portanto, de oxigênio nos tanques, levando à morte dos peixes. Teve que recomeçar do inicio.</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 xml:space="preserve">Além disso, a cessação ou modificação de práticas causa uma falha na transmissão para os filhos de pescadores, vendo pais deprimidos em casa, e com pouca perspectiva de futuro. </w:t>
      </w:r>
    </w:p>
    <w:p>
      <w:pPr>
        <w:pStyle w:val="Normal"/>
        <w:spacing w:lineRule="auto" w:line="480"/>
        <w:jc w:val="both"/>
        <w:rPr>
          <w:lang w:eastAsia="fr-FR"/>
        </w:rPr>
      </w:pPr>
      <w:r>
        <w:rPr>
          <w:lang w:eastAsia="fr-FR"/>
        </w:rPr>
      </w:r>
    </w:p>
    <w:p>
      <w:pPr>
        <w:pStyle w:val="Normal"/>
        <w:spacing w:lineRule="auto" w:line="480"/>
        <w:jc w:val="both"/>
        <w:rPr>
          <w:color w:val="FF0000"/>
          <w:lang w:val="en-US" w:eastAsia="fr-FR"/>
        </w:rPr>
      </w:pPr>
      <w:r>
        <w:rPr>
          <w:color w:val="FF0000"/>
          <w:lang w:eastAsia="fr-FR"/>
        </w:rPr>
        <w:t xml:space="preserve">Em junho, a Renova anunciou no jornal regional que o consumo de peixe era permitido se não come alem de 200 g por pessoa por dia - 50 g para crianças. </w:t>
      </w:r>
      <w:r>
        <w:rPr>
          <w:color w:val="FF0000"/>
          <w:lang w:val="en-US" w:eastAsia="fr-FR"/>
        </w:rPr>
        <w:t xml:space="preserve">Seguindo a pressão do MP e outros orgãos, eles voltaram atrás em suas declarações assumindo a leitura errada dos resultados da qualidade da água. </w:t>
      </w:r>
    </w:p>
    <w:p>
      <w:pPr>
        <w:pStyle w:val="Normal"/>
        <w:spacing w:lineRule="auto" w:line="480"/>
        <w:jc w:val="both"/>
        <w:rPr>
          <w:color w:val="FF0000"/>
          <w:lang w:val="en-US" w:eastAsia="fr-FR"/>
        </w:rPr>
      </w:pPr>
      <w:r>
        <w:rPr>
          <w:color w:val="FF0000"/>
          <w:lang w:val="en-US" w:eastAsia="fr-FR"/>
        </w:rPr>
        <w:t>(laisser?)</w:t>
      </w:r>
    </w:p>
    <w:p>
      <w:pPr>
        <w:pStyle w:val="Normal"/>
        <w:spacing w:lineRule="auto" w:line="480"/>
        <w:jc w:val="both"/>
        <w:rPr>
          <w:lang w:eastAsia="fr-FR"/>
        </w:rPr>
      </w:pPr>
      <w:r>
        <w:rPr>
          <w:lang w:eastAsia="fr-FR"/>
        </w:rPr>
      </w:r>
    </w:p>
    <w:p>
      <w:pPr>
        <w:pStyle w:val="Normal"/>
        <w:spacing w:lineRule="auto" w:line="480"/>
        <w:jc w:val="both"/>
        <w:rPr>
          <w:color w:val="FF0000"/>
          <w:lang w:eastAsia="fr-FR"/>
        </w:rPr>
      </w:pPr>
      <w:r>
        <w:rPr>
          <w:color w:val="FF0000"/>
          <w:lang w:eastAsia="fr-FR"/>
        </w:rPr>
        <w:t>++ certains retournent pêcher…</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 xml:space="preserve">Outra ilustração de projetos que estão desfasados da realidade local : projetos relacionados com o turismo: A Renova promove a recuperação do turismo. Para isso, cerca de dez pessoas envolvidas no turismo foram convidadas a participar de uma viagem de 5 dias ao Maranhão. A ideia era ser inspirados pelo turismo local. Mas o que falta à Regência... são turistas,porque eles tem medo dos efeitos da agua contaminada, não as actividades propostas. Além disso, a maioria das atrações turísticas do Maranhão está ligada à especificidade das paisagens (por exemplo, as lagoas nas dunas de Lençóis). A paisagem é totalmente diferente, e não é contaminada. Poderiam pelo menos inspirar-se nas técnicas de comunicação, mas com água contaminada, nada pode ser posto em prática. Este tipo de acção fazem como se a contaminação não era mais o probléma principal nestes territorios.  A mesma coisa aconteceu quando a Renova financiou um campeonato o campeonato de surf em junho de 2019, antes do que os resultados oficiais da qualidade da água e dos perigos para a saúde foram divulgados... Isso pode colocar a vida das pessoas em risco mas não parece ser um probléma. Estas acçoes reforçam a incompreensao e as tensões na comunidade. </w:t>
      </w:r>
    </w:p>
    <w:p>
      <w:pPr>
        <w:pStyle w:val="Normal"/>
        <w:spacing w:lineRule="auto" w:line="480"/>
        <w:jc w:val="both"/>
        <w:rPr>
          <w:lang w:eastAsia="fr-FR"/>
        </w:rPr>
      </w:pPr>
      <w:r>
        <w:rPr>
          <w:lang w:eastAsia="fr-FR"/>
        </w:rPr>
      </w:r>
    </w:p>
    <w:p>
      <w:pPr>
        <w:pStyle w:val="Normal"/>
        <w:spacing w:lineRule="auto" w:line="480"/>
        <w:jc w:val="both"/>
        <w:rPr>
          <w:lang w:eastAsia="fr-FR"/>
        </w:rPr>
      </w:pPr>
      <w:r>
        <w:rPr>
          <w:lang w:eastAsia="fr-FR"/>
        </w:rPr>
        <w:t xml:space="preserve">Conclusão: o tipo de processos comentados enfatiza os danos materiais, registrados em termos econômicos, no curto prazo, negando estilos de vida, saúde e a multiplicidade de relaçãos ao territorio. É óbvio que a indemnização é um direito. E necessário compensar as perdas econômicas de populações já precárias. Este dinheiro foi recebido mais do que positivamente. Mas podemos ver que só parcialmente satisfaz as comunidades, e só a curto prazo. O processo (antes da aplicação efectiva do novo acordo) vem de cima para baixo, não foi pensado adequadamente junto com as populações </w:t>
      </w:r>
      <w:r>
        <w:rPr>
          <w:color w:val="FF0000"/>
          <w:lang w:eastAsia="fr-FR"/>
        </w:rPr>
        <w:t xml:space="preserve">e mantendo uma divisão « moderna » entre a cultura e a natureza. Meu objetivo hoje era adotar uma perspectiva antropológica atenta à relação com o ambiente, que permita identificar outro aspecto da dificuldade de superação do desastre. </w:t>
      </w:r>
      <w:r>
        <w:rPr>
          <w:lang w:eastAsia="fr-FR"/>
        </w:rPr>
        <w:t xml:space="preserve">De fato, varias pessoas voltaram a consumir peixe e a pescar apesar das soluções consideradas e das proibições. Como alguém me disse: não se pode impedir as crianças de nadar. Outros exemplos são os pescadores que voltam para o porto para observar o rio e aproveitar tranquilidade, tem atividades como a canoa ou o surf que são organizadas para manter ou recuperar a relação com a água, relaçao que parece assim primordial para as comunidades que merece ser considerado. Estamos perante um desastre contínuo, ainda mais degradante para a qualidade de vida e as relações sociais. </w:t>
      </w:r>
      <w:bookmarkStart w:id="0" w:name="_GoBack"/>
      <w:r>
        <w:rPr>
          <w:color w:val="FF0000"/>
          <w:lang w:eastAsia="fr-FR"/>
        </w:rPr>
        <w:t>PHRASE DE CONCLUSION</w:t>
      </w:r>
      <w:bookmarkEnd w:id="0"/>
    </w:p>
    <w:p>
      <w:pPr>
        <w:pStyle w:val="Normal"/>
        <w:spacing w:lineRule="auto" w:line="480"/>
        <w:jc w:val="both"/>
        <w:rPr>
          <w:lang w:eastAsia="fr-FR"/>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fr-B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fr-BE"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db2cdd"/>
    <w:pPr>
      <w:spacing w:lineRule="auto" w:line="276" w:before="0" w:after="200"/>
      <w:ind w:left="720"/>
      <w:contextualSpacing/>
    </w:pPr>
    <w:rPr>
      <w:sz w:val="22"/>
      <w:szCs w:val="22"/>
      <w:lang w:val="pt-B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216</TotalTime>
  <Application>LibreOffice/25.2.3.2$MacOSX_AARCH64 LibreOffice_project/bbb074479178df812d175f709636b368952c2ce3</Application>
  <AppVersion>15.0000</AppVersion>
  <Pages>9</Pages>
  <Words>2343</Words>
  <Characters>12075</Characters>
  <CharactersWithSpaces>14420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2019-09-12T14:26:00Z</dcterms:created>
  <dc:creator>Juliette Woitchik</dc:creator>
  <dc:description/>
  <dc:language>fr-BE</dc:language>
  <cp:lastModifiedBy/>
  <dcterms:modified xsi:type="dcterms:W3CDTF">2026-01-20T02:01:38Z</dcterms:modified>
  <cp:revision>88</cp:revision>
  <dc:subject/>
  <dc:title/>
</cp:coreProperties>
</file>

<file path=docProps/custom.xml><?xml version="1.0" encoding="utf-8"?>
<Properties xmlns="http://schemas.openxmlformats.org/officeDocument/2006/custom-properties" xmlns:vt="http://schemas.openxmlformats.org/officeDocument/2006/docPropsVTypes"/>
</file>