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B9B" w:rsidRPr="000C5B9B" w:rsidRDefault="000C5B9B" w:rsidP="000C5B9B">
      <w:pPr>
        <w:shd w:val="clear" w:color="auto" w:fill="FFFFFF"/>
        <w:spacing w:after="0" w:line="348" w:lineRule="atLeast"/>
        <w:rPr>
          <w:rFonts w:ascii="Arial" w:eastAsia="Times New Roman" w:hAnsi="Arial" w:cs="Arial"/>
          <w:color w:val="000000"/>
          <w:sz w:val="20"/>
          <w:szCs w:val="20"/>
          <w:lang w:eastAsia="fr-BE"/>
        </w:rPr>
      </w:pPr>
      <w:hyperlink r:id="rId6" w:tooltip="Annales pharmaceutiques françaises." w:history="1">
        <w:r w:rsidRPr="000C5B9B">
          <w:rPr>
            <w:rFonts w:ascii="Arial" w:eastAsia="Times New Roman" w:hAnsi="Arial" w:cs="Arial"/>
            <w:color w:val="660066"/>
            <w:sz w:val="20"/>
            <w:szCs w:val="20"/>
            <w:u w:val="single"/>
            <w:lang w:eastAsia="fr-BE"/>
          </w:rPr>
          <w:t>Ann Pharm Fr.</w:t>
        </w:r>
      </w:hyperlink>
      <w:r w:rsidRPr="000C5B9B">
        <w:rPr>
          <w:rFonts w:ascii="Arial" w:eastAsia="Times New Roman" w:hAnsi="Arial" w:cs="Arial"/>
          <w:color w:val="000000"/>
          <w:sz w:val="20"/>
          <w:szCs w:val="20"/>
          <w:lang w:eastAsia="fr-BE"/>
        </w:rPr>
        <w:t> 2015 Mar;73(2):108-13. doi: 10.1016/j.pharma.2014.10.003. Epub 2014 Dec 6.</w:t>
      </w:r>
    </w:p>
    <w:p w:rsidR="000C5B9B" w:rsidRPr="000C5B9B" w:rsidRDefault="000C5B9B" w:rsidP="000C5B9B">
      <w:pPr>
        <w:shd w:val="clear" w:color="auto" w:fill="FFFFFF"/>
        <w:spacing w:before="90" w:after="90" w:line="270" w:lineRule="atLeast"/>
        <w:outlineLvl w:val="0"/>
        <w:rPr>
          <w:rFonts w:ascii="Arial" w:eastAsia="Times New Roman" w:hAnsi="Arial" w:cs="Arial"/>
          <w:b/>
          <w:bCs/>
          <w:color w:val="000000"/>
          <w:kern w:val="36"/>
          <w:sz w:val="30"/>
          <w:szCs w:val="30"/>
          <w:lang w:eastAsia="fr-BE"/>
        </w:rPr>
      </w:pPr>
      <w:r w:rsidRPr="000C5B9B">
        <w:rPr>
          <w:rFonts w:ascii="Arial" w:eastAsia="Times New Roman" w:hAnsi="Arial" w:cs="Arial"/>
          <w:b/>
          <w:bCs/>
          <w:color w:val="000000"/>
          <w:kern w:val="36"/>
          <w:sz w:val="30"/>
          <w:szCs w:val="30"/>
          <w:lang w:eastAsia="fr-BE"/>
        </w:rPr>
        <w:t>Long-term stability of acyclovir in 0.9% NaCl infusion polyolefin bags at 5±3°C after freeze-thaw treatment: A generic product versus the brand name.</w:t>
      </w:r>
    </w:p>
    <w:p w:rsidR="000C5B9B" w:rsidRPr="000C5B9B" w:rsidRDefault="000C5B9B" w:rsidP="000C5B9B">
      <w:pPr>
        <w:shd w:val="clear" w:color="auto" w:fill="FFFFFF"/>
        <w:spacing w:after="0" w:line="240" w:lineRule="auto"/>
        <w:rPr>
          <w:rFonts w:ascii="Arial" w:eastAsia="Times New Roman" w:hAnsi="Arial" w:cs="Arial"/>
          <w:color w:val="000000"/>
          <w:lang w:eastAsia="fr-BE"/>
        </w:rPr>
      </w:pPr>
      <w:hyperlink r:id="rId7" w:history="1">
        <w:r w:rsidRPr="000C5B9B">
          <w:rPr>
            <w:rFonts w:ascii="Arial" w:eastAsia="Times New Roman" w:hAnsi="Arial" w:cs="Arial"/>
            <w:color w:val="660066"/>
            <w:u w:val="single"/>
            <w:lang w:eastAsia="fr-BE"/>
          </w:rPr>
          <w:t>Dewulf J</w:t>
        </w:r>
      </w:hyperlink>
      <w:r w:rsidRPr="000C5B9B">
        <w:rPr>
          <w:rFonts w:ascii="Arial" w:eastAsia="Times New Roman" w:hAnsi="Arial" w:cs="Arial"/>
          <w:color w:val="000000"/>
          <w:sz w:val="19"/>
          <w:szCs w:val="19"/>
          <w:vertAlign w:val="superscript"/>
          <w:lang w:eastAsia="fr-BE"/>
        </w:rPr>
        <w:t>1</w:t>
      </w:r>
      <w:r w:rsidRPr="000C5B9B">
        <w:rPr>
          <w:rFonts w:ascii="Arial" w:eastAsia="Times New Roman" w:hAnsi="Arial" w:cs="Arial"/>
          <w:color w:val="000000"/>
          <w:lang w:eastAsia="fr-BE"/>
        </w:rPr>
        <w:t>, </w:t>
      </w:r>
      <w:hyperlink r:id="rId8" w:history="1">
        <w:r w:rsidRPr="000C5B9B">
          <w:rPr>
            <w:rFonts w:ascii="Arial" w:eastAsia="Times New Roman" w:hAnsi="Arial" w:cs="Arial"/>
            <w:color w:val="660066"/>
            <w:u w:val="single"/>
            <w:lang w:eastAsia="fr-BE"/>
          </w:rPr>
          <w:t>Galanti L</w:t>
        </w:r>
      </w:hyperlink>
      <w:r w:rsidRPr="000C5B9B">
        <w:rPr>
          <w:rFonts w:ascii="Arial" w:eastAsia="Times New Roman" w:hAnsi="Arial" w:cs="Arial"/>
          <w:color w:val="000000"/>
          <w:sz w:val="19"/>
          <w:szCs w:val="19"/>
          <w:vertAlign w:val="superscript"/>
          <w:lang w:eastAsia="fr-BE"/>
        </w:rPr>
        <w:t>2</w:t>
      </w:r>
      <w:r w:rsidRPr="000C5B9B">
        <w:rPr>
          <w:rFonts w:ascii="Arial" w:eastAsia="Times New Roman" w:hAnsi="Arial" w:cs="Arial"/>
          <w:color w:val="000000"/>
          <w:lang w:eastAsia="fr-BE"/>
        </w:rPr>
        <w:t>, </w:t>
      </w:r>
      <w:hyperlink r:id="rId9" w:history="1">
        <w:r w:rsidRPr="000C5B9B">
          <w:rPr>
            <w:rFonts w:ascii="Arial" w:eastAsia="Times New Roman" w:hAnsi="Arial" w:cs="Arial"/>
            <w:color w:val="660066"/>
            <w:u w:val="single"/>
            <w:lang w:eastAsia="fr-BE"/>
          </w:rPr>
          <w:t>Godet M</w:t>
        </w:r>
      </w:hyperlink>
      <w:r w:rsidRPr="000C5B9B">
        <w:rPr>
          <w:rFonts w:ascii="Arial" w:eastAsia="Times New Roman" w:hAnsi="Arial" w:cs="Arial"/>
          <w:color w:val="000000"/>
          <w:sz w:val="19"/>
          <w:szCs w:val="19"/>
          <w:vertAlign w:val="superscript"/>
          <w:lang w:eastAsia="fr-BE"/>
        </w:rPr>
        <w:t>2</w:t>
      </w:r>
      <w:r w:rsidRPr="000C5B9B">
        <w:rPr>
          <w:rFonts w:ascii="Arial" w:eastAsia="Times New Roman" w:hAnsi="Arial" w:cs="Arial"/>
          <w:color w:val="000000"/>
          <w:lang w:eastAsia="fr-BE"/>
        </w:rPr>
        <w:t>, </w:t>
      </w:r>
      <w:hyperlink r:id="rId10" w:history="1">
        <w:r w:rsidRPr="000C5B9B">
          <w:rPr>
            <w:rFonts w:ascii="Arial" w:eastAsia="Times New Roman" w:hAnsi="Arial" w:cs="Arial"/>
            <w:color w:val="660066"/>
            <w:u w:val="single"/>
            <w:lang w:eastAsia="fr-BE"/>
          </w:rPr>
          <w:t>Gillet P</w:t>
        </w:r>
      </w:hyperlink>
      <w:r w:rsidRPr="000C5B9B">
        <w:rPr>
          <w:rFonts w:ascii="Arial" w:eastAsia="Times New Roman" w:hAnsi="Arial" w:cs="Arial"/>
          <w:color w:val="000000"/>
          <w:sz w:val="19"/>
          <w:szCs w:val="19"/>
          <w:vertAlign w:val="superscript"/>
          <w:lang w:eastAsia="fr-BE"/>
        </w:rPr>
        <w:t>3</w:t>
      </w:r>
      <w:r w:rsidRPr="000C5B9B">
        <w:rPr>
          <w:rFonts w:ascii="Arial" w:eastAsia="Times New Roman" w:hAnsi="Arial" w:cs="Arial"/>
          <w:color w:val="000000"/>
          <w:lang w:eastAsia="fr-BE"/>
        </w:rPr>
        <w:t>, </w:t>
      </w:r>
      <w:hyperlink r:id="rId11" w:history="1">
        <w:r w:rsidRPr="000C5B9B">
          <w:rPr>
            <w:rFonts w:ascii="Arial" w:eastAsia="Times New Roman" w:hAnsi="Arial" w:cs="Arial"/>
            <w:color w:val="660066"/>
            <w:u w:val="single"/>
            <w:lang w:eastAsia="fr-BE"/>
          </w:rPr>
          <w:t>Jamart J</w:t>
        </w:r>
      </w:hyperlink>
      <w:r w:rsidRPr="000C5B9B">
        <w:rPr>
          <w:rFonts w:ascii="Arial" w:eastAsia="Times New Roman" w:hAnsi="Arial" w:cs="Arial"/>
          <w:color w:val="000000"/>
          <w:sz w:val="19"/>
          <w:szCs w:val="19"/>
          <w:vertAlign w:val="superscript"/>
          <w:lang w:eastAsia="fr-BE"/>
        </w:rPr>
        <w:t>4</w:t>
      </w:r>
      <w:r w:rsidRPr="000C5B9B">
        <w:rPr>
          <w:rFonts w:ascii="Arial" w:eastAsia="Times New Roman" w:hAnsi="Arial" w:cs="Arial"/>
          <w:color w:val="000000"/>
          <w:lang w:eastAsia="fr-BE"/>
        </w:rPr>
        <w:t>, </w:t>
      </w:r>
      <w:hyperlink r:id="rId12" w:history="1">
        <w:r w:rsidRPr="000C5B9B">
          <w:rPr>
            <w:rFonts w:ascii="Arial" w:eastAsia="Times New Roman" w:hAnsi="Arial" w:cs="Arial"/>
            <w:color w:val="660066"/>
            <w:u w:val="single"/>
            <w:lang w:eastAsia="fr-BE"/>
          </w:rPr>
          <w:t>Hecq JD</w:t>
        </w:r>
      </w:hyperlink>
      <w:r w:rsidRPr="000C5B9B">
        <w:rPr>
          <w:rFonts w:ascii="Arial" w:eastAsia="Times New Roman" w:hAnsi="Arial" w:cs="Arial"/>
          <w:color w:val="000000"/>
          <w:sz w:val="19"/>
          <w:szCs w:val="19"/>
          <w:vertAlign w:val="superscript"/>
          <w:lang w:eastAsia="fr-BE"/>
        </w:rPr>
        <w:t>5</w:t>
      </w:r>
      <w:r w:rsidRPr="000C5B9B">
        <w:rPr>
          <w:rFonts w:ascii="Arial" w:eastAsia="Times New Roman" w:hAnsi="Arial" w:cs="Arial"/>
          <w:color w:val="000000"/>
          <w:lang w:eastAsia="fr-BE"/>
        </w:rPr>
        <w:t>.</w:t>
      </w:r>
    </w:p>
    <w:p w:rsidR="000C5B9B" w:rsidRPr="000C5B9B" w:rsidRDefault="000C5B9B" w:rsidP="000C5B9B">
      <w:pPr>
        <w:shd w:val="clear" w:color="auto" w:fill="FFFFFF"/>
        <w:spacing w:after="0" w:line="240" w:lineRule="auto"/>
        <w:outlineLvl w:val="2"/>
        <w:rPr>
          <w:rFonts w:ascii="Arial" w:eastAsia="Times New Roman" w:hAnsi="Arial" w:cs="Arial"/>
          <w:b/>
          <w:bCs/>
          <w:color w:val="724128"/>
          <w:lang w:eastAsia="fr-BE"/>
        </w:rPr>
      </w:pPr>
      <w:hyperlink r:id="rId13" w:tooltip="Open/close author information list" w:history="1">
        <w:r w:rsidRPr="000C5B9B">
          <w:rPr>
            <w:rFonts w:ascii="Arial" w:eastAsia="Times New Roman" w:hAnsi="Arial" w:cs="Arial"/>
            <w:b/>
            <w:bCs/>
            <w:color w:val="660066"/>
            <w:sz w:val="21"/>
            <w:szCs w:val="21"/>
            <w:u w:val="single"/>
            <w:lang w:eastAsia="fr-BE"/>
          </w:rPr>
          <w:t>Author information</w:t>
        </w:r>
      </w:hyperlink>
    </w:p>
    <w:p w:rsidR="000C5B9B" w:rsidRPr="000C5B9B" w:rsidRDefault="000C5B9B" w:rsidP="000C5B9B">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fr-BE"/>
        </w:rPr>
      </w:pPr>
      <w:r w:rsidRPr="000C5B9B">
        <w:rPr>
          <w:rFonts w:ascii="Arial" w:eastAsia="Times New Roman" w:hAnsi="Arial" w:cs="Arial"/>
          <w:color w:val="000000"/>
          <w:sz w:val="17"/>
          <w:szCs w:val="17"/>
          <w:vertAlign w:val="superscript"/>
          <w:lang w:eastAsia="fr-BE"/>
        </w:rPr>
        <w:t>1</w:t>
      </w:r>
      <w:r w:rsidRPr="000C5B9B">
        <w:rPr>
          <w:rFonts w:ascii="Arial" w:eastAsia="Times New Roman" w:hAnsi="Arial" w:cs="Arial"/>
          <w:color w:val="000000"/>
          <w:sz w:val="20"/>
          <w:szCs w:val="20"/>
          <w:lang w:eastAsia="fr-BE"/>
        </w:rPr>
        <w:t>Medical Laboratory, CHU Dinant Godinne|UCL Namur, 1, avenue Thérasse, 5530 Yvoir, Belgium.</w:t>
      </w:r>
    </w:p>
    <w:p w:rsidR="000C5B9B" w:rsidRPr="000C5B9B" w:rsidRDefault="000C5B9B" w:rsidP="000C5B9B">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fr-BE"/>
        </w:rPr>
      </w:pPr>
      <w:r w:rsidRPr="000C5B9B">
        <w:rPr>
          <w:rFonts w:ascii="Arial" w:eastAsia="Times New Roman" w:hAnsi="Arial" w:cs="Arial"/>
          <w:color w:val="000000"/>
          <w:sz w:val="17"/>
          <w:szCs w:val="17"/>
          <w:vertAlign w:val="superscript"/>
          <w:lang w:eastAsia="fr-BE"/>
        </w:rPr>
        <w:t>2</w:t>
      </w:r>
      <w:r w:rsidRPr="000C5B9B">
        <w:rPr>
          <w:rFonts w:ascii="Arial" w:eastAsia="Times New Roman" w:hAnsi="Arial" w:cs="Arial"/>
          <w:color w:val="000000"/>
          <w:sz w:val="20"/>
          <w:szCs w:val="20"/>
          <w:lang w:eastAsia="fr-BE"/>
        </w:rPr>
        <w:t>Medical Laboratory, CHU Dinant Godinne|UCL Namur, 1, avenue Thérasse, 5530 Yvoir, Belgium; Drug Stability Research Group, CHU Dinant Godinne|UCL Namur, 1, avenue Thérasse, 5530 Yvoir, Belgium.</w:t>
      </w:r>
    </w:p>
    <w:p w:rsidR="000C5B9B" w:rsidRPr="000C5B9B" w:rsidRDefault="000C5B9B" w:rsidP="000C5B9B">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fr-BE"/>
        </w:rPr>
      </w:pPr>
      <w:r w:rsidRPr="000C5B9B">
        <w:rPr>
          <w:rFonts w:ascii="Arial" w:eastAsia="Times New Roman" w:hAnsi="Arial" w:cs="Arial"/>
          <w:color w:val="000000"/>
          <w:sz w:val="17"/>
          <w:szCs w:val="17"/>
          <w:vertAlign w:val="superscript"/>
          <w:lang w:eastAsia="fr-BE"/>
        </w:rPr>
        <w:t>3</w:t>
      </w:r>
      <w:r w:rsidRPr="000C5B9B">
        <w:rPr>
          <w:rFonts w:ascii="Arial" w:eastAsia="Times New Roman" w:hAnsi="Arial" w:cs="Arial"/>
          <w:color w:val="000000"/>
          <w:sz w:val="20"/>
          <w:szCs w:val="20"/>
          <w:lang w:eastAsia="fr-BE"/>
        </w:rPr>
        <w:t>Department of Pharmacy, CHU Dinant Godinne|UCL Namur, 1, avenue Thérasse, 5530 Yvoir, Belgium; Drug Stability Research Group, CHU Dinant Godinne|UCL Namur, 1, avenue Thérasse, 5530 Yvoir, Belgium.</w:t>
      </w:r>
    </w:p>
    <w:p w:rsidR="000C5B9B" w:rsidRPr="000C5B9B" w:rsidRDefault="000C5B9B" w:rsidP="000C5B9B">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fr-BE"/>
        </w:rPr>
      </w:pPr>
      <w:r w:rsidRPr="000C5B9B">
        <w:rPr>
          <w:rFonts w:ascii="Arial" w:eastAsia="Times New Roman" w:hAnsi="Arial" w:cs="Arial"/>
          <w:color w:val="000000"/>
          <w:sz w:val="17"/>
          <w:szCs w:val="17"/>
          <w:vertAlign w:val="superscript"/>
          <w:lang w:eastAsia="fr-BE"/>
        </w:rPr>
        <w:t>4</w:t>
      </w:r>
      <w:r w:rsidRPr="000C5B9B">
        <w:rPr>
          <w:rFonts w:ascii="Arial" w:eastAsia="Times New Roman" w:hAnsi="Arial" w:cs="Arial"/>
          <w:color w:val="000000"/>
          <w:sz w:val="20"/>
          <w:szCs w:val="20"/>
          <w:lang w:eastAsia="fr-BE"/>
        </w:rPr>
        <w:t>Scientific Support Unit, CHU Dinant Godinne|UCL Namur, 1, avenue Thérasse, 5530 Yvoir, Belgium; Drug Stability Research Group, CHU Dinant Godinne|UCL Namur, 1, avenue Thérasse, 5530 Yvoir, Belgium.</w:t>
      </w:r>
    </w:p>
    <w:p w:rsidR="000C5B9B" w:rsidRPr="000C5B9B" w:rsidRDefault="000C5B9B" w:rsidP="000C5B9B">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0"/>
          <w:szCs w:val="20"/>
          <w:lang w:eastAsia="fr-BE"/>
        </w:rPr>
      </w:pPr>
      <w:r w:rsidRPr="000C5B9B">
        <w:rPr>
          <w:rFonts w:ascii="Arial" w:eastAsia="Times New Roman" w:hAnsi="Arial" w:cs="Arial"/>
          <w:color w:val="000000"/>
          <w:sz w:val="17"/>
          <w:szCs w:val="17"/>
          <w:vertAlign w:val="superscript"/>
          <w:lang w:eastAsia="fr-BE"/>
        </w:rPr>
        <w:t>5</w:t>
      </w:r>
      <w:r w:rsidRPr="000C5B9B">
        <w:rPr>
          <w:rFonts w:ascii="Arial" w:eastAsia="Times New Roman" w:hAnsi="Arial" w:cs="Arial"/>
          <w:color w:val="000000"/>
          <w:sz w:val="20"/>
          <w:szCs w:val="20"/>
          <w:lang w:eastAsia="fr-BE"/>
        </w:rPr>
        <w:t>Department of Pharmacy, CHU Dinant Godinne|UCL Namur, 1, avenue Thérasse, 5530 Yvoir, Belgium; Drug Stability Research Group, CHU Dinant Godinne|UCL Namur, 1, avenue Thérasse, 5530 Yvoir, Belgium. Electronic address: jean-daniel.hecq@uclouvain.be.</w:t>
      </w:r>
    </w:p>
    <w:p w:rsidR="000C5B9B" w:rsidRPr="000C5B9B" w:rsidRDefault="000C5B9B" w:rsidP="000C5B9B">
      <w:pPr>
        <w:shd w:val="clear" w:color="auto" w:fill="FFFFFF"/>
        <w:spacing w:after="0" w:line="240" w:lineRule="auto"/>
        <w:outlineLvl w:val="2"/>
        <w:rPr>
          <w:rFonts w:ascii="Arial" w:eastAsia="Times New Roman" w:hAnsi="Arial" w:cs="Arial"/>
          <w:b/>
          <w:bCs/>
          <w:color w:val="985735"/>
          <w:lang w:eastAsia="fr-BE"/>
        </w:rPr>
      </w:pPr>
      <w:r w:rsidRPr="000C5B9B">
        <w:rPr>
          <w:rFonts w:ascii="Arial" w:eastAsia="Times New Roman" w:hAnsi="Arial" w:cs="Arial"/>
          <w:b/>
          <w:bCs/>
          <w:color w:val="985735"/>
          <w:lang w:eastAsia="fr-BE"/>
        </w:rPr>
        <w:t>Abstract</w:t>
      </w:r>
    </w:p>
    <w:p w:rsidR="000C5B9B" w:rsidRPr="000C5B9B" w:rsidRDefault="000C5B9B" w:rsidP="000C5B9B">
      <w:pPr>
        <w:shd w:val="clear" w:color="auto" w:fill="FFFFFF"/>
        <w:spacing w:after="0" w:line="270" w:lineRule="atLeast"/>
        <w:ind w:right="60"/>
        <w:outlineLvl w:val="3"/>
        <w:rPr>
          <w:rFonts w:ascii="Arial" w:eastAsia="Times New Roman" w:hAnsi="Arial" w:cs="Arial"/>
          <w:b/>
          <w:bCs/>
          <w:caps/>
          <w:color w:val="000000"/>
          <w:sz w:val="20"/>
          <w:szCs w:val="20"/>
          <w:lang w:eastAsia="fr-BE"/>
        </w:rPr>
      </w:pPr>
      <w:r w:rsidRPr="000C5B9B">
        <w:rPr>
          <w:rFonts w:ascii="Arial" w:eastAsia="Times New Roman" w:hAnsi="Arial" w:cs="Arial"/>
          <w:b/>
          <w:bCs/>
          <w:caps/>
          <w:color w:val="000000"/>
          <w:sz w:val="20"/>
          <w:szCs w:val="20"/>
          <w:lang w:eastAsia="fr-BE"/>
        </w:rPr>
        <w:t>INTRODUCTION:</w:t>
      </w:r>
    </w:p>
    <w:p w:rsidR="000C5B9B" w:rsidRPr="000C5B9B" w:rsidRDefault="000C5B9B" w:rsidP="000C5B9B">
      <w:pPr>
        <w:shd w:val="clear" w:color="auto" w:fill="FFFFFF"/>
        <w:spacing w:after="120" w:line="270" w:lineRule="atLeast"/>
        <w:rPr>
          <w:rFonts w:ascii="Arial" w:eastAsia="Times New Roman" w:hAnsi="Arial" w:cs="Arial"/>
          <w:color w:val="000000"/>
          <w:sz w:val="20"/>
          <w:szCs w:val="20"/>
          <w:lang w:eastAsia="fr-BE"/>
        </w:rPr>
      </w:pPr>
      <w:r w:rsidRPr="000C5B9B">
        <w:rPr>
          <w:rFonts w:ascii="Arial" w:eastAsia="Times New Roman" w:hAnsi="Arial" w:cs="Arial"/>
          <w:color w:val="000000"/>
          <w:sz w:val="20"/>
          <w:szCs w:val="20"/>
          <w:lang w:eastAsia="fr-BE"/>
        </w:rPr>
        <w:t>The aim of the study was to investigate the long-term stability of acyclovir 5mg/mL (a generic product versus the brand name) in NaCl 0.9% after storage at 5±3°C and to evaluate the influence of initial freezing and microwave thawing on this stability.</w:t>
      </w:r>
    </w:p>
    <w:p w:rsidR="000C5B9B" w:rsidRPr="000C5B9B" w:rsidRDefault="000C5B9B" w:rsidP="000C5B9B">
      <w:pPr>
        <w:shd w:val="clear" w:color="auto" w:fill="FFFFFF"/>
        <w:spacing w:after="0" w:line="270" w:lineRule="atLeast"/>
        <w:ind w:right="60"/>
        <w:outlineLvl w:val="3"/>
        <w:rPr>
          <w:rFonts w:ascii="Arial" w:eastAsia="Times New Roman" w:hAnsi="Arial" w:cs="Arial"/>
          <w:b/>
          <w:bCs/>
          <w:caps/>
          <w:color w:val="000000"/>
          <w:sz w:val="20"/>
          <w:szCs w:val="20"/>
          <w:lang w:eastAsia="fr-BE"/>
        </w:rPr>
      </w:pPr>
      <w:r w:rsidRPr="000C5B9B">
        <w:rPr>
          <w:rFonts w:ascii="Arial" w:eastAsia="Times New Roman" w:hAnsi="Arial" w:cs="Arial"/>
          <w:b/>
          <w:bCs/>
          <w:caps/>
          <w:color w:val="000000"/>
          <w:sz w:val="20"/>
          <w:szCs w:val="20"/>
          <w:lang w:eastAsia="fr-BE"/>
        </w:rPr>
        <w:t>METHODS:</w:t>
      </w:r>
    </w:p>
    <w:p w:rsidR="000C5B9B" w:rsidRPr="000C5B9B" w:rsidRDefault="000C5B9B" w:rsidP="000C5B9B">
      <w:pPr>
        <w:shd w:val="clear" w:color="auto" w:fill="FFFFFF"/>
        <w:spacing w:after="120" w:line="270" w:lineRule="atLeast"/>
        <w:rPr>
          <w:rFonts w:ascii="Arial" w:eastAsia="Times New Roman" w:hAnsi="Arial" w:cs="Arial"/>
          <w:color w:val="000000"/>
          <w:sz w:val="20"/>
          <w:szCs w:val="20"/>
          <w:lang w:eastAsia="fr-BE"/>
        </w:rPr>
      </w:pPr>
      <w:r w:rsidRPr="000C5B9B">
        <w:rPr>
          <w:rFonts w:ascii="Arial" w:eastAsia="Times New Roman" w:hAnsi="Arial" w:cs="Arial"/>
          <w:color w:val="000000"/>
          <w:sz w:val="20"/>
          <w:szCs w:val="20"/>
          <w:lang w:eastAsia="fr-BE"/>
        </w:rPr>
        <w:t>Five bags of Acyclovir(®) Hospira 5mg/mL (A) and five bags of Zovirax(®) GSK 5mg/mL (B) were prepared under aseptic conditions and stored 3 months at -20°C, then thawed and stored 30 days at 4°C. Five bags of Acyclovir(®) 5mg/mL (C) and five bags of Zovirax(®) 5mg/mL (D) were also prepared under aseptic conditions and stored 30 days at 5±3°C. Optic density measurement at different wavelengths, pH measurement and optic microscope observations were performed periodically during the storage. A forced degradation test with HCl 12M and NaOH 5M before and after heating at 100°C was also performed. The concentrations were measured by HPLC-PDA.</w:t>
      </w:r>
    </w:p>
    <w:p w:rsidR="000C5B9B" w:rsidRPr="000C5B9B" w:rsidRDefault="000C5B9B" w:rsidP="000C5B9B">
      <w:pPr>
        <w:shd w:val="clear" w:color="auto" w:fill="FFFFFF"/>
        <w:spacing w:after="0" w:line="270" w:lineRule="atLeast"/>
        <w:ind w:right="60"/>
        <w:outlineLvl w:val="3"/>
        <w:rPr>
          <w:rFonts w:ascii="Arial" w:eastAsia="Times New Roman" w:hAnsi="Arial" w:cs="Arial"/>
          <w:b/>
          <w:bCs/>
          <w:caps/>
          <w:color w:val="000000"/>
          <w:sz w:val="20"/>
          <w:szCs w:val="20"/>
          <w:lang w:eastAsia="fr-BE"/>
        </w:rPr>
      </w:pPr>
      <w:r w:rsidRPr="000C5B9B">
        <w:rPr>
          <w:rFonts w:ascii="Arial" w:eastAsia="Times New Roman" w:hAnsi="Arial" w:cs="Arial"/>
          <w:b/>
          <w:bCs/>
          <w:caps/>
          <w:color w:val="000000"/>
          <w:sz w:val="20"/>
          <w:szCs w:val="20"/>
          <w:lang w:eastAsia="fr-BE"/>
        </w:rPr>
        <w:t>RESULTS:</w:t>
      </w:r>
    </w:p>
    <w:p w:rsidR="000C5B9B" w:rsidRPr="000C5B9B" w:rsidRDefault="000C5B9B" w:rsidP="000C5B9B">
      <w:pPr>
        <w:shd w:val="clear" w:color="auto" w:fill="FFFFFF"/>
        <w:spacing w:after="120" w:line="270" w:lineRule="atLeast"/>
        <w:rPr>
          <w:rFonts w:ascii="Arial" w:eastAsia="Times New Roman" w:hAnsi="Arial" w:cs="Arial"/>
          <w:color w:val="000000"/>
          <w:sz w:val="20"/>
          <w:szCs w:val="20"/>
          <w:lang w:eastAsia="fr-BE"/>
        </w:rPr>
      </w:pPr>
      <w:r w:rsidRPr="000C5B9B">
        <w:rPr>
          <w:rFonts w:ascii="Arial" w:eastAsia="Times New Roman" w:hAnsi="Arial" w:cs="Arial"/>
          <w:color w:val="000000"/>
          <w:sz w:val="20"/>
          <w:szCs w:val="20"/>
          <w:lang w:eastAsia="fr-BE"/>
        </w:rPr>
        <w:t>The only one forced degradation test that yielded chromatograms with degradation products peak was the test with the acid solution heated at 100°C without interference with the native product. No significant change in pH values or optic densities were seen during the study for both products. No crystals were seen with the optic microscope during the study. Acyclovir(®) and Zovirax(®) solutions were stable for at least 21 days according to the FDA recommendations. Moreover, there was no statistical difference between regression lines of those two products and two storage conditions.</w:t>
      </w:r>
    </w:p>
    <w:p w:rsidR="000C5B9B" w:rsidRPr="000C5B9B" w:rsidRDefault="000C5B9B" w:rsidP="000C5B9B">
      <w:pPr>
        <w:shd w:val="clear" w:color="auto" w:fill="FFFFFF"/>
        <w:spacing w:after="0" w:line="270" w:lineRule="atLeast"/>
        <w:ind w:right="60"/>
        <w:outlineLvl w:val="3"/>
        <w:rPr>
          <w:rFonts w:ascii="Arial" w:eastAsia="Times New Roman" w:hAnsi="Arial" w:cs="Arial"/>
          <w:b/>
          <w:bCs/>
          <w:caps/>
          <w:color w:val="000000"/>
          <w:sz w:val="20"/>
          <w:szCs w:val="20"/>
          <w:lang w:eastAsia="fr-BE"/>
        </w:rPr>
      </w:pPr>
      <w:r w:rsidRPr="000C5B9B">
        <w:rPr>
          <w:rFonts w:ascii="Arial" w:eastAsia="Times New Roman" w:hAnsi="Arial" w:cs="Arial"/>
          <w:b/>
          <w:bCs/>
          <w:caps/>
          <w:color w:val="000000"/>
          <w:sz w:val="20"/>
          <w:szCs w:val="20"/>
          <w:lang w:eastAsia="fr-BE"/>
        </w:rPr>
        <w:t>CONCLUSION:</w:t>
      </w:r>
    </w:p>
    <w:p w:rsidR="000C5B9B" w:rsidRPr="000C5B9B" w:rsidRDefault="000C5B9B" w:rsidP="000C5B9B">
      <w:pPr>
        <w:shd w:val="clear" w:color="auto" w:fill="FFFFFF"/>
        <w:spacing w:after="120" w:line="270" w:lineRule="atLeast"/>
        <w:rPr>
          <w:rFonts w:ascii="Arial" w:eastAsia="Times New Roman" w:hAnsi="Arial" w:cs="Arial"/>
          <w:color w:val="000000"/>
          <w:sz w:val="20"/>
          <w:szCs w:val="20"/>
          <w:lang w:eastAsia="fr-BE"/>
        </w:rPr>
      </w:pPr>
      <w:r w:rsidRPr="000C5B9B">
        <w:rPr>
          <w:rFonts w:ascii="Arial" w:eastAsia="Times New Roman" w:hAnsi="Arial" w:cs="Arial"/>
          <w:color w:val="000000"/>
          <w:sz w:val="20"/>
          <w:szCs w:val="20"/>
          <w:lang w:eastAsia="fr-BE"/>
        </w:rPr>
        <w:t>Under the conditions of this study, Acyclovir(®) 5mg/mL in 100mL of NaCl 0.9% infusion remains stable at least for 21 days at 5±3°C with or without freezing at -20°C during the three previous months. There is no statistical difference between the brand name and a generic product. Acyclovir may be prepared in advanced by a centralized intravenous additive service, frozen in polyolefin bags and microwave thawed before storage under refrigeration until 21 days.</w:t>
      </w:r>
    </w:p>
    <w:p w:rsidR="000C5B9B" w:rsidRPr="000C5B9B" w:rsidRDefault="000C5B9B" w:rsidP="000C5B9B">
      <w:pPr>
        <w:shd w:val="clear" w:color="auto" w:fill="FFFFFF"/>
        <w:spacing w:after="120" w:line="270" w:lineRule="atLeast"/>
        <w:rPr>
          <w:rFonts w:ascii="Arial" w:eastAsia="Times New Roman" w:hAnsi="Arial" w:cs="Arial"/>
          <w:color w:val="000000"/>
          <w:sz w:val="20"/>
          <w:szCs w:val="20"/>
          <w:lang w:eastAsia="fr-BE"/>
        </w:rPr>
      </w:pPr>
      <w:r w:rsidRPr="000C5B9B">
        <w:rPr>
          <w:rFonts w:ascii="Arial" w:eastAsia="Times New Roman" w:hAnsi="Arial" w:cs="Arial"/>
          <w:color w:val="000000"/>
          <w:sz w:val="20"/>
          <w:szCs w:val="20"/>
          <w:lang w:eastAsia="fr-BE"/>
        </w:rPr>
        <w:t>Copyright © 2014 Elsevier Masson SAS. All rights reserved.</w:t>
      </w:r>
    </w:p>
    <w:p w:rsidR="000C5B9B" w:rsidRPr="000C5B9B" w:rsidRDefault="000C5B9B" w:rsidP="000C5B9B">
      <w:pPr>
        <w:shd w:val="clear" w:color="auto" w:fill="FFFFFF"/>
        <w:spacing w:after="0" w:line="240" w:lineRule="auto"/>
        <w:ind w:right="84"/>
        <w:outlineLvl w:val="3"/>
        <w:rPr>
          <w:rFonts w:ascii="Arial" w:eastAsia="Times New Roman" w:hAnsi="Arial" w:cs="Arial"/>
          <w:b/>
          <w:bCs/>
          <w:caps/>
          <w:color w:val="000000"/>
          <w:lang w:eastAsia="fr-BE"/>
        </w:rPr>
      </w:pPr>
      <w:r w:rsidRPr="000C5B9B">
        <w:rPr>
          <w:rFonts w:ascii="Arial" w:eastAsia="Times New Roman" w:hAnsi="Arial" w:cs="Arial"/>
          <w:b/>
          <w:bCs/>
          <w:caps/>
          <w:color w:val="000000"/>
          <w:lang w:eastAsia="fr-BE"/>
        </w:rPr>
        <w:t>KEYWORDS:</w:t>
      </w:r>
    </w:p>
    <w:p w:rsidR="000C5B9B" w:rsidRPr="000C5B9B" w:rsidRDefault="000C5B9B" w:rsidP="000C5B9B">
      <w:pPr>
        <w:shd w:val="clear" w:color="auto" w:fill="FFFFFF"/>
        <w:spacing w:before="120" w:after="120" w:line="240" w:lineRule="auto"/>
        <w:rPr>
          <w:rFonts w:ascii="Arial" w:eastAsia="Times New Roman" w:hAnsi="Arial" w:cs="Arial"/>
          <w:color w:val="000000"/>
          <w:lang w:eastAsia="fr-BE"/>
        </w:rPr>
      </w:pPr>
      <w:r w:rsidRPr="000C5B9B">
        <w:rPr>
          <w:rFonts w:ascii="Arial" w:eastAsia="Times New Roman" w:hAnsi="Arial" w:cs="Arial"/>
          <w:color w:val="000000"/>
          <w:lang w:eastAsia="fr-BE"/>
        </w:rPr>
        <w:lastRenderedPageBreak/>
        <w:t>Acyclovir infusion; Centralized intravenous additives services; Chromatographie liquide à haute performance; Décongélation par micro-ondes; High-performance liquid chromatography; Long-term stability; Microwave freeze-thaw treatment; Perfusion d’acyclovir; Stabilité à long terme; Unité centrale de reconstitution d’injectables</w:t>
      </w:r>
    </w:p>
    <w:p w:rsidR="003F63E3" w:rsidRDefault="003F63E3">
      <w:bookmarkStart w:id="0" w:name="_GoBack"/>
      <w:bookmarkEnd w:id="0"/>
    </w:p>
    <w:sectPr w:rsidR="003F6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40EAC"/>
    <w:multiLevelType w:val="multilevel"/>
    <w:tmpl w:val="275C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B9B"/>
    <w:rsid w:val="000C5B9B"/>
    <w:rsid w:val="003F63E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C5B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link w:val="Titre3Car"/>
    <w:uiPriority w:val="9"/>
    <w:qFormat/>
    <w:rsid w:val="000C5B9B"/>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0C5B9B"/>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5B9B"/>
    <w:rPr>
      <w:rFonts w:ascii="Times New Roman" w:eastAsia="Times New Roman" w:hAnsi="Times New Roman" w:cs="Times New Roman"/>
      <w:b/>
      <w:bCs/>
      <w:kern w:val="36"/>
      <w:sz w:val="48"/>
      <w:szCs w:val="48"/>
      <w:lang w:eastAsia="fr-BE"/>
    </w:rPr>
  </w:style>
  <w:style w:type="character" w:customStyle="1" w:styleId="Titre3Car">
    <w:name w:val="Titre 3 Car"/>
    <w:basedOn w:val="Policepardfaut"/>
    <w:link w:val="Titre3"/>
    <w:uiPriority w:val="9"/>
    <w:rsid w:val="000C5B9B"/>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0C5B9B"/>
    <w:rPr>
      <w:rFonts w:ascii="Times New Roman" w:eastAsia="Times New Roman" w:hAnsi="Times New Roman" w:cs="Times New Roman"/>
      <w:b/>
      <w:bCs/>
      <w:sz w:val="24"/>
      <w:szCs w:val="24"/>
      <w:lang w:eastAsia="fr-BE"/>
    </w:rPr>
  </w:style>
  <w:style w:type="character" w:styleId="Lienhypertexte">
    <w:name w:val="Hyperlink"/>
    <w:basedOn w:val="Policepardfaut"/>
    <w:uiPriority w:val="99"/>
    <w:semiHidden/>
    <w:unhideWhenUsed/>
    <w:rsid w:val="000C5B9B"/>
    <w:rPr>
      <w:color w:val="0000FF"/>
      <w:u w:val="single"/>
    </w:rPr>
  </w:style>
  <w:style w:type="character" w:customStyle="1" w:styleId="apple-converted-space">
    <w:name w:val="apple-converted-space"/>
    <w:basedOn w:val="Policepardfaut"/>
    <w:rsid w:val="000C5B9B"/>
  </w:style>
  <w:style w:type="character" w:customStyle="1" w:styleId="highlight">
    <w:name w:val="highlight"/>
    <w:basedOn w:val="Policepardfaut"/>
    <w:rsid w:val="000C5B9B"/>
  </w:style>
  <w:style w:type="character" w:customStyle="1" w:styleId="ui-ncbitoggler-master-text">
    <w:name w:val="ui-ncbitoggler-master-text"/>
    <w:basedOn w:val="Policepardfaut"/>
    <w:rsid w:val="000C5B9B"/>
  </w:style>
  <w:style w:type="paragraph" w:styleId="NormalWeb">
    <w:name w:val="Normal (Web)"/>
    <w:basedOn w:val="Normal"/>
    <w:uiPriority w:val="99"/>
    <w:semiHidden/>
    <w:unhideWhenUsed/>
    <w:rsid w:val="000C5B9B"/>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0C5B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link w:val="Titre3Car"/>
    <w:uiPriority w:val="9"/>
    <w:qFormat/>
    <w:rsid w:val="000C5B9B"/>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0C5B9B"/>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5B9B"/>
    <w:rPr>
      <w:rFonts w:ascii="Times New Roman" w:eastAsia="Times New Roman" w:hAnsi="Times New Roman" w:cs="Times New Roman"/>
      <w:b/>
      <w:bCs/>
      <w:kern w:val="36"/>
      <w:sz w:val="48"/>
      <w:szCs w:val="48"/>
      <w:lang w:eastAsia="fr-BE"/>
    </w:rPr>
  </w:style>
  <w:style w:type="character" w:customStyle="1" w:styleId="Titre3Car">
    <w:name w:val="Titre 3 Car"/>
    <w:basedOn w:val="Policepardfaut"/>
    <w:link w:val="Titre3"/>
    <w:uiPriority w:val="9"/>
    <w:rsid w:val="000C5B9B"/>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0C5B9B"/>
    <w:rPr>
      <w:rFonts w:ascii="Times New Roman" w:eastAsia="Times New Roman" w:hAnsi="Times New Roman" w:cs="Times New Roman"/>
      <w:b/>
      <w:bCs/>
      <w:sz w:val="24"/>
      <w:szCs w:val="24"/>
      <w:lang w:eastAsia="fr-BE"/>
    </w:rPr>
  </w:style>
  <w:style w:type="character" w:styleId="Lienhypertexte">
    <w:name w:val="Hyperlink"/>
    <w:basedOn w:val="Policepardfaut"/>
    <w:uiPriority w:val="99"/>
    <w:semiHidden/>
    <w:unhideWhenUsed/>
    <w:rsid w:val="000C5B9B"/>
    <w:rPr>
      <w:color w:val="0000FF"/>
      <w:u w:val="single"/>
    </w:rPr>
  </w:style>
  <w:style w:type="character" w:customStyle="1" w:styleId="apple-converted-space">
    <w:name w:val="apple-converted-space"/>
    <w:basedOn w:val="Policepardfaut"/>
    <w:rsid w:val="000C5B9B"/>
  </w:style>
  <w:style w:type="character" w:customStyle="1" w:styleId="highlight">
    <w:name w:val="highlight"/>
    <w:basedOn w:val="Policepardfaut"/>
    <w:rsid w:val="000C5B9B"/>
  </w:style>
  <w:style w:type="character" w:customStyle="1" w:styleId="ui-ncbitoggler-master-text">
    <w:name w:val="ui-ncbitoggler-master-text"/>
    <w:basedOn w:val="Policepardfaut"/>
    <w:rsid w:val="000C5B9B"/>
  </w:style>
  <w:style w:type="paragraph" w:styleId="NormalWeb">
    <w:name w:val="Normal (Web)"/>
    <w:basedOn w:val="Normal"/>
    <w:uiPriority w:val="99"/>
    <w:semiHidden/>
    <w:unhideWhenUsed/>
    <w:rsid w:val="000C5B9B"/>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89310">
      <w:bodyDiv w:val="1"/>
      <w:marLeft w:val="0"/>
      <w:marRight w:val="0"/>
      <w:marTop w:val="0"/>
      <w:marBottom w:val="0"/>
      <w:divBdr>
        <w:top w:val="none" w:sz="0" w:space="0" w:color="auto"/>
        <w:left w:val="none" w:sz="0" w:space="0" w:color="auto"/>
        <w:bottom w:val="none" w:sz="0" w:space="0" w:color="auto"/>
        <w:right w:val="none" w:sz="0" w:space="0" w:color="auto"/>
      </w:divBdr>
      <w:divsChild>
        <w:div w:id="2127002235">
          <w:marLeft w:val="0"/>
          <w:marRight w:val="0"/>
          <w:marTop w:val="0"/>
          <w:marBottom w:val="0"/>
          <w:divBdr>
            <w:top w:val="none" w:sz="0" w:space="0" w:color="auto"/>
            <w:left w:val="none" w:sz="0" w:space="0" w:color="auto"/>
            <w:bottom w:val="none" w:sz="0" w:space="0" w:color="auto"/>
            <w:right w:val="none" w:sz="0" w:space="0" w:color="auto"/>
          </w:divBdr>
        </w:div>
        <w:div w:id="1780097640">
          <w:marLeft w:val="0"/>
          <w:marRight w:val="0"/>
          <w:marTop w:val="240"/>
          <w:marBottom w:val="100"/>
          <w:divBdr>
            <w:top w:val="none" w:sz="0" w:space="0" w:color="auto"/>
            <w:left w:val="none" w:sz="0" w:space="0" w:color="auto"/>
            <w:bottom w:val="none" w:sz="0" w:space="0" w:color="auto"/>
            <w:right w:val="none" w:sz="0" w:space="0" w:color="auto"/>
          </w:divBdr>
          <w:divsChild>
            <w:div w:id="1757824428">
              <w:marLeft w:val="0"/>
              <w:marRight w:val="0"/>
              <w:marTop w:val="0"/>
              <w:marBottom w:val="0"/>
              <w:divBdr>
                <w:top w:val="none" w:sz="0" w:space="0" w:color="auto"/>
                <w:left w:val="none" w:sz="0" w:space="0" w:color="auto"/>
                <w:bottom w:val="none" w:sz="0" w:space="0" w:color="auto"/>
                <w:right w:val="none" w:sz="0" w:space="0" w:color="auto"/>
              </w:divBdr>
            </w:div>
          </w:divsChild>
        </w:div>
        <w:div w:id="5449032">
          <w:marLeft w:val="0"/>
          <w:marRight w:val="0"/>
          <w:marTop w:val="432"/>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Galanti%20L%5BAuthor%5D&amp;cauthor=true&amp;cauthor_uid=25488516" TargetMode="External"/><Relationship Id="rId13" Type="http://schemas.openxmlformats.org/officeDocument/2006/relationships/hyperlink" Target="http://www.ncbi.nlm.nih.gov/pubmed/25488516" TargetMode="External"/><Relationship Id="rId3" Type="http://schemas.microsoft.com/office/2007/relationships/stylesWithEffects" Target="stylesWithEffects.xml"/><Relationship Id="rId7" Type="http://schemas.openxmlformats.org/officeDocument/2006/relationships/hyperlink" Target="http://www.ncbi.nlm.nih.gov/pubmed/?term=Dewulf%20J%5BAuthor%5D&amp;cauthor=true&amp;cauthor_uid=25488516" TargetMode="External"/><Relationship Id="rId12" Type="http://schemas.openxmlformats.org/officeDocument/2006/relationships/hyperlink" Target="http://www.ncbi.nlm.nih.gov/pubmed/?term=Hecq%20JD%5BAuthor%5D&amp;cauthor=true&amp;cauthor_uid=254885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25488516" TargetMode="External"/><Relationship Id="rId11" Type="http://schemas.openxmlformats.org/officeDocument/2006/relationships/hyperlink" Target="http://www.ncbi.nlm.nih.gov/pubmed/?term=Jamart%20J%5BAuthor%5D&amp;cauthor=true&amp;cauthor_uid=254885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bi.nlm.nih.gov/pubmed/?term=Gillet%20P%5BAuthor%5D&amp;cauthor=true&amp;cauthor_uid=25488516" TargetMode="External"/><Relationship Id="rId4" Type="http://schemas.openxmlformats.org/officeDocument/2006/relationships/settings" Target="settings.xml"/><Relationship Id="rId9" Type="http://schemas.openxmlformats.org/officeDocument/2006/relationships/hyperlink" Target="http://www.ncbi.nlm.nih.gov/pubmed/?term=Godet%20M%5BAuthor%5D&amp;cauthor=true&amp;cauthor_uid=25488516"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3842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dc:creator>
  <cp:lastModifiedBy>Joseph</cp:lastModifiedBy>
  <cp:revision>1</cp:revision>
  <dcterms:created xsi:type="dcterms:W3CDTF">2015-04-10T20:09:00Z</dcterms:created>
  <dcterms:modified xsi:type="dcterms:W3CDTF">2015-04-10T20:10:00Z</dcterms:modified>
</cp:coreProperties>
</file>