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F20B" w14:textId="77777777" w:rsidR="000E3C39" w:rsidRDefault="00867F92">
      <w:pPr>
        <w:spacing w:line="360" w:lineRule="auto"/>
        <w:ind w:left="720" w:hanging="36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0" locked="0" layoutInCell="1" hidden="0" allowOverlap="1" wp14:anchorId="5E069F64" wp14:editId="3F1DB0FF">
            <wp:simplePos x="0" y="0"/>
            <wp:positionH relativeFrom="margin">
              <wp:posOffset>1525546</wp:posOffset>
            </wp:positionH>
            <wp:positionV relativeFrom="margin">
              <wp:posOffset>-307504</wp:posOffset>
            </wp:positionV>
            <wp:extent cx="1952625" cy="622935"/>
            <wp:effectExtent l="0" t="0" r="0" b="0"/>
            <wp:wrapSquare wrapText="bothSides" distT="0" distB="0" distL="114300" distR="114300"/>
            <wp:docPr id="1498845118" name="image6.png" descr="Strasbourg Observe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Strasbourg Observers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22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</w:rPr>
        <w:drawing>
          <wp:anchor distT="0" distB="0" distL="0" distR="0" simplePos="0" relativeHeight="251659264" behindDoc="1" locked="0" layoutInCell="1" hidden="0" allowOverlap="1" wp14:anchorId="711BEF2A" wp14:editId="57B317DE">
            <wp:simplePos x="0" y="0"/>
            <wp:positionH relativeFrom="margin">
              <wp:posOffset>3420386</wp:posOffset>
            </wp:positionH>
            <wp:positionV relativeFrom="margin">
              <wp:posOffset>-404925</wp:posOffset>
            </wp:positionV>
            <wp:extent cx="747405" cy="816610"/>
            <wp:effectExtent l="0" t="0" r="0" b="0"/>
            <wp:wrapNone/>
            <wp:docPr id="1498845119" name="image2.png" descr="600+ Black And White Birthday Cake Stock Illustration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600+ Black And White Birthday Cake Stock Illustrations ..."/>
                    <pic:cNvPicPr preferRelativeResize="0"/>
                  </pic:nvPicPr>
                  <pic:blipFill>
                    <a:blip r:embed="rId9"/>
                    <a:srcRect l="21597" t="19503" r="21575" b="18384"/>
                    <a:stretch>
                      <a:fillRect/>
                    </a:stretch>
                  </pic:blipFill>
                  <pic:spPr>
                    <a:xfrm>
                      <a:off x="0" y="0"/>
                      <a:ext cx="747405" cy="816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DF7514" w14:textId="77777777" w:rsidR="000E3C39" w:rsidRDefault="000E3C39">
      <w:pPr>
        <w:spacing w:line="360" w:lineRule="auto"/>
        <w:ind w:left="720" w:hanging="360"/>
        <w:jc w:val="both"/>
        <w:rPr>
          <w:rFonts w:ascii="Arial" w:eastAsia="Arial" w:hAnsi="Arial" w:cs="Arial"/>
          <w:b/>
          <w:sz w:val="22"/>
          <w:szCs w:val="22"/>
        </w:rPr>
      </w:pPr>
    </w:p>
    <w:p w14:paraId="669B3503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B4DAF7F" w14:textId="77777777" w:rsidR="000E3C39" w:rsidRDefault="00867F92">
      <w:pPr>
        <w:jc w:val="center"/>
        <w:rPr>
          <w:rFonts w:ascii="Arial" w:eastAsia="Arial" w:hAnsi="Arial" w:cs="Arial"/>
          <w:b/>
          <w:color w:val="215E99"/>
          <w:sz w:val="28"/>
          <w:szCs w:val="28"/>
        </w:rPr>
      </w:pPr>
      <w:r>
        <w:rPr>
          <w:rFonts w:ascii="Arial" w:eastAsia="Arial" w:hAnsi="Arial" w:cs="Arial"/>
          <w:b/>
          <w:color w:val="215E99"/>
          <w:sz w:val="28"/>
          <w:szCs w:val="28"/>
        </w:rPr>
        <w:t>Strasbourg Observers 15th Anniversary Symposium</w:t>
      </w:r>
    </w:p>
    <w:p w14:paraId="1E527B32" w14:textId="77777777" w:rsidR="000E3C39" w:rsidRDefault="00867F92">
      <w:pPr>
        <w:jc w:val="center"/>
        <w:rPr>
          <w:rFonts w:ascii="Arial" w:eastAsia="Arial" w:hAnsi="Arial" w:cs="Arial"/>
          <w:color w:val="215E99"/>
          <w:sz w:val="28"/>
          <w:szCs w:val="28"/>
        </w:rPr>
      </w:pPr>
      <w:r>
        <w:rPr>
          <w:rFonts w:ascii="Arial" w:eastAsia="Arial" w:hAnsi="Arial" w:cs="Arial"/>
          <w:b/>
          <w:color w:val="215E99"/>
          <w:sz w:val="28"/>
          <w:szCs w:val="28"/>
        </w:rPr>
        <w:t xml:space="preserve">Programme </w:t>
      </w:r>
    </w:p>
    <w:p w14:paraId="5D4D01E8" w14:textId="77777777" w:rsidR="000E3C39" w:rsidRDefault="000E3C39">
      <w:pPr>
        <w:jc w:val="center"/>
        <w:rPr>
          <w:rFonts w:ascii="Arial" w:eastAsia="Arial" w:hAnsi="Arial" w:cs="Arial"/>
          <w:b/>
          <w:color w:val="215E99"/>
          <w:sz w:val="28"/>
          <w:szCs w:val="28"/>
        </w:rPr>
      </w:pPr>
    </w:p>
    <w:p w14:paraId="6E4F0BD4" w14:textId="77777777" w:rsidR="000E3C39" w:rsidRDefault="00867F92">
      <w:pPr>
        <w:jc w:val="center"/>
        <w:rPr>
          <w:rFonts w:ascii="Arial" w:eastAsia="Arial" w:hAnsi="Arial" w:cs="Arial"/>
          <w:color w:val="156082"/>
        </w:rPr>
      </w:pPr>
      <w:r>
        <w:rPr>
          <w:rFonts w:ascii="Arial" w:eastAsia="Arial" w:hAnsi="Arial" w:cs="Arial"/>
          <w:color w:val="156082"/>
        </w:rPr>
        <w:t xml:space="preserve">8-9 May 2025, </w:t>
      </w:r>
      <w:hyperlink r:id="rId10">
        <w:r>
          <w:rPr>
            <w:rFonts w:ascii="Arial" w:eastAsia="Arial" w:hAnsi="Arial" w:cs="Arial"/>
            <w:color w:val="467886"/>
            <w:u w:val="single"/>
          </w:rPr>
          <w:t>KANTL</w:t>
        </w:r>
      </w:hyperlink>
      <w:r>
        <w:rPr>
          <w:rFonts w:ascii="Arial" w:eastAsia="Arial" w:hAnsi="Arial" w:cs="Arial"/>
          <w:color w:val="156082"/>
        </w:rPr>
        <w:t xml:space="preserve"> Ghent </w:t>
      </w:r>
    </w:p>
    <w:p w14:paraId="6985A917" w14:textId="77777777" w:rsidR="000E3C39" w:rsidRDefault="00867F92">
      <w:pPr>
        <w:pStyle w:val="Heading1"/>
        <w:rPr>
          <w:rFonts w:ascii="Arial" w:eastAsia="Arial" w:hAnsi="Arial" w:cs="Arial"/>
          <w:color w:val="215E99"/>
          <w:sz w:val="32"/>
          <w:szCs w:val="32"/>
        </w:rPr>
      </w:pPr>
      <w:r>
        <w:rPr>
          <w:rFonts w:ascii="Arial" w:eastAsia="Arial" w:hAnsi="Arial" w:cs="Arial"/>
          <w:color w:val="215E99"/>
          <w:sz w:val="32"/>
          <w:szCs w:val="32"/>
        </w:rPr>
        <w:t xml:space="preserve">Timetable </w:t>
      </w:r>
    </w:p>
    <w:p w14:paraId="47B4D8E8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FF2184A" w14:textId="77777777" w:rsidR="000E3C39" w:rsidRDefault="00867F92">
      <w:pPr>
        <w:pStyle w:val="Heading1"/>
        <w:spacing w:before="0" w:after="0" w:line="360" w:lineRule="auto"/>
        <w:ind w:left="720" w:hanging="720"/>
        <w:jc w:val="both"/>
        <w:rPr>
          <w:rFonts w:ascii="Arial" w:eastAsia="Arial" w:hAnsi="Arial" w:cs="Arial"/>
          <w:b w:val="0"/>
          <w:color w:val="215E99"/>
          <w:sz w:val="22"/>
          <w:szCs w:val="22"/>
        </w:rPr>
      </w:pPr>
      <w:r>
        <w:rPr>
          <w:rFonts w:ascii="Arial" w:eastAsia="Arial" w:hAnsi="Arial" w:cs="Arial"/>
          <w:color w:val="215E99"/>
          <w:sz w:val="22"/>
          <w:szCs w:val="22"/>
        </w:rPr>
        <w:t>Thursday 8 May</w:t>
      </w:r>
    </w:p>
    <w:p w14:paraId="059AD130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10:30 - 11:00 Registration </w:t>
      </w:r>
    </w:p>
    <w:p w14:paraId="1F57CD1F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11.00 - 11.30 Welcome </w:t>
      </w:r>
    </w:p>
    <w:p w14:paraId="0664D7F6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11:30 - 12:30 Opening panel </w:t>
      </w:r>
    </w:p>
    <w:p w14:paraId="65BDA699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12:30 - 13:30 Lunch break</w:t>
      </w:r>
    </w:p>
    <w:p w14:paraId="37AD1832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13:30 - 15:15 Parallel panels 1 and 2</w:t>
      </w:r>
    </w:p>
    <w:p w14:paraId="0685FD20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15:15 - 15:45 Coffee break</w:t>
      </w:r>
    </w:p>
    <w:p w14:paraId="5D4C68A0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15:45 - 17:30 Parallel panels 3 and 4</w:t>
      </w:r>
    </w:p>
    <w:p w14:paraId="57569E36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17:30 - 19:00 Reception </w:t>
      </w:r>
    </w:p>
    <w:p w14:paraId="31006086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683C586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b/>
          <w:color w:val="215E99"/>
          <w:sz w:val="22"/>
          <w:szCs w:val="22"/>
        </w:rPr>
      </w:pPr>
      <w:r>
        <w:rPr>
          <w:rFonts w:ascii="Arial" w:eastAsia="Arial" w:hAnsi="Arial" w:cs="Arial"/>
          <w:b/>
          <w:color w:val="215E99"/>
          <w:sz w:val="22"/>
          <w:szCs w:val="22"/>
        </w:rPr>
        <w:t>Friday 9 May</w:t>
      </w:r>
    </w:p>
    <w:p w14:paraId="383DA582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9:00 - 10:45 Parallel panels 5 and 6</w:t>
      </w:r>
    </w:p>
    <w:p w14:paraId="30034192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10:45 - 11:15 Break</w:t>
      </w:r>
    </w:p>
    <w:p w14:paraId="07F7539C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11:15 - 13:00 Parallel panels 7 and 8</w:t>
      </w:r>
    </w:p>
    <w:p w14:paraId="364F4BC8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13:00 - 14:00 Lunch break </w:t>
      </w:r>
    </w:p>
    <w:p w14:paraId="1B1B15C5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14:00 - 15:30 Keynote speaker (streamed) </w:t>
      </w:r>
    </w:p>
    <w:p w14:paraId="791EDF6F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b/>
          <w:color w:val="215E99"/>
        </w:rPr>
      </w:pPr>
      <w:r>
        <w:br w:type="page"/>
      </w:r>
      <w:r>
        <w:rPr>
          <w:rFonts w:ascii="Arial" w:eastAsia="Arial" w:hAnsi="Arial" w:cs="Arial"/>
          <w:b/>
          <w:color w:val="215E99"/>
        </w:rPr>
        <w:lastRenderedPageBreak/>
        <w:t>THURSDAY 8 May 2025</w:t>
      </w:r>
    </w:p>
    <w:p w14:paraId="306EA05C" w14:textId="77777777" w:rsidR="000E3C39" w:rsidRDefault="000E3C39">
      <w:pPr>
        <w:rPr>
          <w:rFonts w:ascii="Arial" w:eastAsia="Arial" w:hAnsi="Arial" w:cs="Arial"/>
        </w:rPr>
      </w:pPr>
    </w:p>
    <w:p w14:paraId="1F0AA6CA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b/>
          <w:color w:val="215E99"/>
        </w:rPr>
      </w:pPr>
      <w:r>
        <w:rPr>
          <w:rFonts w:ascii="Arial" w:eastAsia="Arial" w:hAnsi="Arial" w:cs="Arial"/>
          <w:b/>
          <w:color w:val="215E99"/>
        </w:rPr>
        <w:t xml:space="preserve">11:30-12:30 Opening panel - Observing Strasbourg: merits and challenges </w:t>
      </w:r>
    </w:p>
    <w:p w14:paraId="76AD6427" w14:textId="77777777" w:rsidR="000E3C39" w:rsidRDefault="00867F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Panel on the place of blogging in the ECtHR scholarship landscape: discussion with blog contributors and readers</w:t>
      </w:r>
    </w:p>
    <w:p w14:paraId="74E82506" w14:textId="77777777" w:rsidR="000E3C39" w:rsidRDefault="00867F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Meghan Campbell (University of Birmingham) – Oxford Human Rights Hub</w:t>
      </w:r>
    </w:p>
    <w:p w14:paraId="08E156F0" w14:textId="77777777" w:rsidR="000E3C39" w:rsidRDefault="00867F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Antoine Buyse (Utrecht University) – ECHR Blog</w:t>
      </w:r>
    </w:p>
    <w:p w14:paraId="47D0DD20" w14:textId="77777777" w:rsidR="000E3C39" w:rsidRDefault="00867F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Harriet Ní Chinnéide (Hasselt University) and Tobias Mortier (Ghent University) – Strasbourg Observers </w:t>
      </w:r>
    </w:p>
    <w:p w14:paraId="32BFE759" w14:textId="77777777" w:rsidR="000E3C39" w:rsidRDefault="00867F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Moderator: Ingrida Milkaite (Ghent University)</w:t>
      </w:r>
    </w:p>
    <w:p w14:paraId="071B0931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333C57B2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2CFD18AA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04A7F2CD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3A1A4910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1D71B332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2DF44A79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0FD9DE79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34388B9E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7851070F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5788C269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349708A4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213354E5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494C9C73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1B1AB7A7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6B044D45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1F153479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0B8AC8B9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66430E9D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359479B9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1C0E7C23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72BCFA97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56E675AE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Arial" w:eastAsia="Arial" w:hAnsi="Arial" w:cs="Arial"/>
          <w:sz w:val="22"/>
          <w:szCs w:val="22"/>
        </w:rPr>
      </w:pPr>
    </w:p>
    <w:p w14:paraId="623D73BE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6A8E3090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b/>
          <w:color w:val="215E99"/>
        </w:rPr>
      </w:pPr>
      <w:r>
        <w:rPr>
          <w:rFonts w:ascii="Arial" w:eastAsia="Arial" w:hAnsi="Arial" w:cs="Arial"/>
          <w:b/>
          <w:color w:val="215E99"/>
        </w:rPr>
        <w:t>13:30-15:15 Parallel panels 1 and 2</w:t>
      </w:r>
    </w:p>
    <w:p w14:paraId="6BE9FDC5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color w:val="215E99"/>
        </w:rPr>
      </w:pPr>
    </w:p>
    <w:p w14:paraId="0AB95945" w14:textId="77777777" w:rsidR="000E3C39" w:rsidRDefault="00867F92">
      <w:pPr>
        <w:pStyle w:val="Heading1"/>
        <w:spacing w:before="0" w:after="0" w:line="360" w:lineRule="auto"/>
        <w:ind w:left="1440" w:hanging="720"/>
        <w:jc w:val="both"/>
        <w:rPr>
          <w:rFonts w:ascii="Arial" w:eastAsia="Arial" w:hAnsi="Arial" w:cs="Arial"/>
          <w:b w:val="0"/>
          <w:color w:val="215E99"/>
          <w:sz w:val="24"/>
          <w:szCs w:val="24"/>
        </w:rPr>
      </w:pPr>
      <w:r>
        <w:rPr>
          <w:rFonts w:ascii="Arial" w:eastAsia="Arial" w:hAnsi="Arial" w:cs="Arial"/>
          <w:color w:val="215E99"/>
          <w:sz w:val="24"/>
          <w:szCs w:val="24"/>
        </w:rPr>
        <w:t>Panel 1: Stereotyped narratives on migration</w:t>
      </w:r>
    </w:p>
    <w:p w14:paraId="03A2525C" w14:textId="77777777" w:rsidR="000E3C39" w:rsidRDefault="00867F9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43" w:hanging="425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Dolores Morondo Taramundi (University of Deusto):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The role of vulnerability in stereotyping discrimination against migrants</w:t>
      </w:r>
    </w:p>
    <w:p w14:paraId="053E3FEF" w14:textId="77777777" w:rsidR="000E3C39" w:rsidRDefault="00867F9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Elena Ghidoni (University of Deusto):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Testing the limits of the anti-stereotyping principle in the context of migrants’ family rights</w:t>
      </w:r>
    </w:p>
    <w:p w14:paraId="40276341" w14:textId="77777777" w:rsidR="000E3C39" w:rsidRDefault="00867F9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Encarnación La Spina (University of Deusto):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“Refugees could not be irregular migrants”: questioning the (in)vulnerable stereotypical categories in the European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Court of Human Rights</w:t>
      </w:r>
    </w:p>
    <w:p w14:paraId="42178DA1" w14:textId="77777777" w:rsidR="000E3C39" w:rsidRDefault="00867F92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Respondent: Georgios Serghides (ECtHR Judge on behalf of Cyprus)</w:t>
      </w:r>
    </w:p>
    <w:p w14:paraId="1CA12B3D" w14:textId="77777777" w:rsidR="000E3C39" w:rsidRDefault="00867F92">
      <w:pPr>
        <w:spacing w:line="276" w:lineRule="auto"/>
        <w:ind w:left="72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Chair: Alexandra Timmer (Utrecht University)</w:t>
      </w:r>
    </w:p>
    <w:p w14:paraId="6E047D27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3D4231A3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2F77066B" w14:textId="77777777" w:rsidR="000E3C39" w:rsidRDefault="00867F92">
      <w:pPr>
        <w:pStyle w:val="Heading1"/>
        <w:spacing w:before="0" w:after="0" w:line="360" w:lineRule="auto"/>
        <w:ind w:left="1440" w:hanging="720"/>
        <w:jc w:val="both"/>
        <w:rPr>
          <w:rFonts w:ascii="Arial" w:eastAsia="Arial" w:hAnsi="Arial" w:cs="Arial"/>
          <w:b w:val="0"/>
          <w:color w:val="215E99"/>
          <w:sz w:val="24"/>
          <w:szCs w:val="24"/>
        </w:rPr>
      </w:pPr>
      <w:r>
        <w:rPr>
          <w:rFonts w:ascii="Arial" w:eastAsia="Arial" w:hAnsi="Arial" w:cs="Arial"/>
          <w:color w:val="215E99"/>
          <w:sz w:val="24"/>
          <w:szCs w:val="24"/>
        </w:rPr>
        <w:t>Panel 2: Linguistic approaches and/to the ECtHR</w:t>
      </w:r>
    </w:p>
    <w:p w14:paraId="043E064D" w14:textId="77777777" w:rsidR="000E3C39" w:rsidRDefault="00867F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Yuliia Khyzhniak (University of Groningen):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Previous judgments as narrative constraint: how the European Court of Human Rights narrates departures</w:t>
      </w:r>
    </w:p>
    <w:p w14:paraId="5A8459C4" w14:textId="77777777" w:rsidR="000E3C39" w:rsidRDefault="00867F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Alberto Godioli &amp; Jennifer Young (University of Groningen)</w:t>
      </w:r>
      <w:r>
        <w:rPr>
          <w:rFonts w:ascii="Arial" w:eastAsia="Arial" w:hAnsi="Arial" w:cs="Arial"/>
          <w:i/>
          <w:color w:val="000000"/>
          <w:sz w:val="22"/>
          <w:szCs w:val="22"/>
        </w:rPr>
        <w:t>: Humour, satire and the meaning of ‘context’: inte</w:t>
      </w:r>
      <w:r>
        <w:rPr>
          <w:rFonts w:ascii="Arial" w:eastAsia="Arial" w:hAnsi="Arial" w:cs="Arial"/>
          <w:i/>
          <w:color w:val="000000"/>
          <w:sz w:val="22"/>
          <w:szCs w:val="22"/>
        </w:rPr>
        <w:t>rdisciplinary perspectives on ECtHR jurisprudence</w:t>
      </w:r>
    </w:p>
    <w:p w14:paraId="22748AF9" w14:textId="77777777" w:rsidR="000E3C39" w:rsidRDefault="00867F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Babette De Naeyer (University of Pompeu Fabra):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Speaking before thinking: revisiting the ECtHR’s distinction between written and spoken expression</w:t>
      </w:r>
    </w:p>
    <w:p w14:paraId="6C0432F8" w14:textId="77777777" w:rsidR="000E3C39" w:rsidRDefault="00867F92">
      <w:pPr>
        <w:pStyle w:val="Heading1"/>
        <w:shd w:val="clear" w:color="auto" w:fill="FFFFFF"/>
        <w:spacing w:before="0" w:after="0" w:line="360" w:lineRule="auto"/>
        <w:ind w:left="1440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color w:val="000000"/>
          <w:sz w:val="22"/>
          <w:szCs w:val="22"/>
        </w:rPr>
        <w:t>Respondent</w:t>
      </w:r>
      <w:r>
        <w:rPr>
          <w:rFonts w:ascii="Arial" w:eastAsia="Arial" w:hAnsi="Arial" w:cs="Arial"/>
          <w:b w:val="0"/>
          <w:i/>
          <w:color w:val="000000"/>
          <w:sz w:val="22"/>
          <w:szCs w:val="22"/>
        </w:rPr>
        <w:t>:</w:t>
      </w:r>
      <w:r>
        <w:rPr>
          <w:rFonts w:ascii="Arial" w:eastAsia="Arial" w:hAnsi="Arial" w:cs="Arial"/>
          <w:b w:val="0"/>
          <w:sz w:val="22"/>
          <w:szCs w:val="22"/>
        </w:rPr>
        <w:t xml:space="preserve"> Kateřina Šimáčková (ECtHR Judge on behalf of the Czech Republic)</w:t>
      </w:r>
    </w:p>
    <w:p w14:paraId="78243CFE" w14:textId="77777777" w:rsidR="000E3C39" w:rsidRDefault="00867F9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Chair: Lien Stolle (Ghent University) </w:t>
      </w:r>
    </w:p>
    <w:p w14:paraId="2144C181" w14:textId="77777777" w:rsidR="000E3C39" w:rsidRDefault="000E3C39">
      <w:pPr>
        <w:rPr>
          <w:rFonts w:ascii="Arial" w:eastAsia="Arial" w:hAnsi="Arial" w:cs="Arial"/>
        </w:rPr>
      </w:pPr>
    </w:p>
    <w:p w14:paraId="65C0349F" w14:textId="77777777" w:rsidR="000E3C39" w:rsidRDefault="000E3C39">
      <w:pPr>
        <w:rPr>
          <w:rFonts w:ascii="Arial" w:eastAsia="Arial" w:hAnsi="Arial" w:cs="Arial"/>
        </w:rPr>
      </w:pPr>
    </w:p>
    <w:p w14:paraId="19AFB1E6" w14:textId="77777777" w:rsidR="000E3C39" w:rsidRDefault="000E3C39">
      <w:pPr>
        <w:rPr>
          <w:rFonts w:ascii="Arial" w:eastAsia="Arial" w:hAnsi="Arial" w:cs="Arial"/>
        </w:rPr>
      </w:pPr>
    </w:p>
    <w:p w14:paraId="04487AE2" w14:textId="77777777" w:rsidR="000E3C39" w:rsidRDefault="000E3C39">
      <w:pPr>
        <w:rPr>
          <w:rFonts w:ascii="Arial" w:eastAsia="Arial" w:hAnsi="Arial" w:cs="Arial"/>
        </w:rPr>
      </w:pPr>
    </w:p>
    <w:p w14:paraId="6B9ED7A9" w14:textId="77777777" w:rsidR="000E3C39" w:rsidRDefault="000E3C39">
      <w:pPr>
        <w:rPr>
          <w:rFonts w:ascii="Arial" w:eastAsia="Arial" w:hAnsi="Arial" w:cs="Arial"/>
        </w:rPr>
      </w:pPr>
    </w:p>
    <w:p w14:paraId="47C46B00" w14:textId="77777777" w:rsidR="000E3C39" w:rsidRDefault="000E3C39">
      <w:pPr>
        <w:rPr>
          <w:rFonts w:ascii="Arial" w:eastAsia="Arial" w:hAnsi="Arial" w:cs="Arial"/>
        </w:rPr>
      </w:pPr>
    </w:p>
    <w:p w14:paraId="5549BB89" w14:textId="77777777" w:rsidR="000E3C39" w:rsidRDefault="000E3C39">
      <w:pPr>
        <w:rPr>
          <w:rFonts w:ascii="Arial" w:eastAsia="Arial" w:hAnsi="Arial" w:cs="Arial"/>
        </w:rPr>
      </w:pPr>
    </w:p>
    <w:p w14:paraId="08AC5D20" w14:textId="77777777" w:rsidR="000E3C39" w:rsidRDefault="000E3C39">
      <w:pPr>
        <w:rPr>
          <w:rFonts w:ascii="Arial" w:eastAsia="Arial" w:hAnsi="Arial" w:cs="Arial"/>
        </w:rPr>
      </w:pPr>
    </w:p>
    <w:p w14:paraId="577D4CBF" w14:textId="77777777" w:rsidR="000E3C39" w:rsidRDefault="000E3C39">
      <w:pPr>
        <w:rPr>
          <w:rFonts w:ascii="Arial" w:eastAsia="Arial" w:hAnsi="Arial" w:cs="Arial"/>
        </w:rPr>
      </w:pPr>
    </w:p>
    <w:p w14:paraId="7CF61718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7E10083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color w:val="215E99"/>
        </w:rPr>
      </w:pPr>
    </w:p>
    <w:p w14:paraId="5DDD60C1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b/>
          <w:color w:val="215E99"/>
        </w:rPr>
      </w:pPr>
      <w:r>
        <w:rPr>
          <w:rFonts w:ascii="Arial" w:eastAsia="Arial" w:hAnsi="Arial" w:cs="Arial"/>
          <w:b/>
          <w:color w:val="215E99"/>
        </w:rPr>
        <w:t>15:45-17:30 Parallel panels 3 and 4</w:t>
      </w:r>
    </w:p>
    <w:p w14:paraId="10D5AAAD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70016B2A" w14:textId="77777777" w:rsidR="000E3C39" w:rsidRDefault="00867F92">
      <w:pPr>
        <w:spacing w:line="360" w:lineRule="auto"/>
        <w:ind w:left="720"/>
        <w:jc w:val="both"/>
        <w:rPr>
          <w:rFonts w:ascii="Arial" w:eastAsia="Arial" w:hAnsi="Arial" w:cs="Arial"/>
          <w:b/>
          <w:color w:val="215E99"/>
        </w:rPr>
      </w:pPr>
      <w:r>
        <w:rPr>
          <w:rFonts w:ascii="Arial" w:eastAsia="Arial" w:hAnsi="Arial" w:cs="Arial"/>
          <w:b/>
          <w:color w:val="215E99"/>
        </w:rPr>
        <w:t>Panel 3: Interaction with other legal orders</w:t>
      </w:r>
    </w:p>
    <w:p w14:paraId="01790C91" w14:textId="77777777" w:rsidR="000E3C39" w:rsidRDefault="00867F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Akiko Ejima (Meiji University):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Global significance of t</w:t>
      </w:r>
      <w:r>
        <w:rPr>
          <w:rFonts w:ascii="Arial" w:eastAsia="Arial" w:hAnsi="Arial" w:cs="Arial"/>
          <w:i/>
          <w:color w:val="000000"/>
          <w:sz w:val="22"/>
          <w:szCs w:val="22"/>
        </w:rPr>
        <w:t>he Strasbourg human rights case law – the impact of the ECtHR jurisprudence on Asian apex courts</w:t>
      </w:r>
    </w:p>
    <w:p w14:paraId="1BE3D624" w14:textId="77777777" w:rsidR="000E3C39" w:rsidRDefault="00867F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Jasmine Sommardal (</w:t>
      </w:r>
      <w:r>
        <w:rPr>
          <w:rFonts w:ascii="Arial" w:eastAsia="Arial" w:hAnsi="Arial" w:cs="Arial"/>
          <w:sz w:val="22"/>
          <w:szCs w:val="22"/>
        </w:rPr>
        <w:t>Max Planck Institute for the Study of Crime, Security and Law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Five axes of alignment: the ECtHR’s approach to the EU legal order</w:t>
      </w:r>
    </w:p>
    <w:p w14:paraId="0E9AF727" w14:textId="77777777" w:rsidR="000E3C39" w:rsidRDefault="00867F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Demetra Loizou (&amp; Nadia Kornioti) (University of Central Lancashire):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The unbearable comfort of armed conflict in the case law of the ECtHR: a comparative analysis</w:t>
      </w:r>
    </w:p>
    <w:p w14:paraId="6A084A80" w14:textId="77777777" w:rsidR="000E3C39" w:rsidRDefault="00867F92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Respondent: </w:t>
      </w:r>
      <w:r>
        <w:rPr>
          <w:rFonts w:ascii="Arial" w:eastAsia="Arial" w:hAnsi="Arial" w:cs="Arial"/>
          <w:sz w:val="22"/>
          <w:szCs w:val="22"/>
        </w:rPr>
        <w:t>Angelika Nußb</w:t>
      </w:r>
      <w:r>
        <w:rPr>
          <w:rFonts w:ascii="Arial" w:eastAsia="Arial" w:hAnsi="Arial" w:cs="Arial"/>
          <w:sz w:val="22"/>
          <w:szCs w:val="22"/>
        </w:rPr>
        <w:t>erger (former ECtHR Judge on behalf of Germany)</w:t>
      </w:r>
    </w:p>
    <w:p w14:paraId="5B1F02F4" w14:textId="77777777" w:rsidR="000E3C39" w:rsidRDefault="00867F92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Chair: Thibaut Lesseliers (KU Leuven)</w:t>
      </w:r>
    </w:p>
    <w:p w14:paraId="4FC122C1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F5F3755" w14:textId="77777777" w:rsidR="000E3C39" w:rsidRDefault="00867F92">
      <w:pPr>
        <w:pStyle w:val="Heading1"/>
        <w:spacing w:before="0" w:after="0" w:line="360" w:lineRule="auto"/>
        <w:ind w:left="1440" w:hanging="720"/>
        <w:jc w:val="both"/>
        <w:rPr>
          <w:rFonts w:ascii="Arial" w:eastAsia="Arial" w:hAnsi="Arial" w:cs="Arial"/>
          <w:b w:val="0"/>
          <w:color w:val="215E99"/>
          <w:sz w:val="24"/>
          <w:szCs w:val="24"/>
        </w:rPr>
      </w:pPr>
      <w:r>
        <w:rPr>
          <w:rFonts w:ascii="Arial" w:eastAsia="Arial" w:hAnsi="Arial" w:cs="Arial"/>
          <w:color w:val="215E99"/>
          <w:sz w:val="24"/>
          <w:szCs w:val="24"/>
        </w:rPr>
        <w:t>Panel 4: Migration: a human rights challenge for Europe</w:t>
      </w:r>
    </w:p>
    <w:p w14:paraId="42DA7CF7" w14:textId="77777777" w:rsidR="000E3C39" w:rsidRDefault="00867F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Pedro Sanz Diaz (Dublin City University) &amp; Alex Geraki Trimi (</w:t>
      </w:r>
      <w:r>
        <w:rPr>
          <w:rFonts w:ascii="Arial" w:eastAsia="Arial" w:hAnsi="Arial" w:cs="Arial"/>
          <w:sz w:val="22"/>
          <w:szCs w:val="22"/>
        </w:rPr>
        <w:t>Ghent University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):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The ‘Strasbourg reversal’ beyond the state’s right to control immigration: the ECtHR’s unquestioned distinction between forced and voluntary migration  </w:t>
      </w:r>
    </w:p>
    <w:p w14:paraId="52F8D557" w14:textId="77777777" w:rsidR="000E3C39" w:rsidRDefault="00867F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Jessica Klüger (VU Amsterdam and Justus Liebig University Giessen):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Litigation and influence: Unpacking the institutional dynamics of the Strasbourg Court in responding to governments’ arguments in migration case law                                       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2F1D3AA1" w14:textId="77777777" w:rsidR="000E3C39" w:rsidRDefault="00867F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Monica Avila Curras (VU Amsterdam):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Stepping up against migrants: when states intervene as third parties</w:t>
      </w:r>
    </w:p>
    <w:p w14:paraId="0F5F0C08" w14:textId="77777777" w:rsidR="000E3C39" w:rsidRDefault="00867F92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Respondent</w:t>
      </w:r>
      <w:r>
        <w:rPr>
          <w:rFonts w:ascii="Arial" w:eastAsia="Arial" w:hAnsi="Arial" w:cs="Arial"/>
          <w:b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>Frédéric</w:t>
      </w:r>
      <w:r>
        <w:rPr>
          <w:rFonts w:ascii="Arial" w:eastAsia="Arial" w:hAnsi="Arial" w:cs="Arial"/>
          <w:sz w:val="22"/>
          <w:szCs w:val="22"/>
        </w:rPr>
        <w:t xml:space="preserve"> Krenc (ECtHR Judge on behalf of Belgium) </w:t>
      </w:r>
    </w:p>
    <w:p w14:paraId="4C5D44B4" w14:textId="77777777" w:rsidR="000E3C39" w:rsidRDefault="00867F92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Chair: Harriet Ní Chinnéide (Hasselt University)</w:t>
      </w:r>
    </w:p>
    <w:p w14:paraId="31219744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70B4D86D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4DFCDCC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78E70337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51735BB3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5191D2A5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24ADE01" w14:textId="77777777" w:rsidR="000E3C39" w:rsidRDefault="00867F92">
      <w:pPr>
        <w:spacing w:line="360" w:lineRule="auto"/>
        <w:rPr>
          <w:rFonts w:ascii="Arial" w:eastAsia="Arial" w:hAnsi="Arial" w:cs="Arial"/>
          <w:b/>
          <w:color w:val="215E99"/>
        </w:rPr>
      </w:pPr>
      <w:r>
        <w:rPr>
          <w:rFonts w:ascii="Arial" w:eastAsia="Arial" w:hAnsi="Arial" w:cs="Arial"/>
          <w:b/>
          <w:color w:val="215E99"/>
        </w:rPr>
        <w:t>FRIDAY 9 May 2025</w:t>
      </w:r>
    </w:p>
    <w:p w14:paraId="6D33B2F0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b/>
          <w:color w:val="215E99"/>
        </w:rPr>
      </w:pPr>
      <w:r>
        <w:rPr>
          <w:rFonts w:ascii="Arial" w:eastAsia="Arial" w:hAnsi="Arial" w:cs="Arial"/>
          <w:b/>
          <w:color w:val="215E99"/>
        </w:rPr>
        <w:t>9:00-10:45 Parallel panels 5 and 6</w:t>
      </w:r>
    </w:p>
    <w:p w14:paraId="73649493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74A4C11D" w14:textId="77777777" w:rsidR="000E3C39" w:rsidRDefault="00867F92">
      <w:pPr>
        <w:spacing w:line="360" w:lineRule="auto"/>
        <w:ind w:left="720"/>
        <w:jc w:val="both"/>
        <w:rPr>
          <w:rFonts w:ascii="Arial" w:eastAsia="Arial" w:hAnsi="Arial" w:cs="Arial"/>
          <w:b/>
          <w:color w:val="215E99"/>
        </w:rPr>
      </w:pPr>
      <w:r>
        <w:rPr>
          <w:rFonts w:ascii="Arial" w:eastAsia="Arial" w:hAnsi="Arial" w:cs="Arial"/>
          <w:b/>
          <w:color w:val="215E99"/>
        </w:rPr>
        <w:t xml:space="preserve">Panel 5: Categorical inconsistencies and their consequences </w:t>
      </w:r>
    </w:p>
    <w:p w14:paraId="6F915D29" w14:textId="77777777" w:rsidR="000E3C39" w:rsidRDefault="00867F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Vladislava Stoyanova (Lund University):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Causation: Human Rights Law Style. Why and How for Establishing breach of positive obligations under the ECHR?</w:t>
      </w:r>
    </w:p>
    <w:p w14:paraId="36AFCFD4" w14:textId="77777777" w:rsidR="000E3C39" w:rsidRDefault="00867F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Gaia Zanotti (University of Edinburgh):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Does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the ECtHR protect Labour rights? Some reflections on the jurisprudence of art. 1 prot. 1</w:t>
      </w:r>
    </w:p>
    <w:p w14:paraId="11C4BB14" w14:textId="77777777" w:rsidR="000E3C39" w:rsidRDefault="00867F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Moritz Baumgärtel (University College Roosevelt, Middelburg and South-West University “Neofit Rlski”, Blagoevgrad, Bulgaria): </w:t>
      </w:r>
      <w: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>Why the European Court of Human Rights S</w:t>
      </w:r>
      <w: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>hould Adopt an Animus-Based Approach to Xenophobic Discrimination</w:t>
      </w:r>
    </w:p>
    <w:p w14:paraId="4349B78C" w14:textId="77777777" w:rsidR="000E3C39" w:rsidRDefault="00867F92">
      <w:pPr>
        <w:pStyle w:val="Heading1"/>
        <w:shd w:val="clear" w:color="auto" w:fill="FFFFFF"/>
        <w:spacing w:before="0" w:after="0" w:line="360" w:lineRule="auto"/>
        <w:ind w:left="720" w:firstLine="720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color w:val="000000"/>
          <w:sz w:val="22"/>
          <w:szCs w:val="22"/>
        </w:rPr>
        <w:t>Respondent</w:t>
      </w:r>
      <w:r>
        <w:rPr>
          <w:rFonts w:ascii="Arial" w:eastAsia="Arial" w:hAnsi="Arial" w:cs="Arial"/>
          <w:b w:val="0"/>
          <w:i/>
          <w:color w:val="000000"/>
          <w:sz w:val="22"/>
          <w:szCs w:val="22"/>
        </w:rPr>
        <w:t xml:space="preserve">:  </w:t>
      </w:r>
      <w:r>
        <w:rPr>
          <w:rFonts w:ascii="Arial" w:eastAsia="Arial" w:hAnsi="Arial" w:cs="Arial"/>
          <w:b w:val="0"/>
          <w:sz w:val="22"/>
          <w:szCs w:val="22"/>
        </w:rPr>
        <w:t>María Elósegui (ECtHR Judge on behalf of Spain)</w:t>
      </w:r>
    </w:p>
    <w:p w14:paraId="7E13420F" w14:textId="77777777" w:rsidR="000E3C39" w:rsidRDefault="00867F92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Chair: Sibel Yılmaz Coşkun (visiting researcher at Ghent University)</w:t>
      </w:r>
    </w:p>
    <w:p w14:paraId="43DA2F3D" w14:textId="77777777" w:rsidR="000E3C39" w:rsidRDefault="000E3C39">
      <w:pPr>
        <w:rPr>
          <w:rFonts w:ascii="Arial" w:eastAsia="Arial" w:hAnsi="Arial" w:cs="Arial"/>
        </w:rPr>
      </w:pPr>
    </w:p>
    <w:p w14:paraId="2452FF51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1F199D32" w14:textId="77777777" w:rsidR="000E3C39" w:rsidRDefault="00867F92">
      <w:pPr>
        <w:pStyle w:val="Heading1"/>
        <w:spacing w:before="0" w:after="0" w:line="360" w:lineRule="auto"/>
        <w:ind w:left="1440" w:hanging="720"/>
        <w:jc w:val="both"/>
        <w:rPr>
          <w:rFonts w:ascii="Arial" w:eastAsia="Arial" w:hAnsi="Arial" w:cs="Arial"/>
          <w:b w:val="0"/>
          <w:color w:val="215E99"/>
          <w:sz w:val="24"/>
          <w:szCs w:val="24"/>
        </w:rPr>
      </w:pPr>
      <w:r>
        <w:rPr>
          <w:rFonts w:ascii="Arial" w:eastAsia="Arial" w:hAnsi="Arial" w:cs="Arial"/>
          <w:color w:val="215E99"/>
          <w:sz w:val="24"/>
          <w:szCs w:val="24"/>
        </w:rPr>
        <w:t>Panel 6: Procedural and strategical configurations in a Court of Justice</w:t>
      </w:r>
    </w:p>
    <w:p w14:paraId="34B047AE" w14:textId="77777777" w:rsidR="000E3C39" w:rsidRDefault="00867F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Joe Finnerty (University of Cologne):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Understanding ‘impact’?: The case prioritization strategy of the ECtHR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9BAA0BF" w14:textId="77777777" w:rsidR="000E3C39" w:rsidRDefault="00867F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Lize Glas (Radboud University Nijmegen):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Putting the guarantee of non-repetition at the center in the ECtHR’s case law</w:t>
      </w:r>
    </w:p>
    <w:p w14:paraId="37B5A49E" w14:textId="77777777" w:rsidR="000E3C39" w:rsidRDefault="00867F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Ezgi Özlu (University of Strasbourg)</w:t>
      </w:r>
      <w:r>
        <w:rPr>
          <w:rFonts w:ascii="Arial" w:eastAsia="Arial" w:hAnsi="Arial" w:cs="Arial"/>
          <w:i/>
          <w:color w:val="000000"/>
          <w:sz w:val="22"/>
          <w:szCs w:val="22"/>
        </w:rPr>
        <w:t>: Exploring the place of inte</w:t>
      </w:r>
      <w:r>
        <w:rPr>
          <w:rFonts w:ascii="Arial" w:eastAsia="Arial" w:hAnsi="Arial" w:cs="Arial"/>
          <w:i/>
          <w:color w:val="000000"/>
          <w:sz w:val="22"/>
          <w:szCs w:val="22"/>
        </w:rPr>
        <w:t>rim measures in a ‘more balanced court’</w:t>
      </w:r>
    </w:p>
    <w:p w14:paraId="4E790416" w14:textId="77777777" w:rsidR="000E3C39" w:rsidRDefault="00867F92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Respondent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>Paul Lemmens (former ECtHR Judge on behalf of Belgium)</w:t>
      </w:r>
    </w:p>
    <w:p w14:paraId="139E8CCC" w14:textId="77777777" w:rsidR="000E3C39" w:rsidRDefault="00867F92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Chair: Stijn Smet (Hasselt University; VMRI)</w:t>
      </w:r>
    </w:p>
    <w:p w14:paraId="448C288E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4FFC9D23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2925217B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10823664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6E6D5179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72DB832B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6A43FE55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4D80EA81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65B138B8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5AD9CD39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14:paraId="70A2F080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color w:val="215E99"/>
        </w:rPr>
      </w:pPr>
      <w:r>
        <w:rPr>
          <w:rFonts w:ascii="Arial" w:eastAsia="Arial" w:hAnsi="Arial" w:cs="Arial"/>
          <w:b/>
          <w:color w:val="215E99"/>
        </w:rPr>
        <w:t>11:15-13:00 Parallel panels 7 and 8</w:t>
      </w:r>
    </w:p>
    <w:p w14:paraId="35F154D0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64F8236" w14:textId="77777777" w:rsidR="000E3C39" w:rsidRDefault="00867F92">
      <w:pPr>
        <w:pStyle w:val="Heading1"/>
        <w:spacing w:before="0" w:after="0" w:line="360" w:lineRule="auto"/>
        <w:ind w:left="1440" w:hanging="720"/>
        <w:jc w:val="both"/>
        <w:rPr>
          <w:rFonts w:ascii="Arial" w:eastAsia="Arial" w:hAnsi="Arial" w:cs="Arial"/>
          <w:b w:val="0"/>
          <w:color w:val="215E99"/>
          <w:sz w:val="24"/>
          <w:szCs w:val="24"/>
        </w:rPr>
      </w:pPr>
      <w:r>
        <w:rPr>
          <w:rFonts w:ascii="Arial" w:eastAsia="Arial" w:hAnsi="Arial" w:cs="Arial"/>
          <w:color w:val="215E99"/>
          <w:sz w:val="24"/>
          <w:szCs w:val="24"/>
        </w:rPr>
        <w:lastRenderedPageBreak/>
        <w:t xml:space="preserve">Panel 7: Subsidiarity, restraint and procedural review </w:t>
      </w:r>
    </w:p>
    <w:p w14:paraId="33431282" w14:textId="77777777" w:rsidR="000E3C39" w:rsidRDefault="00867F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Giulio Fedele (University of Rome ‘Unitelma Sapienza’):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From negative to positive subsidiarity. Insights from the application of the ECHR in horizontal disputes</w:t>
      </w:r>
    </w:p>
    <w:p w14:paraId="2F29C43E" w14:textId="77777777" w:rsidR="000E3C39" w:rsidRDefault="00867F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Alain Zysset (University of Glasgow):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N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ormative gaps at the European Court of Human Rights: Merits and Limits of the ‘political process theory’ in Strasbourg </w:t>
      </w:r>
    </w:p>
    <w:p w14:paraId="705A4F25" w14:textId="77777777" w:rsidR="000E3C39" w:rsidRDefault="00867F9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1800"/>
        <w:jc w:val="both"/>
        <w:rPr>
          <w:rFonts w:ascii="Arial" w:eastAsia="Arial" w:hAnsi="Arial" w:cs="Arial"/>
          <w:i/>
          <w:color w:val="222222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Lorenzo Acconciamessa (University of Palermo): </w:t>
      </w:r>
      <w:r>
        <w:rPr>
          <w:rFonts w:ascii="Arial" w:eastAsia="Arial" w:hAnsi="Arial" w:cs="Arial"/>
          <w:i/>
          <w:color w:val="222222"/>
          <w:sz w:val="22"/>
          <w:szCs w:val="22"/>
        </w:rPr>
        <w:t xml:space="preserve">The Notion of “Shared Responsibility” and its Impact on the Relationships between the ECtHR and the Domestic Authorities </w:t>
      </w:r>
    </w:p>
    <w:p w14:paraId="539B295D" w14:textId="77777777" w:rsidR="000E3C39" w:rsidRDefault="00867F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Respondent: </w:t>
      </w:r>
      <w:r>
        <w:rPr>
          <w:rFonts w:ascii="Arial" w:eastAsia="Arial" w:hAnsi="Arial" w:cs="Arial"/>
          <w:sz w:val="22"/>
          <w:szCs w:val="22"/>
        </w:rPr>
        <w:t>Oddný Mjöll Arnardóttir (ECtHR Judge on behalf of Iceland)</w:t>
      </w:r>
    </w:p>
    <w:p w14:paraId="028EB66C" w14:textId="77777777" w:rsidR="000E3C39" w:rsidRDefault="00867F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Chair: Laurens Lavrysen (Belgian Council of State)</w:t>
      </w:r>
    </w:p>
    <w:p w14:paraId="37F8F459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64C2CD21" w14:textId="77777777" w:rsidR="000E3C39" w:rsidRDefault="000E3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204450D1" w14:textId="77777777" w:rsidR="000E3C39" w:rsidRDefault="00867F92">
      <w:pPr>
        <w:pStyle w:val="Heading1"/>
        <w:spacing w:before="0" w:after="0" w:line="360" w:lineRule="auto"/>
        <w:ind w:left="1440" w:hanging="720"/>
        <w:jc w:val="both"/>
        <w:rPr>
          <w:rFonts w:ascii="Arial" w:eastAsia="Arial" w:hAnsi="Arial" w:cs="Arial"/>
          <w:b w:val="0"/>
          <w:color w:val="215E99"/>
          <w:sz w:val="24"/>
          <w:szCs w:val="24"/>
        </w:rPr>
      </w:pPr>
      <w:r>
        <w:rPr>
          <w:rFonts w:ascii="Arial" w:eastAsia="Arial" w:hAnsi="Arial" w:cs="Arial"/>
          <w:color w:val="215E99"/>
          <w:sz w:val="24"/>
          <w:szCs w:val="24"/>
        </w:rPr>
        <w:t xml:space="preserve">Panel 8: The fundamental or essential aspects of Convention rights </w:t>
      </w:r>
    </w:p>
    <w:p w14:paraId="77DD35FE" w14:textId="77777777" w:rsidR="000E3C39" w:rsidRDefault="00867F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Cathérine Van de Graaf (Ghent University and University of Cologne) and Beril Onder (University of Cologne):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Unpacking the Court’s unwillingness to investigate Article 14: not fundamental or distinct enough or too sensitive and complex?</w:t>
      </w:r>
    </w:p>
    <w:p w14:paraId="7C6D49D4" w14:textId="77777777" w:rsidR="000E3C39" w:rsidRDefault="00867F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Anaïs Brucher (Euro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pean University Institute): </w:t>
      </w:r>
      <w:r>
        <w:rPr>
          <w:rFonts w:ascii="Arial" w:eastAsia="Arial" w:hAnsi="Arial" w:cs="Arial"/>
          <w:i/>
          <w:color w:val="222222"/>
          <w:sz w:val="22"/>
          <w:szCs w:val="22"/>
          <w:highlight w:val="white"/>
        </w:rPr>
        <w:t>Unpacking the Many Uses of the ‘Essence of Rights’ in ECtHR Case Law: Symbol, Paradox and Normative Statement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p w14:paraId="07B65443" w14:textId="77777777" w:rsidR="000E3C39" w:rsidRDefault="00867F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Ioanna Pervou (Democritus University of Thrace): </w:t>
      </w:r>
      <w:r>
        <w:rPr>
          <w:rFonts w:ascii="Arial" w:eastAsia="Arial" w:hAnsi="Arial" w:cs="Arial"/>
          <w:i/>
          <w:color w:val="000000"/>
          <w:sz w:val="22"/>
          <w:szCs w:val="22"/>
        </w:rPr>
        <w:t>The ECtHR as a state dispute court: what future for article 33 ECHR</w:t>
      </w:r>
    </w:p>
    <w:p w14:paraId="78CB46C2" w14:textId="77777777" w:rsidR="000E3C39" w:rsidRDefault="00867F92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Respondent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>Françoise Tulkens (former ECtHR Judge on behalf of Belgium)</w:t>
      </w:r>
    </w:p>
    <w:p w14:paraId="29667810" w14:textId="77777777" w:rsidR="000E3C39" w:rsidRDefault="00867F92">
      <w:pPr>
        <w:spacing w:line="276" w:lineRule="auto"/>
        <w:ind w:left="720"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Chair: Merel Vrancken (UHasselt)</w:t>
      </w:r>
    </w:p>
    <w:p w14:paraId="5B18D3C1" w14:textId="77777777" w:rsidR="000E3C39" w:rsidRDefault="000E3C39">
      <w:pPr>
        <w:spacing w:line="360" w:lineRule="auto"/>
        <w:ind w:left="720" w:firstLine="720"/>
        <w:jc w:val="both"/>
        <w:rPr>
          <w:rFonts w:ascii="Arial" w:eastAsia="Arial" w:hAnsi="Arial" w:cs="Arial"/>
          <w:sz w:val="22"/>
          <w:szCs w:val="22"/>
        </w:rPr>
      </w:pPr>
    </w:p>
    <w:p w14:paraId="62807A10" w14:textId="77777777" w:rsidR="000E3C39" w:rsidRDefault="000E3C39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5D7A7AD" w14:textId="77777777" w:rsidR="000E3C39" w:rsidRDefault="00867F92">
      <w:pPr>
        <w:spacing w:line="360" w:lineRule="auto"/>
        <w:jc w:val="both"/>
        <w:rPr>
          <w:rFonts w:ascii="Arial" w:eastAsia="Arial" w:hAnsi="Arial" w:cs="Arial"/>
          <w:b/>
          <w:color w:val="215E99"/>
        </w:rPr>
      </w:pPr>
      <w:r>
        <w:rPr>
          <w:rFonts w:ascii="Arial" w:eastAsia="Arial" w:hAnsi="Arial" w:cs="Arial"/>
          <w:b/>
          <w:color w:val="215E99"/>
        </w:rPr>
        <w:t>14:00-15:30 Keynote by Dr. Marialena Tsirli</w:t>
      </w:r>
    </w:p>
    <w:p w14:paraId="6D489F51" w14:textId="77777777" w:rsidR="000E3C39" w:rsidRDefault="00867F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Chief Registrar of the European Court of Human Rights</w:t>
      </w:r>
    </w:p>
    <w:p w14:paraId="1614CFDA" w14:textId="77777777" w:rsidR="000E3C39" w:rsidRDefault="00867F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Followed by discussion</w:t>
      </w:r>
    </w:p>
    <w:p w14:paraId="3776A78D" w14:textId="77777777" w:rsidR="000E3C39" w:rsidRDefault="00867F92">
      <w:pPr>
        <w:tabs>
          <w:tab w:val="left" w:pos="914"/>
        </w:tabs>
        <w:spacing w:line="360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Chair: Cathérine Van de Graaf (Ghent University and University of Cologne)</w:t>
      </w:r>
    </w:p>
    <w:sectPr w:rsidR="000E3C39">
      <w:headerReference w:type="default" r:id="rId11"/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BA7D9" w14:textId="77777777" w:rsidR="00867F92" w:rsidRDefault="00867F92">
      <w:r>
        <w:separator/>
      </w:r>
    </w:p>
  </w:endnote>
  <w:endnote w:type="continuationSeparator" w:id="0">
    <w:p w14:paraId="20B96602" w14:textId="77777777" w:rsidR="00867F92" w:rsidRDefault="0086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F017E" w14:textId="77777777" w:rsidR="000E3C39" w:rsidRDefault="00867F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A7915C4" w14:textId="77777777" w:rsidR="000E3C39" w:rsidRDefault="000E3C3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114C" w14:textId="77777777" w:rsidR="000E3C39" w:rsidRDefault="00867F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t xml:space="preserve">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4C29AFE" wp14:editId="18C0F704">
          <wp:simplePos x="0" y="0"/>
          <wp:positionH relativeFrom="column">
            <wp:posOffset>2352675</wp:posOffset>
          </wp:positionH>
          <wp:positionV relativeFrom="paragraph">
            <wp:posOffset>285820</wp:posOffset>
          </wp:positionV>
          <wp:extent cx="580582" cy="261262"/>
          <wp:effectExtent l="0" t="0" r="0" b="0"/>
          <wp:wrapSquare wrapText="bothSides" distT="114300" distB="114300" distL="114300" distR="114300"/>
          <wp:docPr id="149884512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0582" cy="2612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DD107C8" wp14:editId="17244765">
          <wp:simplePos x="0" y="0"/>
          <wp:positionH relativeFrom="column">
            <wp:posOffset>4533900</wp:posOffset>
          </wp:positionH>
          <wp:positionV relativeFrom="paragraph">
            <wp:posOffset>114300</wp:posOffset>
          </wp:positionV>
          <wp:extent cx="971650" cy="772730"/>
          <wp:effectExtent l="0" t="0" r="0" b="0"/>
          <wp:wrapSquare wrapText="bothSides" distT="114300" distB="114300" distL="114300" distR="114300"/>
          <wp:docPr id="14988451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12345" b="-12345"/>
                  <a:stretch>
                    <a:fillRect/>
                  </a:stretch>
                </pic:blipFill>
                <pic:spPr>
                  <a:xfrm>
                    <a:off x="0" y="0"/>
                    <a:ext cx="971650" cy="772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5D3A8F5" wp14:editId="0405B2D9">
          <wp:simplePos x="0" y="0"/>
          <wp:positionH relativeFrom="column">
            <wp:posOffset>3248025</wp:posOffset>
          </wp:positionH>
          <wp:positionV relativeFrom="paragraph">
            <wp:posOffset>218888</wp:posOffset>
          </wp:positionV>
          <wp:extent cx="1076325" cy="403622"/>
          <wp:effectExtent l="0" t="0" r="0" b="0"/>
          <wp:wrapSquare wrapText="bothSides" distT="114300" distB="114300" distL="114300" distR="114300"/>
          <wp:docPr id="149884512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4036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D876F7" w14:textId="77777777" w:rsidR="000E3C39" w:rsidRDefault="00867F92">
    <w:pPr>
      <w:tabs>
        <w:tab w:val="center" w:pos="4513"/>
        <w:tab w:val="right" w:pos="9026"/>
      </w:tabs>
      <w:ind w:left="720" w:right="360" w:hanging="360"/>
      <w:jc w:val="center"/>
      <w:rPr>
        <w:rFonts w:ascii="Calibri" w:eastAsia="Calibri" w:hAnsi="Calibri" w:cs="Calibri"/>
        <w:sz w:val="22"/>
        <w:szCs w:val="22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69AADB43" wp14:editId="5AAA8E87">
          <wp:simplePos x="0" y="0"/>
          <wp:positionH relativeFrom="column">
            <wp:posOffset>1133475</wp:posOffset>
          </wp:positionH>
          <wp:positionV relativeFrom="paragraph">
            <wp:posOffset>9338</wp:posOffset>
          </wp:positionV>
          <wp:extent cx="412115" cy="450215"/>
          <wp:effectExtent l="0" t="0" r="0" b="0"/>
          <wp:wrapNone/>
          <wp:docPr id="1498845117" name="image3.png" descr="600+ Black And White Birthday Cake Stock Illustrations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600+ Black And White Birthday Cake Stock Illustrations ..."/>
                  <pic:cNvPicPr preferRelativeResize="0"/>
                </pic:nvPicPr>
                <pic:blipFill>
                  <a:blip r:embed="rId4"/>
                  <a:srcRect l="21597" t="19503" r="21575" b="18384"/>
                  <a:stretch>
                    <a:fillRect/>
                  </a:stretch>
                </pic:blipFill>
                <pic:spPr>
                  <a:xfrm>
                    <a:off x="0" y="0"/>
                    <a:ext cx="412115" cy="450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5C2AAE2D" wp14:editId="6C68EC15">
          <wp:simplePos x="0" y="0"/>
          <wp:positionH relativeFrom="column">
            <wp:posOffset>57151</wp:posOffset>
          </wp:positionH>
          <wp:positionV relativeFrom="paragraph">
            <wp:posOffset>56963</wp:posOffset>
          </wp:positionV>
          <wp:extent cx="1077595" cy="343535"/>
          <wp:effectExtent l="0" t="0" r="0" b="0"/>
          <wp:wrapSquare wrapText="bothSides" distT="0" distB="0" distL="114300" distR="114300"/>
          <wp:docPr id="1498845122" name="image6.png" descr="Strasbourg Observer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Strasbourg Observers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759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5899DA" w14:textId="77777777" w:rsidR="000E3C39" w:rsidRDefault="000E3C39">
    <w:pPr>
      <w:tabs>
        <w:tab w:val="center" w:pos="4513"/>
        <w:tab w:val="right" w:pos="9026"/>
      </w:tabs>
      <w:spacing w:line="360" w:lineRule="auto"/>
      <w:jc w:val="both"/>
      <w:rPr>
        <w:rFonts w:ascii="Arial" w:eastAsia="Arial" w:hAnsi="Arial" w:cs="Arial"/>
        <w:b/>
        <w:sz w:val="22"/>
        <w:szCs w:val="22"/>
      </w:rPr>
    </w:pPr>
  </w:p>
  <w:p w14:paraId="16131BE9" w14:textId="77777777" w:rsidR="000E3C39" w:rsidRDefault="000E3C3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rial" w:eastAsia="Arial" w:hAnsi="Arial" w:cs="Arial"/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77200" w14:textId="77777777" w:rsidR="00867F92" w:rsidRDefault="00867F92">
      <w:r>
        <w:separator/>
      </w:r>
    </w:p>
  </w:footnote>
  <w:footnote w:type="continuationSeparator" w:id="0">
    <w:p w14:paraId="6BC5DBF3" w14:textId="77777777" w:rsidR="00867F92" w:rsidRDefault="00867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E042" w14:textId="77777777" w:rsidR="000E3C39" w:rsidRDefault="00867F92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66885"/>
    <w:multiLevelType w:val="multilevel"/>
    <w:tmpl w:val="20280D36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FD617C"/>
    <w:multiLevelType w:val="multilevel"/>
    <w:tmpl w:val="22F0BAB4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375E06"/>
    <w:multiLevelType w:val="multilevel"/>
    <w:tmpl w:val="A80EC6AC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D11185B"/>
    <w:multiLevelType w:val="multilevel"/>
    <w:tmpl w:val="1D6C33F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D5210B"/>
    <w:multiLevelType w:val="multilevel"/>
    <w:tmpl w:val="A11630CA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9AC2FF4"/>
    <w:multiLevelType w:val="multilevel"/>
    <w:tmpl w:val="BD84FCDC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E40FB1"/>
    <w:multiLevelType w:val="multilevel"/>
    <w:tmpl w:val="6AA2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E0C54E9"/>
    <w:multiLevelType w:val="multilevel"/>
    <w:tmpl w:val="82B4A4A2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349480236">
    <w:abstractNumId w:val="4"/>
  </w:num>
  <w:num w:numId="2" w16cid:durableId="1554461169">
    <w:abstractNumId w:val="3"/>
  </w:num>
  <w:num w:numId="3" w16cid:durableId="615601403">
    <w:abstractNumId w:val="0"/>
  </w:num>
  <w:num w:numId="4" w16cid:durableId="194320020">
    <w:abstractNumId w:val="7"/>
  </w:num>
  <w:num w:numId="5" w16cid:durableId="19166724">
    <w:abstractNumId w:val="2"/>
  </w:num>
  <w:num w:numId="6" w16cid:durableId="1666324196">
    <w:abstractNumId w:val="1"/>
  </w:num>
  <w:num w:numId="7" w16cid:durableId="1772774503">
    <w:abstractNumId w:val="5"/>
  </w:num>
  <w:num w:numId="8" w16cid:durableId="788009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39"/>
    <w:rsid w:val="000E3C39"/>
    <w:rsid w:val="0086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6EB02"/>
  <w15:docId w15:val="{088C9022-6871-4A3C-A2AB-EBEE4F76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4E8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8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8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8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8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18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004E8"/>
    <w:rPr>
      <w:rFonts w:ascii="Calibri" w:eastAsiaTheme="majorEastAsia" w:hAnsi="Calibri" w:cstheme="majorBidi"/>
      <w:b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8E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8E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8E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8E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8E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8E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8E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8E9"/>
    <w:rPr>
      <w:rFonts w:eastAsiaTheme="majorEastAsia" w:cstheme="majorBidi"/>
      <w:color w:val="272727" w:themeColor="text1" w:themeTint="D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B18E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8E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B18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8E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B1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8E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B18E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1A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37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77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779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94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23BBE"/>
  </w:style>
  <w:style w:type="paragraph" w:styleId="Header">
    <w:name w:val="header"/>
    <w:basedOn w:val="Normal"/>
    <w:link w:val="HeaderChar"/>
    <w:uiPriority w:val="99"/>
    <w:unhideWhenUsed/>
    <w:rsid w:val="007A5F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F6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5F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F68"/>
    <w:rPr>
      <w:lang w:val="en-GB"/>
    </w:rPr>
  </w:style>
  <w:style w:type="numbering" w:customStyle="1" w:styleId="CurrentList1">
    <w:name w:val="Current List1"/>
    <w:uiPriority w:val="99"/>
    <w:rsid w:val="00B004E8"/>
  </w:style>
  <w:style w:type="character" w:styleId="PageNumber">
    <w:name w:val="page number"/>
    <w:basedOn w:val="DefaultParagraphFont"/>
    <w:uiPriority w:val="99"/>
    <w:semiHidden/>
    <w:unhideWhenUsed/>
    <w:rsid w:val="00F9019B"/>
  </w:style>
  <w:style w:type="character" w:styleId="Hyperlink">
    <w:name w:val="Hyperlink"/>
    <w:basedOn w:val="DefaultParagraphFont"/>
    <w:uiPriority w:val="99"/>
    <w:unhideWhenUsed/>
    <w:rsid w:val="002D65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6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app.goo.gl/K4GEWP3NJQ549eyb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fYwscJoFG59SmmbBNpYUwNxoxw==">CgMxLjA4AHIhMWRMcDJYNW04UWpNaUotSU41XzQtZkNQdEd0aE9zMlJG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1046</Words>
  <Characters>5756</Characters>
  <Application>Microsoft Office Word</Application>
  <DocSecurity>0</DocSecurity>
  <Lines>47</Lines>
  <Paragraphs>13</Paragraphs>
  <ScaleCrop>false</ScaleCrop>
  <Company>European Court of Human Right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Cathérine Van de Graaf</dc:creator>
  <cp:lastModifiedBy>Krenc, Frederic</cp:lastModifiedBy>
  <cp:revision>2</cp:revision>
  <dcterms:created xsi:type="dcterms:W3CDTF">2025-07-13T10:10:00Z</dcterms:created>
  <dcterms:modified xsi:type="dcterms:W3CDTF">2025-07-13T10:10:00Z</dcterms:modified>
</cp:coreProperties>
</file>